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FAC88">
      <w:pPr>
        <w:jc w:val="center"/>
        <w:rPr>
          <w:rFonts w:ascii="宋体" w:hAnsi="宋体"/>
          <w:color w:val="000000"/>
          <w:highlight w:val="none"/>
        </w:rPr>
      </w:pPr>
    </w:p>
    <w:p w14:paraId="1B1E9D3B">
      <w:pPr>
        <w:jc w:val="center"/>
        <w:rPr>
          <w:rFonts w:hint="eastAsia" w:ascii="宋体" w:hAnsi="宋体"/>
          <w:color w:val="000000"/>
          <w:highlight w:val="none"/>
        </w:rPr>
      </w:pPr>
    </w:p>
    <w:p w14:paraId="2431EF50">
      <w:pPr>
        <w:tabs>
          <w:tab w:val="left" w:pos="7360"/>
        </w:tabs>
        <w:autoSpaceDE w:val="0"/>
        <w:autoSpaceDN w:val="0"/>
        <w:jc w:val="center"/>
        <w:rPr>
          <w:rFonts w:hint="eastAsia" w:ascii="华文新魏" w:hAnsi="华文新魏" w:eastAsia="华文新魏" w:cs="华文新魏"/>
          <w:color w:val="000000"/>
          <w:kern w:val="0"/>
          <w:sz w:val="72"/>
          <w:szCs w:val="72"/>
          <w:highlight w:val="none"/>
          <w:lang w:val="zh-CN" w:eastAsia="zh-CN" w:bidi="zh-CN"/>
        </w:rPr>
      </w:pPr>
      <w:r>
        <w:rPr>
          <w:rFonts w:hint="eastAsia" w:ascii="华文新魏" w:hAnsi="华文新魏" w:eastAsia="华文新魏" w:cs="华文新魏"/>
          <w:color w:val="000000"/>
          <w:kern w:val="0"/>
          <w:sz w:val="72"/>
          <w:szCs w:val="72"/>
          <w:highlight w:val="none"/>
          <w:lang w:val="zh-CN" w:eastAsia="zh-CN" w:bidi="zh-CN"/>
        </w:rPr>
        <w:t>梧州市丰胜工程咨询有限公司</w:t>
      </w:r>
    </w:p>
    <w:p w14:paraId="5F362F31">
      <w:pPr>
        <w:jc w:val="center"/>
        <w:rPr>
          <w:rFonts w:ascii="宋体" w:hAnsi="宋体"/>
          <w:color w:val="000000"/>
          <w:highlight w:val="none"/>
        </w:rPr>
      </w:pPr>
    </w:p>
    <w:p w14:paraId="3657AF60">
      <w:pPr>
        <w:jc w:val="center"/>
        <w:rPr>
          <w:rFonts w:hint="eastAsia" w:ascii="宋体" w:hAnsi="宋体"/>
          <w:color w:val="000000"/>
          <w:highlight w:val="none"/>
        </w:rPr>
      </w:pPr>
    </w:p>
    <w:p w14:paraId="2279D8F5">
      <w:pPr>
        <w:jc w:val="center"/>
        <w:rPr>
          <w:rFonts w:hint="eastAsia" w:ascii="宋体" w:hAnsi="宋体"/>
          <w:color w:val="000000"/>
          <w:highlight w:val="none"/>
        </w:rPr>
      </w:pPr>
    </w:p>
    <w:p w14:paraId="7DB68AC9">
      <w:pPr>
        <w:jc w:val="center"/>
        <w:rPr>
          <w:rFonts w:hint="eastAsia" w:ascii="宋体" w:hAnsi="宋体"/>
          <w:color w:val="000000"/>
          <w:highlight w:val="none"/>
        </w:rPr>
      </w:pPr>
    </w:p>
    <w:p w14:paraId="7A8D93A9">
      <w:pPr>
        <w:jc w:val="center"/>
        <w:rPr>
          <w:rFonts w:hint="eastAsia" w:ascii="宋体" w:hAnsi="宋体"/>
          <w:color w:val="000000"/>
          <w:highlight w:val="none"/>
        </w:rPr>
      </w:pPr>
    </w:p>
    <w:p w14:paraId="710DBFF2">
      <w:pPr>
        <w:pStyle w:val="5"/>
        <w:tabs>
          <w:tab w:val="left" w:pos="0"/>
          <w:tab w:val="left" w:pos="7560"/>
        </w:tabs>
        <w:autoSpaceDE w:val="0"/>
        <w:autoSpaceDN w:val="0"/>
        <w:jc w:val="center"/>
        <w:rPr>
          <w:rFonts w:hint="eastAsia" w:ascii="华文新魏" w:hAnsi="华文新魏" w:eastAsia="华文新魏" w:cs="华文新魏"/>
          <w:color w:val="000000"/>
          <w:kern w:val="0"/>
          <w:sz w:val="72"/>
          <w:szCs w:val="72"/>
          <w:highlight w:val="none"/>
          <w:lang w:val="zh-CN" w:eastAsia="zh-CN" w:bidi="zh-CN"/>
        </w:rPr>
      </w:pPr>
      <w:r>
        <w:rPr>
          <w:rFonts w:hint="eastAsia" w:ascii="华文新魏" w:hAnsi="华文新魏" w:eastAsia="华文新魏" w:cs="华文新魏"/>
          <w:color w:val="000000"/>
          <w:kern w:val="0"/>
          <w:sz w:val="72"/>
          <w:szCs w:val="72"/>
          <w:highlight w:val="none"/>
          <w:lang w:val="zh-CN" w:eastAsia="zh-CN" w:bidi="zh-CN"/>
        </w:rPr>
        <w:t>竞争性磋商文件</w:t>
      </w:r>
    </w:p>
    <w:p w14:paraId="6C3AE25D">
      <w:pPr>
        <w:jc w:val="center"/>
        <w:rPr>
          <w:rFonts w:ascii="宋体" w:hAnsi="宋体"/>
          <w:color w:val="000000"/>
          <w:highlight w:val="none"/>
        </w:rPr>
      </w:pPr>
    </w:p>
    <w:p w14:paraId="05BA3E71">
      <w:pPr>
        <w:jc w:val="center"/>
        <w:rPr>
          <w:rFonts w:ascii="宋体" w:hAnsi="宋体"/>
          <w:color w:val="000000"/>
          <w:highlight w:val="none"/>
        </w:rPr>
      </w:pPr>
    </w:p>
    <w:p w14:paraId="6DB81EAA">
      <w:pPr>
        <w:jc w:val="center"/>
        <w:rPr>
          <w:rFonts w:ascii="宋体" w:hAnsi="宋体"/>
          <w:color w:val="000000"/>
          <w:highlight w:val="none"/>
        </w:rPr>
      </w:pPr>
    </w:p>
    <w:p w14:paraId="3E119D31">
      <w:pPr>
        <w:pStyle w:val="37"/>
        <w:rPr>
          <w:color w:val="000000"/>
          <w:highlight w:val="none"/>
        </w:rPr>
      </w:pPr>
    </w:p>
    <w:p w14:paraId="45B4636B">
      <w:pPr>
        <w:pStyle w:val="37"/>
        <w:rPr>
          <w:color w:val="000000"/>
          <w:highlight w:val="none"/>
        </w:rPr>
      </w:pPr>
    </w:p>
    <w:p w14:paraId="58EB1F63">
      <w:pPr>
        <w:pStyle w:val="37"/>
        <w:rPr>
          <w:color w:val="000000"/>
          <w:highlight w:val="none"/>
        </w:rPr>
      </w:pPr>
    </w:p>
    <w:p w14:paraId="4047879A">
      <w:pPr>
        <w:pStyle w:val="37"/>
        <w:rPr>
          <w:color w:val="000000"/>
          <w:highlight w:val="none"/>
        </w:rPr>
      </w:pPr>
    </w:p>
    <w:p w14:paraId="3AF22A7A">
      <w:pPr>
        <w:pStyle w:val="37"/>
        <w:rPr>
          <w:color w:val="000000"/>
          <w:highlight w:val="none"/>
        </w:rPr>
      </w:pPr>
    </w:p>
    <w:p w14:paraId="455B26B0">
      <w:pPr>
        <w:spacing w:before="240" w:line="700" w:lineRule="exact"/>
        <w:ind w:firstLine="707" w:firstLineChars="220"/>
        <w:jc w:val="left"/>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项目名称：</w:t>
      </w:r>
      <w:r>
        <w:rPr>
          <w:rFonts w:hint="eastAsia" w:ascii="宋体" w:hAnsi="宋体" w:eastAsia="宋体" w:cs="宋体"/>
          <w:b/>
          <w:color w:val="000000"/>
          <w:sz w:val="32"/>
          <w:szCs w:val="32"/>
          <w:highlight w:val="none"/>
          <w:lang w:eastAsia="zh-CN"/>
        </w:rPr>
        <w:t>长洲区泗洲村尚忠片区美丽移民村项目</w:t>
      </w:r>
    </w:p>
    <w:p w14:paraId="0D032969">
      <w:pPr>
        <w:spacing w:before="240" w:line="700" w:lineRule="exact"/>
        <w:ind w:firstLine="707" w:firstLineChars="220"/>
        <w:jc w:val="left"/>
        <w:rPr>
          <w:rFonts w:hint="eastAsia" w:ascii="宋体" w:hAnsi="宋体" w:eastAsia="宋体" w:cs="宋体"/>
          <w:b/>
          <w:color w:val="000000"/>
          <w:sz w:val="32"/>
          <w:szCs w:val="32"/>
          <w:highlight w:val="none"/>
          <w:lang w:eastAsia="zh-CN"/>
        </w:rPr>
      </w:pPr>
      <w:r>
        <w:rPr>
          <w:rFonts w:hint="eastAsia" w:ascii="宋体" w:hAnsi="宋体" w:cs="宋体"/>
          <w:b/>
          <w:color w:val="000000"/>
          <w:sz w:val="32"/>
          <w:szCs w:val="32"/>
          <w:highlight w:val="none"/>
          <w:lang w:eastAsia="zh-CN"/>
        </w:rPr>
        <w:t>项目编号：WZZC2025-C2-050036-WZSF</w:t>
      </w:r>
    </w:p>
    <w:p w14:paraId="6D717B6B">
      <w:pPr>
        <w:ind w:firstLine="707" w:firstLineChars="220"/>
        <w:rPr>
          <w:rFonts w:hint="eastAsia" w:ascii="宋体" w:hAnsi="宋体" w:eastAsia="宋体" w:cs="宋体"/>
          <w:b/>
          <w:color w:val="000000"/>
          <w:sz w:val="32"/>
          <w:szCs w:val="32"/>
          <w:highlight w:val="none"/>
        </w:rPr>
      </w:pPr>
    </w:p>
    <w:p w14:paraId="4EC5B73F">
      <w:pPr>
        <w:ind w:firstLine="707" w:firstLineChars="220"/>
        <w:rPr>
          <w:rFonts w:hint="eastAsia" w:ascii="宋体" w:hAnsi="宋体" w:eastAsia="宋体" w:cs="宋体"/>
          <w:color w:val="000000"/>
          <w:highlight w:val="none"/>
        </w:rPr>
      </w:pPr>
      <w:r>
        <w:rPr>
          <w:rFonts w:hint="eastAsia" w:ascii="宋体" w:hAnsi="宋体" w:eastAsia="宋体" w:cs="宋体"/>
          <w:b/>
          <w:color w:val="000000"/>
          <w:sz w:val="32"/>
          <w:szCs w:val="32"/>
          <w:highlight w:val="none"/>
        </w:rPr>
        <w:t>采购人：</w:t>
      </w:r>
      <w:r>
        <w:rPr>
          <w:rFonts w:hint="eastAsia" w:ascii="宋体" w:hAnsi="宋体" w:eastAsia="宋体" w:cs="宋体"/>
          <w:b/>
          <w:color w:val="000000"/>
          <w:sz w:val="32"/>
          <w:szCs w:val="32"/>
          <w:highlight w:val="none"/>
          <w:lang w:eastAsia="zh-CN"/>
        </w:rPr>
        <w:t>梧州市长洲区发展和改革局</w:t>
      </w:r>
    </w:p>
    <w:p w14:paraId="29278083">
      <w:pPr>
        <w:ind w:firstLine="707" w:firstLineChars="220"/>
        <w:rPr>
          <w:rFonts w:hint="eastAsia" w:ascii="宋体" w:hAnsi="宋体" w:eastAsia="宋体" w:cs="宋体"/>
          <w:b/>
          <w:color w:val="000000"/>
          <w:sz w:val="32"/>
          <w:szCs w:val="32"/>
          <w:highlight w:val="none"/>
        </w:rPr>
      </w:pPr>
    </w:p>
    <w:p w14:paraId="383DDB61">
      <w:pPr>
        <w:ind w:firstLine="643" w:firstLineChars="200"/>
        <w:jc w:val="both"/>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采购代理机构：</w:t>
      </w:r>
      <w:r>
        <w:rPr>
          <w:rFonts w:hint="eastAsia" w:ascii="宋体" w:hAnsi="宋体" w:eastAsia="宋体" w:cs="宋体"/>
          <w:b/>
          <w:color w:val="000000"/>
          <w:sz w:val="32"/>
          <w:szCs w:val="32"/>
          <w:highlight w:val="none"/>
          <w:lang w:eastAsia="zh-CN"/>
        </w:rPr>
        <w:t>梧州市丰胜工程咨询有限公司</w:t>
      </w:r>
    </w:p>
    <w:p w14:paraId="19DFAC7E">
      <w:pPr>
        <w:jc w:val="center"/>
        <w:rPr>
          <w:rFonts w:hint="eastAsia" w:ascii="宋体" w:hAnsi="宋体" w:eastAsia="宋体" w:cs="宋体"/>
          <w:b/>
          <w:color w:val="000000"/>
          <w:sz w:val="32"/>
          <w:szCs w:val="32"/>
          <w:highlight w:val="none"/>
        </w:rPr>
      </w:pPr>
    </w:p>
    <w:p w14:paraId="5A0144EC">
      <w:pPr>
        <w:jc w:val="center"/>
        <w:rPr>
          <w:rFonts w:hint="eastAsia" w:ascii="宋体" w:hAnsi="宋体" w:eastAsia="宋体" w:cs="宋体"/>
          <w:b/>
          <w:color w:val="000000"/>
          <w:sz w:val="32"/>
          <w:szCs w:val="32"/>
          <w:highlight w:val="none"/>
        </w:rPr>
      </w:pPr>
    </w:p>
    <w:p w14:paraId="6D3D67FF">
      <w:pPr>
        <w:jc w:val="center"/>
        <w:rPr>
          <w:rFonts w:hint="eastAsia" w:ascii="宋体" w:hAnsi="宋体" w:eastAsia="宋体" w:cs="宋体"/>
          <w:b/>
          <w:color w:val="000000"/>
          <w:sz w:val="32"/>
          <w:szCs w:val="32"/>
          <w:highlight w:val="none"/>
        </w:rPr>
      </w:pPr>
    </w:p>
    <w:p w14:paraId="11A2D3FA">
      <w:pPr>
        <w:jc w:val="both"/>
        <w:rPr>
          <w:rFonts w:hint="eastAsia" w:ascii="宋体" w:hAnsi="宋体" w:eastAsia="宋体" w:cs="宋体"/>
          <w:b/>
          <w:color w:val="000000"/>
          <w:sz w:val="32"/>
          <w:szCs w:val="32"/>
          <w:highlight w:val="none"/>
        </w:rPr>
      </w:pPr>
    </w:p>
    <w:p w14:paraId="2AD2958D">
      <w:pPr>
        <w:jc w:val="center"/>
        <w:rPr>
          <w:rFonts w:hint="eastAsia" w:ascii="宋体" w:hAnsi="宋体" w:eastAsia="宋体" w:cs="宋体"/>
          <w:b/>
          <w:color w:val="000000"/>
          <w:sz w:val="32"/>
          <w:szCs w:val="32"/>
          <w:highlight w:val="none"/>
        </w:rPr>
      </w:pPr>
    </w:p>
    <w:p w14:paraId="787C840D">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202</w:t>
      </w:r>
      <w:r>
        <w:rPr>
          <w:rFonts w:hint="eastAsia" w:ascii="宋体" w:hAnsi="宋体" w:eastAsia="宋体" w:cs="宋体"/>
          <w:b/>
          <w:color w:val="000000"/>
          <w:sz w:val="32"/>
          <w:szCs w:val="32"/>
          <w:highlight w:val="none"/>
          <w:lang w:val="en-US" w:eastAsia="zh-CN"/>
        </w:rPr>
        <w:t>5</w:t>
      </w:r>
      <w:r>
        <w:rPr>
          <w:rFonts w:hint="eastAsia" w:ascii="宋体" w:hAnsi="宋体" w:eastAsia="宋体" w:cs="宋体"/>
          <w:b/>
          <w:color w:val="000000"/>
          <w:spacing w:val="-8"/>
          <w:sz w:val="32"/>
          <w:szCs w:val="32"/>
          <w:highlight w:val="none"/>
        </w:rPr>
        <w:t>年</w:t>
      </w:r>
      <w:r>
        <w:rPr>
          <w:rFonts w:hint="eastAsia" w:ascii="宋体" w:hAnsi="宋体" w:cs="宋体"/>
          <w:b/>
          <w:color w:val="000000"/>
          <w:spacing w:val="-8"/>
          <w:sz w:val="32"/>
          <w:szCs w:val="32"/>
          <w:highlight w:val="none"/>
          <w:lang w:val="en-US" w:eastAsia="zh-CN"/>
        </w:rPr>
        <w:t>11</w:t>
      </w:r>
      <w:r>
        <w:rPr>
          <w:rFonts w:hint="eastAsia" w:ascii="宋体" w:hAnsi="宋体" w:eastAsia="宋体" w:cs="宋体"/>
          <w:b/>
          <w:color w:val="000000"/>
          <w:spacing w:val="-8"/>
          <w:sz w:val="32"/>
          <w:szCs w:val="32"/>
          <w:highlight w:val="none"/>
          <w:lang w:val="en-US" w:eastAsia="zh-CN"/>
        </w:rPr>
        <w:t>月</w:t>
      </w:r>
    </w:p>
    <w:p w14:paraId="736550B4">
      <w:pPr>
        <w:pStyle w:val="44"/>
        <w:rPr>
          <w:rFonts w:hint="eastAsia" w:ascii="宋体" w:hAnsi="宋体" w:eastAsia="宋体" w:cs="宋体"/>
          <w:color w:val="000000"/>
          <w:highlight w:val="none"/>
        </w:rPr>
      </w:pPr>
    </w:p>
    <w:p w14:paraId="06EF6BEA">
      <w:pPr>
        <w:pStyle w:val="44"/>
        <w:spacing w:line="140" w:lineRule="exact"/>
        <w:rPr>
          <w:rFonts w:hint="eastAsia" w:ascii="宋体" w:hAnsi="宋体" w:eastAsia="宋体" w:cs="宋体"/>
          <w:color w:val="000000"/>
          <w:highlight w:val="none"/>
        </w:rPr>
        <w:sectPr>
          <w:headerReference r:id="rId4" w:type="first"/>
          <w:headerReference r:id="rId3" w:type="default"/>
          <w:pgSz w:w="11905" w:h="16838"/>
          <w:pgMar w:top="1440" w:right="1077" w:bottom="1440" w:left="1417" w:header="850" w:footer="850" w:gutter="0"/>
          <w:pgNumType w:fmt="decimal"/>
          <w:cols w:space="720" w:num="1"/>
          <w:titlePg/>
          <w:docGrid w:linePitch="331" w:charSpace="0"/>
        </w:sectPr>
      </w:pPr>
    </w:p>
    <w:p w14:paraId="3B384CE6">
      <w:pPr>
        <w:tabs>
          <w:tab w:val="left" w:pos="3675"/>
        </w:tabs>
        <w:spacing w:line="640" w:lineRule="exact"/>
        <w:rPr>
          <w:rFonts w:ascii="宋体" w:hAnsi="宋体"/>
          <w:color w:val="000000"/>
          <w:sz w:val="44"/>
          <w:szCs w:val="44"/>
          <w:highlight w:val="none"/>
        </w:rPr>
      </w:pPr>
      <w:r>
        <w:rPr>
          <w:rFonts w:ascii="宋体" w:hAnsi="宋体"/>
          <w:color w:val="000000"/>
          <w:sz w:val="44"/>
          <w:szCs w:val="44"/>
          <w:highlight w:val="none"/>
        </w:rPr>
        <w:tab/>
      </w:r>
    </w:p>
    <w:p w14:paraId="52A1D6F6">
      <w:pPr>
        <w:pStyle w:val="122"/>
        <w:jc w:val="center"/>
        <w:rPr>
          <w:rFonts w:ascii="宋体" w:hAnsi="宋体"/>
          <w:color w:val="000000"/>
          <w:sz w:val="44"/>
          <w:highlight w:val="none"/>
          <w:lang w:val="zh-CN"/>
        </w:rPr>
      </w:pPr>
      <w:r>
        <w:rPr>
          <w:rFonts w:ascii="宋体" w:hAnsi="宋体"/>
          <w:color w:val="000000"/>
          <w:sz w:val="44"/>
          <w:highlight w:val="none"/>
          <w:lang w:val="zh-CN"/>
        </w:rPr>
        <w:t>目录</w:t>
      </w:r>
    </w:p>
    <w:p w14:paraId="7A8857FA">
      <w:pPr>
        <w:pStyle w:val="55"/>
        <w:tabs>
          <w:tab w:val="clear" w:pos="8820"/>
        </w:tabs>
        <w:spacing w:line="800" w:lineRule="exact"/>
        <w:ind w:left="0"/>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TOC \o "1-3" \h \z \u </w:instrText>
      </w:r>
      <w:r>
        <w:rPr>
          <w:color w:val="000000"/>
          <w:sz w:val="32"/>
          <w:szCs w:val="32"/>
          <w:highlight w:val="none"/>
        </w:rPr>
        <w:fldChar w:fldCharType="separate"/>
      </w:r>
      <w:r>
        <w:rPr>
          <w:color w:val="000000"/>
          <w:sz w:val="32"/>
          <w:szCs w:val="32"/>
          <w:highlight w:val="none"/>
        </w:rPr>
        <w:fldChar w:fldCharType="begin"/>
      </w:r>
      <w:r>
        <w:rPr>
          <w:color w:val="000000"/>
          <w:sz w:val="32"/>
          <w:szCs w:val="32"/>
          <w:highlight w:val="none"/>
        </w:rPr>
        <w:instrText xml:space="preserve"> HYPERLINK \l _Toc29233 </w:instrText>
      </w:r>
      <w:r>
        <w:rPr>
          <w:color w:val="000000"/>
          <w:sz w:val="32"/>
          <w:szCs w:val="32"/>
          <w:highlight w:val="none"/>
        </w:rPr>
        <w:fldChar w:fldCharType="separate"/>
      </w:r>
      <w:r>
        <w:rPr>
          <w:color w:val="000000"/>
          <w:sz w:val="32"/>
          <w:szCs w:val="32"/>
          <w:highlight w:val="none"/>
        </w:rPr>
        <w:t>第一章   竞争性磋商公告</w:t>
      </w:r>
      <w:bookmarkStart w:id="0" w:name="_Hlt178350073"/>
      <w:bookmarkStart w:id="1" w:name="_Hlt178350072"/>
      <w:r>
        <w:rPr>
          <w:color w:val="000000"/>
          <w:sz w:val="32"/>
          <w:szCs w:val="32"/>
          <w:highlight w:val="none"/>
        </w:rPr>
        <w:tab/>
      </w:r>
      <w:bookmarkEnd w:id="0"/>
      <w:bookmarkEnd w:id="1"/>
      <w:r>
        <w:rPr>
          <w:color w:val="000000"/>
          <w:sz w:val="32"/>
          <w:szCs w:val="32"/>
          <w:highlight w:val="none"/>
        </w:rPr>
        <w:fldChar w:fldCharType="begin"/>
      </w:r>
      <w:r>
        <w:rPr>
          <w:color w:val="000000"/>
          <w:sz w:val="32"/>
          <w:szCs w:val="32"/>
          <w:highlight w:val="none"/>
        </w:rPr>
        <w:instrText xml:space="preserve"> PAGEREF _Toc29233 \h </w:instrText>
      </w:r>
      <w:r>
        <w:rPr>
          <w:color w:val="000000"/>
          <w:sz w:val="32"/>
          <w:szCs w:val="32"/>
          <w:highlight w:val="none"/>
        </w:rPr>
        <w:fldChar w:fldCharType="separate"/>
      </w:r>
      <w:r>
        <w:rPr>
          <w:color w:val="000000"/>
          <w:sz w:val="32"/>
          <w:szCs w:val="32"/>
          <w:highlight w:val="none"/>
        </w:rPr>
        <w:t>1</w:t>
      </w:r>
      <w:r>
        <w:rPr>
          <w:color w:val="000000"/>
          <w:sz w:val="32"/>
          <w:szCs w:val="32"/>
          <w:highlight w:val="none"/>
        </w:rPr>
        <w:fldChar w:fldCharType="end"/>
      </w:r>
      <w:r>
        <w:rPr>
          <w:color w:val="000000"/>
          <w:sz w:val="32"/>
          <w:szCs w:val="32"/>
          <w:highlight w:val="none"/>
        </w:rPr>
        <w:fldChar w:fldCharType="end"/>
      </w:r>
    </w:p>
    <w:p w14:paraId="7694EA8D">
      <w:pPr>
        <w:pStyle w:val="55"/>
        <w:tabs>
          <w:tab w:val="clear" w:pos="8820"/>
        </w:tabs>
        <w:spacing w:line="800" w:lineRule="exact"/>
        <w:ind w:left="0"/>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_Toc24189 </w:instrText>
      </w:r>
      <w:r>
        <w:rPr>
          <w:color w:val="000000"/>
          <w:sz w:val="32"/>
          <w:szCs w:val="32"/>
          <w:highlight w:val="none"/>
        </w:rPr>
        <w:fldChar w:fldCharType="separate"/>
      </w:r>
      <w:r>
        <w:rPr>
          <w:rFonts w:hint="eastAsia"/>
          <w:color w:val="000000"/>
          <w:sz w:val="32"/>
          <w:szCs w:val="32"/>
          <w:highlight w:val="none"/>
        </w:rPr>
        <w:t>第二章   供应商须知及前附表</w:t>
      </w:r>
      <w:r>
        <w:rPr>
          <w:color w:val="000000"/>
          <w:sz w:val="32"/>
          <w:szCs w:val="32"/>
          <w:highlight w:val="none"/>
        </w:rPr>
        <w:tab/>
      </w:r>
      <w:r>
        <w:rPr>
          <w:rFonts w:hint="eastAsia"/>
          <w:color w:val="000000"/>
          <w:sz w:val="32"/>
          <w:szCs w:val="32"/>
          <w:highlight w:val="none"/>
          <w:lang w:val="en-US" w:eastAsia="zh-CN"/>
        </w:rPr>
        <w:t>4</w:t>
      </w:r>
      <w:r>
        <w:rPr>
          <w:color w:val="000000"/>
          <w:sz w:val="32"/>
          <w:szCs w:val="32"/>
          <w:highlight w:val="none"/>
        </w:rPr>
        <w:fldChar w:fldCharType="end"/>
      </w:r>
    </w:p>
    <w:p w14:paraId="3F175CF8">
      <w:pPr>
        <w:pStyle w:val="55"/>
        <w:tabs>
          <w:tab w:val="clear" w:pos="8820"/>
        </w:tabs>
        <w:spacing w:line="800" w:lineRule="exact"/>
        <w:ind w:left="0"/>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_Toc4579 </w:instrText>
      </w:r>
      <w:r>
        <w:rPr>
          <w:color w:val="000000"/>
          <w:sz w:val="32"/>
          <w:szCs w:val="32"/>
          <w:highlight w:val="none"/>
        </w:rPr>
        <w:fldChar w:fldCharType="separate"/>
      </w:r>
      <w:r>
        <w:rPr>
          <w:rFonts w:hint="eastAsia"/>
          <w:color w:val="000000"/>
          <w:sz w:val="32"/>
          <w:szCs w:val="32"/>
          <w:highlight w:val="none"/>
        </w:rPr>
        <w:t>第三章   采购内容及要求</w:t>
      </w:r>
      <w:r>
        <w:rPr>
          <w:color w:val="000000"/>
          <w:sz w:val="32"/>
          <w:szCs w:val="32"/>
          <w:highlight w:val="none"/>
        </w:rPr>
        <w:tab/>
      </w:r>
      <w:r>
        <w:rPr>
          <w:color w:val="000000"/>
          <w:sz w:val="32"/>
          <w:szCs w:val="32"/>
          <w:highlight w:val="none"/>
        </w:rPr>
        <w:fldChar w:fldCharType="begin"/>
      </w:r>
      <w:r>
        <w:rPr>
          <w:color w:val="000000"/>
          <w:sz w:val="32"/>
          <w:szCs w:val="32"/>
          <w:highlight w:val="none"/>
        </w:rPr>
        <w:instrText xml:space="preserve"> PAGEREF _Toc4579 \h </w:instrText>
      </w:r>
      <w:r>
        <w:rPr>
          <w:color w:val="000000"/>
          <w:sz w:val="32"/>
          <w:szCs w:val="32"/>
          <w:highlight w:val="none"/>
        </w:rPr>
        <w:fldChar w:fldCharType="separate"/>
      </w:r>
      <w:r>
        <w:rPr>
          <w:color w:val="000000"/>
          <w:sz w:val="32"/>
          <w:szCs w:val="32"/>
          <w:highlight w:val="none"/>
        </w:rPr>
        <w:t>25</w:t>
      </w:r>
      <w:r>
        <w:rPr>
          <w:color w:val="000000"/>
          <w:sz w:val="32"/>
          <w:szCs w:val="32"/>
          <w:highlight w:val="none"/>
        </w:rPr>
        <w:fldChar w:fldCharType="end"/>
      </w:r>
      <w:r>
        <w:rPr>
          <w:color w:val="000000"/>
          <w:sz w:val="32"/>
          <w:szCs w:val="32"/>
          <w:highlight w:val="none"/>
        </w:rPr>
        <w:fldChar w:fldCharType="end"/>
      </w:r>
    </w:p>
    <w:p w14:paraId="2F1E9F75">
      <w:pPr>
        <w:pStyle w:val="55"/>
        <w:tabs>
          <w:tab w:val="clear" w:pos="8820"/>
        </w:tabs>
        <w:spacing w:line="800" w:lineRule="exact"/>
        <w:ind w:left="0"/>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_Toc31480 </w:instrText>
      </w:r>
      <w:r>
        <w:rPr>
          <w:color w:val="000000"/>
          <w:sz w:val="32"/>
          <w:szCs w:val="32"/>
          <w:highlight w:val="none"/>
        </w:rPr>
        <w:fldChar w:fldCharType="separate"/>
      </w:r>
      <w:r>
        <w:rPr>
          <w:rFonts w:hint="eastAsia"/>
          <w:color w:val="000000"/>
          <w:sz w:val="32"/>
          <w:szCs w:val="32"/>
          <w:highlight w:val="none"/>
        </w:rPr>
        <w:t>第四章   施工承包合同协议书（格式）</w:t>
      </w:r>
      <w:r>
        <w:rPr>
          <w:color w:val="000000"/>
          <w:sz w:val="32"/>
          <w:szCs w:val="32"/>
          <w:highlight w:val="none"/>
        </w:rPr>
        <w:tab/>
      </w:r>
      <w:r>
        <w:rPr>
          <w:color w:val="000000"/>
          <w:sz w:val="32"/>
          <w:szCs w:val="32"/>
          <w:highlight w:val="none"/>
        </w:rPr>
        <w:fldChar w:fldCharType="begin"/>
      </w:r>
      <w:r>
        <w:rPr>
          <w:color w:val="000000"/>
          <w:sz w:val="32"/>
          <w:szCs w:val="32"/>
          <w:highlight w:val="none"/>
        </w:rPr>
        <w:instrText xml:space="preserve"> PAGEREF _Toc31480 \h </w:instrText>
      </w:r>
      <w:r>
        <w:rPr>
          <w:color w:val="000000"/>
          <w:sz w:val="32"/>
          <w:szCs w:val="32"/>
          <w:highlight w:val="none"/>
        </w:rPr>
        <w:fldChar w:fldCharType="separate"/>
      </w:r>
      <w:r>
        <w:rPr>
          <w:color w:val="000000"/>
          <w:sz w:val="32"/>
          <w:szCs w:val="32"/>
          <w:highlight w:val="none"/>
        </w:rPr>
        <w:t>28</w:t>
      </w:r>
      <w:r>
        <w:rPr>
          <w:color w:val="000000"/>
          <w:sz w:val="32"/>
          <w:szCs w:val="32"/>
          <w:highlight w:val="none"/>
        </w:rPr>
        <w:fldChar w:fldCharType="end"/>
      </w:r>
      <w:r>
        <w:rPr>
          <w:color w:val="000000"/>
          <w:sz w:val="32"/>
          <w:szCs w:val="32"/>
          <w:highlight w:val="none"/>
        </w:rPr>
        <w:fldChar w:fldCharType="end"/>
      </w:r>
    </w:p>
    <w:p w14:paraId="0A6FEBDF">
      <w:pPr>
        <w:pStyle w:val="55"/>
        <w:tabs>
          <w:tab w:val="clear" w:pos="8820"/>
        </w:tabs>
        <w:spacing w:line="800" w:lineRule="exact"/>
        <w:ind w:left="0"/>
        <w:rPr>
          <w:rFonts w:hint="eastAsia" w:eastAsia="宋体"/>
          <w:color w:val="000000"/>
          <w:sz w:val="32"/>
          <w:szCs w:val="32"/>
          <w:highlight w:val="none"/>
          <w:lang w:val="en-US" w:eastAsia="zh-CN"/>
        </w:rPr>
      </w:pPr>
      <w:r>
        <w:rPr>
          <w:color w:val="000000"/>
          <w:sz w:val="32"/>
          <w:szCs w:val="32"/>
          <w:highlight w:val="none"/>
        </w:rPr>
        <w:fldChar w:fldCharType="begin"/>
      </w:r>
      <w:r>
        <w:rPr>
          <w:color w:val="000000"/>
          <w:sz w:val="32"/>
          <w:szCs w:val="32"/>
          <w:highlight w:val="none"/>
        </w:rPr>
        <w:instrText xml:space="preserve"> HYPERLINK \l _Toc16858 </w:instrText>
      </w:r>
      <w:r>
        <w:rPr>
          <w:color w:val="000000"/>
          <w:sz w:val="32"/>
          <w:szCs w:val="32"/>
          <w:highlight w:val="none"/>
        </w:rPr>
        <w:fldChar w:fldCharType="separate"/>
      </w:r>
      <w:r>
        <w:rPr>
          <w:rFonts w:hint="eastAsia"/>
          <w:color w:val="000000"/>
          <w:sz w:val="32"/>
          <w:szCs w:val="32"/>
          <w:highlight w:val="none"/>
        </w:rPr>
        <w:t>第五章   评标办法</w:t>
      </w:r>
      <w:r>
        <w:rPr>
          <w:color w:val="000000"/>
          <w:sz w:val="32"/>
          <w:szCs w:val="32"/>
          <w:highlight w:val="none"/>
        </w:rPr>
        <w:tab/>
      </w:r>
      <w:r>
        <w:rPr>
          <w:rFonts w:hint="eastAsia"/>
          <w:color w:val="000000"/>
          <w:sz w:val="32"/>
          <w:szCs w:val="32"/>
          <w:highlight w:val="none"/>
          <w:lang w:val="en-US" w:eastAsia="zh-CN"/>
        </w:rPr>
        <w:t>6</w:t>
      </w:r>
      <w:r>
        <w:rPr>
          <w:color w:val="000000"/>
          <w:sz w:val="32"/>
          <w:szCs w:val="32"/>
          <w:highlight w:val="none"/>
        </w:rPr>
        <w:fldChar w:fldCharType="end"/>
      </w:r>
      <w:r>
        <w:rPr>
          <w:rFonts w:hint="eastAsia"/>
          <w:color w:val="000000"/>
          <w:sz w:val="32"/>
          <w:szCs w:val="32"/>
          <w:highlight w:val="none"/>
          <w:lang w:val="en-US" w:eastAsia="zh-CN"/>
        </w:rPr>
        <w:t>1</w:t>
      </w:r>
    </w:p>
    <w:p w14:paraId="5B14E6D2">
      <w:pPr>
        <w:pStyle w:val="55"/>
        <w:tabs>
          <w:tab w:val="clear" w:pos="8820"/>
        </w:tabs>
        <w:spacing w:line="800" w:lineRule="exact"/>
        <w:ind w:left="0"/>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_Toc16707 </w:instrText>
      </w:r>
      <w:r>
        <w:rPr>
          <w:color w:val="000000"/>
          <w:sz w:val="32"/>
          <w:szCs w:val="32"/>
          <w:highlight w:val="none"/>
        </w:rPr>
        <w:fldChar w:fldCharType="separate"/>
      </w:r>
      <w:r>
        <w:rPr>
          <w:rFonts w:hint="eastAsia"/>
          <w:color w:val="000000"/>
          <w:sz w:val="32"/>
          <w:szCs w:val="32"/>
          <w:highlight w:val="none"/>
        </w:rPr>
        <w:t>第六章   响应文件（格式）</w:t>
      </w:r>
      <w:r>
        <w:rPr>
          <w:color w:val="000000"/>
          <w:sz w:val="32"/>
          <w:szCs w:val="32"/>
          <w:highlight w:val="none"/>
        </w:rPr>
        <w:tab/>
      </w:r>
      <w:r>
        <w:rPr>
          <w:color w:val="000000"/>
          <w:sz w:val="32"/>
          <w:szCs w:val="32"/>
          <w:highlight w:val="none"/>
        </w:rPr>
        <w:fldChar w:fldCharType="begin"/>
      </w:r>
      <w:r>
        <w:rPr>
          <w:color w:val="000000"/>
          <w:sz w:val="32"/>
          <w:szCs w:val="32"/>
          <w:highlight w:val="none"/>
        </w:rPr>
        <w:instrText xml:space="preserve"> PAGEREF _Toc16707 \h </w:instrText>
      </w:r>
      <w:r>
        <w:rPr>
          <w:color w:val="000000"/>
          <w:sz w:val="32"/>
          <w:szCs w:val="32"/>
          <w:highlight w:val="none"/>
        </w:rPr>
        <w:fldChar w:fldCharType="separate"/>
      </w:r>
      <w:r>
        <w:rPr>
          <w:color w:val="000000"/>
          <w:sz w:val="32"/>
          <w:szCs w:val="32"/>
          <w:highlight w:val="none"/>
        </w:rPr>
        <w:t>67</w:t>
      </w:r>
      <w:r>
        <w:rPr>
          <w:color w:val="000000"/>
          <w:sz w:val="32"/>
          <w:szCs w:val="32"/>
          <w:highlight w:val="none"/>
        </w:rPr>
        <w:fldChar w:fldCharType="end"/>
      </w:r>
      <w:r>
        <w:rPr>
          <w:color w:val="000000"/>
          <w:sz w:val="32"/>
          <w:szCs w:val="32"/>
          <w:highlight w:val="none"/>
        </w:rPr>
        <w:fldChar w:fldCharType="end"/>
      </w:r>
    </w:p>
    <w:p w14:paraId="2A308908">
      <w:pPr>
        <w:pStyle w:val="55"/>
        <w:tabs>
          <w:tab w:val="clear" w:pos="8820"/>
        </w:tabs>
        <w:spacing w:line="800" w:lineRule="exact"/>
        <w:ind w:left="0"/>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_Toc29263 </w:instrText>
      </w:r>
      <w:r>
        <w:rPr>
          <w:color w:val="000000"/>
          <w:sz w:val="32"/>
          <w:szCs w:val="32"/>
          <w:highlight w:val="none"/>
        </w:rPr>
        <w:fldChar w:fldCharType="separate"/>
      </w:r>
      <w:r>
        <w:rPr>
          <w:rFonts w:hint="eastAsia"/>
          <w:color w:val="000000"/>
          <w:sz w:val="32"/>
          <w:szCs w:val="32"/>
          <w:highlight w:val="none"/>
        </w:rPr>
        <w:t>第七章   附件</w:t>
      </w:r>
      <w:r>
        <w:rPr>
          <w:color w:val="000000"/>
          <w:sz w:val="32"/>
          <w:szCs w:val="32"/>
          <w:highlight w:val="none"/>
        </w:rPr>
        <w:tab/>
      </w:r>
      <w:r>
        <w:rPr>
          <w:color w:val="000000"/>
          <w:sz w:val="32"/>
          <w:szCs w:val="32"/>
          <w:highlight w:val="none"/>
        </w:rPr>
        <w:fldChar w:fldCharType="begin"/>
      </w:r>
      <w:r>
        <w:rPr>
          <w:color w:val="000000"/>
          <w:sz w:val="32"/>
          <w:szCs w:val="32"/>
          <w:highlight w:val="none"/>
        </w:rPr>
        <w:instrText xml:space="preserve"> PAGEREF _Toc29263 \h </w:instrText>
      </w:r>
      <w:r>
        <w:rPr>
          <w:color w:val="000000"/>
          <w:sz w:val="32"/>
          <w:szCs w:val="32"/>
          <w:highlight w:val="none"/>
        </w:rPr>
        <w:fldChar w:fldCharType="separate"/>
      </w:r>
      <w:r>
        <w:rPr>
          <w:color w:val="000000"/>
          <w:sz w:val="32"/>
          <w:szCs w:val="32"/>
          <w:highlight w:val="none"/>
        </w:rPr>
        <w:t>86</w:t>
      </w:r>
      <w:r>
        <w:rPr>
          <w:color w:val="000000"/>
          <w:sz w:val="32"/>
          <w:szCs w:val="32"/>
          <w:highlight w:val="none"/>
        </w:rPr>
        <w:fldChar w:fldCharType="end"/>
      </w:r>
      <w:r>
        <w:rPr>
          <w:color w:val="000000"/>
          <w:sz w:val="32"/>
          <w:szCs w:val="32"/>
          <w:highlight w:val="none"/>
        </w:rPr>
        <w:fldChar w:fldCharType="end"/>
      </w:r>
    </w:p>
    <w:p w14:paraId="59B7E791">
      <w:pPr>
        <w:spacing w:line="800" w:lineRule="exact"/>
        <w:rPr>
          <w:rFonts w:ascii="宋体" w:hAnsi="宋体"/>
          <w:b/>
          <w:bCs/>
          <w:color w:val="000000"/>
          <w:sz w:val="32"/>
          <w:szCs w:val="32"/>
          <w:highlight w:val="none"/>
        </w:rPr>
      </w:pPr>
      <w:r>
        <w:rPr>
          <w:rFonts w:ascii="宋体" w:hAnsi="宋体"/>
          <w:b/>
          <w:bCs/>
          <w:color w:val="000000"/>
          <w:sz w:val="32"/>
          <w:szCs w:val="32"/>
          <w:highlight w:val="none"/>
        </w:rPr>
        <w:fldChar w:fldCharType="end"/>
      </w:r>
    </w:p>
    <w:p w14:paraId="79E62912">
      <w:pPr>
        <w:rPr>
          <w:rFonts w:ascii="宋体" w:hAnsi="宋体"/>
          <w:bCs/>
          <w:color w:val="000000"/>
          <w:sz w:val="44"/>
          <w:highlight w:val="none"/>
        </w:rPr>
        <w:sectPr>
          <w:footerReference r:id="rId7" w:type="first"/>
          <w:headerReference r:id="rId5" w:type="default"/>
          <w:footerReference r:id="rId6" w:type="default"/>
          <w:pgSz w:w="11905" w:h="16838"/>
          <w:pgMar w:top="1440" w:right="1448" w:bottom="1440" w:left="1417" w:header="850" w:footer="850" w:gutter="0"/>
          <w:pgNumType w:fmt="decimal"/>
          <w:cols w:space="720" w:num="1"/>
          <w:titlePg/>
          <w:docGrid w:linePitch="312" w:charSpace="0"/>
        </w:sectPr>
      </w:pPr>
    </w:p>
    <w:p w14:paraId="561229D9">
      <w:pPr>
        <w:pStyle w:val="37"/>
        <w:rPr>
          <w:color w:val="000000"/>
          <w:highlight w:val="none"/>
        </w:rPr>
      </w:pPr>
    </w:p>
    <w:p w14:paraId="2D6718E5">
      <w:pPr>
        <w:pStyle w:val="44"/>
        <w:jc w:val="center"/>
        <w:outlineLvl w:val="0"/>
        <w:rPr>
          <w:rFonts w:hAnsi="宋体"/>
          <w:bCs/>
          <w:color w:val="000000"/>
          <w:sz w:val="44"/>
          <w:highlight w:val="none"/>
        </w:rPr>
      </w:pPr>
      <w:bookmarkStart w:id="2" w:name="_Toc20262"/>
      <w:bookmarkStart w:id="3" w:name="_Toc29233"/>
      <w:r>
        <w:rPr>
          <w:rFonts w:hAnsi="宋体"/>
          <w:bCs/>
          <w:color w:val="000000"/>
          <w:sz w:val="44"/>
          <w:highlight w:val="none"/>
        </w:rPr>
        <w:t>第一章   竞争性磋商公告</w:t>
      </w:r>
      <w:bookmarkEnd w:id="2"/>
      <w:bookmarkEnd w:id="3"/>
    </w:p>
    <w:p w14:paraId="1A11F34F">
      <w:pPr>
        <w:snapToGrid w:val="0"/>
        <w:spacing w:before="120" w:line="340" w:lineRule="exact"/>
        <w:ind w:firstLine="594" w:firstLineChars="200"/>
        <w:jc w:val="center"/>
        <w:rPr>
          <w:rFonts w:hint="eastAsia" w:ascii="宋体" w:hAnsi="宋体"/>
          <w:b/>
          <w:color w:val="000000"/>
          <w:spacing w:val="-2"/>
          <w:sz w:val="30"/>
          <w:szCs w:val="30"/>
          <w:highlight w:val="none"/>
          <w:lang w:eastAsia="zh-CN"/>
        </w:rPr>
      </w:pPr>
      <w:r>
        <w:rPr>
          <w:rFonts w:hint="eastAsia" w:ascii="宋体" w:hAnsi="宋体"/>
          <w:b/>
          <w:color w:val="000000"/>
          <w:spacing w:val="-2"/>
          <w:sz w:val="30"/>
          <w:szCs w:val="30"/>
          <w:highlight w:val="none"/>
          <w:lang w:eastAsia="zh-CN"/>
        </w:rPr>
        <w:t>长洲区泗洲村尚忠片区美丽移民村项目</w:t>
      </w:r>
      <w:r>
        <w:rPr>
          <w:rFonts w:hint="eastAsia" w:ascii="宋体" w:hAnsi="宋体"/>
          <w:b/>
          <w:color w:val="000000"/>
          <w:spacing w:val="-2"/>
          <w:sz w:val="30"/>
          <w:szCs w:val="30"/>
          <w:highlight w:val="none"/>
        </w:rPr>
        <w:t>（WZZC2025-C2-050036-WZSF）</w:t>
      </w:r>
    </w:p>
    <w:p w14:paraId="2281ABFF">
      <w:pPr>
        <w:snapToGrid w:val="0"/>
        <w:spacing w:before="120" w:line="340" w:lineRule="exact"/>
        <w:ind w:firstLine="635" w:firstLineChars="200"/>
        <w:jc w:val="center"/>
        <w:rPr>
          <w:rFonts w:hint="eastAsia" w:ascii="宋体" w:hAnsi="宋体"/>
          <w:b/>
          <w:color w:val="000000"/>
          <w:spacing w:val="-2"/>
          <w:sz w:val="32"/>
          <w:szCs w:val="32"/>
          <w:highlight w:val="none"/>
        </w:rPr>
      </w:pPr>
      <w:r>
        <w:rPr>
          <w:rFonts w:hint="eastAsia" w:ascii="宋体" w:hAnsi="宋体"/>
          <w:b/>
          <w:color w:val="000000"/>
          <w:spacing w:val="-2"/>
          <w:sz w:val="32"/>
          <w:szCs w:val="32"/>
          <w:highlight w:val="none"/>
        </w:rPr>
        <w:t>竞争性磋商公告</w:t>
      </w:r>
    </w:p>
    <w:p w14:paraId="4462A9F8">
      <w:pPr>
        <w:pBdr>
          <w:top w:val="single" w:color="auto" w:sz="4" w:space="1"/>
          <w:left w:val="single" w:color="auto" w:sz="4" w:space="4"/>
          <w:bottom w:val="single" w:color="auto" w:sz="4" w:space="1"/>
          <w:right w:val="single" w:color="auto" w:sz="4" w:space="25"/>
        </w:pBdr>
        <w:spacing w:line="324" w:lineRule="auto"/>
        <w:rPr>
          <w:rFonts w:hint="eastAsia" w:ascii="宋体" w:hAnsi="宋体"/>
          <w:color w:val="000000"/>
          <w:szCs w:val="21"/>
          <w:highlight w:val="none"/>
        </w:rPr>
      </w:pPr>
      <w:r>
        <w:rPr>
          <w:rFonts w:hint="eastAsia" w:ascii="宋体" w:hAnsi="宋体"/>
          <w:color w:val="000000"/>
          <w:szCs w:val="21"/>
          <w:highlight w:val="none"/>
        </w:rPr>
        <w:t>项目概况</w:t>
      </w:r>
    </w:p>
    <w:p w14:paraId="5F3DB8F9">
      <w:pPr>
        <w:pBdr>
          <w:top w:val="single" w:color="auto" w:sz="4" w:space="1"/>
          <w:left w:val="single" w:color="auto" w:sz="4" w:space="4"/>
          <w:bottom w:val="single" w:color="auto" w:sz="4" w:space="1"/>
          <w:right w:val="single" w:color="auto" w:sz="4" w:space="25"/>
        </w:pBdr>
        <w:spacing w:line="324" w:lineRule="auto"/>
        <w:ind w:firstLine="630" w:firstLineChars="300"/>
        <w:rPr>
          <w:rFonts w:hint="eastAsia" w:ascii="宋体" w:hAnsi="宋体"/>
          <w:color w:val="000000"/>
          <w:szCs w:val="21"/>
          <w:highlight w:val="none"/>
          <w:lang w:eastAsia="zh-CN"/>
        </w:rPr>
      </w:pPr>
      <w:r>
        <w:rPr>
          <w:rFonts w:hint="eastAsia" w:ascii="宋体" w:hAnsi="宋体"/>
          <w:color w:val="000000"/>
          <w:szCs w:val="21"/>
          <w:highlight w:val="none"/>
          <w:lang w:eastAsia="zh-CN"/>
        </w:rPr>
        <w:t>长洲区泗洲村尚忠片区美丽移民村项目</w:t>
      </w:r>
      <w:r>
        <w:rPr>
          <w:rFonts w:hint="eastAsia" w:ascii="宋体" w:hAnsi="宋体"/>
          <w:color w:val="000000"/>
          <w:szCs w:val="21"/>
          <w:highlight w:val="none"/>
        </w:rPr>
        <w:t>采购项目的潜在供应商应在“广西政府采购云平台”（https://www.gcy.zfcg.gxzf.gov.cn/）获取采购文件，并于</w:t>
      </w:r>
      <w:r>
        <w:rPr>
          <w:rFonts w:hint="eastAsia" w:ascii="宋体" w:hAnsi="宋体"/>
          <w:color w:val="000000"/>
          <w:szCs w:val="21"/>
          <w:highlight w:val="none"/>
          <w:lang w:eastAsia="zh-CN"/>
        </w:rPr>
        <w:t>2025年 11月 17日09：30</w:t>
      </w:r>
      <w:r>
        <w:rPr>
          <w:rFonts w:hint="eastAsia" w:ascii="宋体" w:hAnsi="宋体"/>
          <w:bCs/>
          <w:color w:val="000000"/>
          <w:szCs w:val="21"/>
          <w:highlight w:val="none"/>
        </w:rPr>
        <w:t>（北京时间）前提交响应文件</w:t>
      </w:r>
      <w:r>
        <w:rPr>
          <w:rFonts w:hint="eastAsia" w:ascii="宋体" w:hAnsi="宋体"/>
          <w:color w:val="000000"/>
          <w:szCs w:val="21"/>
          <w:highlight w:val="none"/>
        </w:rPr>
        <w:t>。</w:t>
      </w:r>
    </w:p>
    <w:p w14:paraId="5E43458A">
      <w:pPr>
        <w:spacing w:line="440" w:lineRule="exact"/>
        <w:rPr>
          <w:rFonts w:hint="eastAsia" w:ascii="宋体" w:hAnsi="宋体"/>
          <w:b/>
          <w:color w:val="000000"/>
          <w:szCs w:val="21"/>
          <w:highlight w:val="none"/>
        </w:rPr>
      </w:pPr>
      <w:bookmarkStart w:id="4" w:name="_Toc28359012"/>
      <w:bookmarkStart w:id="5" w:name="_Toc35393629"/>
      <w:bookmarkStart w:id="6" w:name="_Toc35393798"/>
      <w:bookmarkStart w:id="7" w:name="_Toc28359089"/>
      <w:r>
        <w:rPr>
          <w:rFonts w:hint="eastAsia" w:ascii="宋体" w:hAnsi="宋体"/>
          <w:b/>
          <w:color w:val="000000"/>
          <w:szCs w:val="21"/>
          <w:highlight w:val="none"/>
        </w:rPr>
        <w:t>一、项目基本情况</w:t>
      </w:r>
      <w:bookmarkEnd w:id="4"/>
      <w:bookmarkEnd w:id="5"/>
      <w:bookmarkEnd w:id="6"/>
      <w:bookmarkEnd w:id="7"/>
    </w:p>
    <w:p w14:paraId="4D8A07A0">
      <w:pPr>
        <w:spacing w:line="44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项目编号：WZZC2025-C2-050036-WZSF</w:t>
      </w:r>
    </w:p>
    <w:p w14:paraId="716F958B">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项目名称：</w:t>
      </w:r>
      <w:r>
        <w:rPr>
          <w:rFonts w:hint="eastAsia" w:ascii="宋体" w:hAnsi="宋体"/>
          <w:color w:val="000000"/>
          <w:szCs w:val="21"/>
          <w:highlight w:val="none"/>
          <w:lang w:eastAsia="zh-CN"/>
        </w:rPr>
        <w:t>长洲区泗洲村尚忠片区美丽移民村项目</w:t>
      </w:r>
    </w:p>
    <w:p w14:paraId="1A93644F">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采购方式：竞争性磋商</w:t>
      </w:r>
    </w:p>
    <w:p w14:paraId="63738277">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采购需求：</w:t>
      </w:r>
    </w:p>
    <w:p w14:paraId="48A91C0A">
      <w:pPr>
        <w:pStyle w:val="37"/>
        <w:spacing w:after="0" w:line="440" w:lineRule="exact"/>
        <w:ind w:firstLine="424" w:firstLineChars="202"/>
        <w:rPr>
          <w:rFonts w:hint="eastAsia" w:ascii="宋体" w:hAnsi="宋体"/>
          <w:color w:val="000000"/>
          <w:szCs w:val="21"/>
          <w:highlight w:val="none"/>
        </w:rPr>
      </w:pPr>
      <w:r>
        <w:rPr>
          <w:rFonts w:hint="eastAsia" w:ascii="宋体" w:hAnsi="宋体"/>
          <w:color w:val="000000"/>
          <w:szCs w:val="21"/>
          <w:highlight w:val="none"/>
        </w:rPr>
        <w:t>标项名称：</w:t>
      </w:r>
      <w:r>
        <w:rPr>
          <w:rFonts w:hint="eastAsia" w:ascii="宋体" w:hAnsi="宋体"/>
          <w:color w:val="000000"/>
          <w:szCs w:val="21"/>
          <w:highlight w:val="none"/>
          <w:lang w:eastAsia="zh-CN"/>
        </w:rPr>
        <w:t>长洲区泗洲村尚忠片区美丽移民村项目</w:t>
      </w:r>
    </w:p>
    <w:p w14:paraId="76FE9CBF">
      <w:pPr>
        <w:pStyle w:val="37"/>
        <w:spacing w:after="0" w:line="440" w:lineRule="exact"/>
        <w:ind w:firstLine="424" w:firstLineChars="202"/>
        <w:rPr>
          <w:rFonts w:hint="eastAsia" w:ascii="宋体" w:hAnsi="宋体"/>
          <w:color w:val="000000"/>
          <w:szCs w:val="21"/>
          <w:highlight w:val="none"/>
        </w:rPr>
      </w:pPr>
      <w:r>
        <w:rPr>
          <w:rFonts w:hint="eastAsia" w:ascii="宋体" w:hAnsi="宋体"/>
          <w:color w:val="000000"/>
          <w:szCs w:val="21"/>
          <w:highlight w:val="none"/>
        </w:rPr>
        <w:t>数量：1</w:t>
      </w:r>
    </w:p>
    <w:p w14:paraId="523805EF">
      <w:pPr>
        <w:spacing w:line="44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预算金额（元）：</w:t>
      </w:r>
      <w:r>
        <w:rPr>
          <w:rFonts w:hint="eastAsia" w:ascii="宋体" w:hAnsi="宋体"/>
          <w:color w:val="000000"/>
          <w:szCs w:val="21"/>
          <w:highlight w:val="none"/>
          <w:lang w:eastAsia="zh-CN"/>
        </w:rPr>
        <w:t>1657812.24元</w:t>
      </w:r>
    </w:p>
    <w:p w14:paraId="5CE16293">
      <w:pPr>
        <w:pStyle w:val="37"/>
        <w:spacing w:after="0" w:line="440" w:lineRule="exact"/>
        <w:ind w:firstLine="424" w:firstLineChars="202"/>
        <w:rPr>
          <w:rFonts w:hint="eastAsia" w:ascii="宋体" w:hAnsi="宋体"/>
          <w:color w:val="000000"/>
          <w:szCs w:val="21"/>
          <w:highlight w:val="none"/>
        </w:rPr>
      </w:pPr>
      <w:r>
        <w:rPr>
          <w:rFonts w:hint="eastAsia" w:ascii="宋体" w:hAnsi="宋体"/>
          <w:color w:val="000000"/>
          <w:szCs w:val="21"/>
          <w:highlight w:val="none"/>
        </w:rPr>
        <w:t>简要规格描述或项目基本概况介绍、用途：</w:t>
      </w:r>
      <w:r>
        <w:rPr>
          <w:rFonts w:hint="eastAsia" w:ascii="宋体" w:hAnsi="宋体"/>
          <w:color w:val="000000"/>
          <w:szCs w:val="21"/>
          <w:highlight w:val="none"/>
          <w:lang w:eastAsia="zh-CN"/>
        </w:rPr>
        <w:t>1、道路工程：巷道硬化约1452.8m²。 2、排水排污工程：散排水沟约210.4m。 3、环境整治：仿竹栅栏665m、垃圾收集站1处、围墙修缮259.01m。 4、其他：挡土墙168.99m、竣工牌1块。</w:t>
      </w:r>
      <w:r>
        <w:rPr>
          <w:rFonts w:hint="eastAsia" w:ascii="宋体" w:hAnsi="宋体"/>
          <w:color w:val="000000"/>
          <w:szCs w:val="21"/>
          <w:highlight w:val="none"/>
        </w:rPr>
        <w:t>（具体按施工图纸、工程量清单、采购文件及相关补充通知的全部内容）</w:t>
      </w:r>
    </w:p>
    <w:p w14:paraId="05462970">
      <w:pPr>
        <w:pStyle w:val="37"/>
        <w:spacing w:after="0" w:line="440" w:lineRule="exact"/>
        <w:ind w:firstLine="424" w:firstLineChars="202"/>
        <w:rPr>
          <w:rFonts w:hint="eastAsia" w:ascii="宋体" w:hAnsi="宋体"/>
          <w:color w:val="000000"/>
          <w:szCs w:val="21"/>
          <w:highlight w:val="none"/>
        </w:rPr>
      </w:pPr>
      <w:r>
        <w:rPr>
          <w:rFonts w:hint="eastAsia" w:ascii="宋体" w:hAnsi="宋体"/>
          <w:color w:val="000000"/>
          <w:szCs w:val="21"/>
          <w:highlight w:val="none"/>
        </w:rPr>
        <w:t>最高限价（如有）：</w:t>
      </w:r>
      <w:r>
        <w:rPr>
          <w:rFonts w:hint="eastAsia" w:ascii="宋体" w:hAnsi="宋体"/>
          <w:color w:val="000000"/>
          <w:szCs w:val="21"/>
          <w:highlight w:val="none"/>
          <w:lang w:val="en-US" w:eastAsia="zh-CN"/>
        </w:rPr>
        <w:t>/</w:t>
      </w:r>
    </w:p>
    <w:p w14:paraId="34B2CB46">
      <w:pPr>
        <w:pStyle w:val="35"/>
        <w:ind w:firstLine="420" w:firstLineChars="200"/>
        <w:rPr>
          <w:rFonts w:hint="eastAsia" w:ascii="宋体" w:hAnsi="宋体"/>
          <w:color w:val="000000"/>
          <w:szCs w:val="21"/>
          <w:highlight w:val="none"/>
        </w:rPr>
      </w:pPr>
      <w:r>
        <w:rPr>
          <w:rFonts w:hint="eastAsia" w:ascii="宋体" w:hAnsi="宋体"/>
          <w:color w:val="000000"/>
          <w:szCs w:val="21"/>
          <w:highlight w:val="none"/>
        </w:rPr>
        <w:t>合同履行期限：</w:t>
      </w:r>
      <w:r>
        <w:rPr>
          <w:rFonts w:hint="eastAsia"/>
          <w:color w:val="000000"/>
          <w:highlight w:val="none"/>
          <w:lang w:val="en-US" w:eastAsia="zh-CN"/>
        </w:rPr>
        <w:t>180</w:t>
      </w:r>
      <w:r>
        <w:rPr>
          <w:rFonts w:hint="eastAsia" w:ascii="宋体" w:hAnsi="宋体"/>
          <w:color w:val="000000"/>
          <w:szCs w:val="21"/>
          <w:highlight w:val="none"/>
        </w:rPr>
        <w:t>日历天</w:t>
      </w:r>
    </w:p>
    <w:p w14:paraId="23831DF8">
      <w:pPr>
        <w:spacing w:line="440" w:lineRule="exact"/>
        <w:ind w:firstLine="424" w:firstLineChars="202"/>
        <w:rPr>
          <w:rFonts w:hint="eastAsia" w:ascii="宋体" w:hAnsi="宋体"/>
          <w:color w:val="000000"/>
          <w:szCs w:val="21"/>
          <w:highlight w:val="none"/>
        </w:rPr>
      </w:pPr>
      <w:r>
        <w:rPr>
          <w:rFonts w:hint="eastAsia" w:ascii="宋体" w:hAnsi="宋体"/>
          <w:color w:val="000000"/>
          <w:szCs w:val="21"/>
          <w:highlight w:val="none"/>
        </w:rPr>
        <w:t>本标项（否）接受联合体磋商</w:t>
      </w:r>
    </w:p>
    <w:p w14:paraId="53935C7B">
      <w:pPr>
        <w:pStyle w:val="67"/>
        <w:spacing w:before="0" w:beforeAutospacing="0" w:after="0" w:afterAutospacing="0" w:line="440" w:lineRule="exact"/>
        <w:ind w:firstLine="424" w:firstLineChars="202"/>
        <w:rPr>
          <w:color w:val="000000"/>
          <w:sz w:val="21"/>
          <w:szCs w:val="21"/>
          <w:highlight w:val="none"/>
        </w:rPr>
      </w:pPr>
      <w:r>
        <w:rPr>
          <w:color w:val="000000"/>
          <w:sz w:val="21"/>
          <w:szCs w:val="21"/>
          <w:highlight w:val="none"/>
        </w:rPr>
        <w:t>备注：</w:t>
      </w:r>
      <w:r>
        <w:rPr>
          <w:rStyle w:val="83"/>
          <w:rFonts w:hint="eastAsia"/>
          <w:color w:val="000000"/>
          <w:sz w:val="21"/>
          <w:szCs w:val="21"/>
          <w:highlight w:val="none"/>
        </w:rPr>
        <w:t>本项目为线上电子采购项目，有意向参与本项目的供应商应当做好参与全流程电子招投标交易的充分准备。同时，本项目属于专门面向小微企业采购的项目，监狱企业、残疾人福利单位视同小型、微型企业。</w:t>
      </w:r>
    </w:p>
    <w:p w14:paraId="554AFE5F">
      <w:pPr>
        <w:pStyle w:val="67"/>
        <w:spacing w:before="0" w:beforeAutospacing="0" w:after="0" w:afterAutospacing="0" w:line="440" w:lineRule="exact"/>
        <w:rPr>
          <w:rFonts w:hint="eastAsia"/>
          <w:b/>
          <w:color w:val="000000"/>
          <w:sz w:val="21"/>
          <w:szCs w:val="21"/>
          <w:highlight w:val="none"/>
        </w:rPr>
      </w:pPr>
      <w:r>
        <w:rPr>
          <w:rFonts w:hint="eastAsia"/>
          <w:b/>
          <w:color w:val="000000"/>
          <w:sz w:val="21"/>
          <w:szCs w:val="21"/>
          <w:highlight w:val="none"/>
        </w:rPr>
        <w:t>二、申请人的资格要求</w:t>
      </w:r>
    </w:p>
    <w:p w14:paraId="59143EC5">
      <w:pPr>
        <w:spacing w:line="4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1.满足《中华人民共和国政府采购法》第二十二条规定；</w:t>
      </w:r>
    </w:p>
    <w:p w14:paraId="1B60E1DF">
      <w:pPr>
        <w:spacing w:line="4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2.落实政府采购政策需满足的资格要求：分标1：供应商为小微企业；</w:t>
      </w:r>
    </w:p>
    <w:p w14:paraId="4AF64894">
      <w:pPr>
        <w:spacing w:line="4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3.本项目的特定资格要求：</w:t>
      </w:r>
    </w:p>
    <w:p w14:paraId="17AAEF90">
      <w:pPr>
        <w:spacing w:line="4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①具备市政公用工程施工总承包叁级以上（含叁级）资质，并在人员、设备、资金等方面具有相应的施工能力。</w:t>
      </w:r>
    </w:p>
    <w:p w14:paraId="3C410069">
      <w:pPr>
        <w:spacing w:line="4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②拟投入本项目的项目经理必须具有市政公用工程专业贰级以上（含贰级）注册建造师执业资格，具备有效的安全生产考核合格证书（B类）。</w:t>
      </w:r>
    </w:p>
    <w:p w14:paraId="4CAF42EA">
      <w:pPr>
        <w:spacing w:line="4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 xml:space="preserve">③拟投入施工项目专职安全生产管理人员需具备有效的安全生产考核合格证书（C类），人数符合住房和城乡建设部《建筑施工企业安全生产管理机构设置及专职安全生产管理人员配备办法》（建质〔2008〕91号）的规定不少于1人。 </w:t>
      </w:r>
    </w:p>
    <w:p w14:paraId="00DC2912">
      <w:pPr>
        <w:spacing w:line="440" w:lineRule="exact"/>
        <w:rPr>
          <w:rFonts w:hint="eastAsia" w:ascii="宋体" w:hAnsi="宋体"/>
          <w:b/>
          <w:color w:val="000000"/>
          <w:szCs w:val="21"/>
          <w:highlight w:val="none"/>
        </w:rPr>
      </w:pPr>
      <w:r>
        <w:rPr>
          <w:rFonts w:hint="eastAsia" w:ascii="宋体" w:hAnsi="宋体"/>
          <w:b/>
          <w:color w:val="000000"/>
          <w:szCs w:val="21"/>
          <w:highlight w:val="none"/>
        </w:rPr>
        <w:t>三、获取采购文件</w:t>
      </w:r>
    </w:p>
    <w:p w14:paraId="7B830BF5">
      <w:pPr>
        <w:spacing w:line="44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时间：202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 11</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05</w:t>
      </w:r>
      <w:r>
        <w:rPr>
          <w:rFonts w:hint="eastAsia" w:ascii="宋体" w:hAnsi="宋体"/>
          <w:color w:val="000000"/>
          <w:szCs w:val="21"/>
          <w:highlight w:val="none"/>
        </w:rPr>
        <w:t>日至202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11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12</w:t>
      </w:r>
      <w:r>
        <w:rPr>
          <w:rFonts w:hint="eastAsia" w:ascii="宋体" w:hAnsi="宋体"/>
          <w:color w:val="000000"/>
          <w:szCs w:val="21"/>
          <w:highlight w:val="none"/>
          <w:lang w:eastAsia="zh-CN"/>
        </w:rPr>
        <w:t>日</w:t>
      </w:r>
      <w:r>
        <w:rPr>
          <w:rFonts w:hint="eastAsia" w:ascii="宋体" w:hAnsi="宋体"/>
          <w:color w:val="000000"/>
          <w:szCs w:val="21"/>
          <w:highlight w:val="none"/>
        </w:rPr>
        <w:t>，每天上午</w:t>
      </w:r>
      <w:r>
        <w:rPr>
          <w:rStyle w:val="94"/>
          <w:rFonts w:hint="eastAsia" w:ascii="宋体" w:hAnsi="宋体"/>
          <w:color w:val="000000"/>
          <w:szCs w:val="21"/>
          <w:highlight w:val="none"/>
        </w:rPr>
        <w:t>00:00至12:00</w:t>
      </w:r>
      <w:r>
        <w:rPr>
          <w:rFonts w:hint="eastAsia" w:ascii="宋体" w:hAnsi="宋体"/>
          <w:color w:val="000000"/>
          <w:szCs w:val="21"/>
          <w:highlight w:val="none"/>
        </w:rPr>
        <w:t>，下午</w:t>
      </w:r>
      <w:r>
        <w:rPr>
          <w:rStyle w:val="94"/>
          <w:rFonts w:hint="eastAsia" w:ascii="宋体" w:hAnsi="宋体"/>
          <w:color w:val="000000"/>
          <w:szCs w:val="21"/>
          <w:highlight w:val="none"/>
        </w:rPr>
        <w:t>12:00至23:59</w:t>
      </w:r>
      <w:r>
        <w:rPr>
          <w:rFonts w:hint="eastAsia" w:ascii="宋体" w:hAnsi="宋体"/>
          <w:color w:val="000000"/>
          <w:szCs w:val="21"/>
          <w:highlight w:val="none"/>
        </w:rPr>
        <w:t>（北京时间，法定节假日除外）</w:t>
      </w:r>
    </w:p>
    <w:p w14:paraId="4AD3BE78">
      <w:pPr>
        <w:spacing w:line="44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地点（网址）：“广西政府采购云平台”（https://www.gcy.zfcg.gxzf.gov.cn/）</w:t>
      </w:r>
    </w:p>
    <w:p w14:paraId="32E147E9">
      <w:pPr>
        <w:spacing w:line="44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方式：供应商在采购文件获取期限内登录“广西政府采购云平台”（https://www.gcy.zfcg.gxzf.gov.cn/）在线申请获取采购文件（进入“项目采购”应用，在获取采购文件菜单中选择项目，申请获取采购文件）。</w:t>
      </w:r>
    </w:p>
    <w:p w14:paraId="1F855680">
      <w:pPr>
        <w:spacing w:line="44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售价（元）：0</w:t>
      </w:r>
    </w:p>
    <w:p w14:paraId="2679FB46">
      <w:pPr>
        <w:spacing w:line="440" w:lineRule="exact"/>
        <w:rPr>
          <w:rFonts w:hint="eastAsia" w:ascii="宋体" w:hAnsi="宋体"/>
          <w:b/>
          <w:color w:val="000000"/>
          <w:szCs w:val="21"/>
          <w:highlight w:val="none"/>
        </w:rPr>
      </w:pPr>
      <w:r>
        <w:rPr>
          <w:rFonts w:hint="eastAsia" w:ascii="宋体" w:hAnsi="宋体"/>
          <w:b/>
          <w:color w:val="000000"/>
          <w:szCs w:val="21"/>
          <w:highlight w:val="none"/>
        </w:rPr>
        <w:t>四、响应文件提交</w:t>
      </w:r>
    </w:p>
    <w:p w14:paraId="40D39167">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截止时间：</w:t>
      </w:r>
      <w:r>
        <w:rPr>
          <w:rFonts w:hint="eastAsia" w:ascii="宋体" w:hAnsi="宋体"/>
          <w:color w:val="000000"/>
          <w:szCs w:val="21"/>
          <w:highlight w:val="none"/>
          <w:lang w:eastAsia="zh-CN"/>
        </w:rPr>
        <w:t>2025年 11月 17日09：30</w:t>
      </w:r>
      <w:r>
        <w:rPr>
          <w:rFonts w:hint="eastAsia" w:ascii="宋体" w:hAnsi="宋体"/>
          <w:bCs/>
          <w:color w:val="000000"/>
          <w:szCs w:val="21"/>
          <w:highlight w:val="none"/>
        </w:rPr>
        <w:t>（北京时间）</w:t>
      </w:r>
    </w:p>
    <w:p w14:paraId="22295181">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地点（网址）：本项目通过“广西政府采购云平台”（https://www.gcy.zfcg.gxzf.gov.cn/）实行在线磋商响应（电子投标），供应商应当在上传响应文件截止时间前，将生成的“电子加密响应文件”上传提交至“广西政府采购云平台”。</w:t>
      </w:r>
    </w:p>
    <w:p w14:paraId="786ACE2D">
      <w:pPr>
        <w:spacing w:line="440" w:lineRule="exact"/>
        <w:rPr>
          <w:rFonts w:hint="eastAsia" w:ascii="宋体" w:hAnsi="宋体"/>
          <w:b/>
          <w:color w:val="000000"/>
          <w:szCs w:val="21"/>
          <w:highlight w:val="none"/>
        </w:rPr>
      </w:pPr>
      <w:r>
        <w:rPr>
          <w:rFonts w:hint="eastAsia" w:ascii="宋体" w:hAnsi="宋体"/>
          <w:b/>
          <w:color w:val="000000"/>
          <w:szCs w:val="21"/>
          <w:highlight w:val="none"/>
        </w:rPr>
        <w:t>五、响应文件开启</w:t>
      </w:r>
    </w:p>
    <w:p w14:paraId="7BFF7ECB">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开启时间：</w:t>
      </w:r>
      <w:r>
        <w:rPr>
          <w:rFonts w:hint="eastAsia" w:ascii="宋体" w:hAnsi="宋体"/>
          <w:color w:val="000000"/>
          <w:szCs w:val="21"/>
          <w:highlight w:val="none"/>
          <w:lang w:eastAsia="zh-CN"/>
        </w:rPr>
        <w:t>2025年 11月 17日09：30</w:t>
      </w:r>
      <w:r>
        <w:rPr>
          <w:rFonts w:hint="eastAsia" w:ascii="宋体" w:hAnsi="宋体"/>
          <w:bCs/>
          <w:color w:val="000000"/>
          <w:szCs w:val="21"/>
          <w:highlight w:val="none"/>
        </w:rPr>
        <w:t>（北京时间）</w:t>
      </w:r>
    </w:p>
    <w:p w14:paraId="57BDD71F">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地点：通过“广西政府采购云平台”（https://www.gcy.zfcg.gxzf.gov.cn/）实行在线解密开启响应文件。</w:t>
      </w:r>
    </w:p>
    <w:p w14:paraId="30EDA7C5">
      <w:pPr>
        <w:spacing w:line="440" w:lineRule="exact"/>
        <w:rPr>
          <w:rFonts w:hint="eastAsia" w:ascii="宋体" w:hAnsi="宋体"/>
          <w:b/>
          <w:color w:val="000000"/>
          <w:szCs w:val="21"/>
          <w:highlight w:val="none"/>
        </w:rPr>
      </w:pPr>
      <w:r>
        <w:rPr>
          <w:rFonts w:hint="eastAsia" w:ascii="宋体" w:hAnsi="宋体"/>
          <w:b/>
          <w:color w:val="000000"/>
          <w:szCs w:val="21"/>
          <w:highlight w:val="none"/>
        </w:rPr>
        <w:t>六、公告期限</w:t>
      </w:r>
    </w:p>
    <w:p w14:paraId="37F11712">
      <w:pPr>
        <w:spacing w:line="440" w:lineRule="exact"/>
        <w:ind w:firstLine="420" w:firstLineChars="200"/>
        <w:rPr>
          <w:rFonts w:hint="eastAsia" w:ascii="宋体" w:hAnsi="宋体"/>
          <w:color w:val="000000"/>
          <w:kern w:val="0"/>
          <w:szCs w:val="21"/>
          <w:highlight w:val="none"/>
        </w:rPr>
      </w:pPr>
      <w:r>
        <w:rPr>
          <w:rFonts w:hint="eastAsia" w:ascii="宋体" w:hAnsi="宋体"/>
          <w:color w:val="000000"/>
          <w:kern w:val="0"/>
          <w:szCs w:val="21"/>
          <w:highlight w:val="none"/>
        </w:rPr>
        <w:t>自本公告发布之日起5个工作日。</w:t>
      </w:r>
    </w:p>
    <w:p w14:paraId="17B5DEE5">
      <w:pPr>
        <w:spacing w:line="440" w:lineRule="exact"/>
        <w:rPr>
          <w:rFonts w:hint="eastAsia" w:ascii="宋体" w:hAnsi="宋体"/>
          <w:b/>
          <w:color w:val="000000"/>
          <w:szCs w:val="21"/>
          <w:highlight w:val="none"/>
        </w:rPr>
      </w:pPr>
      <w:bookmarkStart w:id="8" w:name="_Toc35393635"/>
      <w:bookmarkStart w:id="9" w:name="_Toc35393804"/>
      <w:r>
        <w:rPr>
          <w:rFonts w:hint="eastAsia" w:ascii="宋体" w:hAnsi="宋体"/>
          <w:b/>
          <w:color w:val="000000"/>
          <w:szCs w:val="21"/>
          <w:highlight w:val="none"/>
        </w:rPr>
        <w:t>七、其他补充事宜</w:t>
      </w:r>
      <w:bookmarkEnd w:id="8"/>
      <w:bookmarkEnd w:id="9"/>
    </w:p>
    <w:p w14:paraId="10A2C19F">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本项目发布媒体：中国政府采购网、广西壮族自治区政府采购网、梧州市政府采购网</w:t>
      </w:r>
      <w:r>
        <w:rPr>
          <w:rFonts w:hint="eastAsia" w:ascii="宋体" w:hAnsi="宋体"/>
          <w:color w:val="000000"/>
          <w:szCs w:val="21"/>
          <w:highlight w:val="none"/>
          <w:lang w:eastAsia="zh-CN"/>
        </w:rPr>
        <w:t>。</w:t>
      </w:r>
    </w:p>
    <w:p w14:paraId="79686597">
      <w:pPr>
        <w:spacing w:line="440" w:lineRule="exact"/>
        <w:rPr>
          <w:rFonts w:hint="eastAsia" w:ascii="宋体" w:hAnsi="宋体"/>
          <w:b/>
          <w:color w:val="000000"/>
          <w:szCs w:val="21"/>
          <w:highlight w:val="none"/>
        </w:rPr>
      </w:pPr>
      <w:r>
        <w:rPr>
          <w:rFonts w:hint="eastAsia" w:ascii="宋体" w:hAnsi="宋体"/>
          <w:b/>
          <w:color w:val="000000"/>
          <w:szCs w:val="21"/>
          <w:highlight w:val="none"/>
        </w:rPr>
        <w:t>八、凡对本次采购提出询问，请按以下方式联系</w:t>
      </w:r>
    </w:p>
    <w:p w14:paraId="5AF1173B">
      <w:pPr>
        <w:spacing w:line="440" w:lineRule="atLeast"/>
        <w:ind w:firstLine="210" w:firstLineChars="100"/>
        <w:rPr>
          <w:rFonts w:hint="eastAsia" w:ascii="宋体" w:hAnsi="宋体"/>
          <w:color w:val="000000"/>
          <w:szCs w:val="21"/>
          <w:highlight w:val="none"/>
        </w:rPr>
      </w:pPr>
      <w:bookmarkStart w:id="10" w:name="_Toc35393637"/>
      <w:bookmarkStart w:id="11" w:name="_Toc28359096"/>
      <w:bookmarkStart w:id="12" w:name="_Toc35393806"/>
      <w:bookmarkStart w:id="13" w:name="_Toc28359019"/>
      <w:r>
        <w:rPr>
          <w:rFonts w:hint="eastAsia" w:ascii="宋体" w:hAnsi="宋体"/>
          <w:color w:val="000000"/>
          <w:szCs w:val="21"/>
          <w:highlight w:val="none"/>
        </w:rPr>
        <w:t>1.采购人信息</w:t>
      </w:r>
      <w:bookmarkEnd w:id="10"/>
      <w:bookmarkEnd w:id="11"/>
      <w:bookmarkEnd w:id="12"/>
      <w:bookmarkEnd w:id="13"/>
    </w:p>
    <w:p w14:paraId="357788EC">
      <w:pPr>
        <w:spacing w:line="440" w:lineRule="atLeast"/>
        <w:ind w:firstLine="210" w:firstLineChars="100"/>
        <w:rPr>
          <w:rFonts w:hint="eastAsia" w:ascii="宋体" w:hAnsi="宋体"/>
          <w:color w:val="000000"/>
          <w:szCs w:val="21"/>
          <w:highlight w:val="none"/>
        </w:rPr>
      </w:pPr>
      <w:r>
        <w:rPr>
          <w:rFonts w:hint="eastAsia" w:ascii="宋体" w:hAnsi="宋体"/>
          <w:color w:val="000000"/>
          <w:szCs w:val="21"/>
          <w:highlight w:val="none"/>
        </w:rPr>
        <w:t>名  称：</w:t>
      </w:r>
      <w:r>
        <w:rPr>
          <w:rFonts w:hint="eastAsia" w:ascii="宋体" w:hAnsi="宋体"/>
          <w:color w:val="000000"/>
          <w:szCs w:val="21"/>
          <w:highlight w:val="none"/>
          <w:lang w:eastAsia="zh-CN"/>
        </w:rPr>
        <w:t>梧州市长洲区发展和改革局</w:t>
      </w:r>
    </w:p>
    <w:p w14:paraId="3A5F9AFE">
      <w:pPr>
        <w:spacing w:line="440" w:lineRule="atLeast"/>
        <w:ind w:firstLine="210" w:firstLineChars="100"/>
        <w:rPr>
          <w:rFonts w:hint="eastAsia" w:ascii="宋体" w:hAnsi="宋体"/>
          <w:color w:val="000000"/>
          <w:szCs w:val="21"/>
          <w:highlight w:val="none"/>
        </w:rPr>
      </w:pPr>
      <w:r>
        <w:rPr>
          <w:rFonts w:hint="eastAsia" w:ascii="宋体" w:hAnsi="宋体"/>
          <w:color w:val="000000"/>
          <w:szCs w:val="21"/>
          <w:highlight w:val="none"/>
        </w:rPr>
        <w:t>地  址：</w:t>
      </w:r>
      <w:r>
        <w:rPr>
          <w:rFonts w:hint="eastAsia" w:ascii="宋体" w:hAnsi="宋体"/>
          <w:color w:val="000000"/>
          <w:szCs w:val="21"/>
          <w:highlight w:val="none"/>
          <w:lang w:eastAsia="zh-CN"/>
        </w:rPr>
        <w:t>梧州市长洲区新兴二路193号</w:t>
      </w:r>
    </w:p>
    <w:p w14:paraId="0092E1AB">
      <w:pPr>
        <w:spacing w:line="440" w:lineRule="atLeast"/>
        <w:ind w:firstLine="210" w:firstLineChars="100"/>
        <w:rPr>
          <w:rFonts w:hint="eastAsia" w:ascii="宋体" w:hAnsi="宋体"/>
          <w:color w:val="000000"/>
          <w:szCs w:val="21"/>
          <w:highlight w:val="none"/>
        </w:rPr>
      </w:pPr>
      <w:r>
        <w:rPr>
          <w:rFonts w:hint="eastAsia" w:ascii="宋体" w:hAnsi="宋体"/>
          <w:color w:val="000000"/>
          <w:szCs w:val="21"/>
          <w:highlight w:val="none"/>
        </w:rPr>
        <w:t>项目联系人：</w:t>
      </w:r>
      <w:r>
        <w:rPr>
          <w:rFonts w:hint="eastAsia" w:ascii="宋体" w:hAnsi="宋体"/>
          <w:color w:val="000000"/>
          <w:szCs w:val="21"/>
          <w:highlight w:val="none"/>
          <w:lang w:eastAsia="zh-CN"/>
        </w:rPr>
        <w:t>黎工</w:t>
      </w:r>
    </w:p>
    <w:p w14:paraId="1809490E">
      <w:pPr>
        <w:spacing w:line="440" w:lineRule="atLeast"/>
        <w:ind w:firstLine="210" w:firstLineChars="100"/>
        <w:rPr>
          <w:rFonts w:hint="eastAsia" w:ascii="宋体" w:hAnsi="宋体"/>
          <w:color w:val="000000"/>
          <w:szCs w:val="21"/>
          <w:highlight w:val="none"/>
        </w:rPr>
      </w:pPr>
      <w:r>
        <w:rPr>
          <w:rFonts w:hint="eastAsia" w:ascii="宋体" w:hAnsi="宋体"/>
          <w:color w:val="000000"/>
          <w:szCs w:val="21"/>
          <w:highlight w:val="none"/>
        </w:rPr>
        <w:t>项目联系方式：</w:t>
      </w:r>
      <w:r>
        <w:rPr>
          <w:rFonts w:hint="eastAsia" w:ascii="宋体" w:hAnsi="宋体" w:eastAsia="宋体"/>
          <w:color w:val="000000"/>
          <w:szCs w:val="21"/>
          <w:highlight w:val="none"/>
          <w:lang w:val="en-US" w:eastAsia="zh-CN"/>
        </w:rPr>
        <w:t>0774—3868070</w:t>
      </w:r>
    </w:p>
    <w:p w14:paraId="1B769505">
      <w:pPr>
        <w:numPr>
          <w:ilvl w:val="0"/>
          <w:numId w:val="1"/>
        </w:numPr>
        <w:tabs>
          <w:tab w:val="clear" w:pos="312"/>
        </w:tabs>
        <w:spacing w:line="440" w:lineRule="atLeast"/>
        <w:ind w:firstLine="210" w:firstLineChars="100"/>
        <w:rPr>
          <w:rFonts w:hint="eastAsia" w:ascii="宋体" w:hAnsi="宋体"/>
          <w:color w:val="000000"/>
          <w:szCs w:val="21"/>
          <w:highlight w:val="none"/>
        </w:rPr>
      </w:pPr>
      <w:r>
        <w:rPr>
          <w:rFonts w:hint="eastAsia" w:ascii="宋体" w:hAnsi="宋体"/>
          <w:color w:val="000000"/>
          <w:szCs w:val="21"/>
          <w:highlight w:val="none"/>
        </w:rPr>
        <w:t>采购代理机构信息</w:t>
      </w:r>
    </w:p>
    <w:p w14:paraId="70CA52C5">
      <w:pPr>
        <w:spacing w:line="440" w:lineRule="atLeast"/>
        <w:ind w:firstLine="210" w:firstLineChars="100"/>
        <w:rPr>
          <w:rFonts w:hint="eastAsia"/>
          <w:color w:val="000000"/>
          <w:highlight w:val="none"/>
        </w:rPr>
      </w:pPr>
      <w:r>
        <w:rPr>
          <w:rFonts w:hint="eastAsia"/>
          <w:color w:val="000000"/>
          <w:highlight w:val="none"/>
        </w:rPr>
        <w:t>名  称：</w:t>
      </w:r>
      <w:r>
        <w:rPr>
          <w:rFonts w:hint="eastAsia" w:ascii="宋体" w:hAnsi="宋体"/>
          <w:color w:val="000000"/>
          <w:szCs w:val="21"/>
          <w:highlight w:val="none"/>
          <w:lang w:eastAsia="zh-CN"/>
        </w:rPr>
        <w:t>梧州市丰胜工程咨询有限公司</w:t>
      </w:r>
    </w:p>
    <w:p w14:paraId="11AC5E2A">
      <w:pPr>
        <w:spacing w:line="440" w:lineRule="atLeast"/>
        <w:ind w:firstLine="210" w:firstLineChars="100"/>
        <w:rPr>
          <w:rFonts w:hint="eastAsia" w:ascii="宋体" w:hAnsi="宋体"/>
          <w:color w:val="000000"/>
          <w:szCs w:val="21"/>
          <w:highlight w:val="none"/>
        </w:rPr>
      </w:pPr>
      <w:r>
        <w:rPr>
          <w:rFonts w:hint="eastAsia" w:ascii="宋体" w:hAnsi="宋体"/>
          <w:color w:val="000000"/>
          <w:szCs w:val="21"/>
          <w:highlight w:val="none"/>
        </w:rPr>
        <w:t>地  址：</w:t>
      </w:r>
      <w:r>
        <w:rPr>
          <w:rFonts w:hint="eastAsia" w:ascii="宋体" w:hAnsi="宋体"/>
          <w:color w:val="000000"/>
          <w:szCs w:val="21"/>
          <w:highlight w:val="none"/>
          <w:lang w:val="en-US" w:eastAsia="zh-CN"/>
        </w:rPr>
        <w:t>广西梧州市长洲区红岭十八号路旁九层综合大楼(爱国拥军大厦)5楼501号</w:t>
      </w:r>
    </w:p>
    <w:p w14:paraId="38869CD6">
      <w:pPr>
        <w:spacing w:line="440" w:lineRule="atLeast"/>
        <w:ind w:firstLine="210" w:firstLineChars="100"/>
        <w:rPr>
          <w:rFonts w:hint="eastAsia" w:ascii="Times New Roman" w:hAnsi="Times New Roman" w:eastAsia="宋体"/>
          <w:color w:val="000000"/>
          <w:highlight w:val="none"/>
        </w:rPr>
      </w:pPr>
      <w:r>
        <w:rPr>
          <w:rFonts w:hint="eastAsia" w:ascii="Times New Roman" w:hAnsi="Times New Roman" w:eastAsia="宋体"/>
          <w:color w:val="000000"/>
          <w:highlight w:val="none"/>
        </w:rPr>
        <w:t>项目联系人：</w:t>
      </w:r>
      <w:r>
        <w:rPr>
          <w:rFonts w:hint="eastAsia"/>
          <w:color w:val="000000"/>
          <w:highlight w:val="none"/>
          <w:lang w:eastAsia="zh-CN"/>
        </w:rPr>
        <w:t>龚玉玲</w:t>
      </w:r>
    </w:p>
    <w:p w14:paraId="2ED8A2E8">
      <w:pPr>
        <w:spacing w:line="440" w:lineRule="atLeast"/>
        <w:ind w:firstLine="210" w:firstLineChars="100"/>
        <w:rPr>
          <w:rFonts w:hint="eastAsia" w:ascii="Times New Roman" w:hAnsi="Times New Roman" w:eastAsia="宋体"/>
          <w:color w:val="000000"/>
          <w:highlight w:val="none"/>
        </w:rPr>
      </w:pPr>
      <w:r>
        <w:rPr>
          <w:rFonts w:hint="eastAsia" w:ascii="Times New Roman" w:hAnsi="Times New Roman" w:eastAsia="宋体"/>
          <w:color w:val="000000"/>
          <w:highlight w:val="none"/>
        </w:rPr>
        <w:t>项目联系方式：</w:t>
      </w:r>
      <w:r>
        <w:rPr>
          <w:rFonts w:hint="eastAsia" w:ascii="宋体" w:hAnsi="宋体"/>
          <w:color w:val="000000"/>
          <w:szCs w:val="21"/>
          <w:highlight w:val="none"/>
          <w:lang w:val="en-US" w:eastAsia="zh-CN"/>
        </w:rPr>
        <w:t>0774-2825966</w:t>
      </w:r>
    </w:p>
    <w:p w14:paraId="1849AA86">
      <w:pPr>
        <w:pStyle w:val="105"/>
        <w:rPr>
          <w:color w:val="000000"/>
          <w:highlight w:val="none"/>
        </w:rPr>
      </w:pPr>
    </w:p>
    <w:p w14:paraId="7B66C3CD">
      <w:pPr>
        <w:pStyle w:val="105"/>
        <w:rPr>
          <w:color w:val="000000"/>
          <w:highlight w:val="none"/>
        </w:rPr>
      </w:pPr>
    </w:p>
    <w:p w14:paraId="69C9E360">
      <w:pPr>
        <w:pStyle w:val="105"/>
        <w:rPr>
          <w:color w:val="000000"/>
          <w:highlight w:val="none"/>
        </w:rPr>
      </w:pPr>
    </w:p>
    <w:p w14:paraId="046CD3CD">
      <w:pPr>
        <w:pStyle w:val="105"/>
        <w:rPr>
          <w:color w:val="000000"/>
          <w:highlight w:val="none"/>
        </w:rPr>
      </w:pPr>
    </w:p>
    <w:p w14:paraId="0C3DCFA3">
      <w:pPr>
        <w:pStyle w:val="10"/>
        <w:spacing w:line="560" w:lineRule="exact"/>
        <w:rPr>
          <w:rFonts w:hint="eastAsia" w:ascii="宋体" w:hAnsi="宋体"/>
          <w:bCs/>
          <w:color w:val="000000"/>
          <w:sz w:val="44"/>
          <w:highlight w:val="none"/>
        </w:rPr>
      </w:pPr>
    </w:p>
    <w:p w14:paraId="00FEC45F">
      <w:pPr>
        <w:pStyle w:val="10"/>
        <w:spacing w:line="560" w:lineRule="exact"/>
        <w:jc w:val="center"/>
        <w:rPr>
          <w:rFonts w:hint="eastAsia" w:ascii="宋体" w:hAnsi="宋体"/>
          <w:bCs/>
          <w:color w:val="000000"/>
          <w:sz w:val="44"/>
          <w:highlight w:val="none"/>
        </w:rPr>
      </w:pPr>
      <w:r>
        <w:rPr>
          <w:rFonts w:hint="eastAsia" w:ascii="宋体" w:hAnsi="宋体"/>
          <w:bCs/>
          <w:color w:val="000000"/>
          <w:sz w:val="44"/>
          <w:highlight w:val="none"/>
        </w:rPr>
        <w:br w:type="page"/>
      </w:r>
    </w:p>
    <w:p w14:paraId="111E86EB">
      <w:pPr>
        <w:pStyle w:val="10"/>
        <w:spacing w:line="560" w:lineRule="exact"/>
        <w:jc w:val="center"/>
        <w:rPr>
          <w:rFonts w:hint="eastAsia" w:ascii="宋体" w:hAnsi="宋体"/>
          <w:bCs/>
          <w:color w:val="000000"/>
          <w:sz w:val="44"/>
          <w:highlight w:val="none"/>
        </w:rPr>
      </w:pPr>
    </w:p>
    <w:p w14:paraId="4067EE82">
      <w:pPr>
        <w:pStyle w:val="10"/>
        <w:spacing w:line="560" w:lineRule="exact"/>
        <w:jc w:val="center"/>
        <w:rPr>
          <w:rFonts w:hint="eastAsia" w:ascii="宋体" w:hAnsi="宋体"/>
          <w:bCs/>
          <w:color w:val="000000"/>
          <w:sz w:val="44"/>
          <w:highlight w:val="none"/>
        </w:rPr>
      </w:pPr>
    </w:p>
    <w:p w14:paraId="004728D0">
      <w:pPr>
        <w:pStyle w:val="10"/>
        <w:spacing w:line="560" w:lineRule="exact"/>
        <w:jc w:val="center"/>
        <w:rPr>
          <w:rFonts w:hint="eastAsia" w:ascii="宋体" w:hAnsi="宋体"/>
          <w:bCs/>
          <w:color w:val="000000"/>
          <w:sz w:val="44"/>
          <w:highlight w:val="none"/>
        </w:rPr>
      </w:pPr>
    </w:p>
    <w:p w14:paraId="67FA9268">
      <w:pPr>
        <w:pStyle w:val="10"/>
        <w:spacing w:line="560" w:lineRule="exact"/>
        <w:jc w:val="center"/>
        <w:rPr>
          <w:rFonts w:hint="eastAsia" w:ascii="宋体" w:hAnsi="宋体"/>
          <w:bCs/>
          <w:color w:val="000000"/>
          <w:sz w:val="44"/>
          <w:highlight w:val="none"/>
        </w:rPr>
      </w:pPr>
    </w:p>
    <w:p w14:paraId="432FD832">
      <w:pPr>
        <w:pStyle w:val="10"/>
        <w:spacing w:line="560" w:lineRule="exact"/>
        <w:jc w:val="center"/>
        <w:rPr>
          <w:rFonts w:hint="eastAsia" w:ascii="宋体" w:hAnsi="宋体"/>
          <w:bCs/>
          <w:color w:val="000000"/>
          <w:sz w:val="44"/>
          <w:highlight w:val="none"/>
        </w:rPr>
      </w:pPr>
    </w:p>
    <w:p w14:paraId="2D156BAD">
      <w:pPr>
        <w:pStyle w:val="10"/>
        <w:spacing w:line="560" w:lineRule="exact"/>
        <w:jc w:val="center"/>
        <w:rPr>
          <w:rFonts w:hint="eastAsia" w:ascii="宋体" w:hAnsi="宋体"/>
          <w:bCs/>
          <w:color w:val="000000"/>
          <w:sz w:val="44"/>
          <w:highlight w:val="none"/>
        </w:rPr>
      </w:pPr>
    </w:p>
    <w:p w14:paraId="6F5C6127">
      <w:pPr>
        <w:pStyle w:val="10"/>
        <w:spacing w:line="560" w:lineRule="exact"/>
        <w:jc w:val="center"/>
        <w:rPr>
          <w:rFonts w:hint="eastAsia" w:ascii="宋体" w:hAnsi="宋体"/>
          <w:bCs/>
          <w:color w:val="000000"/>
          <w:sz w:val="44"/>
          <w:highlight w:val="none"/>
        </w:rPr>
      </w:pPr>
      <w:r>
        <w:rPr>
          <w:rFonts w:hint="eastAsia" w:ascii="宋体" w:hAnsi="宋体"/>
          <w:bCs/>
          <w:color w:val="000000"/>
          <w:sz w:val="44"/>
          <w:highlight w:val="none"/>
        </w:rPr>
        <w:t>第二章   供应商须知及前附表</w:t>
      </w:r>
    </w:p>
    <w:p w14:paraId="2CD1F8E5">
      <w:pPr>
        <w:pStyle w:val="44"/>
        <w:spacing w:line="400" w:lineRule="exact"/>
        <w:rPr>
          <w:rFonts w:hAnsi="宋体"/>
          <w:b/>
          <w:color w:val="000000"/>
          <w:highlight w:val="none"/>
        </w:rPr>
      </w:pPr>
    </w:p>
    <w:p w14:paraId="1EBCFE06">
      <w:pPr>
        <w:pStyle w:val="44"/>
        <w:spacing w:line="400" w:lineRule="exact"/>
        <w:rPr>
          <w:rFonts w:hAnsi="宋体"/>
          <w:b/>
          <w:color w:val="000000"/>
          <w:highlight w:val="none"/>
        </w:rPr>
      </w:pPr>
    </w:p>
    <w:p w14:paraId="7623BD0E">
      <w:pPr>
        <w:pStyle w:val="136"/>
        <w:spacing w:line="140" w:lineRule="exact"/>
        <w:rPr>
          <w:rFonts w:hint="eastAsia" w:hAnsi="宋体"/>
          <w:color w:val="000000"/>
          <w:sz w:val="30"/>
          <w:szCs w:val="30"/>
          <w:highlight w:val="none"/>
        </w:rPr>
      </w:pPr>
      <w:r>
        <w:rPr>
          <w:rFonts w:hint="eastAsia" w:hAnsi="宋体"/>
          <w:color w:val="000000"/>
          <w:sz w:val="30"/>
          <w:szCs w:val="30"/>
          <w:highlight w:val="none"/>
        </w:rPr>
        <w:br w:type="page"/>
      </w:r>
    </w:p>
    <w:p w14:paraId="1F6424AB">
      <w:pPr>
        <w:pStyle w:val="10"/>
        <w:spacing w:line="360" w:lineRule="exact"/>
        <w:jc w:val="center"/>
        <w:rPr>
          <w:rFonts w:hint="eastAsia" w:ascii="宋体" w:hAnsi="宋体"/>
          <w:bCs/>
          <w:color w:val="000000"/>
          <w:sz w:val="32"/>
          <w:highlight w:val="none"/>
        </w:rPr>
      </w:pPr>
      <w:bookmarkStart w:id="14" w:name="_Toc230578055"/>
      <w:bookmarkStart w:id="15" w:name="_Toc486196136"/>
      <w:bookmarkStart w:id="16" w:name="_Toc486922953"/>
      <w:bookmarkStart w:id="17" w:name="_Toc207770833"/>
      <w:bookmarkStart w:id="18" w:name="_Toc18590"/>
      <w:bookmarkStart w:id="19" w:name="_Toc206525680"/>
      <w:bookmarkStart w:id="20" w:name="_Toc185702547"/>
      <w:bookmarkStart w:id="21" w:name="_Toc239839861"/>
      <w:bookmarkStart w:id="22" w:name="_Toc108539705"/>
      <w:bookmarkStart w:id="23" w:name="_Toc9936"/>
      <w:bookmarkStart w:id="24" w:name="_Toc29146"/>
      <w:bookmarkStart w:id="25" w:name="_Toc16514"/>
      <w:r>
        <w:rPr>
          <w:rFonts w:hint="eastAsia" w:ascii="宋体" w:hAnsi="宋体"/>
          <w:bCs/>
          <w:color w:val="000000"/>
          <w:sz w:val="32"/>
          <w:highlight w:val="none"/>
        </w:rPr>
        <w:t>供应商须知前附表</w:t>
      </w:r>
      <w:bookmarkEnd w:id="14"/>
      <w:bookmarkEnd w:id="15"/>
      <w:bookmarkEnd w:id="16"/>
      <w:bookmarkEnd w:id="17"/>
      <w:bookmarkEnd w:id="18"/>
      <w:bookmarkEnd w:id="19"/>
      <w:bookmarkEnd w:id="20"/>
      <w:bookmarkEnd w:id="21"/>
      <w:bookmarkEnd w:id="22"/>
      <w:bookmarkEnd w:id="23"/>
      <w:bookmarkEnd w:id="24"/>
      <w:bookmarkEnd w:id="25"/>
    </w:p>
    <w:p w14:paraId="20E3C3A2">
      <w:pPr>
        <w:pStyle w:val="136"/>
        <w:spacing w:line="140" w:lineRule="exact"/>
        <w:rPr>
          <w:rFonts w:hAnsi="宋体"/>
          <w:color w:val="000000"/>
          <w:sz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654"/>
        <w:gridCol w:w="8194"/>
      </w:tblGrid>
      <w:tr w14:paraId="3B2E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6" w:type="dxa"/>
            <w:vAlign w:val="center"/>
          </w:tcPr>
          <w:p w14:paraId="158444A8">
            <w:pPr>
              <w:pStyle w:val="136"/>
              <w:snapToGrid w:val="0"/>
              <w:spacing w:line="360" w:lineRule="auto"/>
              <w:ind w:left="-105" w:leftChars="-50" w:right="-105" w:rightChars="-50"/>
              <w:jc w:val="center"/>
              <w:rPr>
                <w:rFonts w:hint="eastAsia" w:hAnsi="宋体"/>
                <w:color w:val="000000"/>
                <w:szCs w:val="21"/>
                <w:highlight w:val="none"/>
              </w:rPr>
            </w:pPr>
            <w:r>
              <w:rPr>
                <w:rFonts w:hint="eastAsia" w:hAnsi="宋体"/>
                <w:color w:val="000000"/>
                <w:szCs w:val="21"/>
                <w:highlight w:val="none"/>
              </w:rPr>
              <w:t>序号</w:t>
            </w:r>
          </w:p>
        </w:tc>
        <w:tc>
          <w:tcPr>
            <w:tcW w:w="654" w:type="dxa"/>
            <w:vAlign w:val="center"/>
          </w:tcPr>
          <w:p w14:paraId="1B23249E">
            <w:pPr>
              <w:pStyle w:val="136"/>
              <w:snapToGrid w:val="0"/>
              <w:spacing w:line="360" w:lineRule="auto"/>
              <w:ind w:left="-105" w:leftChars="-50" w:right="-105" w:rightChars="-50"/>
              <w:jc w:val="center"/>
              <w:rPr>
                <w:rFonts w:hint="eastAsia" w:hAnsi="宋体"/>
                <w:color w:val="000000"/>
                <w:szCs w:val="21"/>
                <w:highlight w:val="none"/>
              </w:rPr>
            </w:pPr>
            <w:r>
              <w:rPr>
                <w:rFonts w:hint="eastAsia" w:hAnsi="宋体"/>
                <w:color w:val="000000"/>
                <w:szCs w:val="21"/>
                <w:highlight w:val="none"/>
              </w:rPr>
              <w:t>条款号</w:t>
            </w:r>
          </w:p>
        </w:tc>
        <w:tc>
          <w:tcPr>
            <w:tcW w:w="8194" w:type="dxa"/>
            <w:vAlign w:val="center"/>
          </w:tcPr>
          <w:p w14:paraId="46E39DF4">
            <w:pPr>
              <w:pStyle w:val="136"/>
              <w:snapToGrid w:val="0"/>
              <w:spacing w:line="360" w:lineRule="auto"/>
              <w:jc w:val="center"/>
              <w:rPr>
                <w:rFonts w:hint="eastAsia" w:hAnsi="宋体"/>
                <w:color w:val="000000"/>
                <w:szCs w:val="21"/>
                <w:highlight w:val="none"/>
              </w:rPr>
            </w:pPr>
            <w:r>
              <w:rPr>
                <w:rFonts w:hint="eastAsia" w:hAnsi="宋体"/>
                <w:color w:val="000000"/>
                <w:szCs w:val="21"/>
                <w:highlight w:val="none"/>
              </w:rPr>
              <w:t>内    容</w:t>
            </w:r>
          </w:p>
        </w:tc>
      </w:tr>
      <w:tr w14:paraId="174B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2BF5683">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654" w:type="dxa"/>
            <w:vAlign w:val="center"/>
          </w:tcPr>
          <w:p w14:paraId="7594F46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1.1</w:t>
            </w:r>
          </w:p>
        </w:tc>
        <w:tc>
          <w:tcPr>
            <w:tcW w:w="8194" w:type="dxa"/>
            <w:vAlign w:val="center"/>
          </w:tcPr>
          <w:p w14:paraId="238067CC">
            <w:pPr>
              <w:pStyle w:val="11"/>
              <w:spacing w:before="0" w:after="0" w:line="360" w:lineRule="auto"/>
              <w:rPr>
                <w:rFonts w:hint="eastAsia" w:ascii="宋体" w:hAnsi="宋体" w:eastAsia="宋体"/>
                <w:b w:val="0"/>
                <w:bCs w:val="0"/>
                <w:color w:val="000000"/>
                <w:sz w:val="21"/>
                <w:szCs w:val="21"/>
                <w:highlight w:val="none"/>
              </w:rPr>
            </w:pPr>
            <w:bookmarkStart w:id="26" w:name="_Toc108539706"/>
            <w:bookmarkStart w:id="27" w:name="_Toc22110"/>
            <w:r>
              <w:rPr>
                <w:rFonts w:hint="eastAsia" w:ascii="宋体" w:hAnsi="宋体" w:eastAsia="宋体"/>
                <w:b w:val="0"/>
                <w:bCs w:val="0"/>
                <w:color w:val="000000"/>
                <w:sz w:val="21"/>
                <w:szCs w:val="21"/>
                <w:highlight w:val="none"/>
              </w:rPr>
              <w:t>项目名称：</w:t>
            </w:r>
            <w:bookmarkEnd w:id="26"/>
            <w:bookmarkStart w:id="28" w:name="_Toc108539707"/>
            <w:r>
              <w:rPr>
                <w:rFonts w:hint="eastAsia" w:ascii="宋体" w:hAnsi="宋体" w:eastAsia="宋体"/>
                <w:b w:val="0"/>
                <w:bCs w:val="0"/>
                <w:color w:val="000000"/>
                <w:sz w:val="21"/>
                <w:szCs w:val="21"/>
                <w:highlight w:val="none"/>
                <w:lang w:eastAsia="zh-CN"/>
              </w:rPr>
              <w:t>长洲区泗洲村尚忠片区美丽移民村项目</w:t>
            </w:r>
          </w:p>
          <w:bookmarkEnd w:id="27"/>
          <w:bookmarkEnd w:id="28"/>
          <w:p w14:paraId="00D73602">
            <w:pPr>
              <w:pStyle w:val="11"/>
              <w:spacing w:before="0" w:after="0" w:line="360" w:lineRule="auto"/>
              <w:rPr>
                <w:rFonts w:hint="eastAsia" w:ascii="宋体" w:hAnsi="宋体" w:eastAsia="宋体"/>
                <w:b w:val="0"/>
                <w:bCs w:val="0"/>
                <w:color w:val="000000"/>
                <w:sz w:val="21"/>
                <w:szCs w:val="21"/>
                <w:highlight w:val="none"/>
                <w:lang w:eastAsia="zh-CN"/>
              </w:rPr>
            </w:pPr>
            <w:bookmarkStart w:id="29" w:name="_Toc108539709"/>
            <w:bookmarkStart w:id="30" w:name="_Toc108539708"/>
            <w:r>
              <w:rPr>
                <w:rFonts w:hint="eastAsia" w:ascii="宋体" w:hAnsi="宋体" w:eastAsia="宋体"/>
                <w:b w:val="0"/>
                <w:bCs w:val="0"/>
                <w:color w:val="000000"/>
                <w:sz w:val="21"/>
                <w:szCs w:val="21"/>
                <w:highlight w:val="none"/>
                <w:lang w:eastAsia="zh-CN"/>
              </w:rPr>
              <w:t>项目编号：WZZC2025-C2-050036-WZSF</w:t>
            </w:r>
          </w:p>
          <w:p w14:paraId="51BECF00">
            <w:pPr>
              <w:pStyle w:val="37"/>
              <w:spacing w:after="0" w:line="440" w:lineRule="exact"/>
              <w:rPr>
                <w:rFonts w:hint="eastAsia" w:ascii="宋体" w:hAnsi="宋体"/>
                <w:color w:val="000000"/>
                <w:szCs w:val="21"/>
                <w:highlight w:val="none"/>
                <w:lang w:eastAsia="zh-CN"/>
              </w:rPr>
            </w:pPr>
            <w:bookmarkStart w:id="31" w:name="_Toc32037"/>
            <w:r>
              <w:rPr>
                <w:rFonts w:hint="eastAsia" w:ascii="宋体" w:hAnsi="宋体" w:eastAsia="宋体"/>
                <w:b/>
                <w:bCs/>
                <w:color w:val="000000"/>
                <w:sz w:val="21"/>
                <w:szCs w:val="21"/>
                <w:highlight w:val="none"/>
              </w:rPr>
              <w:t>项目主要建设内容和规模：</w:t>
            </w:r>
            <w:bookmarkEnd w:id="31"/>
            <w:bookmarkStart w:id="32" w:name="_Toc15206"/>
            <w:r>
              <w:rPr>
                <w:rFonts w:hint="eastAsia" w:ascii="宋体" w:hAnsi="宋体"/>
                <w:color w:val="000000"/>
                <w:szCs w:val="21"/>
                <w:highlight w:val="none"/>
                <w:lang w:eastAsia="zh-CN"/>
              </w:rPr>
              <w:t>1、道路工程：巷道硬化约1452.8m²。 2、排水排污工程：散排水沟约210.4m。 3、环境整治：仿竹栅栏665m、垃圾收集站1处、围墙修缮259.01m。 4、其他：挡土墙168.99m、竣工牌1块。</w:t>
            </w:r>
            <w:r>
              <w:rPr>
                <w:rFonts w:hint="eastAsia" w:ascii="宋体" w:hAnsi="宋体"/>
                <w:color w:val="000000"/>
                <w:szCs w:val="21"/>
                <w:highlight w:val="none"/>
              </w:rPr>
              <w:t>（具体按施工图纸、工程量清单、采购文件及相关补充通知的全部内容）</w:t>
            </w:r>
          </w:p>
          <w:p w14:paraId="475C2CDE">
            <w:pPr>
              <w:pStyle w:val="11"/>
              <w:spacing w:before="0" w:after="0" w:line="360" w:lineRule="auto"/>
              <w:rPr>
                <w:rFonts w:hint="eastAsia" w:ascii="宋体" w:hAnsi="宋体" w:eastAsia="宋体"/>
                <w:b w:val="0"/>
                <w:bCs w:val="0"/>
                <w:color w:val="000000"/>
                <w:sz w:val="21"/>
                <w:szCs w:val="21"/>
                <w:highlight w:val="none"/>
              </w:rPr>
            </w:pPr>
            <w:r>
              <w:rPr>
                <w:rFonts w:hint="eastAsia" w:ascii="宋体" w:hAnsi="宋体" w:eastAsia="宋体"/>
                <w:b w:val="0"/>
                <w:bCs w:val="0"/>
                <w:color w:val="000000"/>
                <w:sz w:val="21"/>
                <w:szCs w:val="21"/>
                <w:highlight w:val="none"/>
              </w:rPr>
              <w:t>建设</w:t>
            </w:r>
            <w:r>
              <w:rPr>
                <w:rFonts w:ascii="宋体" w:hAnsi="宋体" w:eastAsia="宋体"/>
                <w:b w:val="0"/>
                <w:bCs w:val="0"/>
                <w:color w:val="000000"/>
                <w:sz w:val="21"/>
                <w:szCs w:val="21"/>
                <w:highlight w:val="none"/>
              </w:rPr>
              <w:t>地点：</w:t>
            </w:r>
            <w:bookmarkEnd w:id="29"/>
            <w:bookmarkEnd w:id="30"/>
            <w:bookmarkEnd w:id="32"/>
            <w:bookmarkStart w:id="33" w:name="_Toc16596"/>
            <w:bookmarkStart w:id="34" w:name="_Toc108539710"/>
            <w:r>
              <w:rPr>
                <w:rFonts w:hint="eastAsia" w:ascii="宋体" w:hAnsi="宋体" w:eastAsia="宋体"/>
                <w:b w:val="0"/>
                <w:bCs w:val="0"/>
                <w:color w:val="000000"/>
                <w:sz w:val="21"/>
                <w:szCs w:val="21"/>
                <w:highlight w:val="none"/>
                <w:lang w:eastAsia="zh-CN"/>
              </w:rPr>
              <w:t>梧州市长洲区泗洲村</w:t>
            </w:r>
          </w:p>
          <w:p w14:paraId="7179CC40">
            <w:pPr>
              <w:pStyle w:val="11"/>
              <w:spacing w:before="0" w:after="0" w:line="360" w:lineRule="auto"/>
              <w:rPr>
                <w:rFonts w:hint="eastAsia" w:ascii="宋体" w:hAnsi="宋体" w:eastAsia="宋体"/>
                <w:b w:val="0"/>
                <w:bCs w:val="0"/>
                <w:color w:val="000000"/>
                <w:sz w:val="21"/>
                <w:szCs w:val="21"/>
                <w:highlight w:val="none"/>
              </w:rPr>
            </w:pPr>
            <w:r>
              <w:rPr>
                <w:rFonts w:hint="eastAsia" w:ascii="宋体" w:hAnsi="宋体" w:eastAsia="宋体"/>
                <w:b w:val="0"/>
                <w:bCs w:val="0"/>
                <w:color w:val="000000"/>
                <w:sz w:val="21"/>
                <w:szCs w:val="21"/>
                <w:highlight w:val="none"/>
              </w:rPr>
              <w:t>预算总金额（元）：</w:t>
            </w:r>
            <w:bookmarkEnd w:id="33"/>
            <w:bookmarkEnd w:id="34"/>
            <w:r>
              <w:rPr>
                <w:rFonts w:hint="eastAsia" w:ascii="宋体" w:hAnsi="宋体" w:eastAsia="宋体"/>
                <w:b w:val="0"/>
                <w:bCs w:val="0"/>
                <w:color w:val="000000"/>
                <w:sz w:val="21"/>
                <w:szCs w:val="21"/>
                <w:highlight w:val="none"/>
                <w:lang w:eastAsia="zh-CN"/>
              </w:rPr>
              <w:t>1657812.24元</w:t>
            </w:r>
          </w:p>
          <w:p w14:paraId="0BD329EA">
            <w:pPr>
              <w:spacing w:line="360" w:lineRule="auto"/>
              <w:rPr>
                <w:rFonts w:hint="eastAsia" w:ascii="宋体" w:hAnsi="宋体"/>
                <w:color w:val="000000"/>
                <w:szCs w:val="21"/>
                <w:highlight w:val="none"/>
              </w:rPr>
            </w:pPr>
            <w:r>
              <w:rPr>
                <w:rFonts w:hint="eastAsia" w:ascii="宋体" w:hAnsi="宋体"/>
                <w:color w:val="000000"/>
                <w:szCs w:val="21"/>
                <w:highlight w:val="none"/>
              </w:rPr>
              <w:t>最高限价（元）：</w:t>
            </w:r>
            <w:r>
              <w:rPr>
                <w:rFonts w:hint="eastAsia" w:ascii="宋体" w:hAnsi="宋体" w:eastAsia="宋体"/>
                <w:b w:val="0"/>
                <w:bCs w:val="0"/>
                <w:color w:val="000000"/>
                <w:sz w:val="21"/>
                <w:szCs w:val="21"/>
                <w:highlight w:val="none"/>
                <w:lang w:eastAsia="zh-CN"/>
              </w:rPr>
              <w:t>1657812.24元</w:t>
            </w:r>
          </w:p>
          <w:p w14:paraId="28547741">
            <w:pPr>
              <w:pStyle w:val="11"/>
              <w:spacing w:before="0" w:after="0" w:line="360" w:lineRule="auto"/>
              <w:rPr>
                <w:rFonts w:ascii="宋体" w:hAnsi="宋体" w:eastAsia="宋体"/>
                <w:b w:val="0"/>
                <w:bCs w:val="0"/>
                <w:color w:val="000000"/>
                <w:sz w:val="21"/>
                <w:szCs w:val="21"/>
                <w:highlight w:val="none"/>
              </w:rPr>
            </w:pPr>
            <w:bookmarkStart w:id="35" w:name="_Toc108539711"/>
            <w:bookmarkStart w:id="36" w:name="_Toc10282"/>
            <w:r>
              <w:rPr>
                <w:rFonts w:ascii="宋体" w:hAnsi="宋体" w:eastAsia="宋体"/>
                <w:b w:val="0"/>
                <w:bCs w:val="0"/>
                <w:color w:val="000000"/>
                <w:sz w:val="21"/>
                <w:szCs w:val="21"/>
                <w:highlight w:val="none"/>
              </w:rPr>
              <w:t>工期要求：</w:t>
            </w:r>
            <w:bookmarkEnd w:id="35"/>
            <w:r>
              <w:rPr>
                <w:rFonts w:hint="eastAsia" w:ascii="宋体" w:hAnsi="宋体" w:eastAsia="宋体"/>
                <w:b w:val="0"/>
                <w:bCs w:val="0"/>
                <w:color w:val="000000"/>
                <w:sz w:val="21"/>
                <w:szCs w:val="21"/>
                <w:highlight w:val="none"/>
                <w:lang w:val="en-US" w:eastAsia="zh-CN"/>
              </w:rPr>
              <w:t>180</w:t>
            </w:r>
            <w:r>
              <w:rPr>
                <w:rFonts w:hint="eastAsia" w:ascii="宋体" w:hAnsi="宋体" w:eastAsia="宋体"/>
                <w:b w:val="0"/>
                <w:bCs w:val="0"/>
                <w:color w:val="000000"/>
                <w:sz w:val="21"/>
                <w:szCs w:val="21"/>
                <w:highlight w:val="none"/>
              </w:rPr>
              <w:t>日历天</w:t>
            </w:r>
            <w:bookmarkEnd w:id="36"/>
          </w:p>
          <w:p w14:paraId="6687162C">
            <w:pPr>
              <w:pStyle w:val="11"/>
              <w:spacing w:before="0" w:after="0" w:line="360" w:lineRule="auto"/>
              <w:rPr>
                <w:rFonts w:ascii="宋体" w:hAnsi="宋体" w:eastAsia="宋体"/>
                <w:b w:val="0"/>
                <w:bCs w:val="0"/>
                <w:color w:val="000000"/>
                <w:sz w:val="21"/>
                <w:szCs w:val="21"/>
                <w:highlight w:val="none"/>
              </w:rPr>
            </w:pPr>
            <w:bookmarkStart w:id="37" w:name="_Toc108539712"/>
            <w:bookmarkStart w:id="38" w:name="_Toc8891"/>
            <w:r>
              <w:rPr>
                <w:rFonts w:ascii="宋体" w:hAnsi="宋体" w:eastAsia="宋体"/>
                <w:b w:val="0"/>
                <w:bCs w:val="0"/>
                <w:color w:val="000000"/>
                <w:sz w:val="21"/>
                <w:szCs w:val="21"/>
                <w:highlight w:val="none"/>
              </w:rPr>
              <w:t>质量要求：</w:t>
            </w:r>
            <w:bookmarkEnd w:id="37"/>
            <w:bookmarkEnd w:id="38"/>
            <w:r>
              <w:rPr>
                <w:rFonts w:hint="eastAsia" w:ascii="宋体" w:hAnsi="宋体" w:eastAsia="宋体"/>
                <w:b w:val="0"/>
                <w:bCs w:val="0"/>
                <w:color w:val="000000"/>
                <w:sz w:val="21"/>
                <w:szCs w:val="21"/>
                <w:highlight w:val="none"/>
              </w:rPr>
              <w:t>达到国家施工验收规范合格标准</w:t>
            </w:r>
          </w:p>
          <w:p w14:paraId="58FE81E6">
            <w:pPr>
              <w:pStyle w:val="11"/>
              <w:spacing w:before="0" w:after="0" w:line="360" w:lineRule="auto"/>
              <w:rPr>
                <w:rFonts w:hint="eastAsia" w:ascii="宋体" w:hAnsi="宋体" w:eastAsia="宋体"/>
                <w:b w:val="0"/>
                <w:bCs w:val="0"/>
                <w:color w:val="000000"/>
                <w:sz w:val="21"/>
                <w:szCs w:val="21"/>
                <w:highlight w:val="none"/>
              </w:rPr>
            </w:pPr>
            <w:bookmarkStart w:id="39" w:name="_Toc108539713"/>
            <w:bookmarkStart w:id="40" w:name="_Toc6911"/>
            <w:r>
              <w:rPr>
                <w:rFonts w:hint="eastAsia" w:ascii="宋体" w:hAnsi="宋体" w:eastAsia="宋体"/>
                <w:b w:val="0"/>
                <w:bCs w:val="0"/>
                <w:color w:val="000000"/>
                <w:sz w:val="21"/>
                <w:szCs w:val="21"/>
                <w:highlight w:val="none"/>
              </w:rPr>
              <w:t>采购方式：竞争性磋商</w:t>
            </w:r>
            <w:bookmarkEnd w:id="39"/>
            <w:bookmarkEnd w:id="40"/>
          </w:p>
        </w:tc>
      </w:tr>
      <w:tr w14:paraId="5E31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3EFE214B">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654" w:type="dxa"/>
            <w:vAlign w:val="center"/>
          </w:tcPr>
          <w:p w14:paraId="3C3D38D7">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1.2</w:t>
            </w:r>
          </w:p>
        </w:tc>
        <w:tc>
          <w:tcPr>
            <w:tcW w:w="8194" w:type="dxa"/>
            <w:vAlign w:val="center"/>
          </w:tcPr>
          <w:p w14:paraId="7536C07F">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采购人：</w:t>
            </w:r>
            <w:r>
              <w:rPr>
                <w:rFonts w:hint="eastAsia" w:ascii="宋体" w:hAnsi="宋体"/>
                <w:color w:val="000000"/>
                <w:szCs w:val="21"/>
                <w:highlight w:val="none"/>
                <w:lang w:eastAsia="zh-CN"/>
              </w:rPr>
              <w:t>梧州市长洲区发展和改革局</w:t>
            </w:r>
          </w:p>
          <w:p w14:paraId="0D2377FC">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地  址：</w:t>
            </w:r>
            <w:r>
              <w:rPr>
                <w:rFonts w:hint="eastAsia" w:ascii="宋体" w:hAnsi="宋体"/>
                <w:color w:val="000000"/>
                <w:szCs w:val="21"/>
                <w:highlight w:val="none"/>
                <w:lang w:eastAsia="zh-CN"/>
              </w:rPr>
              <w:t>梧州市长洲区新兴二路193号</w:t>
            </w:r>
          </w:p>
          <w:p w14:paraId="5A456461">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联系人及联系方式：</w:t>
            </w:r>
            <w:r>
              <w:rPr>
                <w:rFonts w:hint="eastAsia"/>
                <w:color w:val="000000"/>
                <w:highlight w:val="none"/>
                <w:lang w:eastAsia="zh-CN"/>
              </w:rPr>
              <w:t>黎生，</w:t>
            </w:r>
            <w:r>
              <w:rPr>
                <w:rFonts w:hint="eastAsia" w:ascii="宋体" w:hAnsi="宋体" w:eastAsia="宋体"/>
                <w:color w:val="000000"/>
                <w:szCs w:val="21"/>
                <w:highlight w:val="none"/>
                <w:lang w:val="en-US" w:eastAsia="zh-CN"/>
              </w:rPr>
              <w:t>0774—3868070</w:t>
            </w:r>
          </w:p>
        </w:tc>
      </w:tr>
      <w:tr w14:paraId="0AA0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72D05FCB">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654" w:type="dxa"/>
            <w:vAlign w:val="center"/>
          </w:tcPr>
          <w:p w14:paraId="39A21E63">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1.3</w:t>
            </w:r>
          </w:p>
        </w:tc>
        <w:tc>
          <w:tcPr>
            <w:tcW w:w="8194" w:type="dxa"/>
            <w:vAlign w:val="center"/>
          </w:tcPr>
          <w:p w14:paraId="4D8B8F06">
            <w:pPr>
              <w:spacing w:line="360" w:lineRule="auto"/>
              <w:ind w:firstLine="105" w:firstLineChars="50"/>
              <w:rPr>
                <w:rFonts w:hint="eastAsia" w:ascii="宋体" w:hAnsi="宋体" w:eastAsia="宋体"/>
                <w:color w:val="000000"/>
                <w:szCs w:val="21"/>
                <w:highlight w:val="none"/>
              </w:rPr>
            </w:pPr>
            <w:r>
              <w:rPr>
                <w:rFonts w:hint="eastAsia" w:ascii="宋体" w:hAnsi="宋体" w:eastAsia="宋体"/>
                <w:color w:val="000000"/>
                <w:szCs w:val="21"/>
                <w:highlight w:val="none"/>
              </w:rPr>
              <w:t>采购代理机构：</w:t>
            </w:r>
            <w:r>
              <w:rPr>
                <w:rFonts w:hint="eastAsia" w:ascii="宋体" w:hAnsi="宋体"/>
                <w:color w:val="000000"/>
                <w:szCs w:val="21"/>
                <w:highlight w:val="none"/>
                <w:lang w:eastAsia="zh-CN"/>
              </w:rPr>
              <w:t>梧州市丰胜工程咨询有限公司</w:t>
            </w:r>
          </w:p>
          <w:p w14:paraId="359D980E">
            <w:pPr>
              <w:spacing w:line="360" w:lineRule="auto"/>
              <w:ind w:firstLine="105" w:firstLineChars="50"/>
              <w:rPr>
                <w:rFonts w:hint="eastAsia" w:ascii="宋体" w:hAnsi="宋体" w:eastAsia="宋体"/>
                <w:color w:val="000000"/>
                <w:szCs w:val="21"/>
                <w:highlight w:val="none"/>
              </w:rPr>
            </w:pPr>
            <w:r>
              <w:rPr>
                <w:rFonts w:hint="eastAsia" w:ascii="宋体" w:hAnsi="宋体" w:eastAsia="宋体"/>
                <w:color w:val="000000"/>
                <w:szCs w:val="21"/>
                <w:highlight w:val="none"/>
              </w:rPr>
              <w:t>地  址：</w:t>
            </w:r>
            <w:r>
              <w:rPr>
                <w:rFonts w:hint="eastAsia" w:ascii="宋体" w:hAnsi="宋体"/>
                <w:color w:val="000000"/>
                <w:szCs w:val="21"/>
                <w:highlight w:val="none"/>
                <w:lang w:val="en-US" w:eastAsia="zh-CN"/>
              </w:rPr>
              <w:t>广西梧州市长洲区红岭十八号路旁九层综合大楼(爱国拥军大厦)5楼501号</w:t>
            </w:r>
          </w:p>
          <w:p w14:paraId="6A3BF2BE">
            <w:pPr>
              <w:spacing w:line="360" w:lineRule="auto"/>
              <w:ind w:firstLine="105" w:firstLineChars="50"/>
              <w:rPr>
                <w:rFonts w:hint="eastAsia" w:ascii="宋体" w:hAnsi="宋体" w:eastAsia="宋体"/>
                <w:color w:val="000000"/>
                <w:szCs w:val="21"/>
                <w:highlight w:val="none"/>
              </w:rPr>
            </w:pPr>
            <w:r>
              <w:rPr>
                <w:rFonts w:hint="eastAsia" w:ascii="宋体" w:hAnsi="宋体" w:eastAsia="宋体"/>
                <w:color w:val="000000"/>
                <w:szCs w:val="21"/>
                <w:highlight w:val="none"/>
              </w:rPr>
              <w:t>联系人及电话：</w:t>
            </w:r>
            <w:r>
              <w:rPr>
                <w:rFonts w:hint="eastAsia" w:ascii="宋体" w:hAnsi="宋体"/>
                <w:color w:val="000000"/>
                <w:szCs w:val="21"/>
                <w:highlight w:val="none"/>
                <w:lang w:val="en-US" w:eastAsia="zh-CN"/>
              </w:rPr>
              <w:t>龚玉玲</w:t>
            </w:r>
            <w:r>
              <w:rPr>
                <w:rFonts w:hint="eastAsia" w:ascii="宋体" w:hAnsi="宋体" w:eastAsia="宋体"/>
                <w:color w:val="000000"/>
                <w:szCs w:val="21"/>
                <w:highlight w:val="none"/>
              </w:rPr>
              <w:t>，</w:t>
            </w:r>
            <w:r>
              <w:rPr>
                <w:rFonts w:hint="eastAsia" w:ascii="宋体" w:hAnsi="宋体"/>
                <w:color w:val="000000"/>
                <w:szCs w:val="21"/>
                <w:highlight w:val="none"/>
                <w:lang w:eastAsia="zh-CN"/>
              </w:rPr>
              <w:t>0774-2825966</w:t>
            </w:r>
          </w:p>
        </w:tc>
      </w:tr>
      <w:tr w14:paraId="65D4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739D981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654" w:type="dxa"/>
            <w:vAlign w:val="center"/>
          </w:tcPr>
          <w:p w14:paraId="6CB2172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1.4</w:t>
            </w:r>
          </w:p>
        </w:tc>
        <w:tc>
          <w:tcPr>
            <w:tcW w:w="8194" w:type="dxa"/>
            <w:vAlign w:val="center"/>
          </w:tcPr>
          <w:p w14:paraId="10C225FC">
            <w:pPr>
              <w:pStyle w:val="136"/>
              <w:snapToGrid w:val="0"/>
              <w:spacing w:line="360" w:lineRule="auto"/>
              <w:rPr>
                <w:rFonts w:hint="eastAsia" w:hAnsi="宋体"/>
                <w:color w:val="000000"/>
                <w:szCs w:val="21"/>
                <w:highlight w:val="none"/>
              </w:rPr>
            </w:pPr>
            <w:r>
              <w:rPr>
                <w:rFonts w:hint="eastAsia" w:hAnsi="宋体"/>
                <w:color w:val="000000"/>
                <w:szCs w:val="21"/>
                <w:highlight w:val="none"/>
              </w:rPr>
              <w:t>监督部门：</w:t>
            </w:r>
            <w:r>
              <w:rPr>
                <w:rFonts w:hint="eastAsia" w:hAnsi="宋体"/>
                <w:color w:val="000000"/>
                <w:szCs w:val="21"/>
                <w:highlight w:val="none"/>
                <w:lang w:eastAsia="zh-CN"/>
              </w:rPr>
              <w:t>梧州市长洲区财政局政采办</w:t>
            </w:r>
            <w:r>
              <w:rPr>
                <w:rFonts w:hint="eastAsia" w:hAnsi="宋体"/>
                <w:color w:val="000000"/>
                <w:szCs w:val="21"/>
                <w:highlight w:val="none"/>
              </w:rPr>
              <w:t>（电话：</w:t>
            </w:r>
            <w:r>
              <w:rPr>
                <w:rFonts w:hint="eastAsia" w:hAnsi="宋体"/>
                <w:color w:val="000000"/>
                <w:szCs w:val="21"/>
                <w:highlight w:val="none"/>
                <w:lang w:eastAsia="zh-CN"/>
              </w:rPr>
              <w:t>0774-3860212</w:t>
            </w:r>
            <w:r>
              <w:rPr>
                <w:rFonts w:hint="eastAsia" w:hAnsi="宋体"/>
                <w:color w:val="000000"/>
                <w:szCs w:val="21"/>
                <w:highlight w:val="none"/>
              </w:rPr>
              <w:t>）</w:t>
            </w:r>
          </w:p>
        </w:tc>
      </w:tr>
      <w:tr w14:paraId="3FEE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036ED114">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654" w:type="dxa"/>
            <w:vAlign w:val="center"/>
          </w:tcPr>
          <w:p w14:paraId="511B8555">
            <w:pPr>
              <w:snapToGrid w:val="0"/>
              <w:spacing w:line="360" w:lineRule="auto"/>
              <w:jc w:val="center"/>
              <w:rPr>
                <w:rFonts w:hint="eastAsia" w:ascii="宋体" w:hAnsi="宋体"/>
                <w:color w:val="000000"/>
                <w:sz w:val="18"/>
                <w:szCs w:val="18"/>
                <w:highlight w:val="none"/>
              </w:rPr>
            </w:pPr>
            <w:r>
              <w:rPr>
                <w:rFonts w:hint="eastAsia" w:ascii="宋体" w:hAnsi="宋体"/>
                <w:color w:val="000000"/>
                <w:sz w:val="18"/>
                <w:szCs w:val="18"/>
                <w:highlight w:val="none"/>
              </w:rPr>
              <w:t>2.1</w:t>
            </w:r>
          </w:p>
        </w:tc>
        <w:tc>
          <w:tcPr>
            <w:tcW w:w="8194" w:type="dxa"/>
            <w:vAlign w:val="top"/>
          </w:tcPr>
          <w:p w14:paraId="568072DE">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合格的磋商供应商资格要求：</w:t>
            </w:r>
          </w:p>
          <w:p w14:paraId="2BCF2438">
            <w:pPr>
              <w:spacing w:line="360" w:lineRule="auto"/>
              <w:ind w:firstLine="630" w:firstLineChars="300"/>
              <w:rPr>
                <w:rFonts w:hint="eastAsia" w:ascii="宋体" w:hAnsi="宋体"/>
                <w:color w:val="000000"/>
                <w:szCs w:val="21"/>
                <w:highlight w:val="none"/>
              </w:rPr>
            </w:pPr>
            <w:r>
              <w:rPr>
                <w:rFonts w:hint="eastAsia" w:ascii="宋体" w:hAnsi="宋体"/>
                <w:color w:val="000000"/>
                <w:szCs w:val="21"/>
                <w:highlight w:val="none"/>
              </w:rPr>
              <w:t>1.满足《中华人民共和国政府采购法》第二十二条规定；</w:t>
            </w:r>
          </w:p>
          <w:p w14:paraId="1A89A1CA">
            <w:pPr>
              <w:spacing w:line="360" w:lineRule="auto"/>
              <w:ind w:firstLine="630" w:firstLineChars="300"/>
              <w:rPr>
                <w:rFonts w:hint="eastAsia" w:ascii="宋体" w:hAnsi="宋体"/>
                <w:color w:val="000000"/>
                <w:szCs w:val="21"/>
                <w:highlight w:val="none"/>
              </w:rPr>
            </w:pPr>
            <w:r>
              <w:rPr>
                <w:rFonts w:hint="eastAsia" w:ascii="宋体" w:hAnsi="宋体"/>
                <w:color w:val="000000"/>
                <w:szCs w:val="21"/>
                <w:highlight w:val="none"/>
              </w:rPr>
              <w:t>2.落实政府采购政策需满足的资格要求：分标1：供应商为小微企业；</w:t>
            </w:r>
          </w:p>
          <w:p w14:paraId="3E80EE42">
            <w:pPr>
              <w:spacing w:line="360" w:lineRule="auto"/>
              <w:ind w:firstLine="630" w:firstLineChars="300"/>
              <w:rPr>
                <w:rFonts w:hint="eastAsia" w:ascii="宋体" w:hAnsi="宋体"/>
                <w:color w:val="000000"/>
                <w:szCs w:val="21"/>
                <w:highlight w:val="none"/>
              </w:rPr>
            </w:pPr>
            <w:r>
              <w:rPr>
                <w:rFonts w:hint="eastAsia" w:ascii="宋体" w:hAnsi="宋体"/>
                <w:color w:val="000000"/>
                <w:szCs w:val="21"/>
                <w:highlight w:val="none"/>
              </w:rPr>
              <w:t>3.本项目的特定资格要求：</w:t>
            </w:r>
          </w:p>
          <w:p w14:paraId="6AF9ABD9">
            <w:pPr>
              <w:spacing w:line="360" w:lineRule="auto"/>
              <w:ind w:firstLine="630" w:firstLineChars="300"/>
              <w:rPr>
                <w:rFonts w:hint="eastAsia" w:ascii="宋体" w:hAnsi="宋体"/>
                <w:color w:val="000000"/>
                <w:szCs w:val="21"/>
                <w:highlight w:val="none"/>
              </w:rPr>
            </w:pPr>
            <w:r>
              <w:rPr>
                <w:rFonts w:hint="eastAsia" w:ascii="宋体" w:hAnsi="宋体"/>
                <w:color w:val="000000"/>
                <w:szCs w:val="21"/>
                <w:highlight w:val="none"/>
              </w:rPr>
              <w:t>①具备市政公用工程施工总承包叁级以上（含叁级）资质，并在人员、设备、资金等方面具有相应的施工能力。</w:t>
            </w:r>
          </w:p>
          <w:p w14:paraId="53488475">
            <w:pPr>
              <w:spacing w:line="360" w:lineRule="auto"/>
              <w:ind w:firstLine="630" w:firstLineChars="300"/>
              <w:rPr>
                <w:rFonts w:hint="eastAsia" w:ascii="宋体" w:hAnsi="宋体"/>
                <w:color w:val="000000"/>
                <w:szCs w:val="21"/>
                <w:highlight w:val="none"/>
              </w:rPr>
            </w:pPr>
            <w:r>
              <w:rPr>
                <w:rFonts w:hint="eastAsia" w:ascii="宋体" w:hAnsi="宋体"/>
                <w:color w:val="000000"/>
                <w:szCs w:val="21"/>
                <w:highlight w:val="none"/>
              </w:rPr>
              <w:t>②拟投入本项目的项目经理必须具有市政公用工程专业贰级以上（含贰级）注册建造师执业资格，具备有效的安全生产考核合格证书（B类）</w:t>
            </w:r>
            <w:r>
              <w:rPr>
                <w:rFonts w:hint="eastAsia" w:ascii="宋体" w:hAnsi="宋体"/>
                <w:color w:val="000000"/>
                <w:szCs w:val="21"/>
                <w:highlight w:val="none"/>
                <w:lang w:eastAsia="zh-CN"/>
              </w:rPr>
              <w:t>。</w:t>
            </w:r>
          </w:p>
          <w:p w14:paraId="320365BA">
            <w:pPr>
              <w:spacing w:line="360" w:lineRule="auto"/>
              <w:ind w:firstLine="630" w:firstLineChars="300"/>
              <w:rPr>
                <w:rFonts w:hint="eastAsia" w:ascii="宋体" w:hAnsi="宋体"/>
                <w:color w:val="000000"/>
                <w:szCs w:val="21"/>
                <w:highlight w:val="none"/>
              </w:rPr>
            </w:pPr>
            <w:r>
              <w:rPr>
                <w:rFonts w:hint="eastAsia" w:ascii="宋体" w:hAnsi="宋体"/>
                <w:color w:val="000000"/>
                <w:szCs w:val="21"/>
                <w:highlight w:val="none"/>
              </w:rPr>
              <w:t xml:space="preserve">③拟投入施工项目专职安全生产管理人员需具备有效的安全生产考核合格证书（C类），人数符合住房和城乡建设部《建筑施工企业安全生产管理机构设置及专职安全生产管理人员配备办法》（建质〔2008〕91号）的规定不少于1人。 </w:t>
            </w:r>
          </w:p>
          <w:p w14:paraId="1A108D08">
            <w:pPr>
              <w:spacing w:line="360" w:lineRule="auto"/>
              <w:ind w:firstLine="630" w:firstLineChars="300"/>
              <w:rPr>
                <w:rFonts w:hint="eastAsia" w:ascii="宋体" w:hAnsi="宋体"/>
                <w:color w:val="000000"/>
                <w:szCs w:val="21"/>
                <w:highlight w:val="none"/>
              </w:rPr>
            </w:pPr>
            <w:r>
              <w:rPr>
                <w:rFonts w:hint="eastAsia" w:ascii="宋体" w:hAnsi="宋体"/>
                <w:color w:val="000000"/>
                <w:szCs w:val="21"/>
                <w:highlight w:val="none"/>
              </w:rPr>
              <w:t>4.本项目不接受联合体磋商。</w:t>
            </w:r>
          </w:p>
        </w:tc>
      </w:tr>
      <w:tr w14:paraId="5821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99CA754">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654" w:type="dxa"/>
            <w:vAlign w:val="center"/>
          </w:tcPr>
          <w:p w14:paraId="2006D44E">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11</w:t>
            </w:r>
          </w:p>
        </w:tc>
        <w:tc>
          <w:tcPr>
            <w:tcW w:w="8194" w:type="dxa"/>
            <w:vAlign w:val="center"/>
          </w:tcPr>
          <w:p w14:paraId="666B4F72">
            <w:pPr>
              <w:pStyle w:val="44"/>
              <w:snapToGrid w:val="0"/>
              <w:spacing w:line="360" w:lineRule="auto"/>
              <w:rPr>
                <w:rFonts w:hAnsi="宋体"/>
                <w:b/>
                <w:color w:val="000000"/>
                <w:highlight w:val="none"/>
              </w:rPr>
            </w:pPr>
            <w:r>
              <w:rPr>
                <w:rFonts w:hAnsi="宋体"/>
                <w:b/>
                <w:color w:val="000000"/>
                <w:highlight w:val="none"/>
              </w:rPr>
              <w:t>磋商报价:</w:t>
            </w:r>
          </w:p>
          <w:p w14:paraId="536607DA">
            <w:pPr>
              <w:pStyle w:val="44"/>
              <w:snapToGrid w:val="0"/>
              <w:spacing w:line="360" w:lineRule="auto"/>
              <w:rPr>
                <w:rFonts w:hAnsi="宋体"/>
                <w:color w:val="000000"/>
                <w:szCs w:val="20"/>
                <w:highlight w:val="none"/>
              </w:rPr>
            </w:pPr>
            <w:r>
              <w:rPr>
                <w:rFonts w:hAnsi="宋体"/>
                <w:color w:val="000000"/>
                <w:szCs w:val="20"/>
                <w:highlight w:val="none"/>
              </w:rPr>
              <w:t>报价方案是唯一确定的，否则将被视为无效磋商。</w:t>
            </w:r>
          </w:p>
          <w:p w14:paraId="647B9D79">
            <w:pPr>
              <w:rPr>
                <w:rFonts w:hint="eastAsia"/>
                <w:color w:val="000000"/>
                <w:highlight w:val="none"/>
              </w:rPr>
            </w:pPr>
            <w:r>
              <w:rPr>
                <w:rFonts w:hint="eastAsia"/>
                <w:color w:val="000000"/>
                <w:highlight w:val="none"/>
              </w:rPr>
              <w:t>本项目设</w:t>
            </w:r>
            <w:r>
              <w:rPr>
                <w:rFonts w:hint="eastAsia" w:ascii="宋体" w:hAnsi="宋体" w:eastAsia="宋体"/>
                <w:color w:val="000000"/>
                <w:highlight w:val="none"/>
              </w:rPr>
              <w:t>招标控</w:t>
            </w:r>
            <w:r>
              <w:rPr>
                <w:rFonts w:hint="eastAsia" w:ascii="宋体" w:hAnsi="宋体" w:eastAsia="宋体"/>
                <w:color w:val="000000"/>
                <w:highlight w:val="none"/>
                <w:u w:val="none"/>
              </w:rPr>
              <w:t>制价：</w:t>
            </w:r>
            <w:r>
              <w:rPr>
                <w:rFonts w:hint="eastAsia" w:ascii="宋体" w:hAnsi="宋体" w:eastAsia="宋体"/>
                <w:b/>
                <w:color w:val="000000"/>
                <w:highlight w:val="none"/>
                <w:u w:val="none"/>
              </w:rPr>
              <w:t>人民币（大写）</w:t>
            </w:r>
            <w:r>
              <w:rPr>
                <w:rFonts w:hint="eastAsia" w:ascii="宋体" w:hAnsi="宋体" w:eastAsia="宋体"/>
                <w:b/>
                <w:color w:val="000000"/>
                <w:highlight w:val="none"/>
                <w:u w:val="none"/>
                <w:lang w:eastAsia="zh-CN"/>
              </w:rPr>
              <w:t>壹佰陆拾伍万柒仟捌佰壹拾贰元贰角肆分（</w:t>
            </w:r>
            <w:r>
              <w:rPr>
                <w:rFonts w:hint="eastAsia" w:ascii="宋体" w:hAnsi="宋体" w:eastAsia="宋体"/>
                <w:b/>
                <w:color w:val="000000"/>
                <w:highlight w:val="none"/>
                <w:u w:val="none"/>
              </w:rPr>
              <w:t>￥1657812.24</w:t>
            </w:r>
            <w:r>
              <w:rPr>
                <w:rFonts w:hint="eastAsia" w:ascii="宋体" w:hAnsi="宋体" w:eastAsia="宋体"/>
                <w:b/>
                <w:color w:val="000000"/>
                <w:highlight w:val="none"/>
                <w:u w:val="none"/>
                <w:lang w:eastAsia="zh-CN"/>
              </w:rPr>
              <w:t>）</w:t>
            </w:r>
            <w:r>
              <w:rPr>
                <w:rFonts w:hint="eastAsia" w:ascii="宋体" w:hAnsi="宋体" w:eastAsia="宋体"/>
                <w:color w:val="000000"/>
                <w:highlight w:val="none"/>
                <w:u w:val="none"/>
              </w:rPr>
              <w:t>，如供应商</w:t>
            </w:r>
            <w:r>
              <w:rPr>
                <w:rFonts w:hint="eastAsia" w:ascii="宋体" w:hAnsi="宋体" w:eastAsia="宋体"/>
                <w:color w:val="000000"/>
                <w:highlight w:val="none"/>
              </w:rPr>
              <w:t>磋商报价超</w:t>
            </w:r>
            <w:r>
              <w:rPr>
                <w:rFonts w:hint="eastAsia"/>
                <w:color w:val="000000"/>
                <w:highlight w:val="none"/>
              </w:rPr>
              <w:t>过招标控制价，其响应文件作无效处理。</w:t>
            </w:r>
          </w:p>
        </w:tc>
      </w:tr>
      <w:tr w14:paraId="3BB3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33568121">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654" w:type="dxa"/>
            <w:vAlign w:val="center"/>
          </w:tcPr>
          <w:p w14:paraId="70BDE4C3">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12.1</w:t>
            </w:r>
          </w:p>
        </w:tc>
        <w:tc>
          <w:tcPr>
            <w:tcW w:w="8194" w:type="dxa"/>
            <w:vAlign w:val="center"/>
          </w:tcPr>
          <w:p w14:paraId="09CF82F9">
            <w:pPr>
              <w:pStyle w:val="44"/>
              <w:snapToGrid w:val="0"/>
              <w:spacing w:line="360" w:lineRule="auto"/>
              <w:ind w:left="1037" w:hanging="1037" w:hangingChars="494"/>
              <w:rPr>
                <w:rFonts w:hAnsi="宋体"/>
                <w:color w:val="000000"/>
                <w:highlight w:val="none"/>
              </w:rPr>
            </w:pPr>
            <w:r>
              <w:rPr>
                <w:rFonts w:hAnsi="宋体"/>
                <w:color w:val="000000"/>
                <w:highlight w:val="none"/>
              </w:rPr>
              <w:t>磋商有效期：磋商截止日起60天</w:t>
            </w:r>
          </w:p>
        </w:tc>
      </w:tr>
      <w:tr w14:paraId="38BC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4CD541E9">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8</w:t>
            </w:r>
          </w:p>
        </w:tc>
        <w:tc>
          <w:tcPr>
            <w:tcW w:w="654" w:type="dxa"/>
            <w:vAlign w:val="center"/>
          </w:tcPr>
          <w:p w14:paraId="69E6D9DF">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13.5</w:t>
            </w:r>
          </w:p>
        </w:tc>
        <w:tc>
          <w:tcPr>
            <w:tcW w:w="8194" w:type="dxa"/>
            <w:vAlign w:val="center"/>
          </w:tcPr>
          <w:p w14:paraId="042D3E9D">
            <w:pPr>
              <w:spacing w:line="360" w:lineRule="auto"/>
              <w:rPr>
                <w:rFonts w:ascii="宋体" w:hAnsi="宋体"/>
                <w:color w:val="000000"/>
                <w:highlight w:val="none"/>
              </w:rPr>
            </w:pPr>
            <w:r>
              <w:rPr>
                <w:rFonts w:ascii="宋体" w:hAnsi="宋体"/>
                <w:color w:val="000000"/>
                <w:highlight w:val="none"/>
              </w:rPr>
              <w:t>响应文件份数：电子加密响应文件在线上传提交一份。</w:t>
            </w:r>
          </w:p>
        </w:tc>
      </w:tr>
      <w:tr w14:paraId="6514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36" w:type="dxa"/>
            <w:vAlign w:val="center"/>
          </w:tcPr>
          <w:p w14:paraId="5423DEA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9</w:t>
            </w:r>
          </w:p>
        </w:tc>
        <w:tc>
          <w:tcPr>
            <w:tcW w:w="654" w:type="dxa"/>
            <w:vAlign w:val="center"/>
          </w:tcPr>
          <w:p w14:paraId="7E7F962E">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14.1</w:t>
            </w:r>
          </w:p>
        </w:tc>
        <w:tc>
          <w:tcPr>
            <w:tcW w:w="8194" w:type="dxa"/>
            <w:vAlign w:val="center"/>
          </w:tcPr>
          <w:p w14:paraId="65FF6A63">
            <w:pPr>
              <w:pStyle w:val="44"/>
              <w:spacing w:line="360" w:lineRule="auto"/>
              <w:rPr>
                <w:rFonts w:hAnsi="宋体"/>
                <w:color w:val="000000"/>
                <w:highlight w:val="none"/>
              </w:rPr>
            </w:pPr>
            <w:r>
              <w:rPr>
                <w:rFonts w:hAnsi="宋体"/>
                <w:color w:val="000000"/>
                <w:highlight w:val="none"/>
              </w:rPr>
              <w:t>1、磋商保证金金额为人民币</w:t>
            </w:r>
            <w:r>
              <w:rPr>
                <w:rFonts w:hint="eastAsia" w:hAnsi="宋体"/>
                <w:color w:val="000000"/>
                <w:highlight w:val="none"/>
                <w:lang w:eastAsia="zh-CN"/>
              </w:rPr>
              <w:t>：无。</w:t>
            </w:r>
          </w:p>
          <w:p w14:paraId="51803E6B">
            <w:pPr>
              <w:pStyle w:val="44"/>
              <w:spacing w:line="360" w:lineRule="auto"/>
              <w:rPr>
                <w:rFonts w:hAnsi="宋体"/>
                <w:color w:val="000000"/>
                <w:highlight w:val="none"/>
              </w:rPr>
            </w:pPr>
            <w:r>
              <w:rPr>
                <w:rFonts w:hAnsi="宋体"/>
                <w:color w:val="000000"/>
                <w:highlight w:val="none"/>
              </w:rPr>
              <w:t>2、提交方式：银行转账、网上支付、支票、汇票、本票或者金融机构、担保机构出具的保函等非转帐金形式。</w:t>
            </w:r>
          </w:p>
          <w:p w14:paraId="36D3FB27">
            <w:pPr>
              <w:pStyle w:val="44"/>
              <w:spacing w:line="360" w:lineRule="auto"/>
              <w:rPr>
                <w:rFonts w:hAnsi="宋体"/>
                <w:color w:val="000000"/>
                <w:highlight w:val="none"/>
              </w:rPr>
            </w:pPr>
            <w:r>
              <w:rPr>
                <w:rFonts w:hAnsi="宋体"/>
                <w:color w:val="000000"/>
                <w:highlight w:val="none"/>
              </w:rPr>
              <w:t>3、以银行转账或网上支付等方式提交磋商保证金的，从对公账户转账，并应于响应文件递交截止时间前交至以下账户，请务必在用途或备注栏注明事由“项目编号+磋商保证金”字样。</w:t>
            </w:r>
          </w:p>
          <w:p w14:paraId="698B38BD">
            <w:pPr>
              <w:pStyle w:val="44"/>
              <w:spacing w:line="360" w:lineRule="auto"/>
              <w:ind w:firstLine="420" w:firstLineChars="200"/>
              <w:rPr>
                <w:rFonts w:hint="eastAsia" w:hAnsi="宋体" w:eastAsia="宋体"/>
                <w:color w:val="000000"/>
                <w:highlight w:val="none"/>
                <w:lang w:val="en-US" w:eastAsia="zh-CN"/>
              </w:rPr>
            </w:pPr>
            <w:r>
              <w:rPr>
                <w:rFonts w:hAnsi="宋体"/>
                <w:color w:val="000000"/>
                <w:highlight w:val="none"/>
              </w:rPr>
              <w:t>开户名称：</w:t>
            </w:r>
            <w:r>
              <w:rPr>
                <w:rFonts w:hint="eastAsia" w:hAnsi="宋体"/>
                <w:color w:val="000000"/>
                <w:highlight w:val="none"/>
                <w:lang w:val="en-US" w:eastAsia="zh-CN"/>
              </w:rPr>
              <w:t>/</w:t>
            </w:r>
          </w:p>
          <w:p w14:paraId="6C0668B6">
            <w:pPr>
              <w:pStyle w:val="44"/>
              <w:spacing w:line="360" w:lineRule="auto"/>
              <w:ind w:firstLine="420" w:firstLineChars="200"/>
              <w:rPr>
                <w:rFonts w:hint="eastAsia" w:hAnsi="宋体" w:eastAsia="宋体"/>
                <w:color w:val="000000"/>
                <w:highlight w:val="none"/>
                <w:lang w:val="en-US" w:eastAsia="zh-CN"/>
              </w:rPr>
            </w:pPr>
            <w:r>
              <w:rPr>
                <w:rFonts w:hAnsi="宋体"/>
                <w:color w:val="000000"/>
                <w:highlight w:val="none"/>
              </w:rPr>
              <w:t>开户银行：</w:t>
            </w:r>
            <w:r>
              <w:rPr>
                <w:rFonts w:hint="eastAsia" w:hAnsi="宋体"/>
                <w:color w:val="000000"/>
                <w:highlight w:val="none"/>
                <w:lang w:val="en-US" w:eastAsia="zh-CN"/>
              </w:rPr>
              <w:t>/</w:t>
            </w:r>
          </w:p>
          <w:p w14:paraId="1CD5ABD3">
            <w:pPr>
              <w:pStyle w:val="44"/>
              <w:spacing w:line="360" w:lineRule="auto"/>
              <w:ind w:firstLine="420" w:firstLineChars="200"/>
              <w:rPr>
                <w:rFonts w:hint="default" w:hAnsi="宋体"/>
                <w:color w:val="000000"/>
                <w:highlight w:val="none"/>
                <w:lang w:val="en-US"/>
              </w:rPr>
            </w:pPr>
            <w:r>
              <w:rPr>
                <w:rFonts w:hAnsi="宋体"/>
                <w:color w:val="000000"/>
                <w:highlight w:val="none"/>
              </w:rPr>
              <w:t>银行帐号：</w:t>
            </w:r>
            <w:r>
              <w:rPr>
                <w:rFonts w:hint="eastAsia" w:hAnsi="宋体"/>
                <w:color w:val="000000"/>
                <w:highlight w:val="none"/>
                <w:lang w:val="en-US" w:eastAsia="zh-CN"/>
              </w:rPr>
              <w:t>/</w:t>
            </w:r>
          </w:p>
          <w:p w14:paraId="66DB8E7A">
            <w:pPr>
              <w:pStyle w:val="44"/>
              <w:spacing w:line="360" w:lineRule="auto"/>
              <w:rPr>
                <w:rFonts w:hAnsi="宋体"/>
                <w:color w:val="000000"/>
                <w:highlight w:val="none"/>
              </w:rPr>
            </w:pPr>
            <w:r>
              <w:rPr>
                <w:rFonts w:hAnsi="宋体"/>
                <w:color w:val="000000"/>
                <w:highlight w:val="none"/>
              </w:rPr>
              <w:t>4、以支票、汇票、本票或保函等方式提交磋商保证金的，应于响应文件提交截止时间前提交票据或保函原件。</w:t>
            </w:r>
          </w:p>
          <w:p w14:paraId="1808744C">
            <w:pPr>
              <w:pStyle w:val="44"/>
              <w:snapToGrid w:val="0"/>
              <w:spacing w:line="360" w:lineRule="auto"/>
              <w:rPr>
                <w:rFonts w:hAnsi="宋体"/>
                <w:color w:val="000000"/>
                <w:highlight w:val="none"/>
              </w:rPr>
            </w:pPr>
            <w:r>
              <w:rPr>
                <w:rFonts w:hAnsi="宋体"/>
                <w:color w:val="000000"/>
                <w:highlight w:val="none"/>
              </w:rPr>
              <w:t>备注：供应商如需开具收据的，请在截标会议结束后自行到</w:t>
            </w:r>
            <w:r>
              <w:rPr>
                <w:rFonts w:hint="eastAsia" w:hAnsi="宋体"/>
                <w:color w:val="000000"/>
                <w:highlight w:val="none"/>
                <w:lang w:val="en-US" w:eastAsia="zh-CN"/>
              </w:rPr>
              <w:t>采购代理机构</w:t>
            </w:r>
            <w:r>
              <w:rPr>
                <w:rFonts w:hAnsi="宋体"/>
                <w:color w:val="000000"/>
                <w:highlight w:val="none"/>
              </w:rPr>
              <w:t>财务部开具磋商保证金收据。</w:t>
            </w:r>
          </w:p>
        </w:tc>
      </w:tr>
      <w:tr w14:paraId="5622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2D91D30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10</w:t>
            </w:r>
          </w:p>
        </w:tc>
        <w:tc>
          <w:tcPr>
            <w:tcW w:w="654" w:type="dxa"/>
            <w:vAlign w:val="center"/>
          </w:tcPr>
          <w:p w14:paraId="4D97952B">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15</w:t>
            </w:r>
          </w:p>
        </w:tc>
        <w:tc>
          <w:tcPr>
            <w:tcW w:w="8194" w:type="dxa"/>
            <w:vAlign w:val="center"/>
          </w:tcPr>
          <w:p w14:paraId="5F768785">
            <w:pPr>
              <w:pStyle w:val="44"/>
              <w:numPr>
                <w:ilvl w:val="0"/>
                <w:numId w:val="2"/>
              </w:numPr>
              <w:spacing w:line="360" w:lineRule="auto"/>
              <w:rPr>
                <w:rFonts w:hAnsi="宋体"/>
                <w:color w:val="000000"/>
                <w:highlight w:val="none"/>
              </w:rPr>
            </w:pPr>
            <w:r>
              <w:rPr>
                <w:rFonts w:hAnsi="宋体"/>
                <w:color w:val="000000"/>
                <w:highlight w:val="none"/>
              </w:rPr>
              <w:t>响应文件上传和提交：本项目通过“广西政府采购云平台”（https://www.gcy.zfcg.gxzf.gov.cn/）实行在线响应（电子标），供应商应当在响应文件提交截止时间前，将生成的“电子加密响应文件”上传提交至“广西政府采购云平台”。</w:t>
            </w:r>
          </w:p>
          <w:p w14:paraId="7D3AA8D0">
            <w:pPr>
              <w:pStyle w:val="44"/>
              <w:spacing w:line="360" w:lineRule="auto"/>
              <w:rPr>
                <w:rFonts w:hAnsi="宋体"/>
                <w:color w:val="000000"/>
                <w:highlight w:val="none"/>
              </w:rPr>
            </w:pPr>
            <w:r>
              <w:rPr>
                <w:rFonts w:hAnsi="宋体"/>
                <w:color w:val="000000"/>
                <w:highlight w:val="none"/>
              </w:rPr>
              <w:t>2、响应文件提交截止时间：</w:t>
            </w:r>
            <w:r>
              <w:rPr>
                <w:rFonts w:hint="eastAsia" w:hAnsi="宋体"/>
                <w:color w:val="000000"/>
                <w:highlight w:val="none"/>
                <w:lang w:eastAsia="zh-CN"/>
              </w:rPr>
              <w:t>2025年 11月 17日09：30</w:t>
            </w:r>
            <w:r>
              <w:rPr>
                <w:rFonts w:hAnsi="宋体"/>
                <w:color w:val="000000"/>
                <w:highlight w:val="none"/>
              </w:rPr>
              <w:t>（北京时间）</w:t>
            </w:r>
          </w:p>
          <w:p w14:paraId="63A40D60">
            <w:pPr>
              <w:pStyle w:val="44"/>
              <w:snapToGrid w:val="0"/>
              <w:spacing w:line="360" w:lineRule="auto"/>
              <w:rPr>
                <w:rFonts w:hAnsi="宋体"/>
                <w:color w:val="000000"/>
                <w:highlight w:val="none"/>
              </w:rPr>
            </w:pPr>
            <w:r>
              <w:rPr>
                <w:rFonts w:hAnsi="宋体"/>
                <w:color w:val="000000"/>
                <w:highlight w:val="none"/>
              </w:rPr>
              <w:t>3、响应文件提交地点（网址）：本项目通过“广西政府采购云平台”（https://www.gcy.zfcg.gxzf.gov.cn/）实行在线磋商响应（电子投标），供应商应当在上传响应文件截止时间前，将生成的“电子加密响应文件”上传提交至“广西政府采购云平台”。</w:t>
            </w:r>
          </w:p>
        </w:tc>
      </w:tr>
      <w:tr w14:paraId="2E04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A453A6E">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11</w:t>
            </w:r>
          </w:p>
        </w:tc>
        <w:tc>
          <w:tcPr>
            <w:tcW w:w="654" w:type="dxa"/>
            <w:vAlign w:val="center"/>
          </w:tcPr>
          <w:p w14:paraId="673110D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9</w:t>
            </w:r>
          </w:p>
        </w:tc>
        <w:tc>
          <w:tcPr>
            <w:tcW w:w="8194" w:type="dxa"/>
            <w:vAlign w:val="center"/>
          </w:tcPr>
          <w:p w14:paraId="20B801C1">
            <w:pPr>
              <w:snapToGrid w:val="0"/>
              <w:spacing w:line="360" w:lineRule="auto"/>
              <w:ind w:right="-107" w:rightChars="-51"/>
              <w:rPr>
                <w:rFonts w:hint="eastAsia" w:ascii="宋体" w:hAnsi="宋体"/>
                <w:color w:val="000000"/>
                <w:szCs w:val="21"/>
                <w:highlight w:val="none"/>
              </w:rPr>
            </w:pPr>
            <w:r>
              <w:rPr>
                <w:rFonts w:hint="eastAsia" w:ascii="宋体" w:hAnsi="宋体"/>
                <w:color w:val="000000"/>
                <w:szCs w:val="21"/>
                <w:highlight w:val="none"/>
              </w:rPr>
              <w:t>磋商时间：</w:t>
            </w:r>
            <w:r>
              <w:rPr>
                <w:rFonts w:hint="eastAsia" w:ascii="宋体" w:hAnsi="宋体"/>
                <w:color w:val="000000"/>
                <w:szCs w:val="21"/>
                <w:highlight w:val="none"/>
                <w:lang w:eastAsia="zh-CN"/>
              </w:rPr>
              <w:t>2025年 11月 17日09：30</w:t>
            </w:r>
            <w:r>
              <w:rPr>
                <w:rFonts w:ascii="宋体" w:hAnsi="宋体"/>
                <w:color w:val="000000"/>
                <w:highlight w:val="none"/>
              </w:rPr>
              <w:t>（北京时间）</w:t>
            </w:r>
            <w:r>
              <w:rPr>
                <w:rFonts w:hint="eastAsia" w:ascii="宋体" w:hAnsi="宋体"/>
                <w:color w:val="000000"/>
                <w:kern w:val="0"/>
                <w:szCs w:val="21"/>
                <w:highlight w:val="none"/>
              </w:rPr>
              <w:t>截标</w:t>
            </w:r>
            <w:r>
              <w:rPr>
                <w:rFonts w:hint="eastAsia" w:ascii="宋体" w:hAnsi="宋体"/>
                <w:bCs/>
                <w:color w:val="000000"/>
                <w:szCs w:val="21"/>
                <w:highlight w:val="none"/>
              </w:rPr>
              <w:t>会结束</w:t>
            </w:r>
            <w:r>
              <w:rPr>
                <w:rFonts w:hint="eastAsia" w:ascii="宋体" w:hAnsi="宋体"/>
                <w:color w:val="000000"/>
                <w:kern w:val="0"/>
                <w:szCs w:val="21"/>
                <w:highlight w:val="none"/>
              </w:rPr>
              <w:t>后，具体时间供应商关注广西政府采购云平台在线</w:t>
            </w:r>
            <w:r>
              <w:rPr>
                <w:rFonts w:ascii="宋体" w:hAnsi="宋体"/>
                <w:color w:val="000000"/>
                <w:szCs w:val="21"/>
                <w:highlight w:val="none"/>
              </w:rPr>
              <w:t>电子询标。</w:t>
            </w:r>
          </w:p>
          <w:p w14:paraId="63DC6E75">
            <w:pPr>
              <w:snapToGrid w:val="0"/>
              <w:spacing w:line="360" w:lineRule="auto"/>
              <w:ind w:left="315" w:hanging="315" w:hangingChars="150"/>
              <w:rPr>
                <w:rFonts w:hint="eastAsia" w:ascii="宋体" w:hAnsi="宋体"/>
                <w:color w:val="000000"/>
                <w:szCs w:val="21"/>
                <w:highlight w:val="none"/>
              </w:rPr>
            </w:pPr>
            <w:r>
              <w:rPr>
                <w:rFonts w:hint="eastAsia" w:ascii="宋体" w:hAnsi="宋体"/>
                <w:color w:val="000000"/>
                <w:szCs w:val="21"/>
                <w:highlight w:val="none"/>
              </w:rPr>
              <w:t>磋商地点（网址）：</w:t>
            </w:r>
            <w:r>
              <w:rPr>
                <w:rFonts w:hint="eastAsia" w:ascii="宋体" w:hAnsi="宋体"/>
                <w:color w:val="000000"/>
                <w:highlight w:val="none"/>
              </w:rPr>
              <w:t>“广西政府采购云平台”（https://www.gcy.zfcg.gxzf.gov.cn/）</w:t>
            </w:r>
          </w:p>
          <w:p w14:paraId="1D0A142D">
            <w:pPr>
              <w:pStyle w:val="44"/>
              <w:snapToGrid w:val="0"/>
              <w:spacing w:line="360" w:lineRule="auto"/>
              <w:rPr>
                <w:rFonts w:hAnsi="宋体"/>
                <w:color w:val="000000"/>
                <w:highlight w:val="none"/>
              </w:rPr>
            </w:pPr>
            <w:r>
              <w:rPr>
                <w:rFonts w:hAnsi="宋体"/>
                <w:color w:val="000000"/>
                <w:highlight w:val="none"/>
              </w:rPr>
              <w:t>要求：</w:t>
            </w:r>
            <w:r>
              <w:rPr>
                <w:rFonts w:hAnsi="宋体"/>
                <w:color w:val="000000"/>
                <w:kern w:val="0"/>
                <w:highlight w:val="none"/>
              </w:rPr>
              <w:t>参加磋商的供应商必须派代表在线等候磋商，并关注开评标进度，</w:t>
            </w:r>
            <w:r>
              <w:rPr>
                <w:rFonts w:hAnsi="宋体"/>
                <w:bCs/>
                <w:color w:val="000000"/>
                <w:spacing w:val="-4"/>
                <w:highlight w:val="none"/>
              </w:rPr>
              <w:t>供应商在规定时间内不参加磋商的，视为供应商自动放弃磋商。</w:t>
            </w:r>
          </w:p>
        </w:tc>
      </w:tr>
      <w:tr w14:paraId="770B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2DE5EB2">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12</w:t>
            </w:r>
          </w:p>
        </w:tc>
        <w:tc>
          <w:tcPr>
            <w:tcW w:w="654" w:type="dxa"/>
            <w:vAlign w:val="center"/>
          </w:tcPr>
          <w:p w14:paraId="184B949E">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17</w:t>
            </w:r>
          </w:p>
        </w:tc>
        <w:tc>
          <w:tcPr>
            <w:tcW w:w="8194" w:type="dxa"/>
            <w:vAlign w:val="center"/>
          </w:tcPr>
          <w:p w14:paraId="6171A61B">
            <w:pPr>
              <w:pStyle w:val="37"/>
              <w:spacing w:after="0" w:line="360" w:lineRule="auto"/>
              <w:rPr>
                <w:rFonts w:ascii="宋体" w:hAnsi="宋体"/>
                <w:color w:val="000000"/>
                <w:highlight w:val="none"/>
              </w:rPr>
            </w:pPr>
            <w:r>
              <w:rPr>
                <w:rFonts w:ascii="宋体" w:hAnsi="宋体"/>
                <w:color w:val="000000"/>
                <w:highlight w:val="none"/>
              </w:rPr>
              <w:t>磋商供应商公章：</w:t>
            </w:r>
          </w:p>
          <w:p w14:paraId="2C04BAB3">
            <w:pPr>
              <w:pStyle w:val="37"/>
              <w:spacing w:after="0" w:line="360" w:lineRule="auto"/>
              <w:rPr>
                <w:rFonts w:hint="eastAsia" w:ascii="宋体" w:hAnsi="宋体"/>
                <w:color w:val="000000"/>
                <w:highlight w:val="none"/>
              </w:rPr>
            </w:pPr>
            <w:r>
              <w:rPr>
                <w:rFonts w:hint="eastAsia" w:ascii="宋体" w:hAnsi="宋体"/>
                <w:color w:val="000000"/>
                <w:highlight w:val="none"/>
              </w:rPr>
              <w:t>1.电子响应文件中须加盖供应商公章部分均采用CA电子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2D650985">
            <w:pPr>
              <w:pStyle w:val="37"/>
              <w:spacing w:after="0" w:line="360" w:lineRule="auto"/>
              <w:rPr>
                <w:rFonts w:hint="eastAsia" w:ascii="宋体" w:hAnsi="宋体"/>
                <w:color w:val="000000"/>
                <w:highlight w:val="none"/>
              </w:rPr>
            </w:pPr>
            <w:r>
              <w:rPr>
                <w:rFonts w:hint="eastAsia" w:ascii="宋体" w:hAnsi="宋体"/>
                <w:color w:val="000000"/>
                <w:highlight w:val="none"/>
              </w:rPr>
              <w:t>2.CA电子签章上未办理法人代表人（负责人）或授权代表签字信息，供应商在响应文件中涉及到签字的位置线下签好字然后扫描或者拍照做成PDF的格式亦可。响应文件中涉及到签字的位置未按要求签字的，提供的材料视为无效。</w:t>
            </w:r>
          </w:p>
          <w:p w14:paraId="74407468">
            <w:pPr>
              <w:pStyle w:val="37"/>
              <w:spacing w:after="0" w:line="360" w:lineRule="auto"/>
              <w:rPr>
                <w:rFonts w:hint="eastAsia" w:ascii="宋体" w:hAnsi="宋体"/>
                <w:color w:val="000000"/>
                <w:highlight w:val="none"/>
              </w:rPr>
            </w:pPr>
            <w:r>
              <w:rPr>
                <w:rFonts w:hint="eastAsia" w:ascii="宋体" w:hAnsi="宋体"/>
                <w:color w:val="000000"/>
                <w:highlight w:val="none"/>
              </w:rPr>
              <w:t>3.本竞争性磋商文件所称的“以上”“以下”“以内”“届满”，包括本数；所称的“不满”“超过”“以外”，不包括本数。</w:t>
            </w:r>
          </w:p>
        </w:tc>
      </w:tr>
      <w:tr w14:paraId="0E0A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0FAB9FE">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13</w:t>
            </w:r>
          </w:p>
        </w:tc>
        <w:tc>
          <w:tcPr>
            <w:tcW w:w="654" w:type="dxa"/>
            <w:vAlign w:val="center"/>
          </w:tcPr>
          <w:p w14:paraId="1440DABA">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18.3</w:t>
            </w:r>
          </w:p>
        </w:tc>
        <w:tc>
          <w:tcPr>
            <w:tcW w:w="8194" w:type="dxa"/>
            <w:vAlign w:val="center"/>
          </w:tcPr>
          <w:p w14:paraId="0308D5C2">
            <w:pPr>
              <w:spacing w:line="360" w:lineRule="auto"/>
              <w:rPr>
                <w:rFonts w:hint="eastAsia" w:ascii="宋体" w:hAnsi="宋体"/>
                <w:color w:val="000000"/>
                <w:szCs w:val="21"/>
                <w:highlight w:val="none"/>
              </w:rPr>
            </w:pPr>
            <w:r>
              <w:rPr>
                <w:rFonts w:hint="eastAsia" w:ascii="宋体" w:hAnsi="宋体"/>
                <w:color w:val="000000"/>
                <w:szCs w:val="21"/>
                <w:highlight w:val="none"/>
              </w:rPr>
              <w:t>根据《财政部关于在政府采购活动中查询及使用信用记录有关问题的通知》（财库〔2016〕125号）、《关于做好政府采购有关信用主体标记码登记及在政府采购活动中查询使用信用记录有关问题的通知》（桂财采〔2016〕37号）规定</w:t>
            </w:r>
            <w:r>
              <w:rPr>
                <w:rFonts w:hint="eastAsia" w:ascii="宋体" w:hAnsi="宋体"/>
                <w:color w:val="000000"/>
                <w:highlight w:val="none"/>
              </w:rPr>
              <w:t>对供应商相关主体信用进行查询</w:t>
            </w:r>
            <w:r>
              <w:rPr>
                <w:rFonts w:hint="eastAsia" w:ascii="宋体" w:hAnsi="宋体"/>
                <w:color w:val="000000"/>
                <w:szCs w:val="21"/>
                <w:highlight w:val="none"/>
              </w:rPr>
              <w:t>。</w:t>
            </w:r>
          </w:p>
          <w:p w14:paraId="51BBF563">
            <w:pPr>
              <w:spacing w:line="360" w:lineRule="auto"/>
              <w:rPr>
                <w:rFonts w:hint="eastAsia" w:ascii="宋体" w:hAnsi="宋体"/>
                <w:color w:val="000000"/>
                <w:szCs w:val="21"/>
                <w:highlight w:val="none"/>
              </w:rPr>
            </w:pPr>
            <w:r>
              <w:rPr>
                <w:rFonts w:hint="eastAsia" w:ascii="宋体" w:hAnsi="宋体"/>
                <w:color w:val="000000"/>
                <w:szCs w:val="21"/>
                <w:highlight w:val="none"/>
              </w:rPr>
              <w:t>（1）查询渠道：</w:t>
            </w:r>
          </w:p>
          <w:p w14:paraId="22DD34EC">
            <w:pPr>
              <w:snapToGrid w:val="0"/>
              <w:spacing w:line="360" w:lineRule="auto"/>
              <w:outlineLvl w:val="4"/>
              <w:rPr>
                <w:rFonts w:hint="eastAsia" w:ascii="宋体" w:hAnsi="宋体"/>
                <w:color w:val="000000"/>
                <w:szCs w:val="21"/>
                <w:highlight w:val="none"/>
                <w:lang w:val="hr-HR"/>
              </w:rPr>
            </w:pPr>
            <w:r>
              <w:rPr>
                <w:rFonts w:hint="eastAsia" w:ascii="宋体" w:hAnsi="宋体"/>
                <w:color w:val="000000"/>
                <w:szCs w:val="21"/>
                <w:highlight w:val="none"/>
                <w:lang w:val="hr-HR"/>
              </w:rPr>
              <w:t>①中国政府采购网 “</w:t>
            </w:r>
            <w:r>
              <w:rPr>
                <w:rFonts w:hint="eastAsia" w:ascii="宋体" w:hAnsi="宋体"/>
                <w:color w:val="000000"/>
                <w:szCs w:val="21"/>
                <w:highlight w:val="none"/>
              </w:rPr>
              <w:t>政府采购严重违法失信行为记录名单</w:t>
            </w:r>
            <w:r>
              <w:rPr>
                <w:rFonts w:hint="eastAsia" w:ascii="宋体" w:hAnsi="宋体"/>
                <w:color w:val="000000"/>
                <w:szCs w:val="21"/>
                <w:highlight w:val="none"/>
                <w:lang w:val="hr-HR"/>
              </w:rPr>
              <w:t>”</w:t>
            </w:r>
          </w:p>
          <w:p w14:paraId="0D769375">
            <w:pPr>
              <w:snapToGrid w:val="0"/>
              <w:spacing w:line="360" w:lineRule="auto"/>
              <w:outlineLvl w:val="4"/>
              <w:rPr>
                <w:rFonts w:hint="eastAsia" w:ascii="宋体" w:hAnsi="宋体"/>
                <w:color w:val="000000"/>
                <w:szCs w:val="21"/>
                <w:highlight w:val="none"/>
                <w:lang w:val="hr-HR"/>
              </w:rPr>
            </w:pPr>
            <w:r>
              <w:rPr>
                <w:rFonts w:hint="eastAsia" w:ascii="宋体" w:hAnsi="宋体"/>
                <w:color w:val="000000"/>
                <w:szCs w:val="21"/>
                <w:highlight w:val="none"/>
                <w:lang w:val="hr-HR"/>
              </w:rPr>
              <w:t>②“信用中国”网站 “重大税收违法失信主体”、“政府采购严重违法失信行为记录名单”</w:t>
            </w:r>
          </w:p>
          <w:p w14:paraId="772B4B2B">
            <w:pPr>
              <w:snapToGrid w:val="0"/>
              <w:spacing w:line="360" w:lineRule="auto"/>
              <w:outlineLvl w:val="4"/>
              <w:rPr>
                <w:rFonts w:hint="eastAsia" w:ascii="宋体" w:hAnsi="宋体"/>
                <w:color w:val="000000"/>
                <w:szCs w:val="21"/>
                <w:highlight w:val="none"/>
                <w:lang w:val="hr-HR"/>
              </w:rPr>
            </w:pPr>
            <w:r>
              <w:rPr>
                <w:rFonts w:hint="eastAsia" w:ascii="宋体" w:hAnsi="宋体"/>
                <w:color w:val="000000"/>
                <w:szCs w:val="21"/>
                <w:highlight w:val="none"/>
                <w:lang w:val="hr-HR"/>
              </w:rPr>
              <w:t>③中国执行信息公开网 “失信被执行人”</w:t>
            </w:r>
          </w:p>
          <w:p w14:paraId="01B2FC18">
            <w:pPr>
              <w:spacing w:line="360" w:lineRule="auto"/>
              <w:rPr>
                <w:rFonts w:hint="eastAsia" w:ascii="宋体" w:hAnsi="宋体"/>
                <w:color w:val="000000"/>
                <w:szCs w:val="21"/>
                <w:highlight w:val="none"/>
              </w:rPr>
            </w:pPr>
            <w:r>
              <w:rPr>
                <w:rFonts w:hint="eastAsia" w:ascii="宋体" w:hAnsi="宋体"/>
                <w:color w:val="000000"/>
                <w:szCs w:val="21"/>
                <w:highlight w:val="none"/>
              </w:rPr>
              <w:t>（2）查询截止时点：本项目响应文件提交截止时间后</w:t>
            </w:r>
          </w:p>
          <w:p w14:paraId="4FCE227C">
            <w:pPr>
              <w:spacing w:line="360" w:lineRule="auto"/>
              <w:rPr>
                <w:rFonts w:hint="eastAsia" w:ascii="宋体" w:hAnsi="宋体"/>
                <w:color w:val="000000"/>
                <w:szCs w:val="21"/>
                <w:highlight w:val="none"/>
              </w:rPr>
            </w:pPr>
            <w:r>
              <w:rPr>
                <w:rFonts w:hint="eastAsia" w:ascii="宋体" w:hAnsi="宋体"/>
                <w:color w:val="000000"/>
                <w:szCs w:val="21"/>
                <w:highlight w:val="none"/>
              </w:rPr>
              <w:t>（3）查询记录和证据留存方式：由磋商小组成员在广西政府采购云平台系统上自行查询</w:t>
            </w:r>
          </w:p>
          <w:p w14:paraId="0EAF1167">
            <w:pPr>
              <w:snapToGrid w:val="0"/>
              <w:spacing w:line="360" w:lineRule="auto"/>
              <w:ind w:left="-63" w:leftChars="-30" w:firstLine="105" w:firstLineChars="50"/>
              <w:rPr>
                <w:rFonts w:hint="eastAsia" w:ascii="宋体" w:hAnsi="宋体"/>
                <w:color w:val="000000"/>
                <w:szCs w:val="21"/>
                <w:highlight w:val="none"/>
              </w:rPr>
            </w:pPr>
            <w:r>
              <w:rPr>
                <w:rFonts w:hint="eastAsia" w:ascii="宋体" w:hAnsi="宋体"/>
                <w:color w:val="000000"/>
                <w:szCs w:val="21"/>
                <w:highlight w:val="none"/>
              </w:rPr>
              <w:t>（4）信用信息使用规则：供应商被列入以上名单之一的，视为供应商资格审查不通过。</w:t>
            </w:r>
          </w:p>
        </w:tc>
      </w:tr>
      <w:tr w14:paraId="1BC5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D3018FE">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14</w:t>
            </w:r>
          </w:p>
        </w:tc>
        <w:tc>
          <w:tcPr>
            <w:tcW w:w="654" w:type="dxa"/>
            <w:vAlign w:val="center"/>
          </w:tcPr>
          <w:p w14:paraId="6C6ED113">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19.7</w:t>
            </w:r>
          </w:p>
        </w:tc>
        <w:tc>
          <w:tcPr>
            <w:tcW w:w="8194" w:type="dxa"/>
            <w:vAlign w:val="center"/>
          </w:tcPr>
          <w:p w14:paraId="0241037B">
            <w:pPr>
              <w:pStyle w:val="44"/>
              <w:snapToGrid w:val="0"/>
              <w:spacing w:line="360" w:lineRule="auto"/>
              <w:ind w:left="1037" w:hanging="1037" w:hangingChars="494"/>
              <w:rPr>
                <w:rFonts w:hAnsi="宋体"/>
                <w:color w:val="000000"/>
                <w:highlight w:val="none"/>
              </w:rPr>
            </w:pPr>
            <w:r>
              <w:rPr>
                <w:rFonts w:hAnsi="宋体"/>
                <w:color w:val="000000"/>
                <w:highlight w:val="none"/>
              </w:rPr>
              <w:t>评标办法：综合评分法（详见第五章）</w:t>
            </w:r>
          </w:p>
        </w:tc>
      </w:tr>
      <w:tr w14:paraId="5419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36" w:type="dxa"/>
            <w:vAlign w:val="center"/>
          </w:tcPr>
          <w:p w14:paraId="52356739">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15</w:t>
            </w:r>
          </w:p>
        </w:tc>
        <w:tc>
          <w:tcPr>
            <w:tcW w:w="654" w:type="dxa"/>
            <w:vAlign w:val="center"/>
          </w:tcPr>
          <w:p w14:paraId="2EFC73DD">
            <w:pPr>
              <w:pStyle w:val="44"/>
              <w:snapToGrid w:val="0"/>
              <w:spacing w:line="360" w:lineRule="auto"/>
              <w:ind w:left="1037" w:hanging="1037" w:hangingChars="494"/>
              <w:jc w:val="center"/>
              <w:rPr>
                <w:rFonts w:hAnsi="宋体"/>
                <w:color w:val="000000"/>
                <w:highlight w:val="none"/>
              </w:rPr>
            </w:pPr>
            <w:r>
              <w:rPr>
                <w:rFonts w:hAnsi="宋体"/>
                <w:color w:val="000000"/>
                <w:highlight w:val="none"/>
              </w:rPr>
              <w:t>25</w:t>
            </w:r>
          </w:p>
        </w:tc>
        <w:tc>
          <w:tcPr>
            <w:tcW w:w="8194" w:type="dxa"/>
            <w:vAlign w:val="center"/>
          </w:tcPr>
          <w:p w14:paraId="5E3D55F7">
            <w:pPr>
              <w:pStyle w:val="9"/>
              <w:numPr>
                <w:ilvl w:val="0"/>
                <w:numId w:val="0"/>
              </w:numPr>
              <w:spacing w:line="360" w:lineRule="auto"/>
              <w:rPr>
                <w:rFonts w:hint="eastAsia" w:hAnsi="宋体"/>
                <w:b/>
                <w:bCs/>
                <w:color w:val="000000"/>
                <w:sz w:val="21"/>
                <w:szCs w:val="21"/>
                <w:highlight w:val="none"/>
                <w:lang w:val="en-US" w:eastAsia="zh-CN"/>
              </w:rPr>
            </w:pPr>
            <w:r>
              <w:rPr>
                <w:rFonts w:hint="eastAsia" w:hAnsi="宋体"/>
                <w:b/>
                <w:bCs/>
                <w:color w:val="000000"/>
                <w:sz w:val="21"/>
                <w:szCs w:val="21"/>
                <w:highlight w:val="none"/>
                <w:lang w:val="en-US" w:eastAsia="zh-CN"/>
              </w:rPr>
              <w:t>履约保证金：</w:t>
            </w:r>
          </w:p>
          <w:p w14:paraId="72BCEF7B">
            <w:pPr>
              <w:pStyle w:val="9"/>
              <w:numPr>
                <w:ilvl w:val="0"/>
                <w:numId w:val="0"/>
              </w:numPr>
              <w:spacing w:line="360" w:lineRule="auto"/>
              <w:rPr>
                <w:rFonts w:hint="eastAsia" w:hAnsi="宋体"/>
                <w:b w:val="0"/>
                <w:bCs w:val="0"/>
                <w:color w:val="000000"/>
                <w:sz w:val="21"/>
                <w:szCs w:val="21"/>
                <w:highlight w:val="none"/>
                <w:lang w:val="en-US" w:eastAsia="zh-CN"/>
              </w:rPr>
            </w:pPr>
            <w:r>
              <w:rPr>
                <w:rFonts w:hint="default" w:hAnsi="宋体"/>
                <w:b w:val="0"/>
                <w:bCs w:val="0"/>
                <w:color w:val="000000"/>
                <w:sz w:val="21"/>
                <w:szCs w:val="21"/>
                <w:highlight w:val="none"/>
                <w:lang w:val="en-US" w:eastAsia="zh-CN"/>
              </w:rPr>
              <w:sym w:font="Wingdings" w:char="00A8"/>
            </w:r>
            <w:r>
              <w:rPr>
                <w:rFonts w:hint="eastAsia" w:hAnsi="宋体"/>
                <w:b w:val="0"/>
                <w:bCs w:val="0"/>
                <w:color w:val="000000"/>
                <w:sz w:val="21"/>
                <w:szCs w:val="21"/>
                <w:highlight w:val="none"/>
                <w:lang w:val="en-US" w:eastAsia="zh-CN"/>
              </w:rPr>
              <w:t>本项目不收取履约保证金</w:t>
            </w:r>
          </w:p>
          <w:p w14:paraId="591E853E">
            <w:pPr>
              <w:pStyle w:val="9"/>
              <w:numPr>
                <w:ilvl w:val="0"/>
                <w:numId w:val="0"/>
              </w:numPr>
              <w:spacing w:line="360" w:lineRule="auto"/>
              <w:rPr>
                <w:rFonts w:hint="eastAsia" w:hAnsi="宋体"/>
                <w:b w:val="0"/>
                <w:bCs w:val="0"/>
                <w:color w:val="000000"/>
                <w:sz w:val="21"/>
                <w:szCs w:val="21"/>
                <w:highlight w:val="none"/>
                <w:lang w:val="en-US" w:eastAsia="zh-CN"/>
              </w:rPr>
            </w:pPr>
            <w:r>
              <w:rPr>
                <w:rFonts w:hint="default" w:hAnsi="宋体"/>
                <w:b w:val="0"/>
                <w:bCs w:val="0"/>
                <w:color w:val="000000"/>
                <w:sz w:val="21"/>
                <w:szCs w:val="21"/>
                <w:highlight w:val="none"/>
                <w:lang w:val="en-US" w:eastAsia="zh-CN"/>
              </w:rPr>
              <w:sym w:font="Wingdings" w:char="00FE"/>
            </w:r>
            <w:r>
              <w:rPr>
                <w:rFonts w:hint="eastAsia" w:hAnsi="宋体"/>
                <w:b w:val="0"/>
                <w:bCs w:val="0"/>
                <w:color w:val="000000"/>
                <w:sz w:val="21"/>
                <w:szCs w:val="21"/>
                <w:highlight w:val="none"/>
                <w:lang w:val="en-US" w:eastAsia="zh-CN"/>
              </w:rPr>
              <w:t>履约保证金金额</w:t>
            </w:r>
          </w:p>
          <w:p w14:paraId="7512C4A3">
            <w:pPr>
              <w:pStyle w:val="9"/>
              <w:numPr>
                <w:ilvl w:val="0"/>
                <w:numId w:val="0"/>
              </w:numPr>
              <w:spacing w:line="360" w:lineRule="auto"/>
              <w:ind w:firstLine="420" w:firstLineChars="200"/>
              <w:rPr>
                <w:rFonts w:hint="eastAsia" w:hAnsi="宋体"/>
                <w:b w:val="0"/>
                <w:bCs w:val="0"/>
                <w:color w:val="000000"/>
                <w:sz w:val="21"/>
                <w:szCs w:val="21"/>
                <w:highlight w:val="none"/>
                <w:lang w:val="en-US" w:eastAsia="zh-CN"/>
              </w:rPr>
            </w:pPr>
            <w:r>
              <w:rPr>
                <w:rFonts w:hint="eastAsia" w:hAnsi="宋体"/>
                <w:b w:val="0"/>
                <w:bCs w:val="0"/>
                <w:color w:val="000000"/>
                <w:sz w:val="21"/>
                <w:szCs w:val="21"/>
                <w:highlight w:val="none"/>
                <w:lang w:val="en-US" w:eastAsia="zh-CN"/>
              </w:rPr>
              <w:t>签订合同前，成交供应商须向采购人缴纳工程款金额的</w:t>
            </w:r>
            <w:r>
              <w:rPr>
                <w:rFonts w:hint="eastAsia" w:hAnsi="宋体"/>
                <w:b w:val="0"/>
                <w:bCs w:val="0"/>
                <w:color w:val="000000"/>
                <w:sz w:val="21"/>
                <w:szCs w:val="21"/>
                <w:highlight w:val="none"/>
                <w:u w:val="single"/>
                <w:lang w:val="en-US" w:eastAsia="zh-CN"/>
              </w:rPr>
              <w:t xml:space="preserve"> 2% </w:t>
            </w:r>
            <w:r>
              <w:rPr>
                <w:rFonts w:hint="eastAsia" w:hAnsi="宋体"/>
                <w:b w:val="0"/>
                <w:bCs w:val="0"/>
                <w:color w:val="000000"/>
                <w:sz w:val="21"/>
                <w:szCs w:val="21"/>
                <w:highlight w:val="none"/>
                <w:lang w:val="en-US" w:eastAsia="zh-CN"/>
              </w:rPr>
              <w:t>收取，待合同期满，成交供应商已完全承担法律责任和经济责任后三个月内无息返还。合同期内，成交供应商须严格按照采购公告、响应文件中相关承诺以及双方签署的合同履约。</w:t>
            </w:r>
          </w:p>
          <w:p w14:paraId="5471D279">
            <w:pPr>
              <w:pStyle w:val="9"/>
              <w:numPr>
                <w:ilvl w:val="0"/>
                <w:numId w:val="0"/>
              </w:numPr>
              <w:spacing w:line="360" w:lineRule="auto"/>
              <w:ind w:firstLine="420" w:firstLineChars="200"/>
              <w:rPr>
                <w:rFonts w:hint="eastAsia" w:hAnsi="宋体"/>
                <w:b w:val="0"/>
                <w:bCs w:val="0"/>
                <w:color w:val="000000"/>
                <w:sz w:val="21"/>
                <w:szCs w:val="21"/>
                <w:highlight w:val="none"/>
                <w:lang w:val="en-US" w:eastAsia="zh-CN"/>
              </w:rPr>
            </w:pPr>
            <w:r>
              <w:rPr>
                <w:rFonts w:hint="eastAsia" w:hAnsi="宋体"/>
                <w:b w:val="0"/>
                <w:bCs w:val="0"/>
                <w:color w:val="000000"/>
                <w:sz w:val="21"/>
                <w:szCs w:val="21"/>
                <w:highlight w:val="none"/>
                <w:lang w:val="en-US" w:eastAsia="zh-CN"/>
              </w:rPr>
              <w:t>履约保证金提交方式：银行转账、支票、汇票、本票或者金融、担保机构出具的保函等非现金方式。</w:t>
            </w:r>
          </w:p>
          <w:p w14:paraId="33ADB218">
            <w:pPr>
              <w:pStyle w:val="9"/>
              <w:numPr>
                <w:ilvl w:val="0"/>
                <w:numId w:val="0"/>
              </w:numPr>
              <w:spacing w:line="360" w:lineRule="auto"/>
              <w:ind w:firstLine="420" w:firstLineChars="200"/>
              <w:rPr>
                <w:rFonts w:hint="default" w:hAnsi="宋体"/>
                <w:b w:val="0"/>
                <w:bCs w:val="0"/>
                <w:color w:val="000000"/>
                <w:sz w:val="21"/>
                <w:szCs w:val="21"/>
                <w:highlight w:val="none"/>
                <w:lang w:val="en-US" w:eastAsia="zh-CN"/>
              </w:rPr>
            </w:pPr>
            <w:r>
              <w:rPr>
                <w:rFonts w:hint="eastAsia" w:hAnsi="宋体"/>
                <w:b w:val="0"/>
                <w:bCs w:val="0"/>
                <w:color w:val="000000"/>
                <w:sz w:val="21"/>
                <w:szCs w:val="21"/>
                <w:highlight w:val="none"/>
                <w:lang w:val="en-US" w:eastAsia="zh-CN"/>
              </w:rPr>
              <w:t>履约保证金退付方式、时间及条件：履约保证金在成交供应商按合同约定的工程竣工验收合格后，由成交供应商向保证金收取单位提供《采购项目履约保证金退付意见书》（详见附件），保证金收取单位在收到合格材料后5个工作日内如数退还（不计利息）。采购人无故延期退付履约保证金的，每天向对方偿付未退付的履约保证金3%作为违约金。</w:t>
            </w:r>
          </w:p>
        </w:tc>
      </w:tr>
      <w:tr w14:paraId="788D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2777C7C9">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16</w:t>
            </w:r>
          </w:p>
        </w:tc>
        <w:tc>
          <w:tcPr>
            <w:tcW w:w="654" w:type="dxa"/>
            <w:vAlign w:val="center"/>
          </w:tcPr>
          <w:p w14:paraId="6568D650">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26</w:t>
            </w:r>
          </w:p>
        </w:tc>
        <w:tc>
          <w:tcPr>
            <w:tcW w:w="8194" w:type="dxa"/>
            <w:vAlign w:val="center"/>
          </w:tcPr>
          <w:p w14:paraId="7A912B2A">
            <w:pPr>
              <w:pStyle w:val="136"/>
              <w:snapToGrid w:val="0"/>
              <w:spacing w:line="360" w:lineRule="auto"/>
              <w:rPr>
                <w:rFonts w:hint="eastAsia" w:hAnsi="宋体"/>
                <w:color w:val="000000"/>
                <w:szCs w:val="21"/>
                <w:highlight w:val="none"/>
              </w:rPr>
            </w:pPr>
            <w:r>
              <w:rPr>
                <w:rFonts w:hint="eastAsia" w:hAnsi="宋体"/>
                <w:color w:val="000000"/>
                <w:szCs w:val="21"/>
                <w:highlight w:val="none"/>
              </w:rPr>
              <w:t>签订合同：自成交通知书发出之日起15日内凭成交通知书与采购人签订施工承包合同协议书，延期自误（施工承包合同协议书必须与本磋商文件中的合同书格式(包括内容和结构)相一致，不能改变主要条款。</w:t>
            </w:r>
          </w:p>
        </w:tc>
      </w:tr>
      <w:tr w14:paraId="278E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6A6519E">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17</w:t>
            </w:r>
          </w:p>
        </w:tc>
        <w:tc>
          <w:tcPr>
            <w:tcW w:w="654" w:type="dxa"/>
            <w:vAlign w:val="center"/>
          </w:tcPr>
          <w:p w14:paraId="536328E5">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27</w:t>
            </w:r>
          </w:p>
        </w:tc>
        <w:tc>
          <w:tcPr>
            <w:tcW w:w="8194" w:type="dxa"/>
            <w:vAlign w:val="center"/>
          </w:tcPr>
          <w:p w14:paraId="3E643AB9">
            <w:pPr>
              <w:pStyle w:val="44"/>
              <w:snapToGrid w:val="0"/>
              <w:spacing w:line="360" w:lineRule="auto"/>
              <w:rPr>
                <w:rFonts w:hint="eastAsia" w:hAnsi="宋体"/>
                <w:color w:val="000000"/>
                <w:sz w:val="21"/>
                <w:highlight w:val="none"/>
              </w:rPr>
            </w:pPr>
            <w:r>
              <w:rPr>
                <w:rFonts w:hint="eastAsia" w:hAnsi="宋体"/>
                <w:color w:val="000000"/>
                <w:sz w:val="21"/>
                <w:highlight w:val="none"/>
              </w:rPr>
              <w:t>1.采购代理费支付方式：</w:t>
            </w:r>
          </w:p>
          <w:p w14:paraId="0039F04F">
            <w:pPr>
              <w:pStyle w:val="44"/>
              <w:snapToGrid w:val="0"/>
              <w:spacing w:line="360" w:lineRule="auto"/>
              <w:rPr>
                <w:rFonts w:hint="eastAsia" w:hAnsi="宋体"/>
                <w:color w:val="000000"/>
                <w:sz w:val="21"/>
                <w:highlight w:val="none"/>
              </w:rPr>
            </w:pPr>
            <w:r>
              <w:rPr>
                <w:rFonts w:hint="eastAsia" w:hAnsi="宋体"/>
                <w:color w:val="000000"/>
                <w:sz w:val="21"/>
                <w:highlight w:val="none"/>
              </w:rPr>
              <w:sym w:font="Wingdings" w:char="F0FE"/>
            </w:r>
            <w:r>
              <w:rPr>
                <w:rFonts w:hint="eastAsia" w:hAnsi="宋体"/>
                <w:color w:val="000000"/>
                <w:sz w:val="21"/>
                <w:highlight w:val="none"/>
              </w:rPr>
              <w:t>本项目代理服务费按如下规定由</w:t>
            </w:r>
            <w:r>
              <w:rPr>
                <w:rFonts w:hint="eastAsia" w:hAnsi="宋体"/>
                <w:color w:val="000000"/>
                <w:sz w:val="21"/>
                <w:highlight w:val="none"/>
                <w:u w:val="single"/>
                <w:lang w:eastAsia="zh-CN"/>
              </w:rPr>
              <w:t>成交人</w:t>
            </w:r>
            <w:r>
              <w:rPr>
                <w:rFonts w:hint="eastAsia" w:hAnsi="宋体"/>
                <w:color w:val="000000"/>
                <w:sz w:val="21"/>
                <w:highlight w:val="none"/>
              </w:rPr>
              <w:t>在领取成交通知书前，一次性向采购代理机构支付。</w:t>
            </w:r>
          </w:p>
          <w:p w14:paraId="6BC3A634">
            <w:pPr>
              <w:pStyle w:val="44"/>
              <w:snapToGrid w:val="0"/>
              <w:spacing w:line="360" w:lineRule="auto"/>
              <w:rPr>
                <w:rFonts w:hint="eastAsia" w:hAnsi="宋体"/>
                <w:color w:val="000000"/>
                <w:sz w:val="21"/>
                <w:highlight w:val="none"/>
              </w:rPr>
            </w:pPr>
            <w:r>
              <w:rPr>
                <w:rFonts w:hint="eastAsia" w:hAnsi="宋体"/>
                <w:color w:val="000000"/>
                <w:sz w:val="21"/>
                <w:highlight w:val="none"/>
              </w:rPr>
              <w:t>□采购人支付。</w:t>
            </w:r>
          </w:p>
          <w:p w14:paraId="2042BD33">
            <w:pPr>
              <w:pStyle w:val="44"/>
              <w:snapToGrid w:val="0"/>
              <w:spacing w:line="360" w:lineRule="auto"/>
              <w:rPr>
                <w:rFonts w:hint="eastAsia" w:hAnsi="宋体"/>
                <w:color w:val="000000"/>
                <w:sz w:val="21"/>
                <w:highlight w:val="none"/>
              </w:rPr>
            </w:pPr>
            <w:r>
              <w:rPr>
                <w:rFonts w:hint="eastAsia" w:hAnsi="宋体"/>
                <w:color w:val="000000"/>
                <w:sz w:val="21"/>
                <w:highlight w:val="none"/>
              </w:rPr>
              <w:t>2.采购代理费收取标准：</w:t>
            </w:r>
          </w:p>
          <w:p w14:paraId="4106EA25">
            <w:pPr>
              <w:pStyle w:val="44"/>
              <w:snapToGrid w:val="0"/>
              <w:spacing w:line="360" w:lineRule="auto"/>
              <w:rPr>
                <w:rFonts w:hint="eastAsia" w:hAnsi="宋体"/>
                <w:color w:val="000000"/>
                <w:sz w:val="21"/>
                <w:highlight w:val="none"/>
              </w:rPr>
            </w:pPr>
            <w:r>
              <w:rPr>
                <w:rFonts w:hint="eastAsia" w:hAnsi="宋体"/>
                <w:color w:val="000000"/>
                <w:sz w:val="21"/>
                <w:highlight w:val="none"/>
              </w:rPr>
              <w:sym w:font="Wingdings" w:char="F0FE"/>
            </w:r>
            <w:r>
              <w:rPr>
                <w:rFonts w:hint="eastAsia" w:hAnsi="宋体"/>
                <w:color w:val="000000"/>
                <w:sz w:val="21"/>
                <w:highlight w:val="none"/>
              </w:rPr>
              <w:t>以成交折扣率乘以预算金额为计费额，按本须知正文第</w:t>
            </w:r>
            <w:r>
              <w:rPr>
                <w:rFonts w:hint="eastAsia" w:hAnsi="宋体"/>
                <w:color w:val="000000"/>
                <w:sz w:val="21"/>
                <w:highlight w:val="none"/>
                <w:lang w:val="en-US" w:eastAsia="zh-CN"/>
              </w:rPr>
              <w:t>27</w:t>
            </w:r>
            <w:r>
              <w:rPr>
                <w:rFonts w:hAnsi="宋体"/>
                <w:color w:val="000000"/>
                <w:sz w:val="21"/>
                <w:highlight w:val="none"/>
              </w:rPr>
              <w:t>.1</w:t>
            </w:r>
            <w:r>
              <w:rPr>
                <w:rFonts w:hint="eastAsia" w:hAnsi="宋体"/>
                <w:color w:val="000000"/>
                <w:sz w:val="21"/>
                <w:highlight w:val="none"/>
              </w:rPr>
              <w:t>条规定的</w:t>
            </w:r>
            <w:r>
              <w:rPr>
                <w:rFonts w:hint="eastAsia" w:hAnsi="宋体"/>
                <w:color w:val="000000"/>
                <w:sz w:val="21"/>
                <w:highlight w:val="none"/>
                <w:lang w:val="en-US" w:eastAsia="zh-CN"/>
              </w:rPr>
              <w:t>工程</w:t>
            </w:r>
            <w:r>
              <w:rPr>
                <w:rFonts w:hint="eastAsia" w:hAnsi="宋体"/>
                <w:color w:val="000000"/>
                <w:sz w:val="21"/>
                <w:highlight w:val="none"/>
              </w:rPr>
              <w:t>类标准采用差额定率累进法计算出收费基准价格，采购代理收费以收费基准价格收取。</w:t>
            </w:r>
          </w:p>
          <w:p w14:paraId="7EC282BB">
            <w:pPr>
              <w:pStyle w:val="44"/>
              <w:snapToGrid w:val="0"/>
              <w:spacing w:line="360" w:lineRule="auto"/>
              <w:rPr>
                <w:rFonts w:hint="eastAsia" w:hAnsi="宋体"/>
                <w:color w:val="000000"/>
                <w:sz w:val="21"/>
                <w:highlight w:val="none"/>
              </w:rPr>
            </w:pPr>
            <w:r>
              <w:rPr>
                <w:rFonts w:hint="eastAsia" w:hAnsi="宋体"/>
                <w:color w:val="000000"/>
                <w:sz w:val="21"/>
                <w:highlight w:val="none"/>
              </w:rPr>
              <w:sym w:font="Wingdings" w:char="F0A8"/>
            </w:r>
            <w:r>
              <w:rPr>
                <w:rFonts w:hint="eastAsia" w:hAnsi="宋体"/>
                <w:color w:val="000000"/>
                <w:sz w:val="21"/>
                <w:highlight w:val="none"/>
              </w:rPr>
              <w:t>固定采购代理收费</w:t>
            </w:r>
            <w:r>
              <w:rPr>
                <w:rFonts w:hint="eastAsia" w:hAnsi="宋体"/>
                <w:color w:val="000000"/>
                <w:sz w:val="21"/>
                <w:highlight w:val="none"/>
                <w:u w:val="single"/>
              </w:rPr>
              <w:t xml:space="preserve">                   </w:t>
            </w:r>
          </w:p>
          <w:p w14:paraId="0EE2ECC6">
            <w:pPr>
              <w:pStyle w:val="44"/>
              <w:snapToGrid w:val="0"/>
              <w:spacing w:line="360" w:lineRule="auto"/>
              <w:rPr>
                <w:rFonts w:hint="eastAsia" w:hAnsi="宋体"/>
                <w:color w:val="000000"/>
                <w:sz w:val="21"/>
                <w:highlight w:val="none"/>
              </w:rPr>
            </w:pPr>
            <w:r>
              <w:rPr>
                <w:rFonts w:hint="eastAsia" w:hAnsi="宋体"/>
                <w:color w:val="000000"/>
                <w:sz w:val="21"/>
                <w:highlight w:val="none"/>
              </w:rPr>
              <w:t>3.采购代理费收取银行账户</w:t>
            </w:r>
          </w:p>
          <w:p w14:paraId="3F7C7B9A">
            <w:pPr>
              <w:pStyle w:val="44"/>
              <w:spacing w:line="360" w:lineRule="auto"/>
              <w:ind w:firstLine="420" w:firstLineChars="200"/>
              <w:rPr>
                <w:rFonts w:hint="eastAsia" w:hAnsi="宋体"/>
                <w:color w:val="000000"/>
                <w:highlight w:val="none"/>
                <w:lang w:eastAsia="zh-CN"/>
              </w:rPr>
            </w:pPr>
            <w:r>
              <w:rPr>
                <w:rFonts w:hAnsi="宋体"/>
                <w:color w:val="000000"/>
                <w:highlight w:val="none"/>
              </w:rPr>
              <w:t>开户名称：</w:t>
            </w:r>
            <w:r>
              <w:rPr>
                <w:rFonts w:hint="eastAsia" w:hAnsi="宋体"/>
                <w:color w:val="000000"/>
                <w:highlight w:val="none"/>
                <w:lang w:eastAsia="zh-CN"/>
              </w:rPr>
              <w:t>梧州市丰胜工程咨询有限公司</w:t>
            </w:r>
          </w:p>
          <w:p w14:paraId="3162702C">
            <w:pPr>
              <w:pStyle w:val="44"/>
              <w:spacing w:line="360" w:lineRule="auto"/>
              <w:ind w:firstLine="420" w:firstLineChars="200"/>
              <w:rPr>
                <w:rFonts w:hAnsi="宋体"/>
                <w:color w:val="000000"/>
                <w:highlight w:val="none"/>
              </w:rPr>
            </w:pPr>
            <w:r>
              <w:rPr>
                <w:rFonts w:hAnsi="宋体"/>
                <w:color w:val="000000"/>
                <w:highlight w:val="none"/>
              </w:rPr>
              <w:t>开户银行：</w:t>
            </w:r>
            <w:r>
              <w:rPr>
                <w:rFonts w:hint="eastAsia" w:hAnsi="宋体"/>
                <w:color w:val="000000"/>
                <w:highlight w:val="none"/>
              </w:rPr>
              <w:t>中国建设银行股份有限公司梧州新兴三路支行</w:t>
            </w:r>
          </w:p>
          <w:p w14:paraId="31614869">
            <w:pPr>
              <w:spacing w:line="360" w:lineRule="auto"/>
              <w:ind w:firstLine="420" w:firstLineChars="200"/>
              <w:rPr>
                <w:rFonts w:hAnsi="宋体"/>
                <w:color w:val="000000"/>
                <w:highlight w:val="none"/>
              </w:rPr>
            </w:pPr>
            <w:r>
              <w:rPr>
                <w:rFonts w:hAnsi="宋体"/>
                <w:color w:val="000000"/>
                <w:highlight w:val="none"/>
              </w:rPr>
              <w:t>银行帐号：</w:t>
            </w:r>
            <w:r>
              <w:rPr>
                <w:rFonts w:hint="eastAsia" w:ascii="宋体" w:hAnsi="宋体" w:eastAsia="宋体" w:cs="宋体"/>
                <w:color w:val="000000"/>
                <w:highlight w:val="none"/>
                <w:lang w:eastAsia="zh-CN"/>
              </w:rPr>
              <w:t>4505 0164 8655 0000 1504</w:t>
            </w:r>
          </w:p>
        </w:tc>
      </w:tr>
      <w:tr w14:paraId="1FA0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735F7ECF">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18</w:t>
            </w:r>
          </w:p>
        </w:tc>
        <w:tc>
          <w:tcPr>
            <w:tcW w:w="654" w:type="dxa"/>
            <w:vAlign w:val="center"/>
          </w:tcPr>
          <w:p w14:paraId="76043940">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30.2</w:t>
            </w:r>
          </w:p>
        </w:tc>
        <w:tc>
          <w:tcPr>
            <w:tcW w:w="8194" w:type="dxa"/>
            <w:vAlign w:val="center"/>
          </w:tcPr>
          <w:p w14:paraId="5755165A">
            <w:pPr>
              <w:snapToGrid w:val="0"/>
              <w:spacing w:line="360" w:lineRule="auto"/>
              <w:jc w:val="left"/>
              <w:rPr>
                <w:rFonts w:hint="eastAsia" w:ascii="宋体" w:hAnsi="宋体"/>
                <w:b/>
                <w:color w:val="000000"/>
                <w:szCs w:val="21"/>
                <w:highlight w:val="none"/>
              </w:rPr>
            </w:pPr>
            <w:r>
              <w:rPr>
                <w:rFonts w:hint="eastAsia" w:ascii="宋体" w:hAnsi="宋体"/>
                <w:b/>
                <w:color w:val="000000"/>
                <w:szCs w:val="21"/>
                <w:highlight w:val="none"/>
              </w:rPr>
              <w:t>根据项目的性质相应落实政府采购政策：</w:t>
            </w:r>
          </w:p>
          <w:p w14:paraId="08717558">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1、《财政部、司法部关于政府采购支持监狱企业发展有关问题的通知》（财库〔2014〕68号）</w:t>
            </w:r>
          </w:p>
          <w:p w14:paraId="687AF111">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2、《财政部、民政部、中国残疾人联合会三部门联合发布关于促进残疾人就业政府采购政策的通知》（财库〔2017〕141号）</w:t>
            </w:r>
          </w:p>
          <w:p w14:paraId="1F849027">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3、《节能产品政府采购实施意见》（财库〔2004〕185号）</w:t>
            </w:r>
          </w:p>
          <w:p w14:paraId="1B7D08A5">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4、《环保总局关于环境标志产品政府采购实施的意见》（财库〔2006〕90号）</w:t>
            </w:r>
          </w:p>
          <w:p w14:paraId="22E6CADE">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5、财政部 发展改革委 生态环境部 市场监管总局 关于调整优化节能产品、环境标志产品政府采购执行机制的通知（财库〔2019〕9号）</w:t>
            </w:r>
          </w:p>
          <w:p w14:paraId="1C78D7FE">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6、关于印发环境标志产品政府采购品目清单的通知（财库〔2019〕18号）环境标志产品政府采购品目清单</w:t>
            </w:r>
          </w:p>
          <w:p w14:paraId="63ECE315">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7、关于印发节能产品政府采购品目清单的通知（财库〔2019〕19号）节能产品政府采购品目清单</w:t>
            </w:r>
          </w:p>
          <w:p w14:paraId="539CEEED">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8、市场监管总局关于发布参与实施政府采购节能产品、环境标志产品认证机构名录的公告（2019年第16号）</w:t>
            </w:r>
          </w:p>
          <w:p w14:paraId="6A2F8F9E">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9、</w:t>
            </w:r>
            <w:r>
              <w:rPr>
                <w:rFonts w:ascii="宋体" w:hAnsi="宋体"/>
                <w:color w:val="000000"/>
                <w:szCs w:val="21"/>
                <w:highlight w:val="none"/>
              </w:rPr>
              <w:t>关于中小企业的相关规定依据《中华人民共和国中小企业促进法》、《政府采购促进中小企业发展管理办法》</w:t>
            </w:r>
            <w:r>
              <w:rPr>
                <w:rFonts w:ascii="宋体" w:hAnsi="宋体"/>
                <w:color w:val="000000"/>
                <w:spacing w:val="-6"/>
                <w:szCs w:val="21"/>
                <w:highlight w:val="none"/>
              </w:rPr>
              <w:t>（财库〔2020〕46号）、《关于印发中小企业划型标准规定的通知》（工信部联企业〔2011〕300号）</w:t>
            </w:r>
            <w:r>
              <w:rPr>
                <w:rFonts w:hint="eastAsia" w:ascii="宋体" w:hAnsi="宋体"/>
                <w:color w:val="000000"/>
                <w:spacing w:val="-6"/>
                <w:szCs w:val="21"/>
                <w:highlight w:val="none"/>
              </w:rPr>
              <w:t>等</w:t>
            </w:r>
            <w:r>
              <w:rPr>
                <w:rFonts w:ascii="宋体" w:hAnsi="宋体"/>
                <w:color w:val="000000"/>
                <w:spacing w:val="-6"/>
                <w:szCs w:val="21"/>
                <w:highlight w:val="none"/>
              </w:rPr>
              <w:t>。</w:t>
            </w:r>
          </w:p>
        </w:tc>
      </w:tr>
      <w:tr w14:paraId="683C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07D7EF13">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19</w:t>
            </w:r>
          </w:p>
        </w:tc>
        <w:tc>
          <w:tcPr>
            <w:tcW w:w="654" w:type="dxa"/>
            <w:vAlign w:val="center"/>
          </w:tcPr>
          <w:p w14:paraId="7D6E7C96">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30.2</w:t>
            </w:r>
          </w:p>
        </w:tc>
        <w:tc>
          <w:tcPr>
            <w:tcW w:w="8194" w:type="dxa"/>
            <w:vAlign w:val="center"/>
          </w:tcPr>
          <w:p w14:paraId="1D592414">
            <w:pPr>
              <w:spacing w:line="360" w:lineRule="auto"/>
              <w:rPr>
                <w:rFonts w:hint="eastAsia" w:ascii="宋体" w:hAnsi="宋体"/>
                <w:color w:val="000000"/>
                <w:szCs w:val="21"/>
                <w:highlight w:val="none"/>
              </w:rPr>
            </w:pPr>
            <w:r>
              <w:rPr>
                <w:rFonts w:hint="eastAsia" w:ascii="宋体" w:hAnsi="宋体"/>
                <w:color w:val="000000"/>
                <w:szCs w:val="21"/>
                <w:highlight w:val="none"/>
              </w:rPr>
              <w:t>计税法：</w:t>
            </w:r>
            <w:r>
              <w:rPr>
                <w:rFonts w:ascii="Segoe UI Symbol" w:hAnsi="Segoe UI Symbol"/>
                <w:color w:val="000000"/>
                <w:szCs w:val="21"/>
                <w:highlight w:val="none"/>
              </w:rPr>
              <w:t xml:space="preserve"> ☑</w:t>
            </w:r>
            <w:r>
              <w:rPr>
                <w:rFonts w:hint="eastAsia" w:ascii="宋体" w:hAnsi="宋体"/>
                <w:color w:val="000000"/>
                <w:szCs w:val="21"/>
                <w:highlight w:val="none"/>
              </w:rPr>
              <w:t>一般计税法  □简易计税法</w:t>
            </w:r>
          </w:p>
          <w:p w14:paraId="02A0F2C0">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备注：按照《关于全面推开营业税改征增值税试点的通知》（财税〔2016〕36号）、《关于落实政府补助类建设工程项目增值税相关政策的通知》（桂国税发〔2016〕147号）、《关于建筑服务等营改增试点政策的通知》（财税〔2017〕58号）】</w:t>
            </w:r>
          </w:p>
        </w:tc>
      </w:tr>
      <w:tr w14:paraId="36E0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0263750E">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20</w:t>
            </w:r>
          </w:p>
        </w:tc>
        <w:tc>
          <w:tcPr>
            <w:tcW w:w="654" w:type="dxa"/>
            <w:vAlign w:val="center"/>
          </w:tcPr>
          <w:p w14:paraId="562E8BA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30.2</w:t>
            </w:r>
          </w:p>
        </w:tc>
        <w:tc>
          <w:tcPr>
            <w:tcW w:w="8194" w:type="dxa"/>
            <w:vAlign w:val="center"/>
          </w:tcPr>
          <w:p w14:paraId="3AEF7E39">
            <w:pPr>
              <w:pStyle w:val="35"/>
              <w:snapToGrid w:val="0"/>
              <w:spacing w:line="360" w:lineRule="auto"/>
              <w:rPr>
                <w:rFonts w:hint="eastAsia" w:ascii="宋体" w:hAnsi="宋体"/>
                <w:b/>
                <w:bCs/>
                <w:color w:val="000000"/>
                <w:szCs w:val="21"/>
                <w:highlight w:val="none"/>
              </w:rPr>
            </w:pPr>
            <w:r>
              <w:rPr>
                <w:rFonts w:hint="eastAsia" w:ascii="宋体" w:hAnsi="宋体"/>
                <w:b/>
                <w:bCs/>
                <w:color w:val="000000"/>
                <w:szCs w:val="21"/>
                <w:highlight w:val="none"/>
              </w:rPr>
              <w:t>施工承包合同协议书审核：</w:t>
            </w:r>
          </w:p>
          <w:p w14:paraId="0E9E7CF6">
            <w:pPr>
              <w:pStyle w:val="136"/>
              <w:snapToGrid w:val="0"/>
              <w:spacing w:line="360" w:lineRule="auto"/>
              <w:rPr>
                <w:rFonts w:hint="eastAsia" w:hAnsi="宋体"/>
                <w:color w:val="000000"/>
                <w:szCs w:val="21"/>
                <w:highlight w:val="none"/>
              </w:rPr>
            </w:pPr>
            <w:r>
              <w:rPr>
                <w:rFonts w:hint="eastAsia" w:hAnsi="宋体"/>
                <w:color w:val="000000"/>
                <w:szCs w:val="21"/>
                <w:highlight w:val="none"/>
              </w:rPr>
              <w:t xml:space="preserve">  施工承包合同协议书自签订之日起2个工作日内，成交供应商必须将施工承包合同协议书送本采购代理机构。</w:t>
            </w:r>
          </w:p>
        </w:tc>
      </w:tr>
      <w:tr w14:paraId="5B7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30A5D226">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21</w:t>
            </w:r>
          </w:p>
        </w:tc>
        <w:tc>
          <w:tcPr>
            <w:tcW w:w="654" w:type="dxa"/>
            <w:vAlign w:val="center"/>
          </w:tcPr>
          <w:p w14:paraId="34F084B2">
            <w:pPr>
              <w:snapToGrid w:val="0"/>
              <w:spacing w:line="360" w:lineRule="auto"/>
              <w:jc w:val="center"/>
              <w:rPr>
                <w:rFonts w:hint="eastAsia" w:ascii="宋体" w:hAnsi="宋体"/>
                <w:color w:val="000000"/>
                <w:highlight w:val="none"/>
              </w:rPr>
            </w:pPr>
            <w:r>
              <w:rPr>
                <w:rFonts w:hint="eastAsia" w:ascii="宋体" w:hAnsi="宋体"/>
                <w:color w:val="000000"/>
                <w:highlight w:val="none"/>
              </w:rPr>
              <w:t>30.2</w:t>
            </w:r>
          </w:p>
        </w:tc>
        <w:tc>
          <w:tcPr>
            <w:tcW w:w="8194" w:type="dxa"/>
            <w:vAlign w:val="center"/>
          </w:tcPr>
          <w:p w14:paraId="400D5B60">
            <w:pPr>
              <w:autoSpaceDE w:val="0"/>
              <w:autoSpaceDN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踏勘现场：不组织，由供应商自行踏勘。</w:t>
            </w:r>
            <w:r>
              <w:rPr>
                <w:rFonts w:hint="eastAsia" w:ascii="宋体" w:hAnsi="宋体"/>
                <w:color w:val="000000"/>
                <w:kern w:val="0"/>
                <w:szCs w:val="21"/>
                <w:highlight w:val="none"/>
              </w:rPr>
              <w:t>供应商踏勘现场发生的费用自理。</w:t>
            </w:r>
          </w:p>
          <w:p w14:paraId="68749879">
            <w:pPr>
              <w:autoSpaceDE w:val="0"/>
              <w:autoSpaceDN w:val="0"/>
              <w:spacing w:line="360" w:lineRule="auto"/>
              <w:jc w:val="left"/>
              <w:rPr>
                <w:rFonts w:hint="eastAsia" w:ascii="宋体" w:hAnsi="宋体"/>
                <w:color w:val="000000"/>
                <w:kern w:val="0"/>
                <w:szCs w:val="21"/>
                <w:highlight w:val="none"/>
              </w:rPr>
            </w:pPr>
            <w:r>
              <w:rPr>
                <w:rFonts w:hint="eastAsia" w:ascii="宋体" w:hAnsi="宋体"/>
                <w:color w:val="000000"/>
                <w:kern w:val="0"/>
                <w:szCs w:val="21"/>
                <w:highlight w:val="none"/>
              </w:rPr>
              <w:t>除采购人的原因外，供应商自行负责在踏勘现场中所发生的人员伤亡和财产损失。</w:t>
            </w:r>
          </w:p>
          <w:p w14:paraId="3A5ECAC8">
            <w:pPr>
              <w:autoSpaceDE w:val="0"/>
              <w:autoSpaceDN w:val="0"/>
              <w:spacing w:line="360" w:lineRule="auto"/>
              <w:jc w:val="left"/>
              <w:rPr>
                <w:rFonts w:hint="eastAsia" w:ascii="宋体" w:hAnsi="宋体"/>
                <w:color w:val="000000"/>
                <w:kern w:val="0"/>
                <w:szCs w:val="21"/>
                <w:highlight w:val="none"/>
              </w:rPr>
            </w:pPr>
            <w:r>
              <w:rPr>
                <w:rFonts w:hint="eastAsia" w:ascii="宋体" w:hAnsi="宋体"/>
                <w:color w:val="000000"/>
                <w:kern w:val="0"/>
                <w:szCs w:val="21"/>
                <w:highlight w:val="none"/>
              </w:rPr>
              <w:t>采购人在踏勘现场中介绍的工程场地和相关的周边环境情况，供供应商在编制响应文件时参考，采购人不对供应商据此作出的判断和决策负责。</w:t>
            </w:r>
          </w:p>
        </w:tc>
      </w:tr>
      <w:tr w14:paraId="5E98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36" w:type="dxa"/>
            <w:vAlign w:val="center"/>
          </w:tcPr>
          <w:p w14:paraId="27FB9022">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22</w:t>
            </w:r>
          </w:p>
        </w:tc>
        <w:tc>
          <w:tcPr>
            <w:tcW w:w="654" w:type="dxa"/>
            <w:vAlign w:val="center"/>
          </w:tcPr>
          <w:p w14:paraId="7025AF40">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30.2</w:t>
            </w:r>
          </w:p>
        </w:tc>
        <w:tc>
          <w:tcPr>
            <w:tcW w:w="8194" w:type="dxa"/>
            <w:vAlign w:val="center"/>
          </w:tcPr>
          <w:p w14:paraId="09E08306">
            <w:pPr>
              <w:pStyle w:val="105"/>
              <w:ind w:firstLine="0"/>
              <w:rPr>
                <w:rFonts w:hint="eastAsia"/>
                <w:bCs/>
                <w:color w:val="000000"/>
                <w:sz w:val="21"/>
                <w:szCs w:val="21"/>
                <w:highlight w:val="none"/>
              </w:rPr>
            </w:pPr>
            <w:r>
              <w:rPr>
                <w:rFonts w:hint="eastAsia"/>
                <w:bCs/>
                <w:color w:val="000000"/>
                <w:sz w:val="21"/>
                <w:szCs w:val="21"/>
                <w:highlight w:val="none"/>
              </w:rPr>
              <w:t>编制依据：</w:t>
            </w:r>
          </w:p>
          <w:p w14:paraId="3B3E007A">
            <w:pPr>
              <w:pStyle w:val="105"/>
              <w:ind w:firstLine="0"/>
              <w:rPr>
                <w:rFonts w:hint="eastAsia"/>
                <w:bCs/>
                <w:color w:val="000000"/>
                <w:sz w:val="21"/>
                <w:szCs w:val="21"/>
                <w:highlight w:val="none"/>
              </w:rPr>
            </w:pPr>
            <w:r>
              <w:rPr>
                <w:rFonts w:hint="eastAsia"/>
                <w:bCs/>
                <w:color w:val="000000"/>
                <w:sz w:val="21"/>
                <w:szCs w:val="21"/>
                <w:highlight w:val="none"/>
              </w:rPr>
              <w:t>(1)</w:t>
            </w:r>
            <w:r>
              <w:rPr>
                <w:rFonts w:hint="eastAsia"/>
                <w:bCs/>
                <w:color w:val="000000"/>
                <w:sz w:val="21"/>
                <w:szCs w:val="21"/>
                <w:highlight w:val="none"/>
                <w:lang w:eastAsia="zh-CN"/>
              </w:rPr>
              <w:t>长洲区泗洲村尚忠片区美丽移民村项目</w:t>
            </w:r>
            <w:r>
              <w:rPr>
                <w:rFonts w:hint="eastAsia"/>
                <w:bCs/>
                <w:color w:val="000000"/>
                <w:sz w:val="21"/>
                <w:szCs w:val="21"/>
                <w:highlight w:val="none"/>
              </w:rPr>
              <w:t>技施设计图册。</w:t>
            </w:r>
          </w:p>
          <w:p w14:paraId="77E9AB58">
            <w:pPr>
              <w:pStyle w:val="105"/>
              <w:ind w:firstLine="0"/>
              <w:rPr>
                <w:rFonts w:hint="eastAsia"/>
                <w:bCs/>
                <w:color w:val="000000"/>
                <w:sz w:val="21"/>
                <w:szCs w:val="21"/>
                <w:highlight w:val="none"/>
              </w:rPr>
            </w:pPr>
            <w:r>
              <w:rPr>
                <w:rFonts w:hint="eastAsia"/>
                <w:bCs/>
                <w:color w:val="000000"/>
                <w:sz w:val="21"/>
                <w:szCs w:val="21"/>
                <w:highlight w:val="none"/>
              </w:rPr>
              <w:t>(2)《建设工程工程量清单计价规范》(GB50500-2013)</w:t>
            </w:r>
          </w:p>
          <w:p w14:paraId="5F22ED23">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3</w:t>
            </w:r>
            <w:r>
              <w:rPr>
                <w:rFonts w:hint="eastAsia"/>
                <w:bCs/>
                <w:color w:val="000000"/>
                <w:sz w:val="21"/>
                <w:szCs w:val="21"/>
                <w:highlight w:val="none"/>
              </w:rPr>
              <w:t>)《建设工程工程量清单计价规范》(GB50500-2016)广西壮族自治区实施细则</w:t>
            </w:r>
          </w:p>
          <w:p w14:paraId="14F80779">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4</w:t>
            </w:r>
            <w:r>
              <w:rPr>
                <w:rFonts w:hint="eastAsia"/>
                <w:bCs/>
                <w:color w:val="000000"/>
                <w:sz w:val="21"/>
                <w:szCs w:val="21"/>
                <w:highlight w:val="none"/>
              </w:rPr>
              <w:t>)《建设工程工程量计算规则》(GB50854~GB50862-2016)广西壮族自治区实施细则</w:t>
            </w:r>
          </w:p>
          <w:p w14:paraId="750DA6DE">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5</w:t>
            </w:r>
            <w:r>
              <w:rPr>
                <w:rFonts w:hint="eastAsia"/>
                <w:bCs/>
                <w:color w:val="000000"/>
                <w:sz w:val="21"/>
                <w:szCs w:val="21"/>
                <w:highlight w:val="none"/>
              </w:rPr>
              <w:t>)桂建标[2023]7号《自治区住房城乡建设厅关于调整建设工程定额人工费及有关费率的通知》</w:t>
            </w:r>
          </w:p>
          <w:p w14:paraId="71CCC006">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6</w:t>
            </w:r>
            <w:r>
              <w:rPr>
                <w:rFonts w:hint="eastAsia"/>
                <w:bCs/>
                <w:color w:val="000000"/>
                <w:sz w:val="21"/>
                <w:szCs w:val="21"/>
                <w:highlight w:val="none"/>
              </w:rPr>
              <w:t>)2021年《广西壮族自治区园林绿化工程消耗量定额》及配套费用定额:2024年版《广西壮族自治区建筑装饰装修工程消耗量定</w:t>
            </w:r>
          </w:p>
          <w:p w14:paraId="5505BA20">
            <w:pPr>
              <w:pStyle w:val="105"/>
              <w:ind w:firstLine="0"/>
              <w:rPr>
                <w:rFonts w:hint="eastAsia"/>
                <w:bCs/>
                <w:color w:val="000000"/>
                <w:sz w:val="21"/>
                <w:szCs w:val="21"/>
                <w:highlight w:val="none"/>
              </w:rPr>
            </w:pPr>
            <w:r>
              <w:rPr>
                <w:rFonts w:hint="eastAsia"/>
                <w:bCs/>
                <w:color w:val="000000"/>
                <w:sz w:val="21"/>
                <w:szCs w:val="21"/>
                <w:highlight w:val="none"/>
              </w:rPr>
              <w:t>额》、2023年版《广西壮族自治区安装工程消耗量定额》、2022年版《广西壮族自治区市政工程消耗量定额》:</w:t>
            </w:r>
          </w:p>
          <w:p w14:paraId="46DF158A">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7</w:t>
            </w:r>
            <w:r>
              <w:rPr>
                <w:rFonts w:hint="eastAsia"/>
                <w:bCs/>
                <w:color w:val="000000"/>
                <w:sz w:val="21"/>
                <w:szCs w:val="21"/>
                <w:highlight w:val="none"/>
              </w:rPr>
              <w:t>)根据住房城乡建设部、财政部《关于印发建筑安装工程费用项目组成的通知》(建标[2013]44号)</w:t>
            </w:r>
          </w:p>
          <w:p w14:paraId="1C1E99B6">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8</w:t>
            </w:r>
            <w:r>
              <w:rPr>
                <w:rFonts w:hint="eastAsia"/>
                <w:bCs/>
                <w:color w:val="000000"/>
                <w:sz w:val="21"/>
                <w:szCs w:val="21"/>
                <w:highlight w:val="none"/>
              </w:rPr>
              <w:t>)广西调整安装市政等工程费用定额的有关规定桂建标[2013]47号</w:t>
            </w:r>
          </w:p>
          <w:p w14:paraId="4A50AA04">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9</w:t>
            </w:r>
            <w:r>
              <w:rPr>
                <w:rFonts w:hint="eastAsia"/>
                <w:bCs/>
                <w:color w:val="000000"/>
                <w:sz w:val="21"/>
                <w:szCs w:val="21"/>
                <w:highlight w:val="none"/>
              </w:rPr>
              <w:t>)桂建标[2016]16文《广西壮族自治区建设工程费用定额》的通知</w:t>
            </w:r>
          </w:p>
          <w:p w14:paraId="60E0BA1B">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10</w:t>
            </w:r>
            <w:r>
              <w:rPr>
                <w:rFonts w:hint="eastAsia"/>
                <w:bCs/>
                <w:color w:val="000000"/>
                <w:sz w:val="21"/>
                <w:szCs w:val="21"/>
                <w:highlight w:val="none"/>
              </w:rPr>
              <w:t>)桂造价[2019]10号《关于调整除税价计算适用增值税税率的通知》</w:t>
            </w:r>
          </w:p>
          <w:p w14:paraId="1556AD60">
            <w:pPr>
              <w:pStyle w:val="105"/>
              <w:ind w:firstLine="0"/>
              <w:rPr>
                <w:rFonts w:hint="eastAsia"/>
                <w:bCs/>
                <w:color w:val="000000"/>
                <w:sz w:val="21"/>
                <w:szCs w:val="21"/>
                <w:highlight w:val="none"/>
              </w:rPr>
            </w:pPr>
            <w:r>
              <w:rPr>
                <w:rFonts w:hint="eastAsia"/>
                <w:bCs/>
                <w:color w:val="000000"/>
                <w:sz w:val="21"/>
                <w:szCs w:val="21"/>
                <w:highlight w:val="none"/>
              </w:rPr>
              <w:t>(</w:t>
            </w:r>
            <w:r>
              <w:rPr>
                <w:rFonts w:hint="eastAsia"/>
                <w:bCs/>
                <w:color w:val="000000"/>
                <w:sz w:val="21"/>
                <w:szCs w:val="21"/>
                <w:highlight w:val="none"/>
                <w:lang w:val="en-US" w:eastAsia="zh-CN"/>
              </w:rPr>
              <w:t>11</w:t>
            </w:r>
            <w:r>
              <w:rPr>
                <w:rFonts w:hint="eastAsia"/>
                <w:bCs/>
                <w:color w:val="000000"/>
                <w:sz w:val="21"/>
                <w:szCs w:val="21"/>
                <w:highlight w:val="none"/>
              </w:rPr>
              <w:t>)桂建标[2016]17号《自治区住房城乡建设厅关于建筑业实施营业税改增值税后广西壮族自治区建设工程计价依据调整的通知》</w:t>
            </w:r>
          </w:p>
          <w:p w14:paraId="1F21C0EF">
            <w:pPr>
              <w:pStyle w:val="105"/>
              <w:ind w:firstLine="0"/>
              <w:rPr>
                <w:rFonts w:hint="eastAsia"/>
                <w:bCs/>
                <w:color w:val="000000"/>
                <w:sz w:val="21"/>
                <w:szCs w:val="21"/>
                <w:highlight w:val="none"/>
              </w:rPr>
            </w:pPr>
            <w:r>
              <w:rPr>
                <w:rFonts w:hint="eastAsia"/>
                <w:bCs/>
                <w:color w:val="000000"/>
                <w:sz w:val="21"/>
                <w:szCs w:val="21"/>
                <w:highlight w:val="none"/>
              </w:rPr>
              <w:t>(1</w:t>
            </w:r>
            <w:r>
              <w:rPr>
                <w:rFonts w:hint="eastAsia"/>
                <w:bCs/>
                <w:color w:val="000000"/>
                <w:sz w:val="21"/>
                <w:szCs w:val="21"/>
                <w:highlight w:val="none"/>
                <w:lang w:val="en-US" w:eastAsia="zh-CN"/>
              </w:rPr>
              <w:t>2</w:t>
            </w:r>
            <w:r>
              <w:rPr>
                <w:rFonts w:hint="eastAsia"/>
                <w:bCs/>
                <w:color w:val="000000"/>
                <w:sz w:val="21"/>
                <w:szCs w:val="21"/>
                <w:highlight w:val="none"/>
              </w:rPr>
              <w:t>)《梧州市建设工程造价信息》202</w:t>
            </w:r>
            <w:r>
              <w:rPr>
                <w:rFonts w:hint="eastAsia"/>
                <w:bCs/>
                <w:color w:val="000000"/>
                <w:sz w:val="21"/>
                <w:szCs w:val="21"/>
                <w:highlight w:val="none"/>
                <w:lang w:val="en-US" w:eastAsia="zh-CN"/>
              </w:rPr>
              <w:t>5</w:t>
            </w:r>
            <w:r>
              <w:rPr>
                <w:rFonts w:hint="eastAsia"/>
                <w:bCs/>
                <w:color w:val="000000"/>
                <w:sz w:val="21"/>
                <w:szCs w:val="21"/>
                <w:highlight w:val="none"/>
              </w:rPr>
              <w:t>年</w:t>
            </w:r>
            <w:r>
              <w:rPr>
                <w:rFonts w:hint="eastAsia"/>
                <w:bCs/>
                <w:color w:val="000000"/>
                <w:sz w:val="21"/>
                <w:szCs w:val="21"/>
                <w:highlight w:val="none"/>
                <w:lang w:val="en-US" w:eastAsia="zh-CN"/>
              </w:rPr>
              <w:t>7</w:t>
            </w:r>
            <w:r>
              <w:rPr>
                <w:rFonts w:hint="eastAsia"/>
                <w:bCs/>
                <w:color w:val="000000"/>
                <w:sz w:val="21"/>
                <w:szCs w:val="21"/>
                <w:highlight w:val="none"/>
              </w:rPr>
              <w:t>月份梧州市价格，没有信息价的按市场询价。</w:t>
            </w:r>
          </w:p>
          <w:p w14:paraId="4A9B8754">
            <w:pPr>
              <w:pStyle w:val="105"/>
              <w:ind w:firstLine="0"/>
              <w:rPr>
                <w:rFonts w:hint="eastAsia"/>
                <w:bCs/>
                <w:color w:val="000000"/>
                <w:sz w:val="21"/>
                <w:szCs w:val="21"/>
                <w:highlight w:val="none"/>
              </w:rPr>
            </w:pPr>
            <w:r>
              <w:rPr>
                <w:rFonts w:hint="eastAsia"/>
                <w:bCs/>
                <w:color w:val="000000"/>
                <w:sz w:val="21"/>
                <w:szCs w:val="21"/>
                <w:highlight w:val="none"/>
              </w:rPr>
              <w:t>(1</w:t>
            </w:r>
            <w:r>
              <w:rPr>
                <w:rFonts w:hint="eastAsia"/>
                <w:bCs/>
                <w:color w:val="000000"/>
                <w:sz w:val="21"/>
                <w:szCs w:val="21"/>
                <w:highlight w:val="none"/>
                <w:lang w:val="en-US" w:eastAsia="zh-CN"/>
              </w:rPr>
              <w:t>3</w:t>
            </w:r>
            <w:r>
              <w:rPr>
                <w:rFonts w:hint="eastAsia"/>
                <w:bCs/>
                <w:color w:val="000000"/>
                <w:sz w:val="21"/>
                <w:szCs w:val="21"/>
                <w:highlight w:val="none"/>
              </w:rPr>
              <w:t>)其他有关文件。</w:t>
            </w:r>
          </w:p>
        </w:tc>
      </w:tr>
      <w:tr w14:paraId="6866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48350DCA">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23</w:t>
            </w:r>
          </w:p>
        </w:tc>
        <w:tc>
          <w:tcPr>
            <w:tcW w:w="654" w:type="dxa"/>
            <w:vAlign w:val="center"/>
          </w:tcPr>
          <w:p w14:paraId="0DAC1EDB">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30.2</w:t>
            </w:r>
          </w:p>
        </w:tc>
        <w:tc>
          <w:tcPr>
            <w:tcW w:w="8194" w:type="dxa"/>
            <w:vAlign w:val="center"/>
          </w:tcPr>
          <w:p w14:paraId="62D881B1">
            <w:pPr>
              <w:pStyle w:val="35"/>
              <w:snapToGrid w:val="0"/>
              <w:spacing w:line="360" w:lineRule="auto"/>
              <w:ind w:firstLine="210" w:firstLineChars="100"/>
              <w:rPr>
                <w:rFonts w:hint="eastAsia" w:ascii="宋体" w:hAnsi="宋体"/>
                <w:bCs/>
                <w:color w:val="000000"/>
                <w:szCs w:val="21"/>
                <w:highlight w:val="none"/>
              </w:rPr>
            </w:pPr>
            <w:r>
              <w:rPr>
                <w:rFonts w:hint="eastAsia" w:ascii="宋体" w:hAnsi="宋体"/>
                <w:bCs/>
                <w:color w:val="000000"/>
                <w:szCs w:val="21"/>
                <w:highlight w:val="none"/>
              </w:rPr>
              <w:t>1、发出成交通知书后15日内，成交供应商必须与采购人签订施工承包合同协议书</w:t>
            </w:r>
            <w:r>
              <w:rPr>
                <w:rFonts w:hint="eastAsia" w:ascii="宋体" w:hAnsi="宋体"/>
                <w:color w:val="000000"/>
                <w:szCs w:val="21"/>
                <w:highlight w:val="none"/>
              </w:rPr>
              <w:t>【施工承</w:t>
            </w:r>
            <w:r>
              <w:rPr>
                <w:rFonts w:hint="eastAsia" w:ascii="宋体" w:hAnsi="宋体"/>
                <w:bCs/>
                <w:color w:val="000000"/>
                <w:szCs w:val="21"/>
                <w:highlight w:val="none"/>
              </w:rPr>
              <w:t>包合同协议书必须与本磋商文件中的合同书格式(包括内容和结构)相一致，不能改变主要条款】如不按时签订合同的，按违约处理；</w:t>
            </w:r>
          </w:p>
          <w:p w14:paraId="54134D30">
            <w:pPr>
              <w:pStyle w:val="35"/>
              <w:snapToGrid w:val="0"/>
              <w:spacing w:line="360" w:lineRule="auto"/>
              <w:rPr>
                <w:rFonts w:hint="eastAsia" w:ascii="宋体" w:hAnsi="宋体"/>
                <w:bCs/>
                <w:color w:val="000000"/>
                <w:szCs w:val="21"/>
                <w:highlight w:val="none"/>
              </w:rPr>
            </w:pPr>
            <w:r>
              <w:rPr>
                <w:rFonts w:hint="eastAsia" w:ascii="宋体" w:hAnsi="宋体"/>
                <w:bCs/>
                <w:color w:val="000000"/>
                <w:szCs w:val="21"/>
                <w:highlight w:val="none"/>
              </w:rPr>
              <w:t>2、成交供应商应在签订施工承包合同协议书后的5个工作日内完成进场准备，包括主要管理人员、响应文件承诺进场的机械设备、试验检测设备、项目部的办公设备、项目部的选址及上墙图表等，并具备基本的工作条件；承包人完成进场准备后的7天内开展实质性的施工工作。</w:t>
            </w:r>
          </w:p>
        </w:tc>
      </w:tr>
      <w:tr w14:paraId="3AC3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Align w:val="center"/>
          </w:tcPr>
          <w:p w14:paraId="67868B17">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24</w:t>
            </w:r>
          </w:p>
        </w:tc>
        <w:tc>
          <w:tcPr>
            <w:tcW w:w="8848" w:type="dxa"/>
            <w:gridSpan w:val="2"/>
            <w:vAlign w:val="center"/>
          </w:tcPr>
          <w:p w14:paraId="7BD704BD">
            <w:pPr>
              <w:pStyle w:val="35"/>
              <w:snapToGrid w:val="0"/>
              <w:spacing w:line="360" w:lineRule="auto"/>
              <w:rPr>
                <w:rFonts w:hint="eastAsia" w:ascii="宋体" w:hAnsi="宋体"/>
                <w:b/>
                <w:bCs/>
                <w:color w:val="000000"/>
                <w:sz w:val="22"/>
                <w:highlight w:val="none"/>
              </w:rPr>
            </w:pPr>
            <w:r>
              <w:rPr>
                <w:rFonts w:hint="eastAsia" w:ascii="宋体" w:hAnsi="宋体"/>
                <w:b/>
                <w:bCs/>
                <w:color w:val="000000"/>
                <w:sz w:val="22"/>
                <w:highlight w:val="none"/>
              </w:rPr>
              <w:t>响应文件中所涉及的加盖公章均采用CA电子签章。</w:t>
            </w:r>
          </w:p>
        </w:tc>
      </w:tr>
      <w:tr w14:paraId="43BF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36" w:type="dxa"/>
            <w:vAlign w:val="center"/>
          </w:tcPr>
          <w:p w14:paraId="0F50BAD4">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25</w:t>
            </w:r>
          </w:p>
        </w:tc>
        <w:tc>
          <w:tcPr>
            <w:tcW w:w="8848" w:type="dxa"/>
            <w:gridSpan w:val="2"/>
            <w:vAlign w:val="center"/>
          </w:tcPr>
          <w:p w14:paraId="5EF23F18">
            <w:pPr>
              <w:pStyle w:val="35"/>
              <w:snapToGrid w:val="0"/>
              <w:spacing w:line="360" w:lineRule="auto"/>
              <w:rPr>
                <w:rFonts w:hint="eastAsia" w:ascii="宋体" w:hAnsi="宋体"/>
                <w:b/>
                <w:bCs/>
                <w:color w:val="000000"/>
                <w:highlight w:val="none"/>
              </w:rPr>
            </w:pPr>
            <w:r>
              <w:rPr>
                <w:rFonts w:hint="eastAsia" w:ascii="宋体" w:hAnsi="宋体"/>
                <w:b/>
                <w:bCs/>
                <w:color w:val="000000"/>
                <w:highlight w:val="none"/>
              </w:rPr>
              <w:t>根据《政府采购促进中小企业发展管理办法》（财库〔2020〕46号）的规定，所称中小企业，是指在中华人民共和国境内依法设立，依据国务院批准的中小企业划分标准确定的中型企业、小型企业和微型企业，但与大企业的负责人为同一人，或者与大企业存在直接控股、管理关系的除外。残疾人福利性单位、监狱企业视同小型、微型企业。</w:t>
            </w:r>
          </w:p>
        </w:tc>
      </w:tr>
      <w:tr w14:paraId="7C21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36" w:type="dxa"/>
            <w:vAlign w:val="center"/>
          </w:tcPr>
          <w:p w14:paraId="5A5BFAFD">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26</w:t>
            </w:r>
          </w:p>
        </w:tc>
        <w:tc>
          <w:tcPr>
            <w:tcW w:w="8848" w:type="dxa"/>
            <w:gridSpan w:val="2"/>
            <w:vAlign w:val="center"/>
          </w:tcPr>
          <w:p w14:paraId="5F608DB5">
            <w:pPr>
              <w:pStyle w:val="31"/>
              <w:spacing w:line="360" w:lineRule="auto"/>
              <w:ind w:firstLine="0"/>
              <w:rPr>
                <w:rFonts w:hint="eastAsia" w:ascii="宋体" w:hAnsi="宋体"/>
                <w:b/>
                <w:color w:val="000000"/>
                <w:szCs w:val="21"/>
                <w:highlight w:val="none"/>
              </w:rPr>
            </w:pPr>
            <w:r>
              <w:rPr>
                <w:rFonts w:hint="eastAsia" w:ascii="宋体" w:hAnsi="宋体"/>
                <w:b/>
                <w:color w:val="000000"/>
                <w:szCs w:val="21"/>
                <w:highlight w:val="none"/>
              </w:rPr>
              <w:t>供应商参与电子投标特别说明</w:t>
            </w:r>
          </w:p>
          <w:p w14:paraId="2795C7AE">
            <w:pPr>
              <w:pStyle w:val="35"/>
              <w:snapToGrid w:val="0"/>
              <w:spacing w:line="360" w:lineRule="auto"/>
              <w:rPr>
                <w:rFonts w:hint="eastAsia" w:ascii="宋体" w:hAnsi="宋体"/>
                <w:color w:val="000000"/>
                <w:szCs w:val="21"/>
                <w:highlight w:val="none"/>
              </w:rPr>
            </w:pPr>
            <w:r>
              <w:rPr>
                <w:rFonts w:hint="eastAsia" w:ascii="宋体" w:hAnsi="宋体"/>
                <w:color w:val="000000"/>
                <w:szCs w:val="21"/>
                <w:highlight w:val="none"/>
              </w:rPr>
              <w:t>（1）本项目实行电子投标，供应商应按照本项目磋商文件和广西政府采购云平台的要求编制、加密并提交响应文件。供应商在使用系统参与磋商过程中遇到涉及平台使用的任何问题，可致电广西政府采购云平台技术支持热线咨询，联系方式：</w:t>
            </w:r>
            <w:r>
              <w:rPr>
                <w:rFonts w:ascii="宋体" w:hAnsi="宋体"/>
                <w:color w:val="000000"/>
                <w:szCs w:val="21"/>
                <w:highlight w:val="none"/>
              </w:rPr>
              <w:t>95763</w:t>
            </w:r>
            <w:r>
              <w:rPr>
                <w:rFonts w:hint="eastAsia" w:ascii="宋体" w:hAnsi="宋体"/>
                <w:color w:val="000000"/>
                <w:szCs w:val="21"/>
                <w:highlight w:val="none"/>
              </w:rPr>
              <w:t>。</w:t>
            </w:r>
          </w:p>
          <w:p w14:paraId="60E740E4">
            <w:pPr>
              <w:pStyle w:val="35"/>
              <w:snapToGrid w:val="0"/>
              <w:spacing w:line="360" w:lineRule="auto"/>
              <w:rPr>
                <w:rFonts w:hint="eastAsia" w:ascii="宋体" w:hAnsi="宋体"/>
                <w:color w:val="000000"/>
                <w:szCs w:val="21"/>
                <w:highlight w:val="none"/>
              </w:rPr>
            </w:pPr>
            <w:r>
              <w:rPr>
                <w:rFonts w:hint="eastAsia" w:ascii="宋体" w:hAnsi="宋体"/>
                <w:color w:val="000000"/>
                <w:szCs w:val="21"/>
                <w:highlight w:val="none"/>
              </w:rPr>
              <w:t>（2）供应商应及时熟悉掌握电子标系统操作指南（见广西政府采购云平台电子卖场首页右上角—服务中心—帮助文档—项目采购）；</w:t>
            </w:r>
          </w:p>
          <w:p w14:paraId="73AAF5BF">
            <w:pPr>
              <w:pStyle w:val="35"/>
              <w:snapToGrid w:val="0"/>
              <w:spacing w:line="360" w:lineRule="auto"/>
              <w:rPr>
                <w:rFonts w:hint="eastAsia" w:ascii="宋体" w:hAnsi="宋体"/>
                <w:color w:val="000000"/>
                <w:szCs w:val="21"/>
                <w:highlight w:val="none"/>
              </w:rPr>
            </w:pPr>
            <w:r>
              <w:rPr>
                <w:rFonts w:hint="eastAsia" w:ascii="宋体" w:hAnsi="宋体"/>
                <w:color w:val="000000"/>
                <w:szCs w:val="21"/>
                <w:highlight w:val="none"/>
              </w:rPr>
              <w:t>（3）供应商应及时完成CA申领和绑定（见广西壮族自治区政府采购网—办事服务—下载专区-广西政府采购云平台CA证书办理操作指南）</w:t>
            </w:r>
          </w:p>
          <w:p w14:paraId="0D6A9CFB">
            <w:pPr>
              <w:pStyle w:val="35"/>
              <w:snapToGrid w:val="0"/>
              <w:spacing w:line="360" w:lineRule="auto"/>
              <w:rPr>
                <w:rFonts w:hint="eastAsia" w:ascii="宋体" w:hAnsi="宋体"/>
                <w:color w:val="000000"/>
                <w:szCs w:val="21"/>
                <w:highlight w:val="none"/>
              </w:rPr>
            </w:pPr>
            <w:r>
              <w:rPr>
                <w:rFonts w:hint="eastAsia" w:ascii="宋体" w:hAnsi="宋体"/>
                <w:color w:val="000000"/>
                <w:szCs w:val="21"/>
                <w:highlight w:val="none"/>
              </w:rPr>
              <w:t>（4）供应商通过广西政府采购云平台投标客户端软件制作响应文件，广西政府采购云平台投标客户端软件由供应商自行前往下载并安装（见广西壮族自治区政府采购网—办事服务—下载专区-广西壮族自治区全流程电子招投标项目管理系统--供应商客户端）。</w:t>
            </w:r>
          </w:p>
          <w:p w14:paraId="45E61784">
            <w:pPr>
              <w:pStyle w:val="35"/>
              <w:snapToGrid w:val="0"/>
              <w:spacing w:line="360" w:lineRule="auto"/>
              <w:rPr>
                <w:rFonts w:hint="eastAsia" w:ascii="宋体" w:hAnsi="宋体"/>
                <w:color w:val="000000"/>
                <w:szCs w:val="21"/>
                <w:highlight w:val="none"/>
              </w:rPr>
            </w:pPr>
            <w:r>
              <w:rPr>
                <w:rFonts w:hint="eastAsia" w:ascii="宋体" w:hAnsi="宋体"/>
                <w:color w:val="000000"/>
                <w:szCs w:val="21"/>
                <w:highlight w:val="none"/>
              </w:rPr>
              <w:t>（5）因未注册入库、未办理CA数字证书、CA证书故障、操作不当等原因造成无法参与或磋商失败等后果由供应商自行承担。</w:t>
            </w:r>
          </w:p>
          <w:p w14:paraId="2C746CE7">
            <w:pPr>
              <w:pStyle w:val="35"/>
              <w:snapToGrid w:val="0"/>
              <w:spacing w:line="360" w:lineRule="auto"/>
              <w:rPr>
                <w:rFonts w:hint="eastAsia" w:ascii="宋体" w:hAnsi="宋体"/>
                <w:color w:val="000000"/>
                <w:szCs w:val="21"/>
                <w:highlight w:val="none"/>
              </w:rPr>
            </w:pPr>
            <w:r>
              <w:rPr>
                <w:rFonts w:hint="eastAsia" w:ascii="宋体" w:hAnsi="宋体"/>
                <w:color w:val="000000"/>
                <w:szCs w:val="21"/>
                <w:highlight w:val="none"/>
              </w:rPr>
              <w:t>（6）响应文件递交截止时间后，广西政府采购云平台（电子标系统）自动提取所有响应文件，各供应商须在开启程序开始后30分钟内对上传广西政府采购云平台的响应文件进行解密，所有供应商在规定的解密时限内解密完成或解密时限结束后，本代理机构开启响应文件；供应商超过解密时限的，系统默认供应商自动放弃磋商。</w:t>
            </w:r>
          </w:p>
        </w:tc>
      </w:tr>
      <w:tr w14:paraId="56C8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36" w:type="dxa"/>
            <w:vAlign w:val="center"/>
          </w:tcPr>
          <w:p w14:paraId="24256E7A">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27</w:t>
            </w:r>
          </w:p>
        </w:tc>
        <w:tc>
          <w:tcPr>
            <w:tcW w:w="8848" w:type="dxa"/>
            <w:gridSpan w:val="2"/>
            <w:vAlign w:val="center"/>
          </w:tcPr>
          <w:p w14:paraId="0BD2B9EC">
            <w:pPr>
              <w:pStyle w:val="31"/>
              <w:spacing w:line="360" w:lineRule="auto"/>
              <w:ind w:firstLine="0"/>
              <w:rPr>
                <w:rFonts w:hint="eastAsia" w:ascii="宋体" w:hAnsi="宋体"/>
                <w:b/>
                <w:color w:val="000000"/>
                <w:szCs w:val="21"/>
                <w:highlight w:val="none"/>
              </w:rPr>
            </w:pPr>
            <w:r>
              <w:rPr>
                <w:rFonts w:hint="eastAsia" w:ascii="宋体" w:hAnsi="宋体"/>
                <w:b/>
                <w:color w:val="000000"/>
                <w:szCs w:val="21"/>
                <w:highlight w:val="none"/>
              </w:rPr>
              <w:t>本项目所属行业：建筑业</w:t>
            </w:r>
          </w:p>
        </w:tc>
      </w:tr>
    </w:tbl>
    <w:p w14:paraId="6B6A8315">
      <w:pPr>
        <w:widowControl/>
        <w:rPr>
          <w:rFonts w:hint="eastAsia" w:ascii="宋体" w:hAnsi="宋体"/>
          <w:b/>
          <w:color w:val="000000"/>
          <w:sz w:val="32"/>
          <w:highlight w:val="none"/>
        </w:rPr>
      </w:pPr>
      <w:r>
        <w:rPr>
          <w:rFonts w:hint="eastAsia" w:ascii="宋体" w:hAnsi="宋体"/>
          <w:b/>
          <w:color w:val="000000"/>
          <w:sz w:val="32"/>
          <w:highlight w:val="none"/>
        </w:rPr>
        <w:br w:type="page"/>
      </w:r>
    </w:p>
    <w:p w14:paraId="5772100A">
      <w:pPr>
        <w:widowControl/>
        <w:jc w:val="center"/>
        <w:rPr>
          <w:rFonts w:hint="eastAsia" w:ascii="宋体" w:hAnsi="宋体"/>
          <w:b/>
          <w:color w:val="000000"/>
          <w:sz w:val="32"/>
          <w:highlight w:val="none"/>
        </w:rPr>
      </w:pPr>
      <w:r>
        <w:rPr>
          <w:rFonts w:hint="eastAsia" w:ascii="宋体" w:hAnsi="宋体"/>
          <w:b/>
          <w:color w:val="000000"/>
          <w:sz w:val="32"/>
          <w:highlight w:val="none"/>
        </w:rPr>
        <w:t>供应商须知</w:t>
      </w:r>
    </w:p>
    <w:p w14:paraId="09F541F5">
      <w:pPr>
        <w:spacing w:line="400" w:lineRule="exact"/>
        <w:ind w:firstLine="420"/>
        <w:rPr>
          <w:rFonts w:ascii="宋体" w:hAnsi="宋体"/>
          <w:color w:val="000000"/>
          <w:szCs w:val="21"/>
          <w:highlight w:val="none"/>
        </w:rPr>
      </w:pPr>
    </w:p>
    <w:p w14:paraId="76137CCD">
      <w:pPr>
        <w:pStyle w:val="10"/>
        <w:spacing w:line="400" w:lineRule="exact"/>
        <w:jc w:val="center"/>
        <w:rPr>
          <w:rFonts w:hint="eastAsia" w:ascii="宋体" w:hAnsi="宋体"/>
          <w:color w:val="000000"/>
          <w:highlight w:val="none"/>
        </w:rPr>
      </w:pPr>
      <w:bookmarkStart w:id="41" w:name="_Toc486196137"/>
      <w:bookmarkStart w:id="42" w:name="_Toc207770834"/>
      <w:bookmarkStart w:id="43" w:name="_Toc206525681"/>
      <w:bookmarkStart w:id="44" w:name="_Toc5743"/>
      <w:bookmarkStart w:id="45" w:name="_Toc239839862"/>
      <w:bookmarkStart w:id="46" w:name="_Toc486922954"/>
      <w:bookmarkStart w:id="47" w:name="_Toc24346"/>
      <w:bookmarkStart w:id="48" w:name="_Toc19771"/>
      <w:bookmarkStart w:id="49" w:name="_Toc108539714"/>
      <w:bookmarkStart w:id="50" w:name="_Toc9379"/>
      <w:bookmarkStart w:id="51" w:name="_Toc185702548"/>
      <w:bookmarkStart w:id="52" w:name="_Toc230578056"/>
      <w:r>
        <w:rPr>
          <w:rFonts w:hint="eastAsia" w:ascii="宋体" w:hAnsi="宋体"/>
          <w:color w:val="000000"/>
          <w:highlight w:val="none"/>
        </w:rPr>
        <w:t>一   总  则</w:t>
      </w:r>
      <w:bookmarkEnd w:id="41"/>
      <w:bookmarkEnd w:id="42"/>
      <w:bookmarkEnd w:id="43"/>
      <w:bookmarkEnd w:id="44"/>
      <w:bookmarkEnd w:id="45"/>
      <w:bookmarkEnd w:id="46"/>
      <w:bookmarkEnd w:id="47"/>
      <w:bookmarkEnd w:id="48"/>
      <w:bookmarkEnd w:id="49"/>
      <w:bookmarkEnd w:id="50"/>
      <w:bookmarkEnd w:id="51"/>
      <w:bookmarkEnd w:id="52"/>
    </w:p>
    <w:p w14:paraId="25D7CF8D">
      <w:pPr>
        <w:pStyle w:val="11"/>
        <w:spacing w:before="0" w:after="0" w:line="360" w:lineRule="auto"/>
        <w:rPr>
          <w:rFonts w:hint="eastAsia" w:ascii="宋体" w:hAnsi="宋体" w:eastAsia="宋体"/>
          <w:color w:val="000000"/>
          <w:sz w:val="21"/>
          <w:szCs w:val="21"/>
          <w:highlight w:val="none"/>
        </w:rPr>
      </w:pPr>
      <w:bookmarkStart w:id="53" w:name="_Toc207770835"/>
      <w:bookmarkStart w:id="54" w:name="_Toc206525682"/>
      <w:bookmarkStart w:id="55" w:name="_Toc239839863"/>
      <w:bookmarkStart w:id="56" w:name="_Toc230578057"/>
      <w:bookmarkStart w:id="57" w:name="_Toc185702549"/>
      <w:bookmarkStart w:id="58" w:name="_Toc11424"/>
      <w:bookmarkStart w:id="59" w:name="_Toc486196138"/>
      <w:bookmarkStart w:id="60" w:name="_Toc486922955"/>
      <w:bookmarkStart w:id="61" w:name="_Toc108539715"/>
      <w:r>
        <w:rPr>
          <w:rFonts w:hint="eastAsia" w:ascii="宋体" w:hAnsi="宋体" w:eastAsia="宋体"/>
          <w:color w:val="000000"/>
          <w:sz w:val="21"/>
          <w:szCs w:val="21"/>
          <w:highlight w:val="none"/>
        </w:rPr>
        <w:t>1</w:t>
      </w:r>
      <w:bookmarkEnd w:id="53"/>
      <w:bookmarkEnd w:id="54"/>
      <w:bookmarkEnd w:id="55"/>
      <w:bookmarkEnd w:id="56"/>
      <w:bookmarkEnd w:id="57"/>
      <w:r>
        <w:rPr>
          <w:rFonts w:hint="eastAsia" w:ascii="宋体" w:hAnsi="宋体" w:eastAsia="宋体"/>
          <w:color w:val="000000"/>
          <w:sz w:val="21"/>
          <w:szCs w:val="21"/>
          <w:highlight w:val="none"/>
        </w:rPr>
        <w:t>．项目基本情况、适用范围及定义</w:t>
      </w:r>
      <w:bookmarkEnd w:id="58"/>
      <w:bookmarkEnd w:id="59"/>
      <w:bookmarkEnd w:id="60"/>
      <w:bookmarkEnd w:id="61"/>
    </w:p>
    <w:p w14:paraId="56FB99DE">
      <w:pPr>
        <w:pStyle w:val="44"/>
        <w:spacing w:line="360" w:lineRule="auto"/>
        <w:ind w:left="420" w:hanging="420" w:hangingChars="200"/>
        <w:rPr>
          <w:rFonts w:hAnsi="宋体"/>
          <w:color w:val="000000"/>
          <w:highlight w:val="none"/>
        </w:rPr>
      </w:pPr>
      <w:r>
        <w:rPr>
          <w:rFonts w:hAnsi="宋体"/>
          <w:color w:val="000000"/>
          <w:highlight w:val="none"/>
        </w:rPr>
        <w:t>1.1项目基本情况：见须知前附表。</w:t>
      </w:r>
    </w:p>
    <w:p w14:paraId="7C0CB54D">
      <w:pPr>
        <w:pStyle w:val="44"/>
        <w:spacing w:line="360" w:lineRule="auto"/>
        <w:ind w:left="420" w:hanging="420" w:hangingChars="200"/>
        <w:rPr>
          <w:rFonts w:hAnsi="宋体"/>
          <w:color w:val="000000"/>
          <w:highlight w:val="none"/>
        </w:rPr>
      </w:pPr>
      <w:r>
        <w:rPr>
          <w:rFonts w:hAnsi="宋体"/>
          <w:color w:val="000000"/>
          <w:highlight w:val="none"/>
        </w:rPr>
        <w:t>1.2采购人：见须知前附表。</w:t>
      </w:r>
    </w:p>
    <w:p w14:paraId="59C6AF46">
      <w:pPr>
        <w:pStyle w:val="44"/>
        <w:spacing w:line="360" w:lineRule="auto"/>
        <w:ind w:left="420" w:hanging="420" w:hangingChars="200"/>
        <w:rPr>
          <w:rFonts w:hAnsi="宋体"/>
          <w:color w:val="000000"/>
          <w:highlight w:val="none"/>
        </w:rPr>
      </w:pPr>
      <w:r>
        <w:rPr>
          <w:rFonts w:hAnsi="宋体"/>
          <w:color w:val="000000"/>
          <w:highlight w:val="none"/>
        </w:rPr>
        <w:t>1.3采购代理机构：见须知前附表。</w:t>
      </w:r>
    </w:p>
    <w:p w14:paraId="0C102401">
      <w:pPr>
        <w:pStyle w:val="44"/>
        <w:spacing w:line="360" w:lineRule="auto"/>
        <w:ind w:left="420" w:hanging="420" w:hangingChars="200"/>
        <w:rPr>
          <w:rFonts w:hAnsi="宋体"/>
          <w:color w:val="000000"/>
          <w:highlight w:val="none"/>
        </w:rPr>
      </w:pPr>
      <w:r>
        <w:rPr>
          <w:rFonts w:hAnsi="宋体"/>
          <w:color w:val="000000"/>
          <w:highlight w:val="none"/>
        </w:rPr>
        <w:t>1.4监督部门：见须知前附表。</w:t>
      </w:r>
    </w:p>
    <w:p w14:paraId="7B646FAB">
      <w:pPr>
        <w:pStyle w:val="44"/>
        <w:spacing w:line="360" w:lineRule="auto"/>
        <w:ind w:left="420" w:hanging="420" w:hangingChars="200"/>
        <w:rPr>
          <w:rFonts w:hAnsi="宋体"/>
          <w:color w:val="000000"/>
          <w:highlight w:val="none"/>
        </w:rPr>
      </w:pPr>
      <w:r>
        <w:rPr>
          <w:rFonts w:hAnsi="宋体"/>
          <w:color w:val="000000"/>
          <w:highlight w:val="none"/>
        </w:rPr>
        <w:t>1.5适用范围：本竞争性磋商文件仅适用于本次磋商中所述项目的工程、货物、服务类政府采购项目。</w:t>
      </w:r>
    </w:p>
    <w:p w14:paraId="5DE2C38E">
      <w:pPr>
        <w:pStyle w:val="44"/>
        <w:spacing w:line="360" w:lineRule="auto"/>
        <w:ind w:left="420" w:hanging="420" w:hangingChars="200"/>
        <w:rPr>
          <w:rFonts w:hAnsi="宋体"/>
          <w:color w:val="000000"/>
          <w:highlight w:val="none"/>
        </w:rPr>
      </w:pPr>
      <w:r>
        <w:rPr>
          <w:rFonts w:hAnsi="宋体"/>
          <w:color w:val="000000"/>
          <w:highlight w:val="none"/>
        </w:rPr>
        <w:t>1.6定义：</w:t>
      </w:r>
    </w:p>
    <w:p w14:paraId="5FFEEC38">
      <w:pPr>
        <w:pStyle w:val="44"/>
        <w:spacing w:line="360" w:lineRule="auto"/>
        <w:ind w:left="420" w:hanging="420" w:hangingChars="200"/>
        <w:rPr>
          <w:rFonts w:hAnsi="宋体"/>
          <w:color w:val="000000"/>
          <w:highlight w:val="none"/>
        </w:rPr>
      </w:pPr>
      <w:r>
        <w:rPr>
          <w:rFonts w:hAnsi="宋体"/>
          <w:color w:val="000000"/>
          <w:highlight w:val="none"/>
        </w:rPr>
        <w:t>1.6.1“采购人”系指依法进行政府采购的国家机关、事业单位、团体组织，见本章须知前附表。</w:t>
      </w:r>
    </w:p>
    <w:p w14:paraId="4AF38E47">
      <w:pPr>
        <w:pStyle w:val="44"/>
        <w:spacing w:line="360" w:lineRule="auto"/>
        <w:ind w:left="420" w:hanging="420" w:hangingChars="200"/>
        <w:rPr>
          <w:rFonts w:hAnsi="宋体"/>
          <w:color w:val="000000"/>
          <w:highlight w:val="none"/>
        </w:rPr>
      </w:pPr>
      <w:r>
        <w:rPr>
          <w:rFonts w:hAnsi="宋体"/>
          <w:color w:val="000000"/>
          <w:highlight w:val="none"/>
        </w:rPr>
        <w:t>1.6.2“采购代理机构”系指采购人委托办理政府采购事宜的组织方，见本章须知前附表。</w:t>
      </w:r>
    </w:p>
    <w:p w14:paraId="4ECE75C1">
      <w:pPr>
        <w:pStyle w:val="44"/>
        <w:spacing w:line="360" w:lineRule="auto"/>
        <w:ind w:left="630" w:hanging="630" w:hangingChars="300"/>
        <w:rPr>
          <w:rFonts w:hAnsi="宋体"/>
          <w:color w:val="000000"/>
          <w:highlight w:val="none"/>
        </w:rPr>
      </w:pPr>
      <w:r>
        <w:rPr>
          <w:rFonts w:hAnsi="宋体"/>
          <w:color w:val="000000"/>
          <w:highlight w:val="none"/>
        </w:rPr>
        <w:t>1.6.3“供应商”是指参与本项目采购活动的法人、其他组织。按竞争性磋商公告的要求获取磋商文件称为“潜在供应商”；提交响应文件并参加磋商称为“磋商供应商”；经法定程序确定成交的供应商称为“成交供应商”。</w:t>
      </w:r>
    </w:p>
    <w:p w14:paraId="1A00C088">
      <w:pPr>
        <w:pStyle w:val="44"/>
        <w:spacing w:line="360" w:lineRule="auto"/>
        <w:ind w:left="630" w:hanging="630" w:hangingChars="300"/>
        <w:rPr>
          <w:rFonts w:hAnsi="宋体"/>
          <w:color w:val="000000"/>
          <w:highlight w:val="none"/>
        </w:rPr>
      </w:pPr>
      <w:r>
        <w:rPr>
          <w:rFonts w:hAnsi="宋体"/>
          <w:color w:val="000000"/>
          <w:highlight w:val="none"/>
        </w:rPr>
        <w:t>1.6.4“产品”系指供应商按竞争性磋商文件规定向采购人提供的一切货物、设备、机械、仪器仪表、备品备件、工具、手册及其它有关技术资料和材料。</w:t>
      </w:r>
    </w:p>
    <w:p w14:paraId="1923E0BC">
      <w:pPr>
        <w:pStyle w:val="105"/>
        <w:ind w:firstLine="0"/>
        <w:rPr>
          <w:color w:val="000000"/>
          <w:sz w:val="21"/>
          <w:szCs w:val="21"/>
          <w:highlight w:val="none"/>
        </w:rPr>
      </w:pPr>
      <w:r>
        <w:rPr>
          <w:color w:val="000000"/>
          <w:sz w:val="21"/>
          <w:szCs w:val="21"/>
          <w:highlight w:val="none"/>
        </w:rPr>
        <w:t>1.6.5</w:t>
      </w:r>
      <w:r>
        <w:rPr>
          <w:rFonts w:hint="eastAsia"/>
          <w:color w:val="000000"/>
          <w:sz w:val="21"/>
          <w:szCs w:val="21"/>
          <w:highlight w:val="none"/>
        </w:rPr>
        <w:t>“</w:t>
      </w:r>
      <w:r>
        <w:rPr>
          <w:color w:val="000000"/>
          <w:sz w:val="21"/>
          <w:szCs w:val="21"/>
          <w:highlight w:val="none"/>
        </w:rPr>
        <w:t>服务”指竞争性磋商文件规定供应商须承担的与本项目有关的服务内容以及其他类似的义务。</w:t>
      </w:r>
    </w:p>
    <w:p w14:paraId="44DBAEA0">
      <w:pPr>
        <w:pStyle w:val="105"/>
        <w:ind w:firstLine="0"/>
        <w:rPr>
          <w:color w:val="000000"/>
          <w:sz w:val="21"/>
          <w:szCs w:val="21"/>
          <w:highlight w:val="none"/>
        </w:rPr>
      </w:pPr>
      <w:r>
        <w:rPr>
          <w:color w:val="000000"/>
          <w:sz w:val="21"/>
          <w:szCs w:val="21"/>
          <w:highlight w:val="none"/>
        </w:rPr>
        <w:t>1.6.6“</w:t>
      </w:r>
      <w:r>
        <w:rPr>
          <w:rFonts w:ascii="Helvetica" w:hAnsi="Helvetica"/>
          <w:color w:val="000000"/>
          <w:sz w:val="21"/>
          <w:szCs w:val="21"/>
          <w:highlight w:val="none"/>
          <w:shd w:val="clear" w:color="auto" w:fill="FFFFFF"/>
        </w:rPr>
        <w:t>工程</w:t>
      </w:r>
      <w:r>
        <w:rPr>
          <w:rFonts w:hint="eastAsia"/>
          <w:color w:val="000000"/>
          <w:sz w:val="21"/>
          <w:szCs w:val="21"/>
          <w:highlight w:val="none"/>
        </w:rPr>
        <w:t>”</w:t>
      </w:r>
      <w:r>
        <w:rPr>
          <w:rFonts w:ascii="Helvetica" w:hAnsi="Helvetica"/>
          <w:color w:val="000000"/>
          <w:sz w:val="21"/>
          <w:szCs w:val="21"/>
          <w:highlight w:val="none"/>
          <w:shd w:val="clear" w:color="auto" w:fill="FFFFFF"/>
        </w:rPr>
        <w:t>是指建设工程，包括建筑物和构筑物的新建、改建、扩建、装修、拆除、修缮等。</w:t>
      </w:r>
    </w:p>
    <w:p w14:paraId="17C692D2">
      <w:pPr>
        <w:pStyle w:val="44"/>
        <w:spacing w:line="360" w:lineRule="auto"/>
        <w:ind w:left="630" w:hanging="630" w:hangingChars="300"/>
        <w:rPr>
          <w:rFonts w:hAnsi="宋体"/>
          <w:color w:val="000000"/>
          <w:highlight w:val="none"/>
        </w:rPr>
      </w:pPr>
      <w:r>
        <w:rPr>
          <w:rFonts w:hAnsi="宋体"/>
          <w:color w:val="000000"/>
          <w:highlight w:val="none"/>
        </w:rPr>
        <w:t>1.6.7“响应文件”是指供应商根据竞争性磋商文件要求，编制包含报价、技术和服务等所有内容的文件。</w:t>
      </w:r>
    </w:p>
    <w:p w14:paraId="2D413BA3">
      <w:pPr>
        <w:pStyle w:val="44"/>
        <w:spacing w:line="360" w:lineRule="auto"/>
        <w:ind w:left="630" w:hanging="630" w:hangingChars="300"/>
        <w:rPr>
          <w:rFonts w:hAnsi="宋体"/>
          <w:color w:val="000000"/>
          <w:highlight w:val="none"/>
        </w:rPr>
      </w:pPr>
      <w:r>
        <w:rPr>
          <w:rFonts w:hAnsi="宋体"/>
          <w:color w:val="000000"/>
          <w:highlight w:val="none"/>
        </w:rPr>
        <w:t>1.6.8“公章”系指供应商用自己法定主体行为名称制作的印章，不包含其他替代章（如业务专用章、合同专用章、报价专用章等）。</w:t>
      </w:r>
      <w:r>
        <w:rPr>
          <w:rFonts w:hAnsi="宋体"/>
          <w:b/>
          <w:color w:val="000000"/>
          <w:highlight w:val="none"/>
        </w:rPr>
        <w:t>本项目为全流程电子标，供应商响应文件加盖公章的均采用CA电子签章。</w:t>
      </w:r>
    </w:p>
    <w:p w14:paraId="78ABA3EF">
      <w:pPr>
        <w:pStyle w:val="44"/>
        <w:spacing w:line="360" w:lineRule="auto"/>
        <w:ind w:left="630" w:hanging="630" w:hangingChars="300"/>
        <w:rPr>
          <w:rFonts w:hAnsi="宋体"/>
          <w:color w:val="000000"/>
          <w:highlight w:val="none"/>
        </w:rPr>
      </w:pPr>
      <w:r>
        <w:rPr>
          <w:rFonts w:hAnsi="宋体"/>
          <w:color w:val="000000"/>
          <w:highlight w:val="none"/>
        </w:rPr>
        <w:t>1.6.9“财政部门指定的政府采购信息发布媒体”系指中国政府采购网、广西壮族自治区政府采购网。本项目相关信息除在财政部指定的政府采购信息发布媒体上发布外，还同时在梧州市政府采购网</w:t>
      </w:r>
      <w:r>
        <w:rPr>
          <w:rFonts w:ascii="Arial" w:hAnsi="Arial"/>
          <w:color w:val="000000"/>
          <w:highlight w:val="none"/>
          <w:shd w:val="clear" w:color="auto" w:fill="FFFFFF"/>
        </w:rPr>
        <w:t>网</w:t>
      </w:r>
      <w:r>
        <w:rPr>
          <w:rFonts w:hAnsi="宋体"/>
          <w:color w:val="000000"/>
          <w:highlight w:val="none"/>
        </w:rPr>
        <w:t>站上发布。</w:t>
      </w:r>
    </w:p>
    <w:p w14:paraId="35E937B4">
      <w:pPr>
        <w:pStyle w:val="11"/>
        <w:spacing w:before="0" w:after="0" w:line="360" w:lineRule="auto"/>
        <w:rPr>
          <w:rFonts w:hint="eastAsia" w:ascii="宋体" w:hAnsi="宋体" w:eastAsia="宋体"/>
          <w:color w:val="000000"/>
          <w:sz w:val="21"/>
          <w:szCs w:val="21"/>
          <w:highlight w:val="none"/>
        </w:rPr>
      </w:pPr>
      <w:bookmarkStart w:id="62" w:name="_Toc108539716"/>
      <w:bookmarkStart w:id="63" w:name="_Toc5785"/>
      <w:r>
        <w:rPr>
          <w:rFonts w:hint="eastAsia" w:ascii="宋体" w:hAnsi="宋体" w:eastAsia="宋体"/>
          <w:color w:val="000000"/>
          <w:sz w:val="21"/>
          <w:szCs w:val="21"/>
          <w:highlight w:val="none"/>
        </w:rPr>
        <w:t>2．合格的供应商</w:t>
      </w:r>
      <w:bookmarkEnd w:id="62"/>
      <w:bookmarkEnd w:id="63"/>
    </w:p>
    <w:p w14:paraId="4F0744C3">
      <w:pPr>
        <w:pStyle w:val="44"/>
        <w:spacing w:line="360" w:lineRule="auto"/>
        <w:ind w:left="420" w:hanging="420" w:hangingChars="200"/>
        <w:rPr>
          <w:rFonts w:hAnsi="宋体"/>
          <w:color w:val="000000"/>
          <w:highlight w:val="none"/>
        </w:rPr>
      </w:pPr>
      <w:r>
        <w:rPr>
          <w:rFonts w:hAnsi="宋体"/>
          <w:color w:val="000000"/>
          <w:highlight w:val="none"/>
        </w:rPr>
        <w:t>2.1磋商供应商资格要求：见本章须知前附表。</w:t>
      </w:r>
    </w:p>
    <w:p w14:paraId="110E6CBA">
      <w:pPr>
        <w:pStyle w:val="44"/>
        <w:spacing w:line="360" w:lineRule="auto"/>
        <w:ind w:left="420" w:hanging="420" w:hangingChars="200"/>
        <w:rPr>
          <w:rFonts w:hAnsi="宋体"/>
          <w:color w:val="000000"/>
          <w:highlight w:val="none"/>
        </w:rPr>
      </w:pPr>
      <w:r>
        <w:rPr>
          <w:rFonts w:hAnsi="宋体"/>
          <w:color w:val="000000"/>
          <w:highlight w:val="none"/>
        </w:rPr>
        <w:t>2.2供应商不得直接或间接地与为本次采购的项目内容进行设计、编制规范和其他文件的咨询公司、采购代理机构或其附属机构有任何关联。</w:t>
      </w:r>
    </w:p>
    <w:p w14:paraId="7CE7139D">
      <w:pPr>
        <w:spacing w:line="440" w:lineRule="exact"/>
        <w:rPr>
          <w:rFonts w:hAnsi="宋体"/>
          <w:color w:val="000000"/>
          <w:highlight w:val="none"/>
        </w:rPr>
      </w:pPr>
      <w:r>
        <w:rPr>
          <w:rFonts w:hAnsi="宋体"/>
          <w:color w:val="000000"/>
          <w:highlight w:val="none"/>
        </w:rPr>
        <w:t>2.3符合供应商资格的供应商应承担磋商及履约中应承担的全部责任与义务。</w:t>
      </w:r>
    </w:p>
    <w:p w14:paraId="07C362AD">
      <w:pPr>
        <w:spacing w:line="440" w:lineRule="exact"/>
        <w:rPr>
          <w:color w:val="000000"/>
          <w:highlight w:val="none"/>
        </w:rPr>
      </w:pPr>
      <w:r>
        <w:rPr>
          <w:color w:val="000000"/>
          <w:highlight w:val="none"/>
        </w:rPr>
        <w:t>2.4凡两家或以上供应商参加同一项目采购，有如下情形的，一经发现，将视为串标处理：</w:t>
      </w:r>
    </w:p>
    <w:p w14:paraId="01CC3057">
      <w:pPr>
        <w:spacing w:line="440" w:lineRule="exact"/>
        <w:rPr>
          <w:color w:val="000000"/>
          <w:highlight w:val="none"/>
        </w:rPr>
      </w:pPr>
      <w:r>
        <w:rPr>
          <w:color w:val="000000"/>
          <w:highlight w:val="none"/>
        </w:rPr>
        <w:t>（1）不同供应商的响应文件由同一单位或者个人编制；或不同供应商报名（或上传响应文件）的 IP 地址一致的；</w:t>
      </w:r>
    </w:p>
    <w:p w14:paraId="7FD47DEF">
      <w:pPr>
        <w:spacing w:line="440" w:lineRule="exact"/>
        <w:rPr>
          <w:color w:val="000000"/>
          <w:highlight w:val="none"/>
        </w:rPr>
      </w:pPr>
      <w:r>
        <w:rPr>
          <w:color w:val="000000"/>
          <w:highlight w:val="none"/>
        </w:rPr>
        <w:t>（2）不同供应商委托同一单位或者个人办磋商事宜；</w:t>
      </w:r>
    </w:p>
    <w:p w14:paraId="761B4554">
      <w:pPr>
        <w:spacing w:line="440" w:lineRule="exact"/>
        <w:rPr>
          <w:color w:val="000000"/>
          <w:highlight w:val="none"/>
        </w:rPr>
      </w:pPr>
      <w:r>
        <w:rPr>
          <w:color w:val="000000"/>
          <w:highlight w:val="none"/>
        </w:rPr>
        <w:t>（3）不同供应商的响应文件载明的项目管理成员（项目经办人）为同一人；</w:t>
      </w:r>
    </w:p>
    <w:p w14:paraId="7DA50966">
      <w:pPr>
        <w:spacing w:line="440" w:lineRule="exact"/>
        <w:rPr>
          <w:color w:val="000000"/>
          <w:highlight w:val="none"/>
        </w:rPr>
      </w:pPr>
      <w:r>
        <w:rPr>
          <w:color w:val="000000"/>
          <w:highlight w:val="none"/>
        </w:rPr>
        <w:t>（4）不同供应商的响应文件异常一致或者磋商报价呈规律性差异；</w:t>
      </w:r>
    </w:p>
    <w:p w14:paraId="537C0844">
      <w:pPr>
        <w:spacing w:line="440" w:lineRule="exact"/>
        <w:rPr>
          <w:color w:val="000000"/>
          <w:highlight w:val="none"/>
        </w:rPr>
      </w:pPr>
      <w:r>
        <w:rPr>
          <w:color w:val="000000"/>
          <w:highlight w:val="none"/>
        </w:rPr>
        <w:t>（5）不同供应商的响应文件相互混装；</w:t>
      </w:r>
    </w:p>
    <w:p w14:paraId="6E722446">
      <w:pPr>
        <w:spacing w:line="440" w:lineRule="exact"/>
        <w:rPr>
          <w:color w:val="000000"/>
          <w:highlight w:val="none"/>
        </w:rPr>
      </w:pPr>
      <w:r>
        <w:rPr>
          <w:color w:val="000000"/>
          <w:highlight w:val="none"/>
        </w:rPr>
        <w:t>（6）不同供应商的磋商保证金从同一单位或者个人的账户转出。</w:t>
      </w:r>
    </w:p>
    <w:p w14:paraId="22C40823">
      <w:pPr>
        <w:pStyle w:val="44"/>
        <w:spacing w:line="360" w:lineRule="auto"/>
        <w:ind w:left="420" w:hanging="420" w:hangingChars="200"/>
        <w:rPr>
          <w:rFonts w:hAnsi="宋体"/>
          <w:color w:val="000000"/>
          <w:highlight w:val="none"/>
        </w:rPr>
      </w:pPr>
    </w:p>
    <w:p w14:paraId="3192CC40">
      <w:pPr>
        <w:pStyle w:val="11"/>
        <w:spacing w:before="0" w:after="0" w:line="360" w:lineRule="auto"/>
        <w:rPr>
          <w:rFonts w:hint="eastAsia" w:ascii="宋体" w:hAnsi="宋体" w:eastAsia="宋体"/>
          <w:color w:val="000000"/>
          <w:sz w:val="21"/>
          <w:szCs w:val="21"/>
          <w:highlight w:val="none"/>
        </w:rPr>
      </w:pPr>
      <w:bookmarkStart w:id="64" w:name="_Toc16613"/>
      <w:bookmarkStart w:id="65" w:name="_Toc108539717"/>
      <w:r>
        <w:rPr>
          <w:rFonts w:hint="eastAsia" w:ascii="宋体" w:hAnsi="宋体" w:eastAsia="宋体"/>
          <w:color w:val="000000"/>
          <w:sz w:val="21"/>
          <w:szCs w:val="21"/>
          <w:highlight w:val="none"/>
        </w:rPr>
        <w:t>3．磋商费用</w:t>
      </w:r>
      <w:bookmarkEnd w:id="64"/>
      <w:bookmarkEnd w:id="65"/>
    </w:p>
    <w:p w14:paraId="77800D83">
      <w:pPr>
        <w:pStyle w:val="44"/>
        <w:spacing w:line="360" w:lineRule="auto"/>
        <w:ind w:left="420" w:hanging="420" w:hangingChars="200"/>
        <w:rPr>
          <w:rFonts w:hAnsi="宋体"/>
          <w:color w:val="000000"/>
          <w:highlight w:val="none"/>
        </w:rPr>
      </w:pPr>
      <w:r>
        <w:rPr>
          <w:rFonts w:hAnsi="宋体"/>
          <w:color w:val="000000"/>
          <w:highlight w:val="none"/>
        </w:rPr>
        <w:t>3.1供应商应承担所有与准备和参加政府采购活动有关的费用。不论磋商的结果如何，采购人和采购代理机构在任何情况下均无义务和责任承担此类费用。</w:t>
      </w:r>
    </w:p>
    <w:p w14:paraId="728DBB38">
      <w:pPr>
        <w:pStyle w:val="11"/>
        <w:spacing w:before="0" w:after="0" w:line="360" w:lineRule="auto"/>
        <w:rPr>
          <w:rFonts w:hint="eastAsia" w:ascii="宋体" w:hAnsi="宋体" w:eastAsia="宋体"/>
          <w:color w:val="000000"/>
          <w:sz w:val="21"/>
          <w:szCs w:val="21"/>
          <w:highlight w:val="none"/>
        </w:rPr>
      </w:pPr>
      <w:bookmarkStart w:id="66" w:name="_Toc486922958"/>
      <w:bookmarkStart w:id="67" w:name="_Toc18252"/>
      <w:bookmarkStart w:id="68" w:name="_Toc486196141"/>
      <w:bookmarkStart w:id="69" w:name="_Toc108539718"/>
      <w:r>
        <w:rPr>
          <w:rFonts w:hint="eastAsia" w:ascii="宋体" w:hAnsi="宋体" w:eastAsia="宋体"/>
          <w:color w:val="000000"/>
          <w:sz w:val="21"/>
          <w:szCs w:val="21"/>
          <w:highlight w:val="none"/>
        </w:rPr>
        <w:t>4．特别说明</w:t>
      </w:r>
      <w:bookmarkEnd w:id="66"/>
      <w:bookmarkEnd w:id="67"/>
      <w:bookmarkEnd w:id="68"/>
      <w:bookmarkEnd w:id="69"/>
    </w:p>
    <w:p w14:paraId="6A2CE029">
      <w:pPr>
        <w:pStyle w:val="44"/>
        <w:spacing w:line="360" w:lineRule="auto"/>
        <w:ind w:left="420" w:hanging="420" w:hangingChars="200"/>
        <w:rPr>
          <w:rFonts w:hAnsi="宋体"/>
          <w:color w:val="000000"/>
          <w:highlight w:val="none"/>
        </w:rPr>
      </w:pPr>
      <w:r>
        <w:rPr>
          <w:rFonts w:hAnsi="宋体"/>
          <w:color w:val="000000"/>
          <w:highlight w:val="none"/>
        </w:rPr>
        <w:t>4.1关联供应商不得参加同一合同项下政府采购活动，否则响应文件将被视为无效。单位负责人为同一人或者存在直接控股、管理关系的不同的供应商，不得参加同一合同项下的政府采购活动；生产厂商授权给供应商后自己不得参加同一合同项下的政府采购活动；生产厂商对同一品牌同一型号的货物，仅能委托一个代理商参加磋商。除单一来源采购项目外，为采购项目提供整体设计、规范编制或者项目管理、监理、检测等服务的供应商，不得再参加该采购项目的其他采购活动。</w:t>
      </w:r>
    </w:p>
    <w:p w14:paraId="64809D2B">
      <w:pPr>
        <w:pStyle w:val="44"/>
        <w:spacing w:line="360" w:lineRule="auto"/>
        <w:ind w:left="420" w:hanging="420" w:hangingChars="200"/>
        <w:rPr>
          <w:rFonts w:hAnsi="宋体"/>
          <w:color w:val="000000"/>
          <w:highlight w:val="none"/>
        </w:rPr>
      </w:pPr>
      <w:r>
        <w:rPr>
          <w:rFonts w:hAnsi="宋体"/>
          <w:color w:val="000000"/>
          <w:highlight w:val="none"/>
        </w:rPr>
        <w:t>4.2供应商磋商所使用的资格、信誉、荣誉、业绩与企业认证必须为本法人所拥有。供应商投入所使用的采购项目实施人员必须为本法人员工（或必须为本法人或控股公司正式员工）。</w:t>
      </w:r>
    </w:p>
    <w:p w14:paraId="6574461E">
      <w:pPr>
        <w:pStyle w:val="44"/>
        <w:spacing w:line="360" w:lineRule="auto"/>
        <w:ind w:left="420" w:hanging="420" w:hangingChars="200"/>
        <w:rPr>
          <w:rFonts w:hAnsi="宋体"/>
          <w:color w:val="000000"/>
          <w:highlight w:val="none"/>
        </w:rPr>
      </w:pPr>
      <w:r>
        <w:rPr>
          <w:rFonts w:hAnsi="宋体"/>
          <w:color w:val="000000"/>
          <w:highlight w:val="none"/>
        </w:rPr>
        <w:t>4.3供应商应仔细阅读磋商文件的所有内容，按照磋商文件的要求提交响应文件，并对所提供的全部资料的真实性承担法律责任。</w:t>
      </w:r>
    </w:p>
    <w:p w14:paraId="64C28111">
      <w:pPr>
        <w:pStyle w:val="44"/>
        <w:spacing w:line="360" w:lineRule="auto"/>
        <w:ind w:left="420" w:hanging="420" w:hangingChars="200"/>
        <w:rPr>
          <w:rFonts w:hAnsi="宋体"/>
          <w:color w:val="000000"/>
          <w:highlight w:val="none"/>
        </w:rPr>
      </w:pPr>
      <w:r>
        <w:rPr>
          <w:rFonts w:hAnsi="宋体"/>
          <w:color w:val="000000"/>
          <w:highlight w:val="none"/>
        </w:rPr>
        <w:t>4.4供应商在政府采购活动中提供任何虚假材料，其磋商无效，并报政府采购监管部门查处；成交后发现的，供应商须依照《中华人民共和国消费者权益保护法》的规定双倍赔偿采购人，且民事赔偿并不免除违法供应商的行政与刑事责任。</w:t>
      </w:r>
    </w:p>
    <w:p w14:paraId="30CFCC51">
      <w:pPr>
        <w:pStyle w:val="44"/>
        <w:spacing w:line="360" w:lineRule="auto"/>
        <w:rPr>
          <w:rFonts w:hAnsi="宋体"/>
          <w:color w:val="000000"/>
          <w:highlight w:val="none"/>
        </w:rPr>
      </w:pPr>
      <w:r>
        <w:rPr>
          <w:rFonts w:hAnsi="宋体"/>
          <w:color w:val="000000"/>
          <w:highlight w:val="none"/>
        </w:rPr>
        <w:t>4.5本项目不允许转包、分包。如成交供应商出现转包或分包情形，要承担相关法律责任。</w:t>
      </w:r>
    </w:p>
    <w:p w14:paraId="2F6932AE">
      <w:pPr>
        <w:pStyle w:val="11"/>
        <w:spacing w:before="0" w:after="0" w:line="360" w:lineRule="auto"/>
        <w:rPr>
          <w:rFonts w:hint="eastAsia" w:ascii="宋体" w:hAnsi="宋体" w:eastAsia="宋体"/>
          <w:color w:val="000000"/>
          <w:sz w:val="21"/>
          <w:szCs w:val="21"/>
          <w:highlight w:val="none"/>
        </w:rPr>
      </w:pPr>
      <w:bookmarkStart w:id="70" w:name="_Toc486922959"/>
      <w:bookmarkStart w:id="71" w:name="_Toc486196142"/>
      <w:bookmarkStart w:id="72" w:name="_Toc10852"/>
      <w:bookmarkStart w:id="73" w:name="_Toc108539719"/>
      <w:r>
        <w:rPr>
          <w:rFonts w:hint="eastAsia" w:ascii="宋体" w:hAnsi="宋体" w:eastAsia="宋体"/>
          <w:color w:val="000000"/>
          <w:sz w:val="21"/>
          <w:szCs w:val="21"/>
          <w:highlight w:val="none"/>
        </w:rPr>
        <w:t>5．询问、质疑和投诉</w:t>
      </w:r>
      <w:bookmarkEnd w:id="70"/>
      <w:bookmarkEnd w:id="71"/>
      <w:bookmarkEnd w:id="72"/>
      <w:bookmarkEnd w:id="73"/>
    </w:p>
    <w:p w14:paraId="198FA80B">
      <w:pPr>
        <w:pStyle w:val="44"/>
        <w:spacing w:line="360" w:lineRule="auto"/>
        <w:ind w:firstLine="420"/>
        <w:rPr>
          <w:rFonts w:hAnsi="宋体"/>
          <w:color w:val="000000"/>
          <w:highlight w:val="none"/>
        </w:rPr>
      </w:pPr>
      <w:r>
        <w:rPr>
          <w:rFonts w:hAnsi="宋体"/>
          <w:color w:val="000000"/>
          <w:highlight w:val="none"/>
        </w:rPr>
        <w:t>5.1询问。供应商如发现磋商文件内容有误或对政府采购活动事项有疑问的，应在磋商截止日期2个工作日前的正常工作时间以书面形式向采购人或采购代理机构提出询问、澄清。采购人或采购代理机构自收到之日起3个工作日内对供应商依法提出的询问作出答复，但答复的内容不得涉及商业秘密。</w:t>
      </w:r>
    </w:p>
    <w:p w14:paraId="0BB335B4">
      <w:pPr>
        <w:pStyle w:val="44"/>
        <w:spacing w:line="360" w:lineRule="auto"/>
        <w:ind w:firstLine="420"/>
        <w:rPr>
          <w:rFonts w:hAnsi="宋体"/>
          <w:color w:val="000000"/>
          <w:highlight w:val="none"/>
        </w:rPr>
      </w:pPr>
      <w:r>
        <w:rPr>
          <w:rFonts w:hAnsi="宋体"/>
          <w:color w:val="000000"/>
          <w:highlight w:val="none"/>
        </w:rPr>
        <w:t>5.2质疑。</w:t>
      </w:r>
    </w:p>
    <w:p w14:paraId="3113296E">
      <w:pPr>
        <w:pStyle w:val="44"/>
        <w:spacing w:line="360" w:lineRule="auto"/>
        <w:ind w:firstLine="420"/>
        <w:rPr>
          <w:rFonts w:hAnsi="宋体"/>
          <w:color w:val="000000"/>
          <w:highlight w:val="none"/>
        </w:rPr>
      </w:pPr>
      <w:r>
        <w:rPr>
          <w:rFonts w:hAnsi="宋体"/>
          <w:color w:val="000000"/>
          <w:highlight w:val="none"/>
        </w:rPr>
        <w:t>5.2.1供应商认为磋商文件、采购过程、成交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7F39DB9B">
      <w:pPr>
        <w:pStyle w:val="44"/>
        <w:spacing w:line="360" w:lineRule="auto"/>
        <w:ind w:firstLine="420"/>
        <w:rPr>
          <w:rFonts w:hAnsi="宋体"/>
          <w:color w:val="000000"/>
          <w:highlight w:val="none"/>
        </w:rPr>
      </w:pPr>
      <w:r>
        <w:rPr>
          <w:rFonts w:hAnsi="宋体"/>
          <w:color w:val="000000"/>
          <w:highlight w:val="none"/>
        </w:rPr>
        <w:t>5.2.2提出质疑的供应商（以下简称质疑供应商）应当是参与所质疑项目采购活动的供应商。潜在供应商已依法获取其可质疑的磋商文件的，可以对该文件提出质疑。对磋商文件提出质疑的，应当在获取磋商文件或者磋商文件公告期限届满之日起7个工作日内提出。</w:t>
      </w:r>
    </w:p>
    <w:p w14:paraId="4A381BB2">
      <w:pPr>
        <w:pStyle w:val="44"/>
        <w:spacing w:line="360" w:lineRule="auto"/>
        <w:ind w:firstLine="420"/>
        <w:rPr>
          <w:rFonts w:hAnsi="宋体"/>
          <w:color w:val="000000"/>
          <w:highlight w:val="none"/>
        </w:rPr>
      </w:pPr>
      <w:r>
        <w:rPr>
          <w:rFonts w:hAnsi="宋体"/>
          <w:color w:val="000000"/>
          <w:highlight w:val="none"/>
        </w:rPr>
        <w:t>5.2.3供应商提出质疑应当提交质疑函和必要的证明材料。质疑函应按财政部发布的《政府采购供应商质疑函范本》编制。</w:t>
      </w:r>
    </w:p>
    <w:p w14:paraId="65804A76">
      <w:pPr>
        <w:pStyle w:val="44"/>
        <w:spacing w:line="360" w:lineRule="auto"/>
        <w:ind w:firstLine="420"/>
        <w:rPr>
          <w:rFonts w:hAnsi="宋体"/>
          <w:color w:val="000000"/>
          <w:highlight w:val="none"/>
        </w:rPr>
      </w:pPr>
      <w:r>
        <w:rPr>
          <w:rFonts w:hAnsi="宋体"/>
          <w:color w:val="000000"/>
          <w:highlight w:val="none"/>
        </w:rPr>
        <w:t>5.2.4采购人、采购代理机构只接受纸质材料形式的质疑，不接受电子送达的质疑材料，即不接受以传真、电子邮件、移动通信等即时收悉的特定系统作为送达媒介的质疑材料。采购人、采购代理机构接收质疑函的联系部门、联系电话和通讯地址详见竞争性磋商公告。</w:t>
      </w:r>
    </w:p>
    <w:p w14:paraId="568437D8">
      <w:pPr>
        <w:pStyle w:val="44"/>
        <w:spacing w:line="360" w:lineRule="auto"/>
        <w:ind w:firstLine="420"/>
        <w:rPr>
          <w:rFonts w:hAnsi="宋体"/>
          <w:color w:val="000000"/>
          <w:highlight w:val="none"/>
        </w:rPr>
      </w:pPr>
      <w:r>
        <w:rPr>
          <w:rFonts w:hAnsi="宋体"/>
          <w:color w:val="000000"/>
          <w:highlight w:val="none"/>
        </w:rPr>
        <w:t>5.2.5采购人、采购代理机构在收到供应商的质疑函后7个工作日内作出答复，并以书面形式通知质疑供应商和其他有关供应商。但答复的内容不得涉及商业秘密。</w:t>
      </w:r>
    </w:p>
    <w:p w14:paraId="5EAF5B66">
      <w:pPr>
        <w:pStyle w:val="44"/>
        <w:spacing w:line="360" w:lineRule="auto"/>
        <w:ind w:firstLine="420"/>
        <w:rPr>
          <w:rFonts w:hAnsi="宋体"/>
          <w:color w:val="000000"/>
          <w:highlight w:val="none"/>
        </w:rPr>
      </w:pPr>
      <w:r>
        <w:rPr>
          <w:rFonts w:hAnsi="宋体"/>
          <w:color w:val="000000"/>
          <w:highlight w:val="none"/>
        </w:rPr>
        <w:t>5.3投诉。质疑供应商对采购人、采购代理机构的答复不满意，或者采购人、采购代理机构未在规定时间内作出答复的，可以在答复期满后15个工作日内向同级财政部门提起投诉。</w:t>
      </w:r>
    </w:p>
    <w:p w14:paraId="7C9C4779">
      <w:pPr>
        <w:pStyle w:val="44"/>
        <w:spacing w:line="360" w:lineRule="auto"/>
        <w:ind w:firstLine="420"/>
        <w:rPr>
          <w:rFonts w:hAnsi="宋体"/>
          <w:color w:val="000000"/>
          <w:highlight w:val="none"/>
        </w:rPr>
      </w:pPr>
    </w:p>
    <w:p w14:paraId="185EE50A">
      <w:pPr>
        <w:pStyle w:val="10"/>
        <w:spacing w:line="360" w:lineRule="auto"/>
        <w:jc w:val="center"/>
        <w:rPr>
          <w:rFonts w:hint="eastAsia" w:ascii="宋体" w:hAnsi="宋体"/>
          <w:color w:val="000000"/>
          <w:highlight w:val="none"/>
        </w:rPr>
      </w:pPr>
      <w:bookmarkStart w:id="74" w:name="_Toc486922960"/>
      <w:bookmarkStart w:id="75" w:name="_Toc25998"/>
      <w:bookmarkStart w:id="76" w:name="_Toc230578060"/>
      <w:bookmarkStart w:id="77" w:name="_Toc19364"/>
      <w:bookmarkStart w:id="78" w:name="_Toc206525685"/>
      <w:bookmarkStart w:id="79" w:name="_Toc239839866"/>
      <w:bookmarkStart w:id="80" w:name="_Toc185702552"/>
      <w:bookmarkStart w:id="81" w:name="_Toc207770838"/>
      <w:bookmarkStart w:id="82" w:name="_Toc486196143"/>
      <w:bookmarkStart w:id="83" w:name="_Toc19314"/>
      <w:bookmarkStart w:id="84" w:name="_Toc108539720"/>
      <w:bookmarkStart w:id="85" w:name="_Toc28484"/>
      <w:r>
        <w:rPr>
          <w:rFonts w:hint="eastAsia" w:ascii="宋体" w:hAnsi="宋体"/>
          <w:color w:val="000000"/>
          <w:highlight w:val="none"/>
        </w:rPr>
        <w:t>二   竞争性磋商文件（简称磋商文件）</w:t>
      </w:r>
      <w:bookmarkEnd w:id="74"/>
      <w:bookmarkEnd w:id="75"/>
      <w:bookmarkEnd w:id="76"/>
      <w:bookmarkEnd w:id="77"/>
      <w:bookmarkEnd w:id="78"/>
      <w:bookmarkEnd w:id="79"/>
      <w:bookmarkEnd w:id="80"/>
      <w:bookmarkEnd w:id="81"/>
      <w:bookmarkEnd w:id="82"/>
      <w:bookmarkEnd w:id="83"/>
      <w:bookmarkEnd w:id="84"/>
      <w:bookmarkEnd w:id="85"/>
    </w:p>
    <w:p w14:paraId="0BD42260">
      <w:pPr>
        <w:pStyle w:val="11"/>
        <w:spacing w:before="0" w:after="0" w:line="360" w:lineRule="auto"/>
        <w:rPr>
          <w:rFonts w:hint="eastAsia" w:ascii="宋体" w:hAnsi="宋体" w:eastAsia="宋体"/>
          <w:color w:val="000000"/>
          <w:sz w:val="21"/>
          <w:szCs w:val="21"/>
          <w:highlight w:val="none"/>
        </w:rPr>
      </w:pPr>
      <w:bookmarkStart w:id="86" w:name="_Toc206525686"/>
      <w:bookmarkStart w:id="87" w:name="_Toc230578061"/>
      <w:bookmarkStart w:id="88" w:name="_Toc486196144"/>
      <w:bookmarkStart w:id="89" w:name="_Toc185702553"/>
      <w:bookmarkStart w:id="90" w:name="_Toc207770839"/>
      <w:bookmarkStart w:id="91" w:name="_Toc486922961"/>
      <w:bookmarkStart w:id="92" w:name="_Toc108539721"/>
      <w:bookmarkStart w:id="93" w:name="_Toc16375"/>
      <w:bookmarkStart w:id="94" w:name="_Toc239839867"/>
      <w:r>
        <w:rPr>
          <w:rFonts w:hint="eastAsia" w:ascii="宋体" w:hAnsi="宋体" w:eastAsia="宋体"/>
          <w:color w:val="000000"/>
          <w:sz w:val="21"/>
          <w:szCs w:val="21"/>
          <w:highlight w:val="none"/>
        </w:rPr>
        <w:t>6．磋商文件的构成</w:t>
      </w:r>
      <w:bookmarkEnd w:id="86"/>
      <w:bookmarkEnd w:id="87"/>
      <w:bookmarkEnd w:id="88"/>
      <w:bookmarkEnd w:id="89"/>
      <w:bookmarkEnd w:id="90"/>
      <w:bookmarkEnd w:id="91"/>
      <w:bookmarkEnd w:id="92"/>
      <w:bookmarkEnd w:id="93"/>
      <w:bookmarkEnd w:id="94"/>
    </w:p>
    <w:p w14:paraId="70F00ADB">
      <w:pPr>
        <w:pStyle w:val="44"/>
        <w:spacing w:line="360" w:lineRule="auto"/>
        <w:ind w:left="420" w:hanging="420" w:hangingChars="200"/>
        <w:rPr>
          <w:rFonts w:hAnsi="宋体"/>
          <w:color w:val="000000"/>
          <w:highlight w:val="none"/>
        </w:rPr>
      </w:pPr>
      <w:r>
        <w:rPr>
          <w:rFonts w:hAnsi="宋体"/>
          <w:color w:val="000000"/>
          <w:highlight w:val="none"/>
        </w:rPr>
        <w:t>6.1磋商文件由下列文件以及在采购过程中发出的更改、修正和补充文件组成：</w:t>
      </w:r>
    </w:p>
    <w:p w14:paraId="7D0607F7">
      <w:pPr>
        <w:pStyle w:val="44"/>
        <w:spacing w:line="360" w:lineRule="auto"/>
        <w:ind w:firstLine="426"/>
        <w:rPr>
          <w:rFonts w:hAnsi="宋体"/>
          <w:color w:val="000000"/>
          <w:highlight w:val="none"/>
        </w:rPr>
      </w:pPr>
      <w:r>
        <w:rPr>
          <w:rFonts w:hAnsi="宋体"/>
          <w:color w:val="000000"/>
          <w:highlight w:val="none"/>
        </w:rPr>
        <w:t>第一章  竞争性磋商公告</w:t>
      </w:r>
    </w:p>
    <w:p w14:paraId="346107EC">
      <w:pPr>
        <w:pStyle w:val="44"/>
        <w:spacing w:line="360" w:lineRule="auto"/>
        <w:ind w:firstLine="426"/>
        <w:rPr>
          <w:rFonts w:hAnsi="宋体"/>
          <w:color w:val="000000"/>
          <w:highlight w:val="none"/>
        </w:rPr>
      </w:pPr>
      <w:r>
        <w:rPr>
          <w:rFonts w:hAnsi="宋体"/>
          <w:color w:val="000000"/>
          <w:highlight w:val="none"/>
        </w:rPr>
        <w:t>第二章  供应商须知及前附表</w:t>
      </w:r>
    </w:p>
    <w:p w14:paraId="39006E23">
      <w:pPr>
        <w:pStyle w:val="44"/>
        <w:spacing w:line="360" w:lineRule="auto"/>
        <w:ind w:firstLine="420"/>
        <w:rPr>
          <w:rFonts w:hAnsi="宋体"/>
          <w:color w:val="000000"/>
          <w:highlight w:val="none"/>
        </w:rPr>
      </w:pPr>
      <w:r>
        <w:rPr>
          <w:rFonts w:hAnsi="宋体"/>
          <w:color w:val="000000"/>
          <w:highlight w:val="none"/>
        </w:rPr>
        <w:t>第三章  采购内容及要求</w:t>
      </w:r>
    </w:p>
    <w:p w14:paraId="65AF7178">
      <w:pPr>
        <w:pStyle w:val="44"/>
        <w:spacing w:line="360" w:lineRule="auto"/>
        <w:ind w:firstLine="420"/>
        <w:rPr>
          <w:rFonts w:hAnsi="宋体"/>
          <w:color w:val="000000"/>
          <w:highlight w:val="none"/>
        </w:rPr>
      </w:pPr>
      <w:r>
        <w:rPr>
          <w:rFonts w:hAnsi="宋体"/>
          <w:color w:val="000000"/>
          <w:highlight w:val="none"/>
        </w:rPr>
        <w:t>第四章  施工承包合同协议书（格式）</w:t>
      </w:r>
    </w:p>
    <w:p w14:paraId="2AF600DC">
      <w:pPr>
        <w:pStyle w:val="44"/>
        <w:spacing w:line="360" w:lineRule="auto"/>
        <w:ind w:firstLine="420"/>
        <w:rPr>
          <w:rFonts w:hAnsi="宋体"/>
          <w:color w:val="000000"/>
          <w:highlight w:val="none"/>
        </w:rPr>
      </w:pPr>
      <w:r>
        <w:rPr>
          <w:rFonts w:hAnsi="宋体"/>
          <w:color w:val="000000"/>
          <w:highlight w:val="none"/>
        </w:rPr>
        <w:t>第五章  评标办法</w:t>
      </w:r>
    </w:p>
    <w:p w14:paraId="4FADD24F">
      <w:pPr>
        <w:pStyle w:val="44"/>
        <w:spacing w:line="360" w:lineRule="auto"/>
        <w:ind w:firstLine="420"/>
        <w:rPr>
          <w:rFonts w:hAnsi="宋体"/>
          <w:color w:val="000000"/>
          <w:highlight w:val="none"/>
        </w:rPr>
      </w:pPr>
      <w:r>
        <w:rPr>
          <w:rFonts w:hAnsi="宋体"/>
          <w:color w:val="000000"/>
          <w:highlight w:val="none"/>
        </w:rPr>
        <w:t>第六章  响应文件（格式）</w:t>
      </w:r>
    </w:p>
    <w:p w14:paraId="2642C5FC">
      <w:pPr>
        <w:pStyle w:val="44"/>
        <w:spacing w:line="360" w:lineRule="auto"/>
        <w:ind w:firstLine="420"/>
        <w:rPr>
          <w:rFonts w:hAnsi="宋体"/>
          <w:color w:val="000000"/>
          <w:highlight w:val="none"/>
        </w:rPr>
      </w:pPr>
      <w:r>
        <w:rPr>
          <w:rFonts w:hAnsi="宋体"/>
          <w:color w:val="000000"/>
          <w:highlight w:val="none"/>
        </w:rPr>
        <w:t>第七章  附件</w:t>
      </w:r>
    </w:p>
    <w:p w14:paraId="4A424435">
      <w:pPr>
        <w:pStyle w:val="44"/>
        <w:spacing w:line="360" w:lineRule="auto"/>
        <w:ind w:left="420" w:hanging="420" w:hangingChars="200"/>
        <w:rPr>
          <w:rFonts w:hAnsi="宋体"/>
          <w:color w:val="000000"/>
          <w:highlight w:val="none"/>
        </w:rPr>
      </w:pPr>
      <w:r>
        <w:rPr>
          <w:rFonts w:hAnsi="宋体"/>
          <w:color w:val="000000"/>
          <w:highlight w:val="none"/>
        </w:rPr>
        <w:t>6.2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响应文件被拒绝，或被认定为无效响应文件或被确定为响应无效。</w:t>
      </w:r>
    </w:p>
    <w:p w14:paraId="4DEC7161">
      <w:pPr>
        <w:pStyle w:val="11"/>
        <w:spacing w:before="0" w:after="0" w:line="360" w:lineRule="auto"/>
        <w:rPr>
          <w:rFonts w:hint="eastAsia" w:ascii="宋体" w:hAnsi="宋体" w:eastAsia="宋体"/>
          <w:color w:val="000000"/>
          <w:sz w:val="21"/>
          <w:szCs w:val="21"/>
          <w:highlight w:val="none"/>
        </w:rPr>
      </w:pPr>
      <w:bookmarkStart w:id="95" w:name="_Toc206525687"/>
      <w:bookmarkStart w:id="96" w:name="_Toc239839868"/>
      <w:bookmarkStart w:id="97" w:name="_Toc486196145"/>
      <w:bookmarkStart w:id="98" w:name="_Toc207770840"/>
      <w:bookmarkStart w:id="99" w:name="_Toc230578062"/>
      <w:bookmarkStart w:id="100" w:name="_Toc29626"/>
      <w:bookmarkStart w:id="101" w:name="_Toc486922962"/>
      <w:bookmarkStart w:id="102" w:name="_Toc108539722"/>
      <w:bookmarkStart w:id="103" w:name="_Toc185702554"/>
      <w:r>
        <w:rPr>
          <w:rFonts w:hint="eastAsia" w:ascii="宋体" w:hAnsi="宋体" w:eastAsia="宋体"/>
          <w:color w:val="000000"/>
          <w:sz w:val="21"/>
          <w:szCs w:val="21"/>
          <w:highlight w:val="none"/>
        </w:rPr>
        <w:t>7．磋商文件的澄清和修改</w:t>
      </w:r>
      <w:bookmarkEnd w:id="95"/>
      <w:bookmarkEnd w:id="96"/>
      <w:bookmarkEnd w:id="97"/>
      <w:bookmarkEnd w:id="98"/>
      <w:bookmarkEnd w:id="99"/>
      <w:bookmarkEnd w:id="100"/>
      <w:bookmarkEnd w:id="101"/>
      <w:bookmarkEnd w:id="102"/>
      <w:bookmarkEnd w:id="103"/>
    </w:p>
    <w:p w14:paraId="3DABED5B">
      <w:pPr>
        <w:pStyle w:val="44"/>
        <w:spacing w:line="420" w:lineRule="exact"/>
        <w:ind w:left="420" w:hanging="420" w:hangingChars="200"/>
        <w:rPr>
          <w:rFonts w:hAnsi="宋体"/>
          <w:color w:val="000000"/>
          <w:highlight w:val="none"/>
        </w:rPr>
      </w:pPr>
      <w:r>
        <w:rPr>
          <w:rFonts w:hAnsi="宋体"/>
          <w:color w:val="000000"/>
          <w:highlight w:val="none"/>
        </w:rPr>
        <w:t>7.1供应商如发现磋商文件内容有误或对</w:t>
      </w:r>
      <w:r>
        <w:rPr>
          <w:rFonts w:hAnsi="宋体"/>
          <w:color w:val="000000"/>
          <w:kern w:val="0"/>
          <w:highlight w:val="none"/>
        </w:rPr>
        <w:t>政府采购活动事项有疑问</w:t>
      </w:r>
      <w:r>
        <w:rPr>
          <w:rFonts w:hAnsi="宋体"/>
          <w:color w:val="000000"/>
          <w:highlight w:val="none"/>
        </w:rPr>
        <w:t>的，应在提交首次响应文件截止时间5日前以书面形式向采购人或采购代理机构提出澄清或者询问。采购人、采购代理机构将</w:t>
      </w:r>
      <w:r>
        <w:rPr>
          <w:rFonts w:hAnsi="宋体"/>
          <w:color w:val="000000"/>
          <w:kern w:val="0"/>
          <w:highlight w:val="none"/>
        </w:rPr>
        <w:t>在3个工作日内对供应商依法提出的询问作出答复。</w:t>
      </w:r>
    </w:p>
    <w:p w14:paraId="59B5F360">
      <w:pPr>
        <w:pStyle w:val="44"/>
        <w:spacing w:line="420" w:lineRule="exact"/>
        <w:ind w:left="420" w:hanging="420" w:hangingChars="200"/>
        <w:rPr>
          <w:rFonts w:hAnsi="宋体"/>
          <w:color w:val="000000"/>
          <w:highlight w:val="none"/>
        </w:rPr>
      </w:pPr>
      <w:r>
        <w:rPr>
          <w:rFonts w:hAnsi="宋体"/>
          <w:color w:val="000000"/>
          <w:highlight w:val="none"/>
        </w:rPr>
        <w:t>7.2提交首次响应文件截止之日前，采购人、采购代理机构对已发出的磋商文件进行必要的澄清或者修改。如澄清或者修改的内容可能影响响应文件编制的，在提交首次响应文件截止之日3个工作日前，在政府采购信息发布媒体发布更正公告，不足3个工作日的，顺延提交首次响应文件截止时间。</w:t>
      </w:r>
    </w:p>
    <w:p w14:paraId="7129D198">
      <w:pPr>
        <w:pStyle w:val="44"/>
        <w:spacing w:line="420" w:lineRule="exact"/>
        <w:ind w:left="420" w:hanging="420" w:hangingChars="200"/>
        <w:rPr>
          <w:rFonts w:hAnsi="宋体"/>
          <w:color w:val="000000"/>
          <w:highlight w:val="none"/>
        </w:rPr>
      </w:pPr>
      <w:r>
        <w:rPr>
          <w:rFonts w:hAnsi="宋体"/>
          <w:color w:val="000000"/>
          <w:highlight w:val="none"/>
        </w:rPr>
        <w:t>7.3采购人、采购代理机构可视具体情况，延长磋商截止时间和开标时间的，在提交首次响应文件截止时间2日前，在政府采购信息发布媒体上发布变更公告。</w:t>
      </w:r>
    </w:p>
    <w:p w14:paraId="11EEE552">
      <w:pPr>
        <w:pStyle w:val="44"/>
        <w:spacing w:line="360" w:lineRule="auto"/>
        <w:ind w:left="420" w:hanging="420" w:hangingChars="200"/>
        <w:rPr>
          <w:rFonts w:hAnsi="宋体"/>
          <w:color w:val="000000"/>
          <w:highlight w:val="none"/>
        </w:rPr>
      </w:pPr>
      <w:r>
        <w:rPr>
          <w:rFonts w:hAnsi="宋体"/>
          <w:color w:val="000000"/>
          <w:highlight w:val="none"/>
        </w:rPr>
        <w:t>7.4所有与本项目相关的澄清、修改、补遗的内容作为磋商文件的组成部分。该所有通知文件在政府采购信息媒体发布之日起，视为供应商已收到该通知。供应商未及时关注网站上发布的通知文件造成的损失，由供应商负责。</w:t>
      </w:r>
    </w:p>
    <w:p w14:paraId="205FD08F">
      <w:pPr>
        <w:pStyle w:val="44"/>
        <w:spacing w:line="360" w:lineRule="auto"/>
        <w:ind w:firstLine="420"/>
        <w:rPr>
          <w:rFonts w:hAnsi="宋体"/>
          <w:color w:val="000000"/>
          <w:highlight w:val="none"/>
        </w:rPr>
      </w:pPr>
    </w:p>
    <w:p w14:paraId="5C502F20">
      <w:pPr>
        <w:pStyle w:val="10"/>
        <w:spacing w:line="360" w:lineRule="auto"/>
        <w:jc w:val="center"/>
        <w:rPr>
          <w:rFonts w:hint="eastAsia" w:ascii="宋体" w:hAnsi="宋体"/>
          <w:color w:val="000000"/>
          <w:highlight w:val="none"/>
        </w:rPr>
      </w:pPr>
      <w:bookmarkStart w:id="104" w:name="_Toc207770841"/>
      <w:bookmarkStart w:id="105" w:name="_Toc239839869"/>
      <w:bookmarkStart w:id="106" w:name="_Toc7023"/>
      <w:bookmarkStart w:id="107" w:name="_Toc486922963"/>
      <w:bookmarkStart w:id="108" w:name="_Toc486196146"/>
      <w:bookmarkStart w:id="109" w:name="_Toc29868"/>
      <w:bookmarkStart w:id="110" w:name="_Toc8087"/>
      <w:bookmarkStart w:id="111" w:name="_Toc20992"/>
      <w:bookmarkStart w:id="112" w:name="_Toc230578063"/>
      <w:bookmarkStart w:id="113" w:name="_Toc185702555"/>
      <w:bookmarkStart w:id="114" w:name="_Toc108539723"/>
      <w:bookmarkStart w:id="115" w:name="_Toc206525688"/>
      <w:r>
        <w:rPr>
          <w:rFonts w:hint="eastAsia" w:ascii="宋体" w:hAnsi="宋体"/>
          <w:color w:val="000000"/>
          <w:highlight w:val="none"/>
        </w:rPr>
        <w:t>三   响应文件的编制</w:t>
      </w:r>
      <w:bookmarkEnd w:id="104"/>
      <w:bookmarkEnd w:id="105"/>
      <w:bookmarkEnd w:id="106"/>
      <w:bookmarkEnd w:id="107"/>
      <w:bookmarkEnd w:id="108"/>
      <w:bookmarkEnd w:id="109"/>
      <w:bookmarkEnd w:id="110"/>
      <w:bookmarkEnd w:id="111"/>
      <w:bookmarkEnd w:id="112"/>
      <w:bookmarkEnd w:id="113"/>
      <w:bookmarkEnd w:id="114"/>
      <w:bookmarkEnd w:id="115"/>
    </w:p>
    <w:p w14:paraId="3786128A">
      <w:pPr>
        <w:pStyle w:val="11"/>
        <w:spacing w:before="0" w:after="0" w:line="360" w:lineRule="auto"/>
        <w:rPr>
          <w:rFonts w:hint="eastAsia" w:ascii="宋体" w:hAnsi="宋体" w:eastAsia="宋体"/>
          <w:color w:val="000000"/>
          <w:sz w:val="21"/>
          <w:szCs w:val="21"/>
          <w:highlight w:val="none"/>
        </w:rPr>
      </w:pPr>
      <w:bookmarkStart w:id="116" w:name="_Toc206525689"/>
      <w:bookmarkStart w:id="117" w:name="_Toc185702556"/>
      <w:bookmarkStart w:id="118" w:name="_Toc207770842"/>
      <w:bookmarkStart w:id="119" w:name="_Toc230578064"/>
      <w:bookmarkStart w:id="120" w:name="_Toc239839870"/>
      <w:bookmarkStart w:id="121" w:name="_Toc15302"/>
      <w:bookmarkStart w:id="122" w:name="_Toc486196147"/>
      <w:bookmarkStart w:id="123" w:name="_Toc108539724"/>
      <w:bookmarkStart w:id="124" w:name="_Toc486922964"/>
      <w:r>
        <w:rPr>
          <w:rFonts w:hint="eastAsia" w:ascii="宋体" w:hAnsi="宋体" w:eastAsia="宋体"/>
          <w:color w:val="000000"/>
          <w:sz w:val="21"/>
          <w:szCs w:val="21"/>
          <w:highlight w:val="none"/>
        </w:rPr>
        <w:t>8．响应文件编</w:t>
      </w:r>
      <w:bookmarkEnd w:id="116"/>
      <w:bookmarkEnd w:id="117"/>
      <w:bookmarkEnd w:id="118"/>
      <w:bookmarkEnd w:id="119"/>
      <w:bookmarkEnd w:id="120"/>
      <w:r>
        <w:rPr>
          <w:rFonts w:hint="eastAsia" w:ascii="宋体" w:hAnsi="宋体" w:eastAsia="宋体"/>
          <w:color w:val="000000"/>
          <w:sz w:val="21"/>
          <w:szCs w:val="21"/>
          <w:highlight w:val="none"/>
        </w:rPr>
        <w:t>制</w:t>
      </w:r>
      <w:bookmarkEnd w:id="121"/>
      <w:bookmarkEnd w:id="122"/>
      <w:bookmarkEnd w:id="123"/>
      <w:bookmarkEnd w:id="124"/>
    </w:p>
    <w:p w14:paraId="485B3DFA">
      <w:pPr>
        <w:pStyle w:val="44"/>
        <w:spacing w:line="360" w:lineRule="auto"/>
        <w:ind w:left="420" w:hanging="420" w:hangingChars="200"/>
        <w:rPr>
          <w:rFonts w:hAnsi="宋体"/>
          <w:color w:val="000000"/>
          <w:highlight w:val="none"/>
        </w:rPr>
      </w:pPr>
      <w:r>
        <w:rPr>
          <w:rFonts w:hAnsi="宋体"/>
          <w:color w:val="000000"/>
          <w:highlight w:val="none"/>
        </w:rPr>
        <w:t>8.1供应商应当按照磋商文件的要求编制响应文件，并对其提交的响应文件的真实性、合法性承担法律责任。供应商须无条件接受采购人及政府采购监督管理部门等对其中任何资料进行核实的要求。</w:t>
      </w:r>
    </w:p>
    <w:p w14:paraId="14B7E88A">
      <w:pPr>
        <w:pStyle w:val="44"/>
        <w:spacing w:line="360" w:lineRule="auto"/>
        <w:ind w:left="420" w:hanging="420" w:hangingChars="200"/>
        <w:rPr>
          <w:rFonts w:hAnsi="宋体"/>
          <w:color w:val="000000"/>
          <w:highlight w:val="none"/>
        </w:rPr>
      </w:pPr>
      <w:r>
        <w:rPr>
          <w:rFonts w:hAnsi="宋体"/>
          <w:color w:val="000000"/>
          <w:highlight w:val="none"/>
        </w:rPr>
        <w:t>8.2供应商应认真阅读、并充分理解磋商文件的全部内容（包括所有的澄清、修改内容、重要事项、格式、条款和技术规范、参数及要求等），承诺并履行磋商文件中各项条款规定及要求。供应商未按照磋商文件要求提交响应文件，或者没有对磋商文件提出的实质性要求和条件作出响应，是供应商的风险，有可能导致其磋商被拒绝或被视为无效响应文件。</w:t>
      </w:r>
    </w:p>
    <w:p w14:paraId="441A37FC">
      <w:pPr>
        <w:pStyle w:val="44"/>
        <w:spacing w:line="360" w:lineRule="auto"/>
        <w:ind w:left="420" w:hanging="420" w:hangingChars="200"/>
        <w:rPr>
          <w:rFonts w:hAnsi="宋体"/>
          <w:color w:val="000000"/>
          <w:highlight w:val="none"/>
        </w:rPr>
      </w:pPr>
      <w:r>
        <w:rPr>
          <w:rFonts w:hAnsi="宋体"/>
          <w:color w:val="000000"/>
          <w:highlight w:val="none"/>
        </w:rPr>
        <w:t>8.3供应商对磋商文件提出的实质性要求和条件作出响应是指供应商必须对磋商文件中涉及磋商项目的价格、技术要求、数量、售后服务及其它要求、合同主要条款等内容作出满足或者优于原要求和条件的承诺。</w:t>
      </w:r>
    </w:p>
    <w:p w14:paraId="4B8A3816">
      <w:pPr>
        <w:pStyle w:val="44"/>
        <w:spacing w:line="360" w:lineRule="auto"/>
        <w:ind w:left="420" w:hanging="420" w:hangingChars="200"/>
        <w:rPr>
          <w:rFonts w:hAnsi="宋体"/>
          <w:color w:val="000000"/>
          <w:highlight w:val="none"/>
        </w:rPr>
      </w:pPr>
      <w:r>
        <w:rPr>
          <w:rFonts w:hAnsi="宋体"/>
          <w:color w:val="000000"/>
          <w:highlight w:val="none"/>
        </w:rPr>
        <w:t>8.4如因供应商只填写和提供了磋商文件要求的部分内容和附件，而给评审造成困难，其可能导致的结果责任由磋商供应商自行承担。</w:t>
      </w:r>
    </w:p>
    <w:p w14:paraId="4C4DAA56">
      <w:pPr>
        <w:pStyle w:val="44"/>
        <w:spacing w:line="360" w:lineRule="auto"/>
        <w:ind w:left="420" w:hanging="420" w:hangingChars="200"/>
        <w:rPr>
          <w:rFonts w:hAnsi="宋体"/>
          <w:color w:val="000000"/>
          <w:highlight w:val="none"/>
        </w:rPr>
      </w:pPr>
      <w:r>
        <w:rPr>
          <w:rFonts w:hAnsi="宋体"/>
          <w:color w:val="000000"/>
          <w:highlight w:val="none"/>
        </w:rPr>
        <w:t>8.5供应商自编目录及页码。</w:t>
      </w:r>
    </w:p>
    <w:p w14:paraId="4F9A7F6C">
      <w:pPr>
        <w:pStyle w:val="11"/>
        <w:spacing w:before="0" w:after="0" w:line="360" w:lineRule="auto"/>
        <w:rPr>
          <w:rFonts w:hint="eastAsia" w:ascii="宋体" w:hAnsi="宋体" w:eastAsia="宋体"/>
          <w:color w:val="000000"/>
          <w:sz w:val="21"/>
          <w:szCs w:val="21"/>
          <w:highlight w:val="none"/>
        </w:rPr>
      </w:pPr>
      <w:bookmarkStart w:id="125" w:name="_Toc13066"/>
      <w:bookmarkStart w:id="126" w:name="_Toc108539725"/>
      <w:r>
        <w:rPr>
          <w:rFonts w:hint="eastAsia" w:ascii="宋体" w:hAnsi="宋体" w:eastAsia="宋体"/>
          <w:color w:val="000000"/>
          <w:sz w:val="21"/>
          <w:szCs w:val="21"/>
          <w:highlight w:val="none"/>
        </w:rPr>
        <w:t>9．响应文件的文字及计量单位</w:t>
      </w:r>
      <w:bookmarkEnd w:id="125"/>
      <w:bookmarkEnd w:id="126"/>
    </w:p>
    <w:p w14:paraId="241B7429">
      <w:pPr>
        <w:pStyle w:val="44"/>
        <w:spacing w:line="360" w:lineRule="auto"/>
        <w:ind w:left="404" w:hanging="404" w:hangingChars="200"/>
        <w:rPr>
          <w:rFonts w:hAnsi="宋体"/>
          <w:color w:val="000000"/>
          <w:spacing w:val="-4"/>
          <w:highlight w:val="none"/>
        </w:rPr>
      </w:pPr>
      <w:r>
        <w:rPr>
          <w:rFonts w:hAnsi="宋体"/>
          <w:color w:val="000000"/>
          <w:spacing w:val="-4"/>
          <w:highlight w:val="none"/>
        </w:rPr>
        <w:t>9.1供应商提交的响应文件以及供应商与采购人、采购代理机构就有关磋商的所有来往函电均应使用中文（另有规定的除外）。</w:t>
      </w:r>
    </w:p>
    <w:p w14:paraId="3569CB1E">
      <w:pPr>
        <w:pStyle w:val="44"/>
        <w:spacing w:line="360" w:lineRule="auto"/>
        <w:ind w:left="420" w:hanging="420" w:hangingChars="200"/>
        <w:rPr>
          <w:rFonts w:hAnsi="宋体"/>
          <w:color w:val="000000"/>
          <w:highlight w:val="none"/>
        </w:rPr>
      </w:pPr>
      <w:r>
        <w:rPr>
          <w:rFonts w:hAnsi="宋体"/>
          <w:color w:val="000000"/>
          <w:highlight w:val="none"/>
        </w:rPr>
        <w:t>9.2响应文件使用的计量单位除磋商文件中有特殊规定外，一律使用法定计量单位。</w:t>
      </w:r>
    </w:p>
    <w:p w14:paraId="54E6E795">
      <w:pPr>
        <w:pStyle w:val="11"/>
        <w:spacing w:before="0" w:after="0" w:line="360" w:lineRule="auto"/>
        <w:rPr>
          <w:rFonts w:hint="eastAsia" w:ascii="宋体" w:hAnsi="宋体" w:eastAsia="宋体"/>
          <w:color w:val="000000"/>
          <w:sz w:val="21"/>
          <w:szCs w:val="21"/>
          <w:highlight w:val="none"/>
        </w:rPr>
      </w:pPr>
      <w:bookmarkStart w:id="127" w:name="_Toc108539726"/>
      <w:bookmarkStart w:id="128" w:name="_Toc486922966"/>
      <w:bookmarkStart w:id="129" w:name="_Toc230578066"/>
      <w:bookmarkStart w:id="130" w:name="_Toc206525691"/>
      <w:bookmarkStart w:id="131" w:name="_Toc486196149"/>
      <w:bookmarkStart w:id="132" w:name="_Toc207770844"/>
      <w:bookmarkStart w:id="133" w:name="_Toc239839872"/>
      <w:bookmarkStart w:id="134" w:name="_Toc185702558"/>
      <w:bookmarkStart w:id="135" w:name="_Toc10324"/>
      <w:r>
        <w:rPr>
          <w:rFonts w:hint="eastAsia" w:ascii="宋体" w:hAnsi="宋体" w:eastAsia="宋体"/>
          <w:color w:val="000000"/>
          <w:sz w:val="21"/>
          <w:szCs w:val="21"/>
          <w:highlight w:val="none"/>
        </w:rPr>
        <w:t>10．响应文件的构成</w:t>
      </w:r>
      <w:bookmarkEnd w:id="127"/>
      <w:bookmarkEnd w:id="128"/>
      <w:bookmarkEnd w:id="129"/>
      <w:bookmarkEnd w:id="130"/>
      <w:bookmarkEnd w:id="131"/>
      <w:bookmarkEnd w:id="132"/>
      <w:bookmarkEnd w:id="133"/>
      <w:bookmarkEnd w:id="134"/>
      <w:bookmarkEnd w:id="135"/>
    </w:p>
    <w:p w14:paraId="7556D29E">
      <w:pPr>
        <w:pStyle w:val="44"/>
        <w:spacing w:line="360" w:lineRule="auto"/>
        <w:ind w:left="420" w:hanging="420" w:hangingChars="200"/>
        <w:rPr>
          <w:rFonts w:hAnsi="宋体"/>
          <w:color w:val="000000"/>
          <w:highlight w:val="none"/>
        </w:rPr>
      </w:pPr>
      <w:r>
        <w:rPr>
          <w:rFonts w:hAnsi="宋体"/>
          <w:color w:val="000000"/>
          <w:highlight w:val="none"/>
        </w:rPr>
        <w:t>▲</w:t>
      </w:r>
      <w:r>
        <w:rPr>
          <w:rFonts w:hAnsi="宋体"/>
          <w:color w:val="000000"/>
          <w:spacing w:val="-2"/>
          <w:highlight w:val="none"/>
        </w:rPr>
        <w:t>10.1</w:t>
      </w:r>
      <w:r>
        <w:rPr>
          <w:rFonts w:hAnsi="宋体"/>
          <w:color w:val="000000"/>
          <w:highlight w:val="none"/>
        </w:rPr>
        <w:t>响应文件由以下文件组成，部分文件格式见第六章要求。磋商供应商应按下列要求编写和提供，以下文件均必须加盖CA电子签章。</w:t>
      </w:r>
    </w:p>
    <w:p w14:paraId="2CD4A57B">
      <w:pPr>
        <w:pStyle w:val="44"/>
        <w:spacing w:line="360" w:lineRule="auto"/>
        <w:ind w:left="420" w:leftChars="150" w:hanging="105" w:hangingChars="50"/>
        <w:rPr>
          <w:rFonts w:hAnsi="宋体"/>
          <w:b/>
          <w:color w:val="000000"/>
          <w:highlight w:val="none"/>
        </w:rPr>
      </w:pPr>
      <w:r>
        <w:rPr>
          <w:rFonts w:hAnsi="宋体"/>
          <w:b/>
          <w:color w:val="000000"/>
          <w:highlight w:val="none"/>
        </w:rPr>
        <w:t>一、报价文件（1-4项必须提供）</w:t>
      </w:r>
    </w:p>
    <w:p w14:paraId="2A8E5417">
      <w:pPr>
        <w:pStyle w:val="44"/>
        <w:spacing w:line="360" w:lineRule="auto"/>
        <w:ind w:firstLine="420"/>
        <w:rPr>
          <w:rFonts w:hAnsi="宋体"/>
          <w:bCs/>
          <w:color w:val="000000"/>
          <w:highlight w:val="none"/>
        </w:rPr>
      </w:pPr>
      <w:r>
        <w:rPr>
          <w:rFonts w:hAnsi="宋体"/>
          <w:bCs/>
          <w:color w:val="000000"/>
          <w:highlight w:val="none"/>
        </w:rPr>
        <w:t>1.磋商函；（按第六章格式）</w:t>
      </w:r>
    </w:p>
    <w:p w14:paraId="0F682B16">
      <w:pPr>
        <w:pStyle w:val="44"/>
        <w:spacing w:line="360" w:lineRule="auto"/>
        <w:ind w:firstLine="420"/>
        <w:rPr>
          <w:rFonts w:hAnsi="宋体"/>
          <w:bCs/>
          <w:color w:val="000000"/>
          <w:highlight w:val="none"/>
        </w:rPr>
      </w:pPr>
      <w:r>
        <w:rPr>
          <w:rFonts w:hAnsi="宋体"/>
          <w:bCs/>
          <w:color w:val="000000"/>
          <w:highlight w:val="none"/>
        </w:rPr>
        <w:t>2.磋商函附录；（按第六章格式）</w:t>
      </w:r>
    </w:p>
    <w:p w14:paraId="29BFA51D">
      <w:pPr>
        <w:pStyle w:val="44"/>
        <w:spacing w:line="360" w:lineRule="auto"/>
        <w:ind w:firstLine="420"/>
        <w:rPr>
          <w:rFonts w:hAnsi="宋体"/>
          <w:bCs/>
          <w:color w:val="000000"/>
          <w:highlight w:val="none"/>
        </w:rPr>
      </w:pPr>
      <w:r>
        <w:rPr>
          <w:rFonts w:hAnsi="宋体"/>
          <w:bCs/>
          <w:color w:val="000000"/>
          <w:highlight w:val="none"/>
        </w:rPr>
        <w:t>3.已标价工程量清单；（按第六章要求）</w:t>
      </w:r>
    </w:p>
    <w:p w14:paraId="7BA4C638">
      <w:pPr>
        <w:spacing w:line="360" w:lineRule="auto"/>
        <w:ind w:firstLine="420" w:firstLineChars="200"/>
        <w:rPr>
          <w:rFonts w:hint="eastAsia" w:ascii="宋体" w:hAnsi="宋体"/>
          <w:color w:val="000000"/>
          <w:highlight w:val="none"/>
        </w:rPr>
      </w:pPr>
      <w:r>
        <w:rPr>
          <w:rFonts w:hint="eastAsia" w:ascii="宋体" w:hAnsi="宋体"/>
          <w:color w:val="000000"/>
          <w:highlight w:val="none"/>
        </w:rPr>
        <w:t>4.</w:t>
      </w:r>
      <w:r>
        <w:rPr>
          <w:rFonts w:ascii="宋体" w:hAnsi="宋体"/>
          <w:color w:val="000000"/>
          <w:szCs w:val="21"/>
          <w:highlight w:val="none"/>
        </w:rPr>
        <w:t>建筑材料和设备节能环保要求承诺书</w:t>
      </w:r>
      <w:r>
        <w:rPr>
          <w:rFonts w:ascii="宋体" w:hAnsi="宋体"/>
          <w:bCs/>
          <w:color w:val="000000"/>
          <w:highlight w:val="none"/>
        </w:rPr>
        <w:t>（按第六章要求）</w:t>
      </w:r>
    </w:p>
    <w:p w14:paraId="1D0E746D">
      <w:pPr>
        <w:pStyle w:val="44"/>
        <w:spacing w:line="440" w:lineRule="atLeast"/>
        <w:rPr>
          <w:rFonts w:hAnsi="宋体"/>
          <w:b/>
          <w:bCs/>
          <w:color w:val="000000"/>
          <w:highlight w:val="none"/>
        </w:rPr>
      </w:pPr>
      <w:r>
        <w:rPr>
          <w:rFonts w:hAnsi="宋体"/>
          <w:b/>
          <w:bCs/>
          <w:color w:val="000000"/>
          <w:highlight w:val="none"/>
        </w:rPr>
        <w:t>二、资格证明文件（1-15项必须提供）</w:t>
      </w:r>
    </w:p>
    <w:p w14:paraId="002051EB">
      <w:pPr>
        <w:pStyle w:val="44"/>
        <w:spacing w:line="440" w:lineRule="atLeast"/>
        <w:ind w:firstLine="420" w:firstLineChars="200"/>
        <w:rPr>
          <w:rFonts w:hAnsi="宋体"/>
          <w:bCs/>
          <w:color w:val="000000"/>
          <w:highlight w:val="none"/>
        </w:rPr>
      </w:pPr>
      <w:r>
        <w:rPr>
          <w:rFonts w:hAnsi="宋体"/>
          <w:bCs/>
          <w:color w:val="000000"/>
          <w:highlight w:val="none"/>
        </w:rPr>
        <w:t>1.①法定代表人（负责人）身份证明书并附法定代表人（负责人）身份证正、反面扫描件或其他电子文件；</w:t>
      </w:r>
    </w:p>
    <w:p w14:paraId="62607F9C">
      <w:pPr>
        <w:pStyle w:val="44"/>
        <w:spacing w:line="440" w:lineRule="atLeast"/>
        <w:ind w:firstLine="420" w:firstLineChars="200"/>
        <w:rPr>
          <w:rFonts w:hAnsi="宋体"/>
          <w:bCs/>
          <w:color w:val="000000"/>
          <w:highlight w:val="none"/>
        </w:rPr>
      </w:pPr>
      <w:r>
        <w:rPr>
          <w:rFonts w:hAnsi="宋体"/>
          <w:bCs/>
          <w:color w:val="000000"/>
          <w:highlight w:val="none"/>
        </w:rPr>
        <w:t>②法定代表人（负责人）授权委托书（附委托代理人身份证正背面扫描件或其他电子文件，如授权委托代理人参加投标时则必须提供）</w:t>
      </w:r>
    </w:p>
    <w:p w14:paraId="074D5628">
      <w:pPr>
        <w:pStyle w:val="44"/>
        <w:spacing w:line="440" w:lineRule="atLeast"/>
        <w:ind w:firstLine="420" w:firstLineChars="200"/>
        <w:rPr>
          <w:rFonts w:hAnsi="宋体"/>
          <w:bCs/>
          <w:color w:val="000000"/>
          <w:highlight w:val="none"/>
        </w:rPr>
      </w:pPr>
      <w:r>
        <w:rPr>
          <w:rFonts w:hint="eastAsia" w:hAnsi="宋体"/>
          <w:bCs/>
          <w:color w:val="000000"/>
          <w:highlight w:val="none"/>
          <w:lang w:val="en-US" w:eastAsia="zh-CN"/>
        </w:rPr>
        <w:t>2</w:t>
      </w:r>
      <w:r>
        <w:rPr>
          <w:rFonts w:hAnsi="宋体"/>
          <w:bCs/>
          <w:color w:val="000000"/>
          <w:highlight w:val="none"/>
        </w:rPr>
        <w:t>.获取磋商文件记录（广西政府采购云平台成功获取磋商文件截图</w:t>
      </w:r>
      <w:r>
        <w:rPr>
          <w:rFonts w:hAnsi="宋体"/>
          <w:color w:val="000000"/>
          <w:highlight w:val="none"/>
        </w:rPr>
        <w:t>）；</w:t>
      </w:r>
    </w:p>
    <w:p w14:paraId="0C316D7E">
      <w:pPr>
        <w:pStyle w:val="44"/>
        <w:spacing w:line="440" w:lineRule="atLeast"/>
        <w:ind w:firstLine="420" w:firstLineChars="200"/>
        <w:rPr>
          <w:rFonts w:hAnsi="宋体"/>
          <w:bCs/>
          <w:color w:val="000000"/>
          <w:highlight w:val="none"/>
        </w:rPr>
      </w:pPr>
      <w:r>
        <w:rPr>
          <w:rFonts w:hint="eastAsia" w:hAnsi="宋体"/>
          <w:bCs/>
          <w:color w:val="000000"/>
          <w:highlight w:val="none"/>
          <w:lang w:val="en-US" w:eastAsia="zh-CN"/>
        </w:rPr>
        <w:t>3</w:t>
      </w:r>
      <w:r>
        <w:rPr>
          <w:rFonts w:hAnsi="宋体"/>
          <w:bCs/>
          <w:color w:val="000000"/>
          <w:highlight w:val="none"/>
        </w:rPr>
        <w:t>.供应商主体资格证明文件（有效的营业执照等证明文件扫描件或其他电子文件）</w:t>
      </w:r>
      <w:r>
        <w:rPr>
          <w:rFonts w:hAnsi="宋体"/>
          <w:color w:val="000000"/>
          <w:highlight w:val="none"/>
        </w:rPr>
        <w:t>；</w:t>
      </w:r>
    </w:p>
    <w:p w14:paraId="73164F85">
      <w:pPr>
        <w:pStyle w:val="44"/>
        <w:spacing w:line="440" w:lineRule="atLeast"/>
        <w:ind w:firstLine="420" w:firstLineChars="200"/>
        <w:rPr>
          <w:rFonts w:hAnsi="宋体"/>
          <w:bCs/>
          <w:color w:val="000000"/>
          <w:highlight w:val="none"/>
        </w:rPr>
      </w:pPr>
      <w:r>
        <w:rPr>
          <w:rFonts w:hint="eastAsia" w:hAnsi="宋体"/>
          <w:bCs/>
          <w:color w:val="000000"/>
          <w:highlight w:val="none"/>
          <w:lang w:val="en-US" w:eastAsia="zh-CN"/>
        </w:rPr>
        <w:t>4</w:t>
      </w:r>
      <w:r>
        <w:rPr>
          <w:rFonts w:hAnsi="宋体"/>
          <w:bCs/>
          <w:color w:val="000000"/>
          <w:highlight w:val="none"/>
        </w:rPr>
        <w:t>.供应商有效资质证书证明文件（符合</w:t>
      </w:r>
      <w:r>
        <w:rPr>
          <w:rFonts w:hAnsi="宋体"/>
          <w:color w:val="000000"/>
          <w:highlight w:val="none"/>
        </w:rPr>
        <w:t>本项目特定资格要求的资质证书等证明文件扫描件</w:t>
      </w:r>
      <w:r>
        <w:rPr>
          <w:rFonts w:hAnsi="宋体"/>
          <w:bCs/>
          <w:color w:val="000000"/>
          <w:highlight w:val="none"/>
        </w:rPr>
        <w:t>）；</w:t>
      </w:r>
    </w:p>
    <w:p w14:paraId="54D90260">
      <w:pPr>
        <w:pStyle w:val="44"/>
        <w:spacing w:line="440" w:lineRule="atLeast"/>
        <w:ind w:firstLine="420" w:firstLineChars="200"/>
        <w:rPr>
          <w:rFonts w:hAnsi="宋体"/>
          <w:bCs/>
          <w:color w:val="000000"/>
          <w:highlight w:val="none"/>
        </w:rPr>
      </w:pPr>
      <w:r>
        <w:rPr>
          <w:rFonts w:hint="eastAsia" w:hAnsi="宋体"/>
          <w:bCs/>
          <w:color w:val="000000"/>
          <w:highlight w:val="none"/>
          <w:lang w:val="en-US" w:eastAsia="zh-CN"/>
        </w:rPr>
        <w:t>5</w:t>
      </w:r>
      <w:r>
        <w:rPr>
          <w:rFonts w:hAnsi="宋体"/>
          <w:bCs/>
          <w:color w:val="000000"/>
          <w:highlight w:val="none"/>
        </w:rPr>
        <w:t>.供应商有效的安全生产许可证副本扫描件或其他电子文件；</w:t>
      </w:r>
    </w:p>
    <w:p w14:paraId="72C04080">
      <w:pPr>
        <w:pStyle w:val="44"/>
        <w:spacing w:line="440" w:lineRule="atLeast"/>
        <w:ind w:firstLine="420" w:firstLineChars="200"/>
        <w:rPr>
          <w:rFonts w:hAnsi="宋体"/>
          <w:color w:val="000000"/>
          <w:highlight w:val="none"/>
        </w:rPr>
      </w:pPr>
      <w:r>
        <w:rPr>
          <w:rFonts w:hint="eastAsia" w:hAnsi="宋体"/>
          <w:color w:val="000000"/>
          <w:highlight w:val="none"/>
          <w:lang w:val="en-US" w:eastAsia="zh-CN"/>
        </w:rPr>
        <w:t>6</w:t>
      </w:r>
      <w:r>
        <w:rPr>
          <w:rFonts w:hAnsi="宋体"/>
          <w:color w:val="000000"/>
          <w:highlight w:val="none"/>
        </w:rPr>
        <w:t>.供应商缴纳税收证明材料（提供供应商在</w:t>
      </w:r>
      <w:r>
        <w:rPr>
          <w:rFonts w:hAnsi="宋体"/>
          <w:bCs/>
          <w:color w:val="000000"/>
          <w:highlight w:val="none"/>
        </w:rPr>
        <w:t>响应文件提交截止时间前</w:t>
      </w:r>
      <w:r>
        <w:rPr>
          <w:rFonts w:hAnsi="宋体"/>
          <w:color w:val="000000"/>
          <w:highlight w:val="none"/>
        </w:rPr>
        <w:t>半年内任</w:t>
      </w:r>
      <w:r>
        <w:rPr>
          <w:rFonts w:hAnsi="宋体"/>
          <w:bCs/>
          <w:color w:val="000000"/>
          <w:highlight w:val="none"/>
        </w:rPr>
        <w:t>意一个月（或以上）</w:t>
      </w:r>
      <w:r>
        <w:rPr>
          <w:rFonts w:hAnsi="宋体"/>
          <w:color w:val="000000"/>
          <w:highlight w:val="none"/>
        </w:rPr>
        <w:t>税务部门出具的缴纳税费的凭据或无欠税证明；无纳税记录的提供税务部门相应文件证明依法纳税或依法免税；新成立不足一个纳税周期的提供承诺书说明无欠税情况；以上须提供扫描件或其他电子文件。）；</w:t>
      </w:r>
    </w:p>
    <w:p w14:paraId="6E0172F8">
      <w:pPr>
        <w:pStyle w:val="44"/>
        <w:spacing w:line="440" w:lineRule="atLeast"/>
        <w:ind w:firstLine="420" w:firstLineChars="200"/>
        <w:rPr>
          <w:rFonts w:hAnsi="宋体"/>
          <w:color w:val="000000"/>
          <w:highlight w:val="none"/>
        </w:rPr>
      </w:pPr>
      <w:r>
        <w:rPr>
          <w:rFonts w:hint="eastAsia" w:hAnsi="宋体"/>
          <w:color w:val="000000"/>
          <w:highlight w:val="none"/>
          <w:lang w:val="en-US" w:eastAsia="zh-CN"/>
        </w:rPr>
        <w:t>7</w:t>
      </w:r>
      <w:r>
        <w:rPr>
          <w:rFonts w:hAnsi="宋体"/>
          <w:color w:val="000000"/>
          <w:highlight w:val="none"/>
        </w:rPr>
        <w:t>.</w:t>
      </w:r>
      <w:r>
        <w:rPr>
          <w:rFonts w:hAnsi="宋体"/>
          <w:bCs/>
          <w:color w:val="000000"/>
          <w:highlight w:val="none"/>
        </w:rPr>
        <w:t>供应商缴纳社会保障资金证明材料（提供供应商在响应文件提交截止时间前</w:t>
      </w:r>
      <w:r>
        <w:rPr>
          <w:rFonts w:hAnsi="宋体"/>
          <w:color w:val="000000"/>
          <w:highlight w:val="none"/>
        </w:rPr>
        <w:t>半年内任</w:t>
      </w:r>
      <w:r>
        <w:rPr>
          <w:rFonts w:hAnsi="宋体"/>
          <w:bCs/>
          <w:color w:val="000000"/>
          <w:highlight w:val="none"/>
        </w:rPr>
        <w:t>意一个月（或以上）</w:t>
      </w:r>
      <w:r>
        <w:rPr>
          <w:rFonts w:hAnsi="宋体"/>
          <w:color w:val="000000"/>
          <w:highlight w:val="none"/>
        </w:rPr>
        <w:t>社保部门出具的收据或社会保险缴纳清单</w:t>
      </w:r>
      <w:r>
        <w:rPr>
          <w:rFonts w:hAnsi="宋体"/>
          <w:bCs/>
          <w:color w:val="000000"/>
          <w:highlight w:val="none"/>
        </w:rPr>
        <w:t>；</w:t>
      </w:r>
      <w:r>
        <w:rPr>
          <w:rFonts w:hAnsi="宋体"/>
          <w:color w:val="000000"/>
          <w:highlight w:val="none"/>
        </w:rPr>
        <w:t>或在</w:t>
      </w:r>
      <w:r>
        <w:rPr>
          <w:rFonts w:hAnsi="宋体"/>
          <w:bCs/>
          <w:color w:val="000000"/>
          <w:highlight w:val="none"/>
        </w:rPr>
        <w:t>响应文件提交截止时间前</w:t>
      </w:r>
      <w:r>
        <w:rPr>
          <w:rFonts w:hAnsi="宋体"/>
          <w:color w:val="000000"/>
          <w:highlight w:val="none"/>
        </w:rPr>
        <w:t>半年内任</w:t>
      </w:r>
      <w:r>
        <w:rPr>
          <w:rFonts w:hAnsi="宋体"/>
          <w:bCs/>
          <w:color w:val="000000"/>
          <w:highlight w:val="none"/>
        </w:rPr>
        <w:t>意一个月（或以上）</w:t>
      </w:r>
      <w:r>
        <w:rPr>
          <w:rFonts w:hAnsi="宋体"/>
          <w:color w:val="000000"/>
          <w:highlight w:val="none"/>
        </w:rPr>
        <w:t>税务部门出具的社保完税凭证或缴费证明；不需要缴纳社会保障资金或成立不足一个月的，提供相应文件证明不需要缴纳社会保障资金；</w:t>
      </w:r>
      <w:r>
        <w:rPr>
          <w:rFonts w:hAnsi="宋体"/>
          <w:bCs/>
          <w:color w:val="000000"/>
          <w:highlight w:val="none"/>
        </w:rPr>
        <w:t>以上须提供扫描件或其他电子文件。</w:t>
      </w:r>
      <w:r>
        <w:rPr>
          <w:rFonts w:hAnsi="宋体"/>
          <w:color w:val="000000"/>
          <w:highlight w:val="none"/>
        </w:rPr>
        <w:t>）；</w:t>
      </w:r>
    </w:p>
    <w:p w14:paraId="62867938">
      <w:pPr>
        <w:pStyle w:val="44"/>
        <w:spacing w:line="440" w:lineRule="atLeast"/>
        <w:ind w:firstLine="420" w:firstLineChars="200"/>
        <w:rPr>
          <w:rFonts w:hAnsi="宋体"/>
          <w:bCs/>
          <w:color w:val="000000"/>
          <w:highlight w:val="none"/>
        </w:rPr>
      </w:pPr>
      <w:r>
        <w:rPr>
          <w:rFonts w:hint="eastAsia" w:hAnsi="宋体"/>
          <w:bCs/>
          <w:color w:val="000000"/>
          <w:highlight w:val="none"/>
          <w:lang w:val="en-US" w:eastAsia="zh-CN"/>
        </w:rPr>
        <w:t>8</w:t>
      </w:r>
      <w:r>
        <w:rPr>
          <w:rFonts w:hAnsi="宋体"/>
          <w:bCs/>
          <w:color w:val="000000"/>
          <w:highlight w:val="none"/>
        </w:rPr>
        <w:t>.</w:t>
      </w:r>
      <w:r>
        <w:rPr>
          <w:rFonts w:hAnsi="宋体"/>
          <w:color w:val="000000"/>
          <w:highlight w:val="none"/>
        </w:rPr>
        <w:t>供应商财务状况证明材料（</w:t>
      </w:r>
      <w:r>
        <w:rPr>
          <w:rFonts w:hAnsi="宋体"/>
          <w:bCs/>
          <w:color w:val="000000"/>
          <w:highlight w:val="none"/>
        </w:rPr>
        <w:t>提供经审计的</w:t>
      </w:r>
      <w:r>
        <w:rPr>
          <w:rFonts w:hint="eastAsia" w:hAnsi="宋体"/>
          <w:bCs/>
          <w:color w:val="000000"/>
          <w:highlight w:val="none"/>
          <w:lang w:eastAsia="zh-CN"/>
        </w:rPr>
        <w:t>2023年或2024年度</w:t>
      </w:r>
      <w:r>
        <w:rPr>
          <w:rFonts w:hAnsi="宋体"/>
          <w:bCs/>
          <w:color w:val="000000"/>
          <w:highlight w:val="none"/>
        </w:rPr>
        <w:t>财务报表；或响应文件提交截止时间前</w:t>
      </w:r>
      <w:r>
        <w:rPr>
          <w:rFonts w:hAnsi="宋体"/>
          <w:color w:val="000000"/>
          <w:highlight w:val="none"/>
        </w:rPr>
        <w:t>半年内银行出具的资信证明</w:t>
      </w:r>
      <w:r>
        <w:rPr>
          <w:rFonts w:hAnsi="宋体"/>
          <w:bCs/>
          <w:color w:val="000000"/>
          <w:highlight w:val="none"/>
        </w:rPr>
        <w:t>；</w:t>
      </w:r>
      <w:r>
        <w:rPr>
          <w:rFonts w:hint="eastAsia" w:hAnsi="宋体"/>
          <w:color w:val="000000"/>
          <w:highlight w:val="none"/>
        </w:rPr>
        <w:t>或提供财政部门认可的政府采购专业担保机构针对本项目出具的投标担保函</w:t>
      </w:r>
      <w:r>
        <w:rPr>
          <w:rFonts w:hint="eastAsia" w:hAnsi="宋体"/>
          <w:color w:val="000000"/>
          <w:highlight w:val="none"/>
          <w:lang w:val="en-US" w:eastAsia="zh-CN"/>
        </w:rPr>
        <w:t>；</w:t>
      </w:r>
      <w:r>
        <w:rPr>
          <w:rFonts w:hAnsi="宋体"/>
          <w:bCs/>
          <w:color w:val="000000"/>
          <w:highlight w:val="none"/>
        </w:rPr>
        <w:t>以上须提供扫描件或其他电子文件。）（202</w:t>
      </w:r>
      <w:r>
        <w:rPr>
          <w:rFonts w:hint="eastAsia" w:hAnsi="宋体"/>
          <w:bCs/>
          <w:color w:val="000000"/>
          <w:highlight w:val="none"/>
          <w:lang w:val="en-US" w:eastAsia="zh-CN"/>
        </w:rPr>
        <w:t>5</w:t>
      </w:r>
      <w:r>
        <w:rPr>
          <w:rFonts w:hAnsi="宋体"/>
          <w:bCs/>
          <w:color w:val="000000"/>
          <w:highlight w:val="none"/>
        </w:rPr>
        <w:t>年新成立的公司提供自成立以来月度财务报表复印件或银行资信证明）；</w:t>
      </w:r>
    </w:p>
    <w:p w14:paraId="2DCF6C26">
      <w:pPr>
        <w:pStyle w:val="44"/>
        <w:spacing w:line="440" w:lineRule="atLeast"/>
        <w:ind w:firstLine="420" w:firstLineChars="200"/>
        <w:rPr>
          <w:rFonts w:hAnsi="宋体"/>
          <w:bCs/>
          <w:color w:val="000000"/>
          <w:highlight w:val="none"/>
        </w:rPr>
      </w:pPr>
      <w:r>
        <w:rPr>
          <w:rFonts w:hint="eastAsia" w:hAnsi="宋体"/>
          <w:bCs/>
          <w:color w:val="000000"/>
          <w:highlight w:val="none"/>
          <w:lang w:val="en-US" w:eastAsia="zh-CN"/>
        </w:rPr>
        <w:t>9</w:t>
      </w:r>
      <w:r>
        <w:rPr>
          <w:rFonts w:hAnsi="宋体"/>
          <w:bCs/>
          <w:color w:val="000000"/>
          <w:highlight w:val="none"/>
        </w:rPr>
        <w:t>.</w:t>
      </w:r>
      <w:r>
        <w:rPr>
          <w:rFonts w:hAnsi="宋体"/>
          <w:color w:val="000000"/>
          <w:highlight w:val="none"/>
        </w:rPr>
        <w:t xml:space="preserve"> 提供供应商拟投入本项目经理、项目专职安全生产管理人员</w:t>
      </w:r>
      <w:r>
        <w:rPr>
          <w:rFonts w:hAnsi="宋体"/>
          <w:bCs/>
          <w:color w:val="000000"/>
          <w:highlight w:val="none"/>
        </w:rPr>
        <w:t>自响应文件提交截止时间前</w:t>
      </w:r>
      <w:r>
        <w:rPr>
          <w:rFonts w:hAnsi="宋体"/>
          <w:color w:val="000000"/>
          <w:highlight w:val="none"/>
        </w:rPr>
        <w:t>半年内任</w:t>
      </w:r>
      <w:r>
        <w:rPr>
          <w:rFonts w:hAnsi="宋体"/>
          <w:bCs/>
          <w:color w:val="000000"/>
          <w:highlight w:val="none"/>
        </w:rPr>
        <w:t>意一个月（或以上）的社会保险缴纳证明（如为新入职员工，社会保障资金凭证据实提供，已退休未满65岁的不用提供社保，但应附退休证明文件的扫描件，且相关证明文件的任职单位与供应商一致</w:t>
      </w:r>
      <w:r>
        <w:rPr>
          <w:rFonts w:hAnsi="宋体"/>
          <w:color w:val="000000"/>
          <w:highlight w:val="none"/>
        </w:rPr>
        <w:t>，以上须提供扫描件或其他电子文件；</w:t>
      </w:r>
    </w:p>
    <w:p w14:paraId="7B1F01A6">
      <w:pPr>
        <w:pStyle w:val="44"/>
        <w:spacing w:line="440" w:lineRule="atLeast"/>
        <w:ind w:firstLine="420" w:firstLineChars="200"/>
        <w:rPr>
          <w:rFonts w:hAnsi="宋体"/>
          <w:color w:val="000000"/>
          <w:highlight w:val="none"/>
        </w:rPr>
      </w:pPr>
      <w:r>
        <w:rPr>
          <w:rFonts w:hAnsi="宋体"/>
          <w:color w:val="000000"/>
          <w:highlight w:val="none"/>
        </w:rPr>
        <w:t>1</w:t>
      </w:r>
      <w:r>
        <w:rPr>
          <w:rFonts w:hint="eastAsia" w:hAnsi="宋体"/>
          <w:color w:val="000000"/>
          <w:highlight w:val="none"/>
          <w:lang w:val="en-US" w:eastAsia="zh-CN"/>
        </w:rPr>
        <w:t>0</w:t>
      </w:r>
      <w:r>
        <w:rPr>
          <w:rFonts w:hAnsi="宋体"/>
          <w:color w:val="000000"/>
          <w:highlight w:val="none"/>
        </w:rPr>
        <w:t>.项目经理注册建造师执业资格证明及有效的安全生产考核合格证书（B类）扫描件或其他电子文件和项目专职安全生产管理人员有效的安全生产考核合格证书（C类）扫描件或其他电子文件。</w:t>
      </w:r>
    </w:p>
    <w:p w14:paraId="45BC546A">
      <w:pPr>
        <w:pStyle w:val="44"/>
        <w:spacing w:line="440" w:lineRule="atLeast"/>
        <w:ind w:firstLine="420" w:firstLineChars="200"/>
        <w:rPr>
          <w:rFonts w:hAnsi="宋体"/>
          <w:color w:val="000000"/>
          <w:highlight w:val="none"/>
        </w:rPr>
      </w:pPr>
      <w:r>
        <w:rPr>
          <w:rFonts w:hAnsi="宋体"/>
          <w:color w:val="000000"/>
          <w:highlight w:val="none"/>
        </w:rPr>
        <w:t>1</w:t>
      </w:r>
      <w:r>
        <w:rPr>
          <w:rFonts w:hint="eastAsia" w:hAnsi="宋体"/>
          <w:color w:val="000000"/>
          <w:highlight w:val="none"/>
          <w:lang w:val="en-US" w:eastAsia="zh-CN"/>
        </w:rPr>
        <w:t>1</w:t>
      </w:r>
      <w:r>
        <w:rPr>
          <w:rFonts w:hAnsi="宋体"/>
          <w:color w:val="000000"/>
          <w:highlight w:val="none"/>
        </w:rPr>
        <w:t>. 拟投入本项目项目经理未有在建、已成交未开工或已列为其他项目成交候选人第一名的项目经理的承诺函（格式自拟）；</w:t>
      </w:r>
    </w:p>
    <w:p w14:paraId="37E79E2F">
      <w:pPr>
        <w:pStyle w:val="44"/>
        <w:spacing w:line="440" w:lineRule="atLeast"/>
        <w:ind w:firstLine="420" w:firstLineChars="200"/>
        <w:rPr>
          <w:rFonts w:hAnsi="宋体"/>
          <w:color w:val="000000"/>
          <w:highlight w:val="none"/>
        </w:rPr>
      </w:pPr>
      <w:r>
        <w:rPr>
          <w:rFonts w:hAnsi="宋体"/>
          <w:color w:val="000000"/>
          <w:highlight w:val="none"/>
        </w:rPr>
        <w:t>1</w:t>
      </w:r>
      <w:r>
        <w:rPr>
          <w:rFonts w:hint="eastAsia" w:hAnsi="宋体"/>
          <w:color w:val="000000"/>
          <w:highlight w:val="none"/>
          <w:lang w:val="en-US" w:eastAsia="zh-CN"/>
        </w:rPr>
        <w:t>2</w:t>
      </w:r>
      <w:r>
        <w:rPr>
          <w:rFonts w:hAnsi="宋体"/>
          <w:color w:val="000000"/>
          <w:highlight w:val="none"/>
        </w:rPr>
        <w:t>.《中小企业声明函》或者《残疾人福利性单位声明函》或者省级以上监狱管理局、戒毒管理局（含新疆生产建设兵团）出具的属于监狱企业的证明文件扫描件</w:t>
      </w:r>
      <w:r>
        <w:rPr>
          <w:rFonts w:hAnsi="宋体"/>
          <w:bCs/>
          <w:color w:val="000000"/>
          <w:highlight w:val="none"/>
        </w:rPr>
        <w:t>（供应商为小微企业，</w:t>
      </w:r>
      <w:r>
        <w:rPr>
          <w:rFonts w:hAnsi="宋体"/>
          <w:color w:val="000000"/>
          <w:highlight w:val="none"/>
        </w:rPr>
        <w:t>残疾人福利性单位、监狱企业</w:t>
      </w:r>
      <w:r>
        <w:rPr>
          <w:rFonts w:hAnsi="宋体"/>
          <w:bCs/>
          <w:color w:val="000000"/>
          <w:highlight w:val="none"/>
        </w:rPr>
        <w:t>按第六章格式）；</w:t>
      </w:r>
    </w:p>
    <w:p w14:paraId="0B4DC9DC">
      <w:pPr>
        <w:spacing w:line="440" w:lineRule="exact"/>
        <w:ind w:firstLine="420" w:firstLineChars="200"/>
        <w:rPr>
          <w:rFonts w:hint="eastAsia"/>
          <w:color w:val="000000"/>
          <w:highlight w:val="none"/>
        </w:rPr>
      </w:pPr>
      <w:r>
        <w:rPr>
          <w:rFonts w:hint="eastAsia"/>
          <w:color w:val="000000"/>
          <w:highlight w:val="none"/>
        </w:rPr>
        <w:t>1</w:t>
      </w:r>
      <w:r>
        <w:rPr>
          <w:rFonts w:hint="eastAsia"/>
          <w:color w:val="000000"/>
          <w:highlight w:val="none"/>
          <w:lang w:val="en-US" w:eastAsia="zh-CN"/>
        </w:rPr>
        <w:t>3</w:t>
      </w:r>
      <w:r>
        <w:rPr>
          <w:rFonts w:ascii="宋体" w:hAnsi="宋体"/>
          <w:color w:val="000000"/>
          <w:highlight w:val="none"/>
        </w:rPr>
        <w:t>.</w:t>
      </w:r>
      <w:r>
        <w:rPr>
          <w:rFonts w:hint="eastAsia"/>
          <w:color w:val="000000"/>
          <w:highlight w:val="none"/>
        </w:rPr>
        <w:t xml:space="preserve"> </w:t>
      </w:r>
      <w:r>
        <w:rPr>
          <w:rFonts w:hint="eastAsia" w:ascii="宋体" w:hAnsi="宋体"/>
          <w:color w:val="000000"/>
          <w:highlight w:val="none"/>
        </w:rPr>
        <w:t>供应商直接控股、管理关系信息表</w:t>
      </w:r>
      <w:r>
        <w:rPr>
          <w:rFonts w:ascii="宋体" w:hAnsi="宋体"/>
          <w:bCs/>
          <w:color w:val="000000"/>
          <w:highlight w:val="none"/>
        </w:rPr>
        <w:t>（按第六章格式）</w:t>
      </w:r>
      <w:r>
        <w:rPr>
          <w:rFonts w:hint="eastAsia" w:ascii="宋体" w:hAnsi="宋体"/>
          <w:bCs/>
          <w:color w:val="000000"/>
          <w:highlight w:val="none"/>
        </w:rPr>
        <w:t>。</w:t>
      </w:r>
      <w:bookmarkStart w:id="989" w:name="_GoBack"/>
      <w:bookmarkEnd w:id="989"/>
    </w:p>
    <w:p w14:paraId="79A0AF73">
      <w:pPr>
        <w:spacing w:line="440" w:lineRule="exact"/>
        <w:ind w:firstLine="420" w:firstLineChars="200"/>
        <w:rPr>
          <w:rFonts w:hint="eastAsia" w:ascii="Times New Roman" w:hAnsi="Times New Roman" w:eastAsia="宋体"/>
          <w:color w:val="000000"/>
          <w:highlight w:val="none"/>
        </w:rPr>
      </w:pPr>
      <w:r>
        <w:rPr>
          <w:rFonts w:hint="eastAsia" w:ascii="Times New Roman" w:hAnsi="Times New Roman" w:eastAsia="宋体"/>
          <w:color w:val="000000"/>
          <w:highlight w:val="none"/>
        </w:rPr>
        <w:t>1</w:t>
      </w:r>
      <w:r>
        <w:rPr>
          <w:rFonts w:hint="eastAsia"/>
          <w:color w:val="000000"/>
          <w:highlight w:val="none"/>
          <w:lang w:val="en-US" w:eastAsia="zh-CN"/>
        </w:rPr>
        <w:t>4</w:t>
      </w:r>
      <w:r>
        <w:rPr>
          <w:rFonts w:hint="eastAsia" w:ascii="Times New Roman" w:hAnsi="Times New Roman" w:eastAsia="宋体"/>
          <w:color w:val="000000"/>
          <w:highlight w:val="none"/>
        </w:rPr>
        <w:t>.供应商参加本项目无围标串标行为的承诺函（按第六章格式）；</w:t>
      </w:r>
    </w:p>
    <w:p w14:paraId="6B1C581F">
      <w:pPr>
        <w:pStyle w:val="44"/>
        <w:spacing w:line="360" w:lineRule="auto"/>
        <w:rPr>
          <w:rFonts w:hAnsi="宋体"/>
          <w:b/>
          <w:color w:val="000000"/>
          <w:highlight w:val="none"/>
        </w:rPr>
      </w:pPr>
      <w:r>
        <w:rPr>
          <w:rFonts w:hAnsi="宋体"/>
          <w:b/>
          <w:color w:val="000000"/>
          <w:highlight w:val="none"/>
        </w:rPr>
        <w:t>三、技术方案文件（1-2项必须提供）</w:t>
      </w:r>
    </w:p>
    <w:p w14:paraId="133BD4B9">
      <w:pPr>
        <w:pStyle w:val="44"/>
        <w:spacing w:line="360" w:lineRule="auto"/>
        <w:ind w:left="19" w:leftChars="9" w:firstLine="399" w:firstLineChars="190"/>
        <w:rPr>
          <w:rFonts w:hAnsi="宋体"/>
          <w:color w:val="000000"/>
          <w:highlight w:val="none"/>
        </w:rPr>
      </w:pPr>
      <w:r>
        <w:rPr>
          <w:rFonts w:hAnsi="宋体"/>
          <w:color w:val="000000"/>
          <w:highlight w:val="none"/>
        </w:rPr>
        <w:t>1.施工组织设计；</w:t>
      </w:r>
      <w:r>
        <w:rPr>
          <w:rFonts w:hAnsi="宋体"/>
          <w:bCs/>
          <w:color w:val="000000"/>
          <w:highlight w:val="none"/>
        </w:rPr>
        <w:t>（按第六章要求）</w:t>
      </w:r>
    </w:p>
    <w:p w14:paraId="330B1E2E">
      <w:pPr>
        <w:spacing w:before="72" w:line="360" w:lineRule="auto"/>
        <w:ind w:firstLine="420" w:firstLineChars="200"/>
        <w:rPr>
          <w:rFonts w:hint="eastAsia" w:ascii="宋体" w:hAnsi="宋体"/>
          <w:color w:val="000000"/>
          <w:highlight w:val="none"/>
        </w:rPr>
      </w:pPr>
      <w:r>
        <w:rPr>
          <w:rFonts w:hint="eastAsia" w:ascii="宋体" w:hAnsi="宋体"/>
          <w:color w:val="000000"/>
          <w:highlight w:val="none"/>
        </w:rPr>
        <w:t>2.项目管理机构配备情况表。</w:t>
      </w:r>
      <w:r>
        <w:rPr>
          <w:rFonts w:ascii="宋体" w:hAnsi="宋体"/>
          <w:bCs/>
          <w:color w:val="000000"/>
          <w:highlight w:val="none"/>
        </w:rPr>
        <w:t>（</w:t>
      </w:r>
      <w:r>
        <w:rPr>
          <w:rFonts w:hint="eastAsia" w:ascii="宋体" w:hAnsi="宋体"/>
          <w:bCs/>
          <w:color w:val="000000"/>
          <w:highlight w:val="none"/>
        </w:rPr>
        <w:t>按第六章</w:t>
      </w:r>
      <w:r>
        <w:rPr>
          <w:rFonts w:ascii="宋体" w:hAnsi="宋体"/>
          <w:bCs/>
          <w:color w:val="000000"/>
          <w:highlight w:val="none"/>
        </w:rPr>
        <w:t>要求）</w:t>
      </w:r>
    </w:p>
    <w:p w14:paraId="6EE8CAC1">
      <w:pPr>
        <w:pStyle w:val="44"/>
        <w:spacing w:line="360" w:lineRule="auto"/>
        <w:ind w:left="19" w:leftChars="9" w:firstLine="399" w:firstLineChars="190"/>
        <w:rPr>
          <w:rFonts w:hAnsi="宋体"/>
          <w:color w:val="000000"/>
          <w:highlight w:val="none"/>
        </w:rPr>
      </w:pPr>
      <w:r>
        <w:rPr>
          <w:rFonts w:hAnsi="宋体"/>
          <w:color w:val="000000"/>
          <w:highlight w:val="none"/>
        </w:rPr>
        <w:t>10.2供应商应按本磋商文件规定的格式和顺序编制响应文件，自编目录并标注页码，响应文件内容不完整、编排混乱导致响应文件被误读、漏读或者查找不到相关内容的，由此引发的后果由供应商承担</w:t>
      </w:r>
      <w:r>
        <w:rPr>
          <w:rFonts w:hAnsi="宋体"/>
          <w:bCs/>
          <w:color w:val="000000"/>
          <w:highlight w:val="none"/>
        </w:rPr>
        <w:t>。</w:t>
      </w:r>
    </w:p>
    <w:p w14:paraId="03C53DE1">
      <w:pPr>
        <w:pStyle w:val="44"/>
        <w:spacing w:line="360" w:lineRule="auto"/>
        <w:ind w:left="19" w:leftChars="9" w:firstLine="399" w:firstLineChars="190"/>
        <w:rPr>
          <w:rFonts w:hAnsi="宋体"/>
          <w:color w:val="000000"/>
          <w:highlight w:val="none"/>
        </w:rPr>
      </w:pPr>
      <w:r>
        <w:rPr>
          <w:rFonts w:hAnsi="宋体"/>
          <w:color w:val="000000"/>
          <w:highlight w:val="none"/>
        </w:rPr>
        <w:t>10.3供应商应完整、真实、准确的填写磋商文件中规定的所有内容。</w:t>
      </w:r>
    </w:p>
    <w:p w14:paraId="08A09230">
      <w:pPr>
        <w:pStyle w:val="44"/>
        <w:spacing w:line="360" w:lineRule="auto"/>
        <w:ind w:left="525" w:leftChars="200" w:hanging="105" w:hangingChars="50"/>
        <w:rPr>
          <w:rFonts w:hAnsi="宋体"/>
          <w:color w:val="000000"/>
          <w:highlight w:val="none"/>
        </w:rPr>
      </w:pPr>
      <w:r>
        <w:rPr>
          <w:rFonts w:hAnsi="宋体"/>
          <w:color w:val="000000"/>
          <w:highlight w:val="none"/>
        </w:rPr>
        <w:t>10.4供应商必须对响应文件所提供的全部资料的真实性承担法律责任，并无条件接受采购单位及政府采购监督管理部门等对其中任何资料进行核实的要求。</w:t>
      </w:r>
    </w:p>
    <w:p w14:paraId="30D55CEB">
      <w:pPr>
        <w:pStyle w:val="44"/>
        <w:spacing w:line="360" w:lineRule="auto"/>
        <w:ind w:left="525" w:leftChars="200" w:hanging="105" w:hangingChars="50"/>
        <w:rPr>
          <w:rFonts w:hAnsi="宋体"/>
          <w:color w:val="000000"/>
          <w:highlight w:val="none"/>
        </w:rPr>
      </w:pPr>
      <w:r>
        <w:rPr>
          <w:rFonts w:hAnsi="宋体"/>
          <w:color w:val="000000"/>
          <w:highlight w:val="none"/>
        </w:rPr>
        <w:t>10.5如果因为供应商响应文件填报的内容不详，或没有提供磋商文件中所要求的全部资料及数据，由此造成的后果，其责任由供应商承担。</w:t>
      </w:r>
    </w:p>
    <w:p w14:paraId="61552D72">
      <w:pPr>
        <w:pStyle w:val="11"/>
        <w:spacing w:before="0" w:after="0" w:line="360" w:lineRule="auto"/>
        <w:rPr>
          <w:rFonts w:hint="eastAsia" w:ascii="宋体" w:hAnsi="宋体" w:eastAsia="宋体"/>
          <w:color w:val="000000"/>
          <w:sz w:val="21"/>
          <w:szCs w:val="21"/>
          <w:highlight w:val="none"/>
        </w:rPr>
      </w:pPr>
      <w:bookmarkStart w:id="136" w:name="_Toc206525693"/>
      <w:bookmarkStart w:id="137" w:name="_Toc108539727"/>
      <w:bookmarkStart w:id="138" w:name="_Toc239839874"/>
      <w:bookmarkStart w:id="139" w:name="_Toc230578068"/>
      <w:bookmarkStart w:id="140" w:name="_Toc19296"/>
      <w:bookmarkStart w:id="141" w:name="_Toc185702560"/>
      <w:bookmarkStart w:id="142" w:name="_Toc486196150"/>
      <w:bookmarkStart w:id="143" w:name="_Toc486922967"/>
      <w:bookmarkStart w:id="144" w:name="_Toc207770846"/>
      <w:r>
        <w:rPr>
          <w:rFonts w:hint="eastAsia" w:ascii="宋体" w:hAnsi="宋体" w:eastAsia="宋体"/>
          <w:color w:val="000000"/>
          <w:sz w:val="21"/>
          <w:szCs w:val="21"/>
          <w:highlight w:val="none"/>
        </w:rPr>
        <w:t>11．磋商报价</w:t>
      </w:r>
      <w:bookmarkEnd w:id="136"/>
      <w:bookmarkEnd w:id="137"/>
      <w:bookmarkEnd w:id="138"/>
      <w:bookmarkEnd w:id="139"/>
      <w:bookmarkEnd w:id="140"/>
      <w:bookmarkEnd w:id="141"/>
      <w:bookmarkEnd w:id="142"/>
      <w:bookmarkEnd w:id="143"/>
      <w:bookmarkEnd w:id="144"/>
    </w:p>
    <w:p w14:paraId="4ACDF359">
      <w:pPr>
        <w:pStyle w:val="44"/>
        <w:spacing w:line="360" w:lineRule="auto"/>
        <w:ind w:left="525" w:hanging="525" w:hangingChars="250"/>
        <w:rPr>
          <w:rFonts w:hAnsi="宋体"/>
          <w:color w:val="000000"/>
          <w:highlight w:val="none"/>
        </w:rPr>
      </w:pPr>
      <w:r>
        <w:rPr>
          <w:rFonts w:hAnsi="宋体"/>
          <w:color w:val="000000"/>
          <w:highlight w:val="none"/>
        </w:rPr>
        <w:t>11.1供应商所提供的货物和服务均应以人民币报价，若同时以人民币及外币报价的，以人民币报价为准。</w:t>
      </w:r>
    </w:p>
    <w:p w14:paraId="165A0A56">
      <w:pPr>
        <w:pStyle w:val="44"/>
        <w:spacing w:line="360" w:lineRule="auto"/>
        <w:ind w:left="525" w:hanging="525" w:hangingChars="250"/>
        <w:rPr>
          <w:rFonts w:hAnsi="宋体"/>
          <w:color w:val="000000"/>
          <w:highlight w:val="none"/>
        </w:rPr>
      </w:pPr>
      <w:r>
        <w:rPr>
          <w:rFonts w:hAnsi="宋体"/>
          <w:color w:val="000000"/>
          <w:highlight w:val="none"/>
        </w:rPr>
        <w:t>11.2供应商应按照“第三章《采购内容及要求》”规定的内容、责任范围、工程量清单、施工图纸以及合同条款进行报价。磋商总价中不得包含磋商文件要求以外的内容，否则，在评标时不予核减。磋商总价中不得缺漏磋商文件所要求的内容，否则，其磋商将可能被视为无效响应或确定为响应无效。</w:t>
      </w:r>
    </w:p>
    <w:p w14:paraId="7ED9A370">
      <w:pPr>
        <w:pStyle w:val="44"/>
        <w:spacing w:line="360" w:lineRule="auto"/>
        <w:ind w:left="525" w:hanging="525" w:hangingChars="250"/>
        <w:rPr>
          <w:rFonts w:hAnsi="宋体"/>
          <w:bCs/>
          <w:color w:val="000000"/>
          <w:highlight w:val="none"/>
        </w:rPr>
      </w:pPr>
      <w:r>
        <w:rPr>
          <w:rFonts w:hAnsi="宋体"/>
          <w:bCs/>
          <w:color w:val="000000"/>
          <w:highlight w:val="none"/>
        </w:rPr>
        <w:t>11.3 编制依据：详见本章须知前附表第22项所述，供应商参照以上有关规定并结合梧州市市场实际情况和企业的承受能力由供应商自主报价。</w:t>
      </w:r>
    </w:p>
    <w:p w14:paraId="766F2278">
      <w:pPr>
        <w:pStyle w:val="44"/>
        <w:spacing w:line="360" w:lineRule="auto"/>
        <w:ind w:left="525" w:hanging="525" w:hangingChars="250"/>
        <w:rPr>
          <w:rFonts w:hAnsi="宋体"/>
          <w:bCs/>
          <w:color w:val="000000"/>
          <w:highlight w:val="none"/>
        </w:rPr>
      </w:pPr>
      <w:r>
        <w:rPr>
          <w:rFonts w:hAnsi="宋体"/>
          <w:bCs/>
          <w:color w:val="000000"/>
          <w:highlight w:val="none"/>
        </w:rPr>
        <w:t>11.4供应商的磋商报价，应是完成本项目磋商范围及工期的全部，不得以任何理由予以重复，作为供应商计算单价或总价的依据。</w:t>
      </w:r>
    </w:p>
    <w:p w14:paraId="1A0C4ACA">
      <w:pPr>
        <w:pStyle w:val="44"/>
        <w:spacing w:line="360" w:lineRule="auto"/>
        <w:rPr>
          <w:rFonts w:hAnsi="宋体"/>
          <w:bCs/>
          <w:color w:val="000000"/>
          <w:highlight w:val="none"/>
        </w:rPr>
      </w:pPr>
      <w:r>
        <w:rPr>
          <w:rFonts w:hAnsi="宋体"/>
          <w:bCs/>
          <w:color w:val="000000"/>
          <w:highlight w:val="none"/>
        </w:rPr>
        <w:t>11.5 本磋商项目除非合同中另有规定，供应商在报价中所报的单价和合价，以及磋商报价汇总表中的价格均</w:t>
      </w:r>
      <w:r>
        <w:rPr>
          <w:rFonts w:hAnsi="宋体"/>
          <w:color w:val="000000"/>
          <w:highlight w:val="none"/>
        </w:rPr>
        <w:t>包含但不限于完成该项目的劳务、材料、机械、质检（自检）、拆除、安装、缺陷修复、管理、保险、税费、利润等费用，以及合同明示或暗示的所有责任、义务和一般风险。因成交供应商自身原因造成漏报、少报皆由其自行承担责任，采购人不再补偿。</w:t>
      </w:r>
    </w:p>
    <w:p w14:paraId="4E03A369">
      <w:pPr>
        <w:pStyle w:val="105"/>
        <w:ind w:firstLine="0"/>
        <w:rPr>
          <w:bCs/>
          <w:color w:val="000000"/>
          <w:sz w:val="21"/>
          <w:szCs w:val="21"/>
          <w:highlight w:val="none"/>
        </w:rPr>
      </w:pPr>
      <w:r>
        <w:rPr>
          <w:bCs/>
          <w:color w:val="000000"/>
          <w:sz w:val="21"/>
          <w:szCs w:val="21"/>
          <w:highlight w:val="none"/>
        </w:rPr>
        <w:t>11.6</w:t>
      </w:r>
      <w:r>
        <w:rPr>
          <w:rFonts w:hint="eastAsia"/>
          <w:bCs/>
          <w:color w:val="000000"/>
          <w:sz w:val="21"/>
          <w:szCs w:val="21"/>
          <w:highlight w:val="none"/>
        </w:rPr>
        <w:t>本工程的磋商报价不准使用报价调整函，磋商函中的报价必须与工程量清单汇总表一致，否则作无效磋商处理。</w:t>
      </w:r>
      <w:r>
        <w:rPr>
          <w:rFonts w:hint="eastAsia"/>
          <w:color w:val="000000"/>
          <w:sz w:val="21"/>
          <w:szCs w:val="21"/>
          <w:highlight w:val="none"/>
        </w:rPr>
        <w:t>二次报价或最终报价必须按工程量清单格式进行报价，其依据及计算规则与首次报价的相同。否则，该磋商报价将被视为无效。请各服务商根据工程量清单格式提前做好再次报价的准备。</w:t>
      </w:r>
    </w:p>
    <w:p w14:paraId="0A5A94C1">
      <w:pPr>
        <w:pStyle w:val="44"/>
        <w:spacing w:line="360" w:lineRule="auto"/>
        <w:ind w:left="525" w:hanging="525" w:hangingChars="250"/>
        <w:rPr>
          <w:rFonts w:hAnsi="宋体"/>
          <w:color w:val="000000"/>
          <w:highlight w:val="none"/>
        </w:rPr>
      </w:pPr>
      <w:r>
        <w:rPr>
          <w:rFonts w:hAnsi="宋体"/>
          <w:color w:val="000000"/>
          <w:highlight w:val="none"/>
        </w:rPr>
        <w:t>11.7本项目磋商报价采用的币种为人民币。</w:t>
      </w:r>
    </w:p>
    <w:p w14:paraId="5B8EF692">
      <w:pPr>
        <w:spacing w:line="360" w:lineRule="auto"/>
        <w:rPr>
          <w:rFonts w:hint="eastAsia" w:ascii="宋体" w:hAnsi="宋体"/>
          <w:b/>
          <w:color w:val="000000"/>
          <w:highlight w:val="none"/>
        </w:rPr>
      </w:pPr>
      <w:r>
        <w:rPr>
          <w:rFonts w:hint="eastAsia" w:ascii="宋体" w:hAnsi="宋体"/>
          <w:b/>
          <w:color w:val="000000"/>
          <w:highlight w:val="none"/>
        </w:rPr>
        <w:t>12.磋商有效期</w:t>
      </w:r>
    </w:p>
    <w:p w14:paraId="19073AE1">
      <w:pPr>
        <w:spacing w:line="360" w:lineRule="auto"/>
        <w:rPr>
          <w:rFonts w:ascii="宋体" w:hAnsi="宋体"/>
          <w:color w:val="000000"/>
          <w:highlight w:val="none"/>
        </w:rPr>
      </w:pPr>
      <w:r>
        <w:rPr>
          <w:rFonts w:ascii="宋体" w:hAnsi="宋体"/>
          <w:color w:val="000000"/>
          <w:highlight w:val="none"/>
        </w:rPr>
        <w:t>12.1磋商有效期：响应文件从磋商截止日起60天内有效。</w:t>
      </w:r>
    </w:p>
    <w:p w14:paraId="718B997C">
      <w:pPr>
        <w:pStyle w:val="44"/>
        <w:spacing w:line="360" w:lineRule="auto"/>
        <w:ind w:left="525" w:hanging="525" w:hangingChars="250"/>
        <w:rPr>
          <w:rFonts w:hAnsi="宋体"/>
          <w:color w:val="000000"/>
          <w:highlight w:val="none"/>
        </w:rPr>
      </w:pPr>
      <w:r>
        <w:rPr>
          <w:rFonts w:hAnsi="宋体"/>
          <w:color w:val="000000"/>
          <w:highlight w:val="none"/>
        </w:rPr>
        <w:t>12.2在特殊情况下，采购人、采购代理机构可于磋商有效期满之前要求供应商同意延长有效期，要求与答复均应以书面形式。供应商可以拒绝上述要求而其磋商保证金不被没收，不同意延期的供应商的磋商保证金将在原磋商有效期满后5个工作日内无息退还（如要求提交保证金）。同意延期的供应商根据原截止期应赋之权利及责任相应也延至新的截止期，但不能要求对原响应文件（经磋商小组确认有效且没有超出响应文件的范围或改变磋商的实质内容的澄清或说明作为响应文件的组成部分）作任何改变，并同意在延长的磋商有效期内遵循本响应文件，在延长的磋商有效期满之前继续具有约束力。</w:t>
      </w:r>
    </w:p>
    <w:p w14:paraId="6FEED996">
      <w:pPr>
        <w:pStyle w:val="11"/>
        <w:spacing w:before="0" w:after="0" w:line="360" w:lineRule="auto"/>
        <w:rPr>
          <w:rFonts w:hint="eastAsia" w:ascii="宋体" w:hAnsi="宋体" w:eastAsia="宋体"/>
          <w:color w:val="000000"/>
          <w:sz w:val="21"/>
          <w:szCs w:val="21"/>
          <w:highlight w:val="none"/>
        </w:rPr>
      </w:pPr>
      <w:bookmarkStart w:id="145" w:name="_Toc185702565"/>
      <w:bookmarkStart w:id="146" w:name="_Toc486196152"/>
      <w:bookmarkStart w:id="147" w:name="_Toc230578073"/>
      <w:bookmarkStart w:id="148" w:name="_Toc207770851"/>
      <w:bookmarkStart w:id="149" w:name="_Toc206525698"/>
      <w:bookmarkStart w:id="150" w:name="_Toc239839879"/>
      <w:bookmarkStart w:id="151" w:name="_Toc486922969"/>
      <w:bookmarkStart w:id="152" w:name="_Toc108539728"/>
      <w:bookmarkStart w:id="153" w:name="_Toc23791"/>
      <w:r>
        <w:rPr>
          <w:rFonts w:hint="eastAsia" w:ascii="宋体" w:hAnsi="宋体" w:eastAsia="宋体"/>
          <w:color w:val="000000"/>
          <w:sz w:val="21"/>
          <w:szCs w:val="21"/>
          <w:highlight w:val="none"/>
        </w:rPr>
        <w:t>13．</w:t>
      </w:r>
      <w:bookmarkEnd w:id="145"/>
      <w:bookmarkEnd w:id="146"/>
      <w:bookmarkEnd w:id="147"/>
      <w:bookmarkEnd w:id="148"/>
      <w:bookmarkEnd w:id="149"/>
      <w:bookmarkEnd w:id="150"/>
      <w:bookmarkEnd w:id="151"/>
      <w:r>
        <w:rPr>
          <w:rFonts w:hint="eastAsia" w:ascii="宋体" w:hAnsi="宋体" w:eastAsia="宋体"/>
          <w:color w:val="000000"/>
          <w:sz w:val="21"/>
          <w:szCs w:val="21"/>
          <w:highlight w:val="none"/>
        </w:rPr>
        <w:t>响应文件编制的要求</w:t>
      </w:r>
      <w:bookmarkEnd w:id="152"/>
      <w:bookmarkEnd w:id="153"/>
    </w:p>
    <w:p w14:paraId="476B9506">
      <w:pPr>
        <w:pStyle w:val="44"/>
        <w:spacing w:line="360" w:lineRule="auto"/>
        <w:ind w:firstLine="420"/>
        <w:rPr>
          <w:rFonts w:hAnsi="宋体"/>
          <w:color w:val="000000"/>
          <w:highlight w:val="none"/>
        </w:rPr>
      </w:pPr>
      <w:r>
        <w:rPr>
          <w:rFonts w:hAnsi="宋体"/>
          <w:color w:val="000000"/>
          <w:highlight w:val="none"/>
        </w:rPr>
        <w:t>13.1响应文件份数：</w:t>
      </w:r>
      <w:r>
        <w:rPr>
          <w:rFonts w:hAnsi="宋体"/>
          <w:bCs/>
          <w:color w:val="000000"/>
          <w:highlight w:val="none"/>
        </w:rPr>
        <w:t>电子加密响应文件在线上传提交一份。</w:t>
      </w:r>
    </w:p>
    <w:p w14:paraId="0199C6E5">
      <w:pPr>
        <w:pStyle w:val="44"/>
        <w:spacing w:line="360" w:lineRule="auto"/>
        <w:ind w:firstLine="420"/>
        <w:rPr>
          <w:rFonts w:hAnsi="宋体"/>
          <w:color w:val="000000"/>
          <w:spacing w:val="-4"/>
          <w:highlight w:val="none"/>
        </w:rPr>
      </w:pPr>
      <w:r>
        <w:rPr>
          <w:rFonts w:hAnsi="宋体"/>
          <w:color w:val="000000"/>
          <w:spacing w:val="-4"/>
          <w:highlight w:val="none"/>
        </w:rPr>
        <w:t>13.2响应文件应由法定代表人</w:t>
      </w:r>
      <w:r>
        <w:rPr>
          <w:rFonts w:hAnsi="宋体"/>
          <w:color w:val="000000"/>
          <w:highlight w:val="none"/>
        </w:rPr>
        <w:t>（负责人）</w:t>
      </w:r>
      <w:r>
        <w:rPr>
          <w:rFonts w:hAnsi="宋体"/>
          <w:color w:val="000000"/>
          <w:spacing w:val="-4"/>
          <w:highlight w:val="none"/>
        </w:rPr>
        <w:t>或委托代理人在规定签名、签章处逐一签名和CA电子公章，否则其磋商无效。</w:t>
      </w:r>
    </w:p>
    <w:p w14:paraId="3124EDD8">
      <w:pPr>
        <w:pStyle w:val="44"/>
        <w:spacing w:line="360" w:lineRule="auto"/>
        <w:ind w:firstLine="420"/>
        <w:rPr>
          <w:rFonts w:hAnsi="宋体"/>
          <w:color w:val="000000"/>
          <w:spacing w:val="-4"/>
          <w:highlight w:val="none"/>
        </w:rPr>
      </w:pPr>
      <w:r>
        <w:rPr>
          <w:rFonts w:hAnsi="宋体"/>
          <w:color w:val="000000"/>
          <w:spacing w:val="-4"/>
          <w:highlight w:val="none"/>
        </w:rPr>
        <w:t>13.3竞争性磋商文件所涉及的法定代表人或其授权代表签字或盖章的内容，如果供应商没有法定代表人</w:t>
      </w:r>
      <w:r>
        <w:rPr>
          <w:rFonts w:hAnsi="宋体"/>
          <w:color w:val="000000"/>
          <w:highlight w:val="none"/>
        </w:rPr>
        <w:t>（负责人）</w:t>
      </w:r>
      <w:r>
        <w:rPr>
          <w:rFonts w:hAnsi="宋体"/>
          <w:color w:val="000000"/>
          <w:spacing w:val="-4"/>
          <w:highlight w:val="none"/>
        </w:rPr>
        <w:t>电子签章，涉及到法定代表人（负责人）或其授权代表签字或盖章的内容，可以线下签字或盖章后扫描上传。</w:t>
      </w:r>
    </w:p>
    <w:p w14:paraId="78F52280">
      <w:pPr>
        <w:pStyle w:val="11"/>
        <w:spacing w:before="0" w:after="0" w:line="360" w:lineRule="auto"/>
        <w:rPr>
          <w:rFonts w:hint="eastAsia" w:ascii="宋体" w:hAnsi="宋体" w:eastAsia="宋体"/>
          <w:color w:val="000000"/>
          <w:sz w:val="21"/>
          <w:szCs w:val="21"/>
          <w:highlight w:val="none"/>
        </w:rPr>
      </w:pPr>
      <w:bookmarkStart w:id="154" w:name="_Toc108539729"/>
      <w:bookmarkStart w:id="155" w:name="_Toc28127"/>
      <w:r>
        <w:rPr>
          <w:rFonts w:hint="eastAsia" w:ascii="宋体" w:hAnsi="宋体" w:eastAsia="宋体"/>
          <w:color w:val="000000"/>
          <w:sz w:val="21"/>
          <w:szCs w:val="21"/>
          <w:highlight w:val="none"/>
        </w:rPr>
        <w:t>14．磋商保证金</w:t>
      </w:r>
      <w:bookmarkEnd w:id="154"/>
      <w:r>
        <w:rPr>
          <w:rFonts w:hint="eastAsia" w:ascii="宋体" w:hAnsi="宋体" w:eastAsia="宋体"/>
          <w:color w:val="000000"/>
          <w:sz w:val="21"/>
          <w:szCs w:val="21"/>
          <w:highlight w:val="none"/>
        </w:rPr>
        <w:t>（如有）</w:t>
      </w:r>
      <w:bookmarkEnd w:id="155"/>
      <w:r>
        <w:rPr>
          <w:rFonts w:hint="eastAsia" w:ascii="宋体" w:hAnsi="宋体" w:eastAsia="宋体"/>
          <w:color w:val="000000"/>
          <w:sz w:val="21"/>
          <w:szCs w:val="21"/>
          <w:highlight w:val="none"/>
        </w:rPr>
        <w:t xml:space="preserve"> </w:t>
      </w:r>
    </w:p>
    <w:p w14:paraId="1C8C5AC0">
      <w:pPr>
        <w:pStyle w:val="44"/>
        <w:spacing w:line="360" w:lineRule="auto"/>
        <w:ind w:firstLine="420"/>
        <w:rPr>
          <w:rFonts w:hAnsi="宋体"/>
          <w:color w:val="000000"/>
          <w:spacing w:val="-4"/>
          <w:highlight w:val="none"/>
        </w:rPr>
      </w:pPr>
      <w:r>
        <w:rPr>
          <w:rFonts w:hAnsi="宋体"/>
          <w:color w:val="000000"/>
          <w:spacing w:val="-4"/>
          <w:highlight w:val="none"/>
        </w:rPr>
        <w:t xml:space="preserve">14.1 </w:t>
      </w:r>
      <w:r>
        <w:rPr>
          <w:rFonts w:hAnsi="宋体"/>
          <w:color w:val="000000"/>
          <w:highlight w:val="none"/>
        </w:rPr>
        <w:t>磋商保证金的递交：供应商</w:t>
      </w:r>
      <w:r>
        <w:rPr>
          <w:rFonts w:hAnsi="宋体"/>
          <w:color w:val="000000"/>
          <w:spacing w:val="-4"/>
          <w:highlight w:val="none"/>
        </w:rPr>
        <w:t>必须按</w:t>
      </w:r>
      <w:r>
        <w:rPr>
          <w:rFonts w:hAnsi="宋体"/>
          <w:color w:val="000000"/>
          <w:highlight w:val="none"/>
        </w:rPr>
        <w:t>供应商</w:t>
      </w:r>
      <w:r>
        <w:rPr>
          <w:rFonts w:hAnsi="宋体"/>
          <w:color w:val="000000"/>
          <w:spacing w:val="-4"/>
          <w:highlight w:val="none"/>
        </w:rPr>
        <w:t>须知前附表第9项的要求递交</w:t>
      </w:r>
      <w:r>
        <w:rPr>
          <w:rFonts w:hAnsi="宋体"/>
          <w:color w:val="000000"/>
          <w:highlight w:val="none"/>
        </w:rPr>
        <w:t>磋商保证金。</w:t>
      </w:r>
    </w:p>
    <w:p w14:paraId="05B941AD">
      <w:pPr>
        <w:pStyle w:val="44"/>
        <w:spacing w:line="360" w:lineRule="auto"/>
        <w:ind w:firstLine="420"/>
        <w:rPr>
          <w:rFonts w:hAnsi="宋体"/>
          <w:color w:val="000000"/>
          <w:highlight w:val="none"/>
        </w:rPr>
      </w:pPr>
      <w:r>
        <w:rPr>
          <w:rFonts w:hAnsi="宋体"/>
          <w:color w:val="000000"/>
          <w:highlight w:val="none"/>
        </w:rPr>
        <w:t>14.2磋商保证金的退还：</w:t>
      </w:r>
    </w:p>
    <w:p w14:paraId="6451085F">
      <w:pPr>
        <w:pStyle w:val="44"/>
        <w:spacing w:line="360" w:lineRule="auto"/>
        <w:ind w:firstLine="420"/>
        <w:rPr>
          <w:rFonts w:hAnsi="宋体"/>
          <w:color w:val="000000"/>
          <w:highlight w:val="none"/>
        </w:rPr>
      </w:pPr>
      <w:r>
        <w:rPr>
          <w:rFonts w:hAnsi="宋体"/>
          <w:color w:val="000000"/>
          <w:highlight w:val="none"/>
        </w:rPr>
        <w:t>14.2.1自成交通知书发出之日起5个工作日内退还未成交供应商的磋商保证金，自采购合同签订之日起5个工作日内退还成交供应商的磋商保证金或者转为成交供应商的履约保证金（如有）。</w:t>
      </w:r>
    </w:p>
    <w:p w14:paraId="15E84510">
      <w:pPr>
        <w:pStyle w:val="44"/>
        <w:spacing w:line="360" w:lineRule="auto"/>
        <w:ind w:firstLine="420"/>
        <w:rPr>
          <w:rFonts w:hAnsi="宋体"/>
          <w:color w:val="000000"/>
          <w:highlight w:val="none"/>
        </w:rPr>
      </w:pPr>
      <w:r>
        <w:rPr>
          <w:rFonts w:hAnsi="宋体"/>
          <w:color w:val="000000"/>
          <w:highlight w:val="none"/>
        </w:rPr>
        <w:t>14.2.2 涉及质疑和投诉的供应商，在质疑和投诉调查处理结束前其磋商保证金暂不退还。</w:t>
      </w:r>
    </w:p>
    <w:p w14:paraId="6AA8DF53">
      <w:pPr>
        <w:pStyle w:val="44"/>
        <w:spacing w:line="360" w:lineRule="auto"/>
        <w:ind w:firstLine="420"/>
        <w:rPr>
          <w:rFonts w:hAnsi="宋体"/>
          <w:color w:val="000000"/>
          <w:highlight w:val="none"/>
        </w:rPr>
      </w:pPr>
      <w:r>
        <w:rPr>
          <w:rFonts w:hAnsi="宋体"/>
          <w:color w:val="000000"/>
          <w:highlight w:val="none"/>
        </w:rPr>
        <w:t>14.2.3供应商有下列情形之一时，磋商保证金证金将不予退还：</w:t>
      </w:r>
    </w:p>
    <w:p w14:paraId="59E022CA">
      <w:pPr>
        <w:pStyle w:val="44"/>
        <w:spacing w:line="360" w:lineRule="auto"/>
        <w:ind w:firstLine="735" w:firstLineChars="350"/>
        <w:rPr>
          <w:rFonts w:hAnsi="宋体"/>
          <w:bCs/>
          <w:color w:val="000000"/>
          <w:highlight w:val="none"/>
        </w:rPr>
      </w:pPr>
      <w:r>
        <w:rPr>
          <w:rFonts w:hAnsi="宋体"/>
          <w:bCs/>
          <w:color w:val="000000"/>
          <w:highlight w:val="none"/>
        </w:rPr>
        <w:t>（1）供应商在提交响应文件截止时间后撤回响应文件的；</w:t>
      </w:r>
    </w:p>
    <w:p w14:paraId="5ECD9382">
      <w:pPr>
        <w:pStyle w:val="44"/>
        <w:spacing w:line="360" w:lineRule="auto"/>
        <w:ind w:firstLine="735" w:firstLineChars="350"/>
        <w:rPr>
          <w:rFonts w:hAnsi="宋体"/>
          <w:bCs/>
          <w:color w:val="000000"/>
          <w:highlight w:val="none"/>
        </w:rPr>
      </w:pPr>
      <w:r>
        <w:rPr>
          <w:rFonts w:hAnsi="宋体"/>
          <w:bCs/>
          <w:color w:val="000000"/>
          <w:highlight w:val="none"/>
        </w:rPr>
        <w:t>（2）供应商在响应文件中提供虚假材料的；</w:t>
      </w:r>
    </w:p>
    <w:p w14:paraId="02E901B3">
      <w:pPr>
        <w:pStyle w:val="44"/>
        <w:spacing w:line="360" w:lineRule="auto"/>
        <w:ind w:firstLine="735" w:firstLineChars="350"/>
        <w:rPr>
          <w:rFonts w:hAnsi="宋体"/>
          <w:bCs/>
          <w:color w:val="000000"/>
          <w:highlight w:val="none"/>
        </w:rPr>
      </w:pPr>
      <w:r>
        <w:rPr>
          <w:rFonts w:hAnsi="宋体"/>
          <w:bCs/>
          <w:color w:val="000000"/>
          <w:highlight w:val="none"/>
        </w:rPr>
        <w:t>（3）除因不可抗力或磋商文件认可的情形以外，成交供应商不与采购人签订合同的；</w:t>
      </w:r>
    </w:p>
    <w:p w14:paraId="22276787">
      <w:pPr>
        <w:pStyle w:val="44"/>
        <w:spacing w:line="360" w:lineRule="auto"/>
        <w:ind w:firstLine="735" w:firstLineChars="350"/>
        <w:rPr>
          <w:rFonts w:hAnsi="宋体"/>
          <w:bCs/>
          <w:color w:val="000000"/>
          <w:highlight w:val="none"/>
        </w:rPr>
      </w:pPr>
      <w:r>
        <w:rPr>
          <w:rFonts w:hAnsi="宋体"/>
          <w:bCs/>
          <w:color w:val="000000"/>
          <w:highlight w:val="none"/>
        </w:rPr>
        <w:t>（4）供应商与采购人、其他供应商或者采购代理机构恶意串通的；</w:t>
      </w:r>
    </w:p>
    <w:p w14:paraId="4DCFB643">
      <w:pPr>
        <w:pStyle w:val="44"/>
        <w:spacing w:line="360" w:lineRule="auto"/>
        <w:ind w:firstLine="735" w:firstLineChars="350"/>
        <w:rPr>
          <w:rFonts w:hAnsi="宋体"/>
          <w:bCs/>
          <w:color w:val="000000"/>
          <w:highlight w:val="none"/>
        </w:rPr>
      </w:pPr>
      <w:r>
        <w:rPr>
          <w:rFonts w:hAnsi="宋体"/>
          <w:bCs/>
          <w:color w:val="000000"/>
          <w:highlight w:val="none"/>
        </w:rPr>
        <w:t>（5）磋商文件规定的其他情形。</w:t>
      </w:r>
    </w:p>
    <w:p w14:paraId="78A76B82">
      <w:pPr>
        <w:spacing w:line="360" w:lineRule="auto"/>
        <w:rPr>
          <w:color w:val="000000"/>
          <w:highlight w:val="none"/>
        </w:rPr>
      </w:pPr>
    </w:p>
    <w:p w14:paraId="63FACB72">
      <w:pPr>
        <w:pStyle w:val="10"/>
        <w:spacing w:line="360" w:lineRule="auto"/>
        <w:jc w:val="center"/>
        <w:rPr>
          <w:rFonts w:hint="eastAsia" w:ascii="宋体" w:hAnsi="宋体"/>
          <w:color w:val="000000"/>
          <w:highlight w:val="none"/>
        </w:rPr>
      </w:pPr>
      <w:bookmarkStart w:id="156" w:name="_Toc108539730"/>
      <w:bookmarkStart w:id="157" w:name="_Toc2350"/>
      <w:r>
        <w:rPr>
          <w:rFonts w:hint="eastAsia" w:ascii="宋体" w:hAnsi="宋体"/>
          <w:color w:val="000000"/>
          <w:highlight w:val="none"/>
        </w:rPr>
        <w:t xml:space="preserve">四   </w:t>
      </w:r>
      <w:r>
        <w:rPr>
          <w:rFonts w:hint="eastAsia" w:ascii="宋体" w:hAnsi="宋体"/>
          <w:bCs/>
          <w:color w:val="000000"/>
          <w:highlight w:val="none"/>
        </w:rPr>
        <w:t>响应文件的上传、提交、修改、撤回和解密</w:t>
      </w:r>
      <w:bookmarkEnd w:id="156"/>
      <w:bookmarkEnd w:id="157"/>
    </w:p>
    <w:p w14:paraId="09D432FF">
      <w:pPr>
        <w:pStyle w:val="11"/>
        <w:spacing w:before="0" w:after="0" w:line="360" w:lineRule="auto"/>
        <w:rPr>
          <w:rFonts w:hint="eastAsia" w:ascii="宋体" w:hAnsi="宋体" w:eastAsia="宋体"/>
          <w:color w:val="000000"/>
          <w:sz w:val="21"/>
          <w:szCs w:val="21"/>
          <w:highlight w:val="none"/>
        </w:rPr>
      </w:pPr>
      <w:bookmarkStart w:id="158" w:name="_Toc185702568"/>
      <w:bookmarkStart w:id="159" w:name="_Toc486922972"/>
      <w:bookmarkStart w:id="160" w:name="_Toc207770854"/>
      <w:bookmarkStart w:id="161" w:name="_Toc230578076"/>
      <w:bookmarkStart w:id="162" w:name="_Toc239839882"/>
      <w:bookmarkStart w:id="163" w:name="_Toc206525701"/>
      <w:bookmarkStart w:id="164" w:name="_Toc486196155"/>
      <w:bookmarkStart w:id="165" w:name="_Toc108539731"/>
      <w:bookmarkStart w:id="166" w:name="_Toc12307"/>
      <w:r>
        <w:rPr>
          <w:rFonts w:hint="eastAsia" w:ascii="宋体" w:hAnsi="宋体" w:eastAsia="宋体"/>
          <w:color w:val="000000"/>
          <w:sz w:val="21"/>
          <w:szCs w:val="21"/>
          <w:highlight w:val="none"/>
        </w:rPr>
        <w:t>15．</w:t>
      </w:r>
      <w:bookmarkEnd w:id="158"/>
      <w:bookmarkEnd w:id="159"/>
      <w:bookmarkEnd w:id="160"/>
      <w:bookmarkEnd w:id="161"/>
      <w:bookmarkEnd w:id="162"/>
      <w:bookmarkEnd w:id="163"/>
      <w:bookmarkEnd w:id="164"/>
      <w:bookmarkStart w:id="167" w:name="_Toc517938809"/>
      <w:r>
        <w:rPr>
          <w:rFonts w:hint="eastAsia" w:ascii="宋体" w:hAnsi="宋体" w:eastAsia="宋体"/>
          <w:color w:val="000000"/>
          <w:sz w:val="21"/>
          <w:szCs w:val="21"/>
          <w:highlight w:val="none"/>
        </w:rPr>
        <w:t>响应文件的上传、提交、解密</w:t>
      </w:r>
      <w:bookmarkEnd w:id="165"/>
      <w:bookmarkEnd w:id="166"/>
      <w:bookmarkEnd w:id="167"/>
    </w:p>
    <w:p w14:paraId="3DC97675">
      <w:pPr>
        <w:spacing w:line="360" w:lineRule="auto"/>
        <w:ind w:firstLine="435"/>
        <w:rPr>
          <w:rFonts w:hint="eastAsia" w:ascii="宋体" w:hAnsi="宋体"/>
          <w:color w:val="000000"/>
          <w:szCs w:val="21"/>
          <w:highlight w:val="none"/>
        </w:rPr>
      </w:pPr>
      <w:r>
        <w:rPr>
          <w:rFonts w:hint="eastAsia" w:ascii="宋体" w:hAnsi="宋体"/>
          <w:color w:val="000000"/>
          <w:szCs w:val="21"/>
          <w:highlight w:val="none"/>
        </w:rPr>
        <w:t>15.1响应文件的上传和提交：见本章须知前附表第10项</w:t>
      </w:r>
    </w:p>
    <w:p w14:paraId="1ABD0F0D">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15.2响应文件提交时间和地点：见本章须知前附表第10项</w:t>
      </w:r>
    </w:p>
    <w:p w14:paraId="01978AAE">
      <w:pPr>
        <w:pStyle w:val="44"/>
        <w:spacing w:line="360" w:lineRule="auto"/>
        <w:ind w:firstLine="420"/>
        <w:rPr>
          <w:rFonts w:hAnsi="宋体"/>
          <w:color w:val="000000"/>
          <w:highlight w:val="none"/>
        </w:rPr>
      </w:pPr>
      <w:r>
        <w:rPr>
          <w:rFonts w:hAnsi="宋体"/>
          <w:color w:val="000000"/>
          <w:highlight w:val="none"/>
        </w:rPr>
        <w:t>15.3 电子加密响应文件的解密：截标后，采购代理机构将向各供应商发出“电子加密响应文件”的解密通知，各供应商代表应当在接到解密通知后30分钟内自行完成“电子加密响应文件”的在线解密。若供应商在规定时间内无法完成解密或解密失败，系统默认供应商自动放弃参与采购活动。若供应商在规定时间内因系统问题导致解密失败的，应尽快致电广西政府采购云平台解决（广西政府采购云平台咨询电话：95763）</w:t>
      </w:r>
    </w:p>
    <w:p w14:paraId="5AEAD1E2">
      <w:pPr>
        <w:pStyle w:val="11"/>
        <w:spacing w:before="0" w:after="0" w:line="360" w:lineRule="auto"/>
        <w:rPr>
          <w:rFonts w:hint="eastAsia" w:ascii="宋体" w:hAnsi="宋体" w:eastAsia="宋体"/>
          <w:color w:val="000000"/>
          <w:sz w:val="21"/>
          <w:szCs w:val="21"/>
          <w:highlight w:val="none"/>
        </w:rPr>
      </w:pPr>
      <w:bookmarkStart w:id="168" w:name="_Toc206525703"/>
      <w:bookmarkStart w:id="169" w:name="_Toc108539732"/>
      <w:bookmarkStart w:id="170" w:name="_Toc185702570"/>
      <w:bookmarkStart w:id="171" w:name="_Toc486196157"/>
      <w:bookmarkStart w:id="172" w:name="_Toc486922974"/>
      <w:bookmarkStart w:id="173" w:name="_Toc147250378"/>
      <w:bookmarkStart w:id="174" w:name="_Toc147250534"/>
      <w:bookmarkStart w:id="175" w:name="_Toc26457"/>
      <w:bookmarkStart w:id="176" w:name="_Toc230578078"/>
      <w:bookmarkStart w:id="177" w:name="_Toc147250332"/>
      <w:bookmarkStart w:id="178" w:name="_Toc207770856"/>
      <w:bookmarkStart w:id="179" w:name="_Toc239839884"/>
      <w:r>
        <w:rPr>
          <w:rFonts w:hint="eastAsia" w:ascii="宋体" w:hAnsi="宋体" w:eastAsia="宋体"/>
          <w:color w:val="000000"/>
          <w:sz w:val="21"/>
          <w:szCs w:val="21"/>
          <w:highlight w:val="none"/>
        </w:rPr>
        <w:t>16．响应文件的修改和撤回</w:t>
      </w:r>
      <w:bookmarkEnd w:id="168"/>
      <w:bookmarkEnd w:id="169"/>
      <w:bookmarkEnd w:id="170"/>
      <w:bookmarkEnd w:id="171"/>
      <w:bookmarkEnd w:id="172"/>
      <w:bookmarkEnd w:id="173"/>
      <w:bookmarkEnd w:id="174"/>
      <w:bookmarkEnd w:id="175"/>
      <w:bookmarkEnd w:id="176"/>
      <w:bookmarkEnd w:id="177"/>
      <w:bookmarkEnd w:id="178"/>
      <w:bookmarkEnd w:id="179"/>
    </w:p>
    <w:p w14:paraId="11ED81E0">
      <w:pPr>
        <w:pStyle w:val="10"/>
        <w:spacing w:line="360" w:lineRule="auto"/>
        <w:jc w:val="left"/>
        <w:rPr>
          <w:rFonts w:hint="eastAsia" w:ascii="宋体" w:hAnsi="宋体"/>
          <w:b w:val="0"/>
          <w:color w:val="000000"/>
          <w:szCs w:val="21"/>
          <w:highlight w:val="none"/>
        </w:rPr>
      </w:pPr>
      <w:bookmarkStart w:id="180" w:name="_Toc108539733"/>
      <w:bookmarkStart w:id="181" w:name="_Toc14930"/>
      <w:bookmarkStart w:id="182" w:name="_Toc12105"/>
      <w:r>
        <w:rPr>
          <w:rFonts w:hint="eastAsia" w:ascii="宋体" w:hAnsi="宋体"/>
          <w:b w:val="0"/>
          <w:color w:val="000000"/>
          <w:szCs w:val="21"/>
          <w:highlight w:val="none"/>
        </w:rPr>
        <w:t>供应商应当在提交响应文件截止时间前完成响应文件的上传、提交，并可以补充、修改或者撤回响应文件。补充或者修改响应文件的，应当先行撤回原文件，补充、修改后重新上传、提交。磋商截止时间前未完成上传、提交的，视为撤回响应文件。磋商截止时间后提交的响应文件，“广西政府采购云平台”将予以拒收。磋商截止时间后，供应商不得撤回、修改响应文件。</w:t>
      </w:r>
      <w:bookmarkEnd w:id="180"/>
      <w:bookmarkEnd w:id="181"/>
      <w:bookmarkEnd w:id="182"/>
    </w:p>
    <w:p w14:paraId="7D64E01B">
      <w:pPr>
        <w:pStyle w:val="105"/>
        <w:rPr>
          <w:color w:val="000000"/>
          <w:highlight w:val="none"/>
        </w:rPr>
      </w:pPr>
    </w:p>
    <w:p w14:paraId="4F13BBCA">
      <w:pPr>
        <w:pStyle w:val="10"/>
        <w:spacing w:line="360" w:lineRule="auto"/>
        <w:jc w:val="center"/>
        <w:rPr>
          <w:rFonts w:hint="eastAsia" w:ascii="宋体" w:hAnsi="宋体"/>
          <w:color w:val="000000"/>
          <w:highlight w:val="none"/>
        </w:rPr>
      </w:pPr>
      <w:bookmarkStart w:id="183" w:name="_Toc8443"/>
      <w:bookmarkStart w:id="184" w:name="_Toc108539734"/>
      <w:r>
        <w:rPr>
          <w:rFonts w:hint="eastAsia" w:ascii="宋体" w:hAnsi="宋体"/>
          <w:color w:val="000000"/>
          <w:highlight w:val="none"/>
        </w:rPr>
        <w:t>五   竞争性磋商（简称磋商）与评审</w:t>
      </w:r>
      <w:bookmarkEnd w:id="183"/>
      <w:bookmarkEnd w:id="184"/>
    </w:p>
    <w:p w14:paraId="5416DA4C">
      <w:pPr>
        <w:pStyle w:val="11"/>
        <w:spacing w:before="0" w:after="0" w:line="360" w:lineRule="auto"/>
        <w:rPr>
          <w:rFonts w:hint="eastAsia" w:ascii="宋体" w:hAnsi="宋体" w:eastAsia="宋体"/>
          <w:color w:val="000000"/>
          <w:sz w:val="21"/>
          <w:szCs w:val="21"/>
          <w:highlight w:val="none"/>
        </w:rPr>
      </w:pPr>
      <w:bookmarkStart w:id="185" w:name="_Toc206525705"/>
      <w:bookmarkStart w:id="186" w:name="_Toc230578080"/>
      <w:bookmarkStart w:id="187" w:name="_Toc185702572"/>
      <w:bookmarkStart w:id="188" w:name="_Toc239839886"/>
      <w:bookmarkStart w:id="189" w:name="_Toc207770858"/>
      <w:bookmarkStart w:id="190" w:name="_Toc486922976"/>
      <w:bookmarkStart w:id="191" w:name="_Toc108539735"/>
      <w:bookmarkStart w:id="192" w:name="_Toc486196159"/>
      <w:bookmarkStart w:id="193" w:name="_Toc12405"/>
      <w:r>
        <w:rPr>
          <w:rFonts w:hint="eastAsia" w:ascii="宋体" w:hAnsi="宋体" w:eastAsia="宋体"/>
          <w:color w:val="000000"/>
          <w:sz w:val="21"/>
          <w:szCs w:val="21"/>
          <w:highlight w:val="none"/>
        </w:rPr>
        <w:t>1</w:t>
      </w:r>
      <w:bookmarkEnd w:id="185"/>
      <w:bookmarkEnd w:id="186"/>
      <w:bookmarkEnd w:id="187"/>
      <w:bookmarkEnd w:id="188"/>
      <w:bookmarkEnd w:id="189"/>
      <w:r>
        <w:rPr>
          <w:rFonts w:hint="eastAsia" w:ascii="宋体" w:hAnsi="宋体" w:eastAsia="宋体"/>
          <w:color w:val="000000"/>
          <w:sz w:val="21"/>
          <w:szCs w:val="21"/>
          <w:highlight w:val="none"/>
        </w:rPr>
        <w:t>7．组建磋商小组</w:t>
      </w:r>
      <w:bookmarkEnd w:id="190"/>
      <w:bookmarkEnd w:id="191"/>
      <w:bookmarkEnd w:id="192"/>
      <w:bookmarkEnd w:id="193"/>
    </w:p>
    <w:p w14:paraId="7DA41008">
      <w:pPr>
        <w:pStyle w:val="44"/>
        <w:spacing w:line="360" w:lineRule="auto"/>
        <w:ind w:left="525" w:hanging="525" w:hangingChars="250"/>
        <w:rPr>
          <w:rFonts w:hAnsi="宋体"/>
          <w:color w:val="000000"/>
          <w:highlight w:val="none"/>
        </w:rPr>
      </w:pPr>
      <w:r>
        <w:rPr>
          <w:rFonts w:hAnsi="宋体"/>
          <w:color w:val="000000"/>
          <w:highlight w:val="none"/>
        </w:rPr>
        <w:t>17.1采购人和采购代理机构依法组建竞争性磋商小组（以下简称磋商小组），磋商小组由采购人代表和评审专家共三人以上（含三人）单数组成，其中评审专家人数不少于磋商小组成员总数的2/3。评审专家在政府采购评审专家库内相关专业技术、经济等方面的专家名单中随机抽取。</w:t>
      </w:r>
    </w:p>
    <w:p w14:paraId="4775AADD">
      <w:pPr>
        <w:pStyle w:val="44"/>
        <w:spacing w:line="360" w:lineRule="auto"/>
        <w:ind w:left="525" w:hanging="525" w:hangingChars="250"/>
        <w:rPr>
          <w:rFonts w:hAnsi="宋体"/>
          <w:color w:val="000000"/>
          <w:highlight w:val="none"/>
        </w:rPr>
      </w:pPr>
      <w:r>
        <w:rPr>
          <w:rFonts w:hAnsi="宋体"/>
          <w:color w:val="000000"/>
          <w:highlight w:val="none"/>
        </w:rPr>
        <w:t>17.2评审专家应当遵守评审工作纪律，不得泄露评审情况和评审中获悉的商业秘密。</w:t>
      </w:r>
    </w:p>
    <w:p w14:paraId="6BCB0940">
      <w:pPr>
        <w:pStyle w:val="11"/>
        <w:spacing w:before="0" w:after="0" w:line="360" w:lineRule="auto"/>
        <w:rPr>
          <w:rFonts w:hint="eastAsia" w:ascii="宋体" w:hAnsi="宋体" w:eastAsia="宋体"/>
          <w:color w:val="000000"/>
          <w:sz w:val="21"/>
          <w:szCs w:val="21"/>
          <w:highlight w:val="none"/>
        </w:rPr>
      </w:pPr>
      <w:bookmarkStart w:id="194" w:name="_Toc185702573"/>
      <w:bookmarkStart w:id="195" w:name="_Toc239839887"/>
      <w:bookmarkStart w:id="196" w:name="_Toc230578081"/>
      <w:bookmarkStart w:id="197" w:name="_Toc207770859"/>
      <w:bookmarkStart w:id="198" w:name="_Toc206525706"/>
      <w:bookmarkStart w:id="199" w:name="_Toc20753"/>
      <w:bookmarkStart w:id="200" w:name="_Toc108539736"/>
      <w:bookmarkStart w:id="201" w:name="_Toc486922977"/>
      <w:bookmarkStart w:id="202" w:name="_Toc486196160"/>
      <w:r>
        <w:rPr>
          <w:rFonts w:hint="eastAsia" w:ascii="宋体" w:hAnsi="宋体" w:eastAsia="宋体"/>
          <w:color w:val="000000"/>
          <w:sz w:val="21"/>
          <w:szCs w:val="21"/>
          <w:highlight w:val="none"/>
        </w:rPr>
        <w:t>18．评</w:t>
      </w:r>
      <w:bookmarkEnd w:id="194"/>
      <w:bookmarkEnd w:id="195"/>
      <w:bookmarkEnd w:id="196"/>
      <w:bookmarkEnd w:id="197"/>
      <w:bookmarkEnd w:id="198"/>
      <w:r>
        <w:rPr>
          <w:rFonts w:hint="eastAsia" w:ascii="宋体" w:hAnsi="宋体" w:eastAsia="宋体"/>
          <w:color w:val="000000"/>
          <w:sz w:val="21"/>
          <w:szCs w:val="21"/>
          <w:highlight w:val="none"/>
        </w:rPr>
        <w:t>审</w:t>
      </w:r>
      <w:bookmarkEnd w:id="199"/>
      <w:bookmarkEnd w:id="200"/>
      <w:bookmarkEnd w:id="201"/>
      <w:bookmarkEnd w:id="202"/>
    </w:p>
    <w:p w14:paraId="67CA222F">
      <w:pPr>
        <w:pStyle w:val="44"/>
        <w:spacing w:line="360" w:lineRule="auto"/>
        <w:ind w:left="525" w:hanging="525" w:hangingChars="250"/>
        <w:rPr>
          <w:rFonts w:hAnsi="宋体"/>
          <w:color w:val="000000"/>
          <w:highlight w:val="none"/>
        </w:rPr>
      </w:pPr>
      <w:r>
        <w:rPr>
          <w:rFonts w:hAnsi="宋体"/>
          <w:color w:val="000000"/>
          <w:highlight w:val="none"/>
        </w:rPr>
        <w:t>18.1本采购项目采用不公开方式评标，评标的依据为磋商文件和响应文件及磋商应答文件等。磋商小组决定响应文件的响应性只根据响应文件本身的内容，而不寻找其他的外部证据。</w:t>
      </w:r>
      <w:r>
        <w:rPr>
          <w:rFonts w:hAnsi="宋体"/>
          <w:color w:val="000000"/>
          <w:kern w:val="0"/>
          <w:highlight w:val="none"/>
        </w:rPr>
        <w:t>但响应文件有不真实、不正确内容的除外。</w:t>
      </w:r>
    </w:p>
    <w:p w14:paraId="55F6701C">
      <w:pPr>
        <w:pStyle w:val="44"/>
        <w:spacing w:line="360" w:lineRule="auto"/>
        <w:ind w:left="525" w:hanging="525" w:hangingChars="250"/>
        <w:rPr>
          <w:rFonts w:hAnsi="宋体"/>
          <w:bCs/>
          <w:color w:val="000000"/>
          <w:highlight w:val="none"/>
        </w:rPr>
      </w:pPr>
      <w:r>
        <w:rPr>
          <w:rFonts w:hAnsi="宋体"/>
          <w:bCs/>
          <w:color w:val="000000"/>
          <w:highlight w:val="none"/>
        </w:rPr>
        <w:t>18.2磋商小组按照客观、公正、审慎的原则，根据磋商文件规定的评审程序、评审方法和评审标准进行独立评审。未实质性响应磋商文件的响应文件按无效响应处理，磋商小组应当告知提交响应文件的供应商。</w:t>
      </w:r>
    </w:p>
    <w:p w14:paraId="4724F4AF">
      <w:pPr>
        <w:pStyle w:val="44"/>
        <w:spacing w:line="360" w:lineRule="auto"/>
        <w:ind w:left="527" w:hanging="527" w:hangingChars="250"/>
        <w:rPr>
          <w:rFonts w:hAnsi="宋体"/>
          <w:b/>
          <w:color w:val="000000"/>
          <w:highlight w:val="none"/>
        </w:rPr>
      </w:pPr>
      <w:r>
        <w:rPr>
          <w:rFonts w:hAnsi="宋体"/>
          <w:b/>
          <w:color w:val="000000"/>
          <w:highlight w:val="none"/>
        </w:rPr>
        <w:t>18.3响应文件审查</w:t>
      </w:r>
    </w:p>
    <w:p w14:paraId="434939E3">
      <w:pPr>
        <w:pStyle w:val="44"/>
        <w:spacing w:line="360" w:lineRule="auto"/>
        <w:ind w:left="632" w:leftChars="1" w:hanging="630" w:hangingChars="300"/>
        <w:rPr>
          <w:rFonts w:hAnsi="宋体"/>
          <w:color w:val="000000"/>
          <w:highlight w:val="none"/>
        </w:rPr>
      </w:pPr>
      <w:r>
        <w:rPr>
          <w:rFonts w:hAnsi="宋体"/>
          <w:color w:val="000000"/>
          <w:highlight w:val="none"/>
        </w:rPr>
        <w:t>18.3.1响应文件资格性审查和符合性审查。</w:t>
      </w:r>
    </w:p>
    <w:p w14:paraId="693FD14D">
      <w:pPr>
        <w:pStyle w:val="44"/>
        <w:spacing w:line="360" w:lineRule="auto"/>
        <w:ind w:firstLine="420"/>
        <w:rPr>
          <w:rFonts w:hAnsi="宋体"/>
          <w:color w:val="000000"/>
          <w:highlight w:val="none"/>
        </w:rPr>
      </w:pPr>
      <w:r>
        <w:rPr>
          <w:rFonts w:hAnsi="宋体"/>
          <w:color w:val="000000"/>
          <w:highlight w:val="none"/>
        </w:rPr>
        <w:t>（1）资格性检查。依据法律法规和竞争性磋商文件的规定对供应商提供的响应文件的资质证明等进行审查及按规定进行原件核查，以确定供应商是否具备资格条件。它所涉及到的主要文件和内容为磋商文件所述的资格证明文件内容和签章的合格性、合法性等。如果供应商不具备磋商资格，不满足磋商文件所规定的资格标准或提供资格证明文件不全的，其响应文件无效。</w:t>
      </w:r>
    </w:p>
    <w:p w14:paraId="3CED124C">
      <w:pPr>
        <w:pStyle w:val="44"/>
        <w:spacing w:line="360" w:lineRule="auto"/>
        <w:ind w:firstLine="420"/>
        <w:rPr>
          <w:rFonts w:hAnsi="宋体"/>
          <w:color w:val="000000"/>
          <w:highlight w:val="none"/>
        </w:rPr>
      </w:pPr>
      <w:r>
        <w:rPr>
          <w:rFonts w:hAnsi="宋体"/>
          <w:color w:val="000000"/>
          <w:highlight w:val="none"/>
        </w:rPr>
        <w:t>（2）符合性检查。依据磋商文件的规定，从响应文件的有效性、完整性和对磋商文件的响应程度进行审查，以确定是否对磋商文件的实质性要求作出响应（采购人可根据具体项目的情况对实质性要求作特别的规定）。实质性偏离是指：①实质性影响合同的范围、质量和履行；②实质性违背磋商文件，限制了采购人的权利和成交供应商合同项下的义务；③不公正地影响了其它作出实质性响应的供应商的竞争地位。</w:t>
      </w:r>
    </w:p>
    <w:p w14:paraId="6B261F6B">
      <w:pPr>
        <w:pStyle w:val="44"/>
        <w:spacing w:line="360" w:lineRule="auto"/>
        <w:ind w:left="527" w:hanging="527" w:hangingChars="250"/>
        <w:rPr>
          <w:rFonts w:hAnsi="宋体"/>
          <w:b/>
          <w:color w:val="000000"/>
          <w:highlight w:val="none"/>
        </w:rPr>
      </w:pPr>
      <w:r>
        <w:rPr>
          <w:rFonts w:hAnsi="宋体"/>
          <w:b/>
          <w:color w:val="000000"/>
          <w:highlight w:val="none"/>
        </w:rPr>
        <w:t>18.4澄清有关问题、算术性修正</w:t>
      </w:r>
    </w:p>
    <w:p w14:paraId="6F7810C5">
      <w:pPr>
        <w:pStyle w:val="44"/>
        <w:spacing w:line="360" w:lineRule="auto"/>
        <w:ind w:left="632" w:leftChars="1" w:hanging="630" w:hangingChars="300"/>
        <w:rPr>
          <w:rFonts w:hAnsi="宋体"/>
          <w:color w:val="000000"/>
          <w:highlight w:val="none"/>
        </w:rPr>
      </w:pPr>
      <w:r>
        <w:rPr>
          <w:rFonts w:hAnsi="宋体"/>
          <w:color w:val="000000"/>
          <w:highlight w:val="none"/>
        </w:rPr>
        <w:t>18.4.1磋商小组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B2EF4D">
      <w:pPr>
        <w:pStyle w:val="44"/>
        <w:spacing w:line="360" w:lineRule="auto"/>
        <w:ind w:left="632" w:leftChars="1" w:hanging="630" w:hangingChars="300"/>
        <w:rPr>
          <w:rFonts w:hAnsi="宋体"/>
          <w:color w:val="000000"/>
          <w:highlight w:val="none"/>
        </w:rPr>
      </w:pPr>
      <w:r>
        <w:rPr>
          <w:rFonts w:hAnsi="宋体"/>
          <w:color w:val="000000"/>
          <w:highlight w:val="none"/>
        </w:rPr>
        <w:t>18.4.2由磋商小组组长或采购代理机构发起询标函，供应商必须在规定时间内回复询标函，否则视为放弃澄清。供应商的澄清、说明或者更正应由供应商加盖电子签章后提交。供应商的澄清文件是响应文件的组成部分。</w:t>
      </w:r>
    </w:p>
    <w:p w14:paraId="61A31872">
      <w:pPr>
        <w:pStyle w:val="44"/>
        <w:spacing w:line="360" w:lineRule="auto"/>
        <w:ind w:left="632" w:leftChars="1" w:hanging="630" w:hangingChars="300"/>
        <w:rPr>
          <w:rFonts w:hAnsi="宋体"/>
          <w:color w:val="000000"/>
          <w:highlight w:val="none"/>
        </w:rPr>
      </w:pPr>
      <w:r>
        <w:rPr>
          <w:rFonts w:hAnsi="宋体"/>
          <w:color w:val="000000"/>
          <w:highlight w:val="none"/>
        </w:rPr>
        <w:t>18.4.3响应文件如果出现计算或表达上的错误，修正错误的原则如下：</w:t>
      </w:r>
    </w:p>
    <w:p w14:paraId="0CB9B964">
      <w:pPr>
        <w:pStyle w:val="44"/>
        <w:spacing w:line="360" w:lineRule="auto"/>
        <w:ind w:firstLine="420"/>
        <w:rPr>
          <w:rFonts w:hAnsi="宋体"/>
          <w:color w:val="000000"/>
          <w:highlight w:val="none"/>
        </w:rPr>
      </w:pPr>
      <w:r>
        <w:rPr>
          <w:rFonts w:hAnsi="宋体"/>
          <w:color w:val="000000"/>
          <w:highlight w:val="none"/>
        </w:rPr>
        <w:t>① 响应文件中《磋商函》与响应文件其他内容不一致的，以《磋商函》为准；</w:t>
      </w:r>
    </w:p>
    <w:p w14:paraId="1E93CDC4">
      <w:pPr>
        <w:pStyle w:val="44"/>
        <w:spacing w:line="360" w:lineRule="auto"/>
        <w:ind w:firstLine="420"/>
        <w:rPr>
          <w:rFonts w:hAnsi="宋体"/>
          <w:color w:val="000000"/>
          <w:highlight w:val="none"/>
        </w:rPr>
      </w:pPr>
      <w:r>
        <w:rPr>
          <w:rFonts w:hAnsi="宋体"/>
          <w:color w:val="000000"/>
          <w:highlight w:val="none"/>
        </w:rPr>
        <w:t>② 响应文件的大写金额和小写金额不一致时，以大写金额为准；</w:t>
      </w:r>
    </w:p>
    <w:p w14:paraId="4907E0DF">
      <w:pPr>
        <w:pStyle w:val="44"/>
        <w:spacing w:line="360" w:lineRule="auto"/>
        <w:ind w:firstLine="420"/>
        <w:rPr>
          <w:rFonts w:hAnsi="宋体"/>
          <w:color w:val="000000"/>
          <w:highlight w:val="none"/>
        </w:rPr>
      </w:pPr>
      <w:r>
        <w:rPr>
          <w:rFonts w:hAnsi="宋体"/>
          <w:color w:val="000000"/>
          <w:highlight w:val="none"/>
        </w:rPr>
        <w:t>③ 总价金额与按单价汇总金额不一致的，以单价金额计算结果为准；</w:t>
      </w:r>
    </w:p>
    <w:p w14:paraId="14895B04">
      <w:pPr>
        <w:pStyle w:val="44"/>
        <w:spacing w:line="360" w:lineRule="auto"/>
        <w:ind w:firstLine="420"/>
        <w:rPr>
          <w:rFonts w:hAnsi="宋体"/>
          <w:color w:val="000000"/>
          <w:highlight w:val="none"/>
        </w:rPr>
      </w:pPr>
      <w:r>
        <w:rPr>
          <w:rFonts w:hAnsi="宋体"/>
          <w:color w:val="000000"/>
          <w:highlight w:val="none"/>
        </w:rPr>
        <w:t>④ 单价金额小数点有明显错位的，应以总价为准，并修改单价；</w:t>
      </w:r>
    </w:p>
    <w:p w14:paraId="2D1A24FE">
      <w:pPr>
        <w:pStyle w:val="44"/>
        <w:spacing w:line="360" w:lineRule="auto"/>
        <w:ind w:firstLine="420"/>
        <w:rPr>
          <w:rFonts w:hAnsi="宋体"/>
          <w:color w:val="000000"/>
          <w:highlight w:val="none"/>
        </w:rPr>
      </w:pPr>
      <w:r>
        <w:rPr>
          <w:rFonts w:hAnsi="宋体"/>
          <w:color w:val="000000"/>
          <w:highlight w:val="none"/>
        </w:rPr>
        <w:t>⑤ 对不同文字文本响应文件的解释发生异议的，以中文文本为准。</w:t>
      </w:r>
    </w:p>
    <w:p w14:paraId="7159022C">
      <w:pPr>
        <w:pStyle w:val="44"/>
        <w:spacing w:line="360" w:lineRule="auto"/>
        <w:ind w:left="522" w:leftChars="202" w:hanging="98" w:hangingChars="47"/>
        <w:rPr>
          <w:rFonts w:hAnsi="宋体"/>
          <w:color w:val="000000"/>
          <w:highlight w:val="none"/>
        </w:rPr>
      </w:pPr>
      <w:r>
        <w:rPr>
          <w:rFonts w:hAnsi="宋体"/>
          <w:color w:val="000000"/>
          <w:highlight w:val="none"/>
        </w:rPr>
        <w:t>⑥ 按上述修正错误的原则及方法调整或修正响应文件的磋商报价，在供应商确认后，调整后的磋商报价对供应商起约束作用。如果供应商不接受修正后的价格或内容的，其响应文件视为无效的响应文件。</w:t>
      </w:r>
    </w:p>
    <w:p w14:paraId="2C231867">
      <w:pPr>
        <w:pStyle w:val="44"/>
        <w:spacing w:line="360" w:lineRule="auto"/>
        <w:ind w:left="527" w:hanging="527" w:hangingChars="250"/>
        <w:rPr>
          <w:rFonts w:hAnsi="宋体"/>
          <w:b/>
          <w:color w:val="000000"/>
          <w:highlight w:val="none"/>
        </w:rPr>
      </w:pPr>
      <w:r>
        <w:rPr>
          <w:rFonts w:hAnsi="宋体"/>
          <w:b/>
          <w:color w:val="000000"/>
          <w:highlight w:val="none"/>
        </w:rPr>
        <w:t>19.磋商</w:t>
      </w:r>
    </w:p>
    <w:p w14:paraId="3C1AD2FE">
      <w:pPr>
        <w:pStyle w:val="44"/>
        <w:spacing w:line="360" w:lineRule="auto"/>
        <w:ind w:left="632" w:leftChars="1" w:hanging="630" w:hangingChars="300"/>
        <w:rPr>
          <w:rFonts w:hAnsi="宋体"/>
          <w:color w:val="000000"/>
          <w:highlight w:val="none"/>
        </w:rPr>
      </w:pPr>
      <w:r>
        <w:rPr>
          <w:rFonts w:hAnsi="宋体"/>
          <w:color w:val="000000"/>
          <w:highlight w:val="none"/>
        </w:rPr>
        <w:t>19.1磋商时间及地点：</w:t>
      </w:r>
      <w:r>
        <w:rPr>
          <w:rFonts w:hAnsi="宋体"/>
          <w:color w:val="000000"/>
          <w:spacing w:val="-4"/>
          <w:highlight w:val="none"/>
        </w:rPr>
        <w:t>本章须知前附表第11项规定的时间和地点。</w:t>
      </w:r>
    </w:p>
    <w:p w14:paraId="0F5C9A25">
      <w:pPr>
        <w:pStyle w:val="44"/>
        <w:spacing w:line="360" w:lineRule="auto"/>
        <w:rPr>
          <w:rFonts w:hAnsi="宋体"/>
          <w:color w:val="000000"/>
          <w:highlight w:val="none"/>
        </w:rPr>
      </w:pPr>
      <w:r>
        <w:rPr>
          <w:rFonts w:hAnsi="宋体"/>
          <w:color w:val="000000"/>
          <w:highlight w:val="none"/>
        </w:rPr>
        <w:t>19.2磋商</w:t>
      </w:r>
      <w:r>
        <w:rPr>
          <w:rFonts w:hAnsi="宋体"/>
          <w:bCs/>
          <w:color w:val="000000"/>
          <w:highlight w:val="none"/>
        </w:rPr>
        <w:t>小组对响应文件进行评审，并根据磋商文件规定的程序、评定成交的标准等事项与实质性响应磋商文件要求的供应商进行磋商。</w:t>
      </w:r>
      <w:r>
        <w:rPr>
          <w:rFonts w:hAnsi="宋体"/>
          <w:color w:val="000000"/>
          <w:kern w:val="0"/>
          <w:highlight w:val="none"/>
        </w:rPr>
        <w:t>供应商须在规定的时间和地点进行电子磋商，供应商应做好磋商准备，准时在线参加电子磋商，随时关注磋商进度。</w:t>
      </w:r>
      <w:r>
        <w:rPr>
          <w:rFonts w:hAnsi="宋体"/>
          <w:bCs/>
          <w:color w:val="000000"/>
          <w:highlight w:val="none"/>
        </w:rPr>
        <w:t>未实质性响应磋商文件的响应文件按无效处理，磋商小组应当告知有关供应商。</w:t>
      </w:r>
    </w:p>
    <w:p w14:paraId="650BF182">
      <w:pPr>
        <w:pStyle w:val="44"/>
        <w:spacing w:line="360" w:lineRule="auto"/>
        <w:ind w:left="632" w:leftChars="1" w:hanging="630" w:hangingChars="300"/>
        <w:rPr>
          <w:rFonts w:hAnsi="宋体"/>
          <w:color w:val="000000"/>
          <w:highlight w:val="none"/>
        </w:rPr>
      </w:pPr>
      <w:r>
        <w:rPr>
          <w:rFonts w:hAnsi="宋体"/>
          <w:color w:val="000000"/>
          <w:highlight w:val="none"/>
        </w:rPr>
        <w:t>19.3磋商小组向供应商发起磋商（最多三轮），磋商的内容包括技术条件、商务性条件及磋商小组认为需要磋商的内容。</w:t>
      </w:r>
    </w:p>
    <w:p w14:paraId="6B824771">
      <w:pPr>
        <w:pStyle w:val="44"/>
        <w:spacing w:line="360" w:lineRule="auto"/>
        <w:ind w:left="632" w:leftChars="1" w:hanging="630" w:hangingChars="300"/>
        <w:rPr>
          <w:rFonts w:hAnsi="宋体"/>
          <w:color w:val="000000"/>
          <w:highlight w:val="none"/>
        </w:rPr>
      </w:pPr>
      <w:r>
        <w:rPr>
          <w:rFonts w:hAnsi="宋体"/>
          <w:color w:val="000000"/>
          <w:highlight w:val="none"/>
        </w:rPr>
        <w:t>19.4在磋商过程中，磋商小组可以根据磋商文件和磋商情况实质性变动项目需求中的技术、服务要求以及合同草案条款，但不得变动磋商文件中的其他内容。实质性变动的内容，须经采购人代表确认。</w:t>
      </w:r>
    </w:p>
    <w:p w14:paraId="40D2A688">
      <w:pPr>
        <w:pStyle w:val="44"/>
        <w:spacing w:line="360" w:lineRule="auto"/>
        <w:ind w:firstLine="420"/>
        <w:rPr>
          <w:rFonts w:hAnsi="宋体"/>
          <w:color w:val="000000"/>
          <w:highlight w:val="none"/>
        </w:rPr>
      </w:pPr>
      <w:r>
        <w:rPr>
          <w:rFonts w:hAnsi="宋体"/>
          <w:color w:val="000000"/>
          <w:highlight w:val="none"/>
        </w:rPr>
        <w:t>(1)对磋商文件作出的实质性变动是磋商文件的有效组成部分，由磋商小组及时以电子澄清函形式同时通知所有参加磋商的供应商。</w:t>
      </w:r>
    </w:p>
    <w:p w14:paraId="68166C8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(2)供应商必须按照磋商文件的变动情况和磋商小组的要求以回函的形式重新提交应答文件，并CA电子签章</w:t>
      </w:r>
      <w:r>
        <w:rPr>
          <w:rFonts w:hint="eastAsia" w:ascii="宋体" w:hAnsi="宋体"/>
          <w:color w:val="000000"/>
          <w:highlight w:val="none"/>
        </w:rPr>
        <w:t>。</w:t>
      </w:r>
    </w:p>
    <w:p w14:paraId="52E98C84">
      <w:pPr>
        <w:pStyle w:val="44"/>
        <w:spacing w:line="360" w:lineRule="auto"/>
        <w:ind w:left="527" w:hanging="527" w:hangingChars="250"/>
        <w:rPr>
          <w:rFonts w:hAnsi="宋体"/>
          <w:b/>
          <w:color w:val="000000"/>
          <w:highlight w:val="none"/>
        </w:rPr>
      </w:pPr>
      <w:r>
        <w:rPr>
          <w:rFonts w:hAnsi="宋体"/>
          <w:b/>
          <w:color w:val="000000"/>
          <w:highlight w:val="none"/>
        </w:rPr>
        <w:t>19.5最终报价</w:t>
      </w:r>
    </w:p>
    <w:p w14:paraId="45101E7B">
      <w:pPr>
        <w:pStyle w:val="44"/>
        <w:spacing w:line="360" w:lineRule="auto"/>
        <w:ind w:left="632" w:leftChars="1" w:hanging="630" w:hangingChars="300"/>
        <w:rPr>
          <w:rFonts w:hAnsi="宋体"/>
          <w:color w:val="000000"/>
          <w:highlight w:val="none"/>
        </w:rPr>
      </w:pPr>
      <w:r>
        <w:rPr>
          <w:rFonts w:hAnsi="宋体"/>
          <w:color w:val="000000"/>
          <w:highlight w:val="none"/>
        </w:rPr>
        <w:t>19.5.1磋商文件能够详细列明采购标的的技术、服务要求的，磋商结束后，磋商小组要求所有实质性响应的供应商在规定时间内在线提交最终报价，提交最终报价的供应商不得少于3家。</w:t>
      </w:r>
    </w:p>
    <w:p w14:paraId="7A471DF8">
      <w:pPr>
        <w:pStyle w:val="44"/>
        <w:spacing w:line="360" w:lineRule="auto"/>
        <w:ind w:left="632" w:leftChars="1" w:hanging="630" w:hangingChars="300"/>
        <w:rPr>
          <w:rFonts w:hAnsi="宋体"/>
          <w:color w:val="000000"/>
          <w:highlight w:val="none"/>
        </w:rPr>
      </w:pPr>
      <w:r>
        <w:rPr>
          <w:rFonts w:hAnsi="宋体"/>
          <w:color w:val="000000"/>
          <w:highlight w:val="none"/>
        </w:rPr>
        <w:t>19.5.2磋商文件不能详细列明采购标的的技术、服务要求，需经磋商由供应商提供最终设计方案或解决方案的，磋商结束后，磋商小组按照少数服从多数的原则投票推荐3家以上（含3家）供应商的设计方案或者解决方案，并要求其在规定时间内在线提交最终报价。</w:t>
      </w:r>
    </w:p>
    <w:p w14:paraId="2BCFFF13">
      <w:pPr>
        <w:pStyle w:val="44"/>
        <w:spacing w:line="360" w:lineRule="auto"/>
        <w:ind w:left="632" w:leftChars="1" w:hanging="630" w:hangingChars="300"/>
        <w:rPr>
          <w:rFonts w:hAnsi="宋体"/>
          <w:color w:val="000000"/>
          <w:highlight w:val="none"/>
        </w:rPr>
      </w:pPr>
      <w:r>
        <w:rPr>
          <w:rFonts w:hAnsi="宋体"/>
          <w:color w:val="000000"/>
          <w:highlight w:val="none"/>
        </w:rPr>
        <w:t>19.5.3最终报价是供应商响应文件的有效组成部分。</w:t>
      </w:r>
    </w:p>
    <w:p w14:paraId="75511F54">
      <w:pPr>
        <w:pStyle w:val="44"/>
        <w:spacing w:line="360" w:lineRule="auto"/>
        <w:ind w:left="632" w:leftChars="1" w:hanging="630" w:hangingChars="300"/>
        <w:rPr>
          <w:rFonts w:hAnsi="宋体"/>
          <w:color w:val="000000"/>
          <w:highlight w:val="none"/>
        </w:rPr>
      </w:pPr>
      <w:r>
        <w:rPr>
          <w:rFonts w:hAnsi="宋体"/>
          <w:color w:val="000000"/>
          <w:highlight w:val="none"/>
        </w:rPr>
        <w:t>19.5.4</w:t>
      </w:r>
      <w:r>
        <w:rPr>
          <w:rFonts w:hAnsi="宋体"/>
          <w:color w:val="000000"/>
          <w:highlight w:val="none"/>
          <w:shd w:val="clear" w:color="auto" w:fill="FFFFFF"/>
        </w:rPr>
        <w:t>请各供应商根据工程量清单格式提前做好再次报价的准备，并在规定时间内递交最终报价文件。</w:t>
      </w:r>
    </w:p>
    <w:p w14:paraId="72048476">
      <w:pPr>
        <w:pStyle w:val="44"/>
        <w:spacing w:line="360" w:lineRule="auto"/>
        <w:ind w:left="632" w:leftChars="1" w:hanging="630" w:hangingChars="300"/>
        <w:rPr>
          <w:rFonts w:hAnsi="宋体"/>
          <w:color w:val="000000"/>
          <w:highlight w:val="none"/>
        </w:rPr>
      </w:pPr>
      <w:r>
        <w:rPr>
          <w:rFonts w:hAnsi="宋体"/>
          <w:color w:val="000000"/>
          <w:highlight w:val="none"/>
        </w:rPr>
        <w:t>19.5.5磋商小组要求所有继续参加磋商的供应商在规定时间内在线提交最终报价。继续参加磋商的供应商作最终报价，供应商的最终报价应加盖CA电子签章后提交。</w:t>
      </w:r>
    </w:p>
    <w:p w14:paraId="377F5016">
      <w:pPr>
        <w:pStyle w:val="44"/>
        <w:spacing w:line="360" w:lineRule="auto"/>
        <w:ind w:left="527" w:hanging="527" w:hangingChars="250"/>
        <w:rPr>
          <w:rFonts w:hAnsi="宋体"/>
          <w:b/>
          <w:color w:val="000000"/>
          <w:highlight w:val="none"/>
        </w:rPr>
      </w:pPr>
      <w:r>
        <w:rPr>
          <w:rFonts w:hAnsi="宋体"/>
          <w:b/>
          <w:color w:val="000000"/>
          <w:highlight w:val="none"/>
        </w:rPr>
        <w:t>19.6</w:t>
      </w:r>
      <w:r>
        <w:rPr>
          <w:rFonts w:hAnsi="宋体"/>
          <w:color w:val="000000"/>
          <w:highlight w:val="none"/>
        </w:rPr>
        <w:t>已提交响应文件的供应商，在提交最终报价之前，可以根据磋商情况退出磋商。</w:t>
      </w:r>
    </w:p>
    <w:p w14:paraId="271BBCCD">
      <w:pPr>
        <w:pStyle w:val="44"/>
        <w:spacing w:line="360" w:lineRule="auto"/>
        <w:ind w:left="527" w:hanging="527" w:hangingChars="250"/>
        <w:rPr>
          <w:rFonts w:hAnsi="宋体"/>
          <w:b/>
          <w:color w:val="000000"/>
          <w:highlight w:val="none"/>
        </w:rPr>
      </w:pPr>
      <w:r>
        <w:rPr>
          <w:rFonts w:hAnsi="宋体"/>
          <w:b/>
          <w:color w:val="000000"/>
          <w:highlight w:val="none"/>
        </w:rPr>
        <w:t>19.7比较与评价。</w:t>
      </w:r>
      <w:r>
        <w:rPr>
          <w:rFonts w:hAnsi="宋体"/>
          <w:color w:val="000000"/>
          <w:highlight w:val="none"/>
        </w:rPr>
        <w:t>经磋商确定最终采购需求和提交最终报价的供应商后，由磋商小组采用</w:t>
      </w:r>
      <w:r>
        <w:rPr>
          <w:rFonts w:hAnsi="宋体"/>
          <w:b/>
          <w:color w:val="000000"/>
          <w:highlight w:val="none"/>
          <w:u w:val="single"/>
        </w:rPr>
        <w:t>综合评分法</w:t>
      </w:r>
      <w:r>
        <w:rPr>
          <w:rFonts w:hAnsi="宋体"/>
          <w:color w:val="000000"/>
          <w:highlight w:val="none"/>
        </w:rPr>
        <w:t>对提交最终报价的供应商的响应文件和最终报价进行综合评分。</w:t>
      </w:r>
    </w:p>
    <w:p w14:paraId="3D40A455">
      <w:pPr>
        <w:pStyle w:val="44"/>
        <w:spacing w:line="360" w:lineRule="auto"/>
        <w:ind w:left="527" w:hanging="527" w:hangingChars="250"/>
        <w:rPr>
          <w:rFonts w:hAnsi="宋体"/>
          <w:b/>
          <w:color w:val="000000"/>
          <w:highlight w:val="none"/>
        </w:rPr>
      </w:pPr>
      <w:r>
        <w:rPr>
          <w:rFonts w:hAnsi="宋体"/>
          <w:b/>
          <w:color w:val="000000"/>
          <w:highlight w:val="none"/>
        </w:rPr>
        <w:t>19.8推荐成交候选人名单并编写评审报告。</w:t>
      </w:r>
      <w:r>
        <w:rPr>
          <w:rFonts w:hAnsi="宋体"/>
          <w:color w:val="000000"/>
          <w:highlight w:val="none"/>
        </w:rPr>
        <w:t>磋商小组根据综合评分情况，按照评审得分由高到低顺序推荐3名成交候选人，并编写评审报告。总得分相同的，依次按最终报价低优先、技术分高优先、资信业绩分高优先的顺序排列。成交候选人并列的，由采购人采取随机抽取的方式确定成交供应商。</w:t>
      </w:r>
    </w:p>
    <w:p w14:paraId="012C2D5D">
      <w:pPr>
        <w:pStyle w:val="44"/>
        <w:spacing w:line="360" w:lineRule="auto"/>
        <w:ind w:left="525" w:hanging="525" w:hangingChars="250"/>
        <w:rPr>
          <w:rFonts w:hAnsi="宋体"/>
          <w:color w:val="000000"/>
          <w:highlight w:val="none"/>
        </w:rPr>
      </w:pPr>
      <w:r>
        <w:rPr>
          <w:rFonts w:hAnsi="宋体"/>
          <w:color w:val="000000"/>
          <w:highlight w:val="none"/>
        </w:rPr>
        <w:t>19.</w:t>
      </w:r>
      <w:r>
        <w:rPr>
          <w:rFonts w:hAnsi="宋体"/>
          <w:color w:val="000000"/>
          <w:kern w:val="0"/>
          <w:highlight w:val="none"/>
        </w:rPr>
        <w:t>9在评审过程中出现法律法规和磋商文件均没有明确规定的情形时，由磋商小组现场协商解决，协商不一致的，由全体磋商小组投票表决，以得票率二分之一以上磋商小组成员的意见为准。</w:t>
      </w:r>
    </w:p>
    <w:p w14:paraId="7177E61D">
      <w:pPr>
        <w:pStyle w:val="44"/>
        <w:spacing w:line="360" w:lineRule="auto"/>
        <w:ind w:left="515" w:hanging="515" w:hangingChars="250"/>
        <w:rPr>
          <w:rFonts w:hAnsi="宋体"/>
          <w:color w:val="000000"/>
          <w:spacing w:val="-2"/>
          <w:highlight w:val="none"/>
        </w:rPr>
      </w:pPr>
      <w:r>
        <w:rPr>
          <w:rFonts w:hAnsi="宋体"/>
          <w:color w:val="000000"/>
          <w:spacing w:val="-2"/>
          <w:highlight w:val="none"/>
        </w:rPr>
        <w:t>19.10</w:t>
      </w:r>
      <w:r>
        <w:rPr>
          <w:rFonts w:hAnsi="宋体"/>
          <w:color w:val="000000"/>
          <w:highlight w:val="none"/>
        </w:rPr>
        <w:t>评标</w:t>
      </w:r>
      <w:r>
        <w:rPr>
          <w:rFonts w:hAnsi="宋体"/>
          <w:color w:val="000000"/>
          <w:spacing w:val="-2"/>
          <w:highlight w:val="none"/>
        </w:rPr>
        <w:t>会纪律</w:t>
      </w:r>
    </w:p>
    <w:p w14:paraId="6305C81F">
      <w:pPr>
        <w:pStyle w:val="44"/>
        <w:spacing w:line="360" w:lineRule="auto"/>
        <w:ind w:firstLine="420"/>
        <w:rPr>
          <w:rFonts w:hAnsi="宋体"/>
          <w:color w:val="000000"/>
          <w:highlight w:val="none"/>
        </w:rPr>
      </w:pPr>
      <w:r>
        <w:rPr>
          <w:rFonts w:hAnsi="宋体"/>
          <w:color w:val="000000"/>
          <w:highlight w:val="none"/>
        </w:rPr>
        <w:t>(1) 评标过程的保密性。磋商小组成员、有关工作人员及其他知情人不得透露对响应文件评审、比较、成交候选人的推荐情况以及与评标有关的其他情况。</w:t>
      </w:r>
    </w:p>
    <w:p w14:paraId="659A00FC">
      <w:pPr>
        <w:pStyle w:val="44"/>
        <w:spacing w:line="360" w:lineRule="auto"/>
        <w:ind w:right="-187" w:rightChars="-89" w:firstLine="420"/>
        <w:rPr>
          <w:rFonts w:hAnsi="宋体"/>
          <w:color w:val="000000"/>
          <w:highlight w:val="none"/>
        </w:rPr>
      </w:pPr>
      <w:r>
        <w:rPr>
          <w:rFonts w:hAnsi="宋体"/>
          <w:color w:val="000000"/>
          <w:highlight w:val="none"/>
        </w:rPr>
        <w:t>(2) 供应商在评标过程中，所进行的力图影响评标结果公正性的活动，将可能导致其成交资格被取消。</w:t>
      </w:r>
    </w:p>
    <w:p w14:paraId="34DA9FE4">
      <w:pPr>
        <w:pStyle w:val="11"/>
        <w:spacing w:before="0" w:after="0" w:line="360" w:lineRule="auto"/>
        <w:rPr>
          <w:rFonts w:hint="eastAsia" w:ascii="宋体" w:hAnsi="宋体" w:eastAsia="宋体"/>
          <w:color w:val="000000"/>
          <w:sz w:val="21"/>
          <w:szCs w:val="21"/>
          <w:highlight w:val="none"/>
        </w:rPr>
      </w:pPr>
      <w:bookmarkStart w:id="203" w:name="_Toc30163"/>
      <w:bookmarkStart w:id="204" w:name="_Toc108539737"/>
      <w:r>
        <w:rPr>
          <w:rFonts w:hint="eastAsia" w:ascii="宋体" w:hAnsi="宋体" w:eastAsia="宋体"/>
          <w:color w:val="000000"/>
          <w:sz w:val="21"/>
          <w:szCs w:val="21"/>
          <w:highlight w:val="none"/>
        </w:rPr>
        <w:t>20．无效的响应文件</w:t>
      </w:r>
      <w:bookmarkEnd w:id="203"/>
      <w:bookmarkEnd w:id="204"/>
    </w:p>
    <w:p w14:paraId="6F1EF16A">
      <w:pPr>
        <w:pStyle w:val="44"/>
        <w:spacing w:line="360" w:lineRule="auto"/>
        <w:ind w:left="525" w:hanging="525" w:hangingChars="250"/>
        <w:rPr>
          <w:rFonts w:hAnsi="宋体"/>
          <w:color w:val="000000"/>
          <w:highlight w:val="none"/>
        </w:rPr>
      </w:pPr>
      <w:r>
        <w:rPr>
          <w:rFonts w:hAnsi="宋体"/>
          <w:color w:val="000000"/>
          <w:highlight w:val="none"/>
        </w:rPr>
        <w:t>20.1</w:t>
      </w:r>
      <w:r>
        <w:rPr>
          <w:rFonts w:hAnsi="宋体"/>
          <w:color w:val="000000"/>
          <w:kern w:val="0"/>
          <w:highlight w:val="none"/>
        </w:rPr>
        <w:t>供应商有下列情形之一的，其将被视为无效磋商：</w:t>
      </w:r>
    </w:p>
    <w:p w14:paraId="7CAE848B">
      <w:pPr>
        <w:pStyle w:val="44"/>
        <w:spacing w:line="360" w:lineRule="auto"/>
        <w:ind w:firstLine="420"/>
        <w:rPr>
          <w:rFonts w:hAnsi="宋体"/>
          <w:color w:val="000000"/>
          <w:kern w:val="0"/>
          <w:highlight w:val="none"/>
        </w:rPr>
      </w:pPr>
      <w:r>
        <w:rPr>
          <w:rFonts w:hAnsi="宋体"/>
          <w:color w:val="000000"/>
          <w:kern w:val="0"/>
          <w:highlight w:val="none"/>
        </w:rPr>
        <w:t>实质上没有响应磋商文件要求的磋商将被视为无效磋商。供应商不得通过修正或撤销不合要求的偏离从而使其响应文件成为实质上响应的磋商。</w:t>
      </w:r>
    </w:p>
    <w:p w14:paraId="73D8A738">
      <w:pPr>
        <w:pStyle w:val="44"/>
        <w:spacing w:line="360" w:lineRule="auto"/>
        <w:ind w:left="525" w:hanging="525" w:hangingChars="250"/>
        <w:rPr>
          <w:rFonts w:hAnsi="宋体"/>
          <w:color w:val="000000"/>
          <w:highlight w:val="none"/>
        </w:rPr>
      </w:pPr>
      <w:r>
        <w:rPr>
          <w:rFonts w:hAnsi="宋体"/>
          <w:color w:val="000000"/>
          <w:highlight w:val="none"/>
        </w:rPr>
        <w:t>20.1.1供应商出现下列情形之一的，视为</w:t>
      </w:r>
      <w:r>
        <w:rPr>
          <w:rFonts w:hAnsi="宋体"/>
          <w:bCs/>
          <w:color w:val="000000"/>
          <w:highlight w:val="none"/>
        </w:rPr>
        <w:t>未实质性响应磋商文件要求，其</w:t>
      </w:r>
      <w:r>
        <w:rPr>
          <w:rFonts w:hAnsi="宋体"/>
          <w:color w:val="000000"/>
          <w:highlight w:val="none"/>
        </w:rPr>
        <w:t>响应文件作无效响应文件处理</w:t>
      </w:r>
      <w:r>
        <w:rPr>
          <w:rFonts w:hAnsi="宋体"/>
          <w:color w:val="000000"/>
          <w:kern w:val="0"/>
          <w:highlight w:val="none"/>
        </w:rPr>
        <w:t>：</w:t>
      </w:r>
    </w:p>
    <w:p w14:paraId="5371430F">
      <w:pPr>
        <w:numPr>
          <w:ilvl w:val="0"/>
          <w:numId w:val="3"/>
        </w:numPr>
        <w:snapToGrid w:val="0"/>
        <w:spacing w:line="360" w:lineRule="auto"/>
        <w:ind w:firstLine="411" w:firstLineChars="196"/>
        <w:outlineLvl w:val="4"/>
        <w:rPr>
          <w:rFonts w:hint="eastAsia" w:ascii="宋体" w:hAnsi="宋体"/>
          <w:color w:val="000000"/>
          <w:kern w:val="0"/>
          <w:highlight w:val="none"/>
        </w:rPr>
      </w:pPr>
      <w:r>
        <w:rPr>
          <w:rFonts w:hint="eastAsia" w:ascii="宋体" w:hAnsi="宋体"/>
          <w:color w:val="000000"/>
          <w:kern w:val="0"/>
          <w:highlight w:val="none"/>
        </w:rPr>
        <w:t>供应商未递交磋商保证金或金额不足、磋商保证金递交形式不符合磋商文件要求的</w:t>
      </w:r>
      <w:r>
        <w:rPr>
          <w:rFonts w:hint="eastAsia" w:ascii="宋体" w:hAnsi="宋体"/>
          <w:color w:val="000000"/>
          <w:highlight w:val="none"/>
        </w:rPr>
        <w:t>（如要求提交保证金）</w:t>
      </w:r>
      <w:r>
        <w:rPr>
          <w:rFonts w:hint="eastAsia" w:ascii="宋体" w:hAnsi="宋体"/>
          <w:color w:val="000000"/>
          <w:kern w:val="0"/>
          <w:highlight w:val="none"/>
        </w:rPr>
        <w:t>；</w:t>
      </w:r>
    </w:p>
    <w:p w14:paraId="481A5E2C">
      <w:pPr>
        <w:numPr>
          <w:ilvl w:val="0"/>
          <w:numId w:val="3"/>
        </w:numPr>
        <w:snapToGrid w:val="0"/>
        <w:spacing w:line="360" w:lineRule="auto"/>
        <w:ind w:firstLine="411" w:firstLineChars="196"/>
        <w:outlineLvl w:val="4"/>
        <w:rPr>
          <w:rFonts w:hint="eastAsia" w:ascii="宋体" w:hAnsi="宋体"/>
          <w:color w:val="000000"/>
          <w:kern w:val="0"/>
          <w:highlight w:val="none"/>
        </w:rPr>
      </w:pPr>
      <w:r>
        <w:rPr>
          <w:rFonts w:hint="eastAsia" w:ascii="宋体" w:hAnsi="宋体"/>
          <w:color w:val="000000"/>
          <w:kern w:val="0"/>
          <w:highlight w:val="none"/>
        </w:rPr>
        <w:t>供应商未按磋商文件的规定获取磋商文件；</w:t>
      </w:r>
    </w:p>
    <w:p w14:paraId="3B3D496D">
      <w:pPr>
        <w:snapToGrid w:val="0"/>
        <w:spacing w:line="360" w:lineRule="auto"/>
        <w:ind w:firstLine="411" w:firstLineChars="196"/>
        <w:outlineLvl w:val="4"/>
        <w:rPr>
          <w:rFonts w:hint="eastAsia" w:ascii="宋体" w:hAnsi="宋体"/>
          <w:color w:val="000000"/>
          <w:szCs w:val="21"/>
          <w:highlight w:val="none"/>
        </w:rPr>
      </w:pPr>
      <w:r>
        <w:rPr>
          <w:rFonts w:hint="eastAsia" w:ascii="宋体" w:hAnsi="宋体"/>
          <w:color w:val="000000"/>
          <w:szCs w:val="21"/>
          <w:highlight w:val="none"/>
        </w:rPr>
        <w:t>(3) 未按磋商文件</w:t>
      </w:r>
      <w:r>
        <w:rPr>
          <w:rFonts w:hint="eastAsia" w:ascii="宋体" w:hAnsi="宋体"/>
          <w:bCs/>
          <w:color w:val="000000"/>
          <w:kern w:val="0"/>
          <w:highlight w:val="none"/>
        </w:rPr>
        <w:t>要求签署或CA电子签章的</w:t>
      </w:r>
      <w:r>
        <w:rPr>
          <w:rFonts w:hint="eastAsia" w:ascii="宋体" w:hAnsi="宋体"/>
          <w:color w:val="000000"/>
          <w:szCs w:val="21"/>
          <w:highlight w:val="none"/>
        </w:rPr>
        <w:t>；</w:t>
      </w:r>
    </w:p>
    <w:p w14:paraId="498C8A46">
      <w:pPr>
        <w:snapToGrid w:val="0"/>
        <w:spacing w:line="360" w:lineRule="auto"/>
        <w:ind w:firstLine="411" w:firstLineChars="196"/>
        <w:outlineLvl w:val="4"/>
        <w:rPr>
          <w:rFonts w:hint="eastAsia" w:ascii="宋体" w:hAnsi="宋体"/>
          <w:color w:val="000000"/>
          <w:szCs w:val="21"/>
          <w:highlight w:val="none"/>
        </w:rPr>
      </w:pPr>
      <w:r>
        <w:rPr>
          <w:rFonts w:hint="eastAsia" w:ascii="宋体" w:hAnsi="宋体"/>
          <w:color w:val="000000"/>
          <w:szCs w:val="21"/>
          <w:highlight w:val="none"/>
        </w:rPr>
        <w:t>(4) 不具备磋商文件规定的资格要求的</w:t>
      </w:r>
      <w:r>
        <w:rPr>
          <w:rFonts w:hint="eastAsia" w:ascii="宋体" w:hAnsi="宋体"/>
          <w:color w:val="000000"/>
          <w:highlight w:val="none"/>
        </w:rPr>
        <w:t>；</w:t>
      </w:r>
    </w:p>
    <w:p w14:paraId="68D52083">
      <w:pPr>
        <w:snapToGrid w:val="0"/>
        <w:spacing w:line="360" w:lineRule="auto"/>
        <w:ind w:firstLine="411" w:firstLineChars="196"/>
        <w:outlineLvl w:val="4"/>
        <w:rPr>
          <w:rFonts w:hint="eastAsia" w:ascii="宋体" w:hAnsi="宋体"/>
          <w:color w:val="000000"/>
          <w:szCs w:val="21"/>
          <w:highlight w:val="none"/>
        </w:rPr>
      </w:pPr>
      <w:r>
        <w:rPr>
          <w:rFonts w:hint="eastAsia" w:ascii="宋体" w:hAnsi="宋体"/>
          <w:color w:val="000000"/>
          <w:szCs w:val="21"/>
          <w:highlight w:val="none"/>
        </w:rPr>
        <w:t>(5) 响应文件未按磋商文件的内容和要求编制，或提供虚假材料的；</w:t>
      </w:r>
    </w:p>
    <w:p w14:paraId="60D5C40F">
      <w:pPr>
        <w:snapToGrid w:val="0"/>
        <w:spacing w:line="360" w:lineRule="auto"/>
        <w:ind w:firstLine="420" w:firstLineChars="200"/>
        <w:outlineLvl w:val="4"/>
        <w:rPr>
          <w:rFonts w:hint="eastAsia" w:ascii="宋体" w:hAnsi="宋体"/>
          <w:color w:val="000000"/>
          <w:szCs w:val="21"/>
          <w:highlight w:val="none"/>
        </w:rPr>
      </w:pPr>
      <w:r>
        <w:rPr>
          <w:rFonts w:hint="eastAsia" w:ascii="宋体" w:hAnsi="宋体"/>
          <w:color w:val="000000"/>
          <w:szCs w:val="21"/>
          <w:highlight w:val="none"/>
        </w:rPr>
        <w:t>(6) 属于“必须提供”的响应文件未能按时提供或补正、更正的；</w:t>
      </w:r>
    </w:p>
    <w:p w14:paraId="2C5DD997">
      <w:pPr>
        <w:snapToGrid w:val="0"/>
        <w:spacing w:line="360" w:lineRule="auto"/>
        <w:ind w:firstLine="411" w:firstLineChars="196"/>
        <w:outlineLvl w:val="4"/>
        <w:rPr>
          <w:rFonts w:hint="eastAsia" w:ascii="宋体" w:hAnsi="宋体"/>
          <w:color w:val="000000"/>
          <w:szCs w:val="21"/>
          <w:highlight w:val="none"/>
        </w:rPr>
      </w:pPr>
      <w:r>
        <w:rPr>
          <w:rFonts w:hint="eastAsia" w:ascii="宋体" w:hAnsi="宋体"/>
          <w:color w:val="000000"/>
          <w:szCs w:val="21"/>
          <w:highlight w:val="none"/>
        </w:rPr>
        <w:t>(7) 响应文件有效期、保证金有效期、工期、质量保修期不能满足磋商文件要求的；</w:t>
      </w:r>
    </w:p>
    <w:p w14:paraId="0F430B7D">
      <w:pPr>
        <w:snapToGrid w:val="0"/>
        <w:spacing w:line="360" w:lineRule="auto"/>
        <w:ind w:firstLine="411" w:firstLineChars="196"/>
        <w:outlineLvl w:val="4"/>
        <w:rPr>
          <w:rFonts w:hint="eastAsia" w:ascii="宋体" w:hAnsi="宋体"/>
          <w:color w:val="000000"/>
          <w:szCs w:val="21"/>
          <w:highlight w:val="none"/>
        </w:rPr>
      </w:pPr>
      <w:r>
        <w:rPr>
          <w:rFonts w:hint="eastAsia" w:ascii="宋体" w:hAnsi="宋体"/>
          <w:color w:val="000000"/>
          <w:szCs w:val="21"/>
          <w:highlight w:val="none"/>
        </w:rPr>
        <w:t>(8) 磋商内容与采购内容及要求存在重大偏离或保留的（如严重背离采购需求、合同协议要求等）；</w:t>
      </w:r>
    </w:p>
    <w:p w14:paraId="715C64C2">
      <w:pPr>
        <w:snapToGrid w:val="0"/>
        <w:spacing w:line="360" w:lineRule="auto"/>
        <w:ind w:firstLine="411" w:firstLineChars="196"/>
        <w:outlineLvl w:val="4"/>
        <w:rPr>
          <w:rFonts w:hint="eastAsia" w:ascii="宋体" w:hAnsi="宋体"/>
          <w:color w:val="000000"/>
          <w:szCs w:val="21"/>
          <w:highlight w:val="none"/>
        </w:rPr>
      </w:pPr>
      <w:r>
        <w:rPr>
          <w:rFonts w:hint="eastAsia" w:ascii="宋体" w:hAnsi="宋体"/>
          <w:color w:val="000000"/>
          <w:szCs w:val="21"/>
          <w:highlight w:val="none"/>
        </w:rPr>
        <w:t>(9) 响应文件商务条款和技术参数没有按要求表述的或与项目要求表述不一致却没有提供相关依据说明的；</w:t>
      </w:r>
    </w:p>
    <w:p w14:paraId="3430454E">
      <w:pPr>
        <w:snapToGrid w:val="0"/>
        <w:spacing w:line="360" w:lineRule="auto"/>
        <w:ind w:firstLine="411" w:firstLineChars="196"/>
        <w:outlineLvl w:val="4"/>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highlight w:val="none"/>
        </w:rPr>
        <w:t>10)供应商报价方案不是唯一确定的，或报价超出采购预算总金额或招标控制价的；</w:t>
      </w:r>
    </w:p>
    <w:p w14:paraId="1961962F">
      <w:pPr>
        <w:pStyle w:val="44"/>
        <w:spacing w:line="360" w:lineRule="auto"/>
        <w:ind w:firstLine="420" w:firstLineChars="200"/>
        <w:rPr>
          <w:rFonts w:hAnsi="宋体"/>
          <w:color w:val="000000"/>
          <w:szCs w:val="24"/>
          <w:highlight w:val="none"/>
        </w:rPr>
      </w:pPr>
      <w:r>
        <w:rPr>
          <w:rFonts w:hAnsi="宋体"/>
          <w:color w:val="000000"/>
          <w:szCs w:val="24"/>
          <w:highlight w:val="none"/>
        </w:rPr>
        <w:t>(11)未满足磋商文件全部实质性要求的或者响应文件有采购人不能接受的附加条件的；</w:t>
      </w:r>
    </w:p>
    <w:p w14:paraId="77206E0E">
      <w:pPr>
        <w:pStyle w:val="44"/>
        <w:spacing w:line="360" w:lineRule="auto"/>
        <w:ind w:firstLine="420" w:firstLineChars="200"/>
        <w:rPr>
          <w:rFonts w:hAnsi="宋体"/>
          <w:color w:val="000000"/>
          <w:highlight w:val="none"/>
        </w:rPr>
      </w:pPr>
      <w:r>
        <w:rPr>
          <w:rFonts w:hAnsi="宋体"/>
          <w:color w:val="000000"/>
          <w:highlight w:val="none"/>
        </w:rPr>
        <w:t>(12)参加本次政府采购活动前三年内，在经营活动中有重大违法记录或被列入不良信用记录的；</w:t>
      </w:r>
    </w:p>
    <w:p w14:paraId="027DD387">
      <w:pPr>
        <w:pStyle w:val="44"/>
        <w:spacing w:line="360" w:lineRule="auto"/>
        <w:ind w:firstLine="420" w:firstLineChars="200"/>
        <w:rPr>
          <w:rFonts w:hAnsi="宋体"/>
          <w:color w:val="000000"/>
          <w:highlight w:val="none"/>
        </w:rPr>
      </w:pPr>
      <w:r>
        <w:rPr>
          <w:rFonts w:hAnsi="宋体"/>
          <w:color w:val="000000"/>
          <w:highlight w:val="none"/>
        </w:rPr>
        <w:t>(13)符合磋商文件中规定的被视为无效磋商的其它条款的；</w:t>
      </w:r>
    </w:p>
    <w:p w14:paraId="4A9FA382">
      <w:pPr>
        <w:pStyle w:val="44"/>
        <w:spacing w:line="360" w:lineRule="auto"/>
        <w:ind w:firstLine="420" w:firstLineChars="200"/>
        <w:rPr>
          <w:rFonts w:hAnsi="宋体"/>
          <w:color w:val="000000"/>
          <w:highlight w:val="none"/>
        </w:rPr>
      </w:pPr>
      <w:r>
        <w:rPr>
          <w:rFonts w:hAnsi="宋体"/>
          <w:color w:val="000000"/>
          <w:highlight w:val="none"/>
        </w:rPr>
        <w:t>(14)不符合法律、法规和磋商文件规定的其他实质性要求和条件的。</w:t>
      </w:r>
    </w:p>
    <w:p w14:paraId="1E478349">
      <w:pPr>
        <w:pStyle w:val="44"/>
        <w:spacing w:line="360" w:lineRule="auto"/>
        <w:ind w:firstLine="420" w:firstLineChars="200"/>
        <w:rPr>
          <w:rFonts w:hAnsi="宋体"/>
          <w:color w:val="000000"/>
          <w:highlight w:val="none"/>
        </w:rPr>
      </w:pPr>
      <w:r>
        <w:rPr>
          <w:rFonts w:hAnsi="宋体"/>
          <w:color w:val="000000"/>
          <w:highlight w:val="none"/>
        </w:rPr>
        <w:t>(15)安全文明施工费和规费、增值税不按广西壮族自治区费用定额及造价管理相关文件规定报价的；</w:t>
      </w:r>
    </w:p>
    <w:p w14:paraId="14B9DA4B">
      <w:pPr>
        <w:pStyle w:val="44"/>
        <w:spacing w:line="360" w:lineRule="auto"/>
        <w:ind w:firstLine="420" w:firstLineChars="200"/>
        <w:rPr>
          <w:rFonts w:hAnsi="宋体"/>
          <w:color w:val="000000"/>
          <w:highlight w:val="none"/>
        </w:rPr>
      </w:pPr>
      <w:r>
        <w:rPr>
          <w:rFonts w:hAnsi="宋体"/>
          <w:color w:val="000000"/>
          <w:highlight w:val="none"/>
        </w:rPr>
        <w:t>(16)供应商已标价工程量清单的子目号、计量单位、工程量任何一处与招标工程量清单不一致的；</w:t>
      </w:r>
    </w:p>
    <w:p w14:paraId="49B6DA8C">
      <w:pPr>
        <w:pStyle w:val="44"/>
        <w:spacing w:line="360" w:lineRule="auto"/>
        <w:ind w:firstLine="315" w:firstLineChars="150"/>
        <w:rPr>
          <w:rFonts w:hAnsi="宋体"/>
          <w:color w:val="000000"/>
          <w:highlight w:val="none"/>
        </w:rPr>
      </w:pPr>
      <w:r>
        <w:rPr>
          <w:rFonts w:hAnsi="宋体"/>
          <w:color w:val="000000"/>
          <w:highlight w:val="none"/>
        </w:rPr>
        <w:t>（17）供应商已标价工程量清单的项目（子目）名称或项目特征与招标工程量清单不一致，评标委员会要求澄清、说明或补正，但供应商拒绝澄清、说明或补正的；</w:t>
      </w:r>
    </w:p>
    <w:p w14:paraId="78F1652A">
      <w:pPr>
        <w:pStyle w:val="44"/>
        <w:spacing w:line="360" w:lineRule="auto"/>
        <w:ind w:firstLine="315" w:firstLineChars="150"/>
        <w:rPr>
          <w:rFonts w:hAnsi="宋体"/>
          <w:color w:val="000000"/>
          <w:highlight w:val="none"/>
        </w:rPr>
      </w:pPr>
      <w:r>
        <w:rPr>
          <w:rFonts w:hAnsi="宋体"/>
          <w:color w:val="000000"/>
          <w:highlight w:val="none"/>
        </w:rPr>
        <w:t>（18）设有暂估价、暂列金额的，磋商时未按采购人工程量清单给出的暂估价总价、暂列金额总价计入磋商总报价中的；</w:t>
      </w:r>
    </w:p>
    <w:p w14:paraId="21F7788B">
      <w:pPr>
        <w:pStyle w:val="44"/>
        <w:spacing w:line="360" w:lineRule="auto"/>
        <w:ind w:firstLine="315" w:firstLineChars="150"/>
        <w:rPr>
          <w:rFonts w:hAnsi="宋体"/>
          <w:color w:val="000000"/>
          <w:highlight w:val="none"/>
        </w:rPr>
      </w:pPr>
      <w:r>
        <w:rPr>
          <w:rFonts w:hAnsi="宋体"/>
          <w:color w:val="000000"/>
          <w:highlight w:val="none"/>
        </w:rPr>
        <w:t>（19）供应商对招标工程量清单内容进行增减或对磋商范围进行调整的。</w:t>
      </w:r>
    </w:p>
    <w:p w14:paraId="3F488BD2">
      <w:pPr>
        <w:pStyle w:val="44"/>
        <w:spacing w:line="360" w:lineRule="auto"/>
        <w:rPr>
          <w:rFonts w:hAnsi="宋体"/>
          <w:color w:val="000000"/>
          <w:szCs w:val="24"/>
          <w:highlight w:val="none"/>
        </w:rPr>
      </w:pPr>
      <w:r>
        <w:rPr>
          <w:rFonts w:hAnsi="宋体"/>
          <w:color w:val="000000"/>
          <w:szCs w:val="24"/>
          <w:highlight w:val="none"/>
        </w:rPr>
        <w:t>20.2凡两家或以上供应商参加同一项目采购，有如下情形的，一经发现，将视为串标处理，响应文件作无效响应文件处理：</w:t>
      </w:r>
    </w:p>
    <w:p w14:paraId="54F480FB">
      <w:pPr>
        <w:pStyle w:val="44"/>
        <w:spacing w:line="360" w:lineRule="auto"/>
        <w:ind w:firstLine="420" w:firstLineChars="200"/>
        <w:rPr>
          <w:rFonts w:hAnsi="宋体"/>
          <w:color w:val="000000"/>
          <w:szCs w:val="24"/>
          <w:highlight w:val="none"/>
        </w:rPr>
      </w:pPr>
      <w:r>
        <w:rPr>
          <w:rFonts w:hAnsi="宋体"/>
          <w:color w:val="000000"/>
          <w:szCs w:val="24"/>
          <w:highlight w:val="none"/>
        </w:rPr>
        <w:t>（1）不同供应商的响应文件由同一单位或者个人编制；或不同供应商</w:t>
      </w:r>
      <w:r>
        <w:rPr>
          <w:color w:val="000000"/>
          <w:highlight w:val="none"/>
        </w:rPr>
        <w:t>获取采购文件</w:t>
      </w:r>
      <w:r>
        <w:rPr>
          <w:rFonts w:hAnsi="宋体"/>
          <w:color w:val="000000"/>
          <w:szCs w:val="24"/>
          <w:highlight w:val="none"/>
        </w:rPr>
        <w:t>（或上传响应文件）的IP地址一致的；</w:t>
      </w:r>
    </w:p>
    <w:p w14:paraId="690A357B">
      <w:pPr>
        <w:pStyle w:val="44"/>
        <w:spacing w:line="360" w:lineRule="auto"/>
        <w:ind w:firstLine="420" w:firstLineChars="200"/>
        <w:rPr>
          <w:rFonts w:hAnsi="宋体"/>
          <w:color w:val="000000"/>
          <w:szCs w:val="24"/>
          <w:highlight w:val="none"/>
        </w:rPr>
      </w:pPr>
      <w:r>
        <w:rPr>
          <w:rFonts w:hAnsi="宋体"/>
          <w:color w:val="000000"/>
          <w:szCs w:val="24"/>
          <w:highlight w:val="none"/>
        </w:rPr>
        <w:t>（2）不同供应商委托同一单位或者个人办磋商事宜；</w:t>
      </w:r>
    </w:p>
    <w:p w14:paraId="12DE8697">
      <w:pPr>
        <w:pStyle w:val="44"/>
        <w:spacing w:line="360" w:lineRule="auto"/>
        <w:ind w:firstLine="420" w:firstLineChars="200"/>
        <w:rPr>
          <w:rFonts w:hAnsi="宋体"/>
          <w:color w:val="000000"/>
          <w:szCs w:val="24"/>
          <w:highlight w:val="none"/>
        </w:rPr>
      </w:pPr>
      <w:r>
        <w:rPr>
          <w:rFonts w:hAnsi="宋体"/>
          <w:color w:val="000000"/>
          <w:szCs w:val="24"/>
          <w:highlight w:val="none"/>
        </w:rPr>
        <w:t>（3）不同供应商的响应文件载明的项目管理成员（项目经办人）为同一人；</w:t>
      </w:r>
    </w:p>
    <w:p w14:paraId="69B26DDC">
      <w:pPr>
        <w:pStyle w:val="44"/>
        <w:spacing w:line="360" w:lineRule="auto"/>
        <w:ind w:firstLine="420" w:firstLineChars="200"/>
        <w:rPr>
          <w:rFonts w:hAnsi="宋体"/>
          <w:color w:val="000000"/>
          <w:szCs w:val="24"/>
          <w:highlight w:val="none"/>
        </w:rPr>
      </w:pPr>
      <w:r>
        <w:rPr>
          <w:rFonts w:hAnsi="宋体"/>
          <w:color w:val="000000"/>
          <w:szCs w:val="24"/>
          <w:highlight w:val="none"/>
        </w:rPr>
        <w:t>（4）不同供应商的响应文件异常一致或者磋商报价呈规律性差异；</w:t>
      </w:r>
    </w:p>
    <w:p w14:paraId="0FB03717">
      <w:pPr>
        <w:pStyle w:val="44"/>
        <w:spacing w:line="360" w:lineRule="auto"/>
        <w:ind w:firstLine="420" w:firstLineChars="200"/>
        <w:rPr>
          <w:rFonts w:hAnsi="宋体"/>
          <w:color w:val="000000"/>
          <w:szCs w:val="24"/>
          <w:highlight w:val="none"/>
        </w:rPr>
      </w:pPr>
      <w:r>
        <w:rPr>
          <w:rFonts w:hAnsi="宋体"/>
          <w:color w:val="000000"/>
          <w:szCs w:val="24"/>
          <w:highlight w:val="none"/>
        </w:rPr>
        <w:t>（5）不同供应商的磋商保证金从同一单位或者个人的账户转出。</w:t>
      </w:r>
    </w:p>
    <w:p w14:paraId="7789C905">
      <w:pPr>
        <w:pStyle w:val="11"/>
        <w:spacing w:before="0" w:after="0" w:line="360" w:lineRule="auto"/>
        <w:rPr>
          <w:rFonts w:hint="eastAsia" w:ascii="宋体" w:hAnsi="宋体" w:eastAsia="宋体"/>
          <w:color w:val="000000"/>
          <w:sz w:val="21"/>
          <w:szCs w:val="21"/>
          <w:highlight w:val="none"/>
        </w:rPr>
      </w:pPr>
      <w:bookmarkStart w:id="205" w:name="_Toc108539738"/>
      <w:bookmarkStart w:id="206" w:name="_Toc22718"/>
      <w:r>
        <w:rPr>
          <w:rFonts w:hint="eastAsia" w:ascii="宋体" w:hAnsi="宋体" w:eastAsia="宋体"/>
          <w:color w:val="000000"/>
          <w:sz w:val="21"/>
          <w:szCs w:val="21"/>
          <w:highlight w:val="none"/>
        </w:rPr>
        <w:t>21．废标</w:t>
      </w:r>
      <w:bookmarkEnd w:id="205"/>
      <w:bookmarkEnd w:id="206"/>
    </w:p>
    <w:p w14:paraId="23077778">
      <w:pPr>
        <w:pStyle w:val="44"/>
        <w:spacing w:line="360" w:lineRule="auto"/>
        <w:ind w:left="525" w:hanging="525" w:hangingChars="250"/>
        <w:rPr>
          <w:rFonts w:hAnsi="宋体"/>
          <w:color w:val="000000"/>
          <w:highlight w:val="none"/>
        </w:rPr>
      </w:pPr>
      <w:r>
        <w:rPr>
          <w:rFonts w:hAnsi="宋体"/>
          <w:color w:val="000000"/>
          <w:highlight w:val="none"/>
        </w:rPr>
        <w:t>21</w:t>
      </w:r>
      <w:r>
        <w:rPr>
          <w:rFonts w:hAnsi="宋体"/>
          <w:bCs/>
          <w:color w:val="000000"/>
          <w:highlight w:val="none"/>
        </w:rPr>
        <w:t>.1出现下列情形之一的，采购人或者采购代理机构应当终止竞争性磋商采购活动，发布项目终止公告并说明原因，重新开展采购活动：</w:t>
      </w:r>
    </w:p>
    <w:p w14:paraId="438D7AAC">
      <w:pPr>
        <w:pStyle w:val="44"/>
        <w:spacing w:line="360" w:lineRule="auto"/>
        <w:ind w:left="420"/>
        <w:rPr>
          <w:rFonts w:hAnsi="宋体"/>
          <w:bCs/>
          <w:color w:val="000000"/>
          <w:highlight w:val="none"/>
        </w:rPr>
      </w:pPr>
      <w:r>
        <w:rPr>
          <w:rFonts w:hAnsi="宋体"/>
          <w:bCs/>
          <w:color w:val="000000"/>
          <w:highlight w:val="none"/>
        </w:rPr>
        <w:t>（1）因情况变化，不再符合规定的竞争性磋商采购方式适用情形的；</w:t>
      </w:r>
    </w:p>
    <w:p w14:paraId="0CF0777E">
      <w:pPr>
        <w:pStyle w:val="44"/>
        <w:spacing w:line="360" w:lineRule="auto"/>
        <w:ind w:left="420"/>
        <w:rPr>
          <w:rFonts w:hAnsi="宋体"/>
          <w:bCs/>
          <w:color w:val="000000"/>
          <w:highlight w:val="none"/>
        </w:rPr>
      </w:pPr>
      <w:r>
        <w:rPr>
          <w:rFonts w:hAnsi="宋体"/>
          <w:bCs/>
          <w:color w:val="000000"/>
          <w:highlight w:val="none"/>
        </w:rPr>
        <w:t xml:space="preserve">（2）出现影响采购公正的违法、违规行为的； </w:t>
      </w:r>
    </w:p>
    <w:p w14:paraId="4CBD31FC">
      <w:pPr>
        <w:snapToGrid w:val="0"/>
        <w:spacing w:line="360" w:lineRule="auto"/>
        <w:ind w:firstLine="411" w:firstLineChars="196"/>
        <w:outlineLvl w:val="4"/>
        <w:rPr>
          <w:rFonts w:hint="eastAsia" w:ascii="宋体" w:hAnsi="宋体"/>
          <w:bCs/>
          <w:color w:val="000000"/>
          <w:highlight w:val="none"/>
        </w:rPr>
      </w:pPr>
      <w:r>
        <w:rPr>
          <w:rFonts w:hint="eastAsia" w:ascii="宋体" w:hAnsi="宋体"/>
          <w:bCs/>
          <w:color w:val="000000"/>
          <w:highlight w:val="none"/>
        </w:rPr>
        <w:t>（3）除《政府采购竞争性磋商采购方式管理暂行办法》第二十一条第三款规定的情形外，在采购过程中符合要求的供应商或者报价未超过采购预算的供应商不足3家的。</w:t>
      </w:r>
    </w:p>
    <w:p w14:paraId="1D48DF86">
      <w:pPr>
        <w:pStyle w:val="44"/>
        <w:spacing w:line="360" w:lineRule="auto"/>
        <w:ind w:left="420"/>
        <w:rPr>
          <w:rFonts w:hAnsi="宋体"/>
          <w:bCs/>
          <w:color w:val="000000"/>
          <w:highlight w:val="none"/>
        </w:rPr>
      </w:pPr>
      <w:r>
        <w:rPr>
          <w:rFonts w:hAnsi="宋体"/>
          <w:bCs/>
          <w:color w:val="000000"/>
          <w:highlight w:val="none"/>
        </w:rPr>
        <w:t>（4）因重大变故，采购任务取消的。</w:t>
      </w:r>
    </w:p>
    <w:p w14:paraId="5B5AE145">
      <w:pPr>
        <w:pStyle w:val="44"/>
        <w:spacing w:line="360" w:lineRule="auto"/>
        <w:ind w:left="525" w:hanging="525" w:hangingChars="250"/>
        <w:rPr>
          <w:rFonts w:hAnsi="宋体"/>
          <w:bCs/>
          <w:color w:val="000000"/>
          <w:highlight w:val="none"/>
        </w:rPr>
      </w:pPr>
      <w:r>
        <w:rPr>
          <w:rFonts w:hAnsi="宋体"/>
          <w:bCs/>
          <w:color w:val="000000"/>
          <w:highlight w:val="none"/>
        </w:rPr>
        <w:t>21.2废标后，</w:t>
      </w:r>
      <w:r>
        <w:rPr>
          <w:rFonts w:hAnsi="宋体"/>
          <w:color w:val="000000"/>
          <w:highlight w:val="none"/>
        </w:rPr>
        <w:t>采购代理机构</w:t>
      </w:r>
      <w:r>
        <w:rPr>
          <w:rFonts w:hAnsi="宋体"/>
          <w:bCs/>
          <w:color w:val="000000"/>
          <w:highlight w:val="none"/>
        </w:rPr>
        <w:t>将把废标理由通知所有供应商。</w:t>
      </w:r>
    </w:p>
    <w:p w14:paraId="57AAAC76">
      <w:pPr>
        <w:pStyle w:val="11"/>
        <w:spacing w:before="0" w:after="0" w:line="360" w:lineRule="auto"/>
        <w:rPr>
          <w:rFonts w:hint="eastAsia" w:ascii="宋体" w:hAnsi="宋体" w:eastAsia="宋体"/>
          <w:color w:val="000000"/>
          <w:sz w:val="21"/>
          <w:szCs w:val="21"/>
          <w:highlight w:val="none"/>
        </w:rPr>
      </w:pPr>
      <w:bookmarkStart w:id="207" w:name="_Toc108539739"/>
      <w:bookmarkStart w:id="208" w:name="_Toc19863"/>
      <w:r>
        <w:rPr>
          <w:rFonts w:hint="eastAsia" w:ascii="宋体" w:hAnsi="宋体" w:eastAsia="宋体"/>
          <w:color w:val="000000"/>
          <w:sz w:val="21"/>
          <w:szCs w:val="21"/>
          <w:highlight w:val="none"/>
        </w:rPr>
        <w:t>22．响应文件及应标样品的退回</w:t>
      </w:r>
      <w:bookmarkEnd w:id="207"/>
      <w:bookmarkEnd w:id="208"/>
    </w:p>
    <w:p w14:paraId="314F393E">
      <w:pPr>
        <w:pStyle w:val="44"/>
        <w:spacing w:line="360" w:lineRule="auto"/>
        <w:ind w:left="525" w:hanging="525" w:hangingChars="250"/>
        <w:rPr>
          <w:rFonts w:hAnsi="宋体"/>
          <w:color w:val="000000"/>
          <w:highlight w:val="none"/>
        </w:rPr>
      </w:pPr>
      <w:r>
        <w:rPr>
          <w:rFonts w:hAnsi="宋体"/>
          <w:color w:val="000000"/>
          <w:highlight w:val="none"/>
        </w:rPr>
        <w:t>22.1采购人及采购代理机构无义务向落标的供应商退还响应文件。</w:t>
      </w:r>
    </w:p>
    <w:p w14:paraId="11CE15FA">
      <w:pPr>
        <w:spacing w:line="360" w:lineRule="auto"/>
        <w:rPr>
          <w:color w:val="000000"/>
          <w:highlight w:val="none"/>
        </w:rPr>
      </w:pPr>
    </w:p>
    <w:p w14:paraId="7DBE3B9B">
      <w:pPr>
        <w:pStyle w:val="10"/>
        <w:spacing w:line="360" w:lineRule="auto"/>
        <w:jc w:val="center"/>
        <w:rPr>
          <w:rFonts w:hint="eastAsia" w:ascii="宋体" w:hAnsi="宋体"/>
          <w:color w:val="000000"/>
          <w:highlight w:val="none"/>
        </w:rPr>
      </w:pPr>
      <w:bookmarkStart w:id="209" w:name="_Toc108539740"/>
      <w:bookmarkStart w:id="210" w:name="_Toc8883"/>
      <w:r>
        <w:rPr>
          <w:rFonts w:hint="eastAsia" w:ascii="宋体" w:hAnsi="宋体"/>
          <w:color w:val="000000"/>
          <w:highlight w:val="none"/>
        </w:rPr>
        <w:t>六   确定成交供应商</w:t>
      </w:r>
      <w:bookmarkEnd w:id="209"/>
      <w:bookmarkEnd w:id="210"/>
    </w:p>
    <w:p w14:paraId="7CD376E9">
      <w:pPr>
        <w:pStyle w:val="11"/>
        <w:spacing w:before="0" w:after="0" w:line="360" w:lineRule="auto"/>
        <w:rPr>
          <w:rFonts w:hint="eastAsia" w:ascii="宋体" w:hAnsi="宋体" w:eastAsia="宋体"/>
          <w:color w:val="000000"/>
          <w:sz w:val="21"/>
          <w:szCs w:val="21"/>
          <w:highlight w:val="none"/>
        </w:rPr>
      </w:pPr>
      <w:bookmarkStart w:id="211" w:name="_Toc96701123"/>
      <w:bookmarkStart w:id="212" w:name="_Toc8986"/>
      <w:bookmarkStart w:id="213" w:name="_Toc92987993"/>
      <w:bookmarkStart w:id="214" w:name="_Toc108539741"/>
      <w:bookmarkStart w:id="215" w:name="_Toc16068295"/>
      <w:r>
        <w:rPr>
          <w:rFonts w:hint="eastAsia" w:ascii="宋体" w:hAnsi="宋体" w:eastAsia="宋体"/>
          <w:color w:val="000000"/>
          <w:sz w:val="21"/>
          <w:szCs w:val="21"/>
          <w:highlight w:val="none"/>
        </w:rPr>
        <w:t>23．确定成交供应商</w:t>
      </w:r>
      <w:bookmarkEnd w:id="211"/>
      <w:bookmarkEnd w:id="212"/>
      <w:bookmarkEnd w:id="213"/>
      <w:bookmarkEnd w:id="214"/>
      <w:bookmarkEnd w:id="215"/>
    </w:p>
    <w:p w14:paraId="5BB7AA3B">
      <w:pPr>
        <w:pStyle w:val="44"/>
        <w:spacing w:line="360" w:lineRule="auto"/>
        <w:ind w:left="475" w:hanging="474" w:hangingChars="226"/>
        <w:rPr>
          <w:rFonts w:hAnsi="宋体"/>
          <w:color w:val="000000"/>
          <w:highlight w:val="none"/>
        </w:rPr>
      </w:pPr>
      <w:r>
        <w:rPr>
          <w:rFonts w:hAnsi="宋体"/>
          <w:color w:val="000000"/>
          <w:highlight w:val="none"/>
        </w:rPr>
        <w:t>23.1采购代理机构应当在评审结束后2个工作日内将评审报告送采购人确认。</w:t>
      </w:r>
    </w:p>
    <w:p w14:paraId="687BD434">
      <w:pPr>
        <w:pStyle w:val="44"/>
        <w:spacing w:line="360" w:lineRule="auto"/>
        <w:ind w:left="475" w:hanging="474" w:hangingChars="226"/>
        <w:rPr>
          <w:rFonts w:hAnsi="宋体"/>
          <w:color w:val="000000"/>
          <w:highlight w:val="none"/>
        </w:rPr>
      </w:pPr>
      <w:r>
        <w:rPr>
          <w:rFonts w:hAnsi="宋体"/>
          <w:color w:val="000000"/>
          <w:highlight w:val="none"/>
        </w:rPr>
        <w:t>23.2采购人应当在收到评审报告5个工作日内，从评审报告提出的成交候选供应商中，按照排序由高到低的原则确定成交供应商。采购人逾期未确定成交供应商且不提出异议的，视为确定评审报告提出的排序第一的供应商为成交供应商。</w:t>
      </w:r>
    </w:p>
    <w:p w14:paraId="660320AC">
      <w:pPr>
        <w:pStyle w:val="11"/>
        <w:spacing w:before="0" w:after="0" w:line="360" w:lineRule="auto"/>
        <w:rPr>
          <w:rFonts w:hint="eastAsia" w:ascii="宋体" w:hAnsi="宋体" w:eastAsia="宋体"/>
          <w:color w:val="000000"/>
          <w:sz w:val="21"/>
          <w:szCs w:val="21"/>
          <w:highlight w:val="none"/>
        </w:rPr>
      </w:pPr>
      <w:bookmarkStart w:id="216" w:name="_Toc96701124"/>
      <w:bookmarkStart w:id="217" w:name="_Toc108539742"/>
      <w:bookmarkStart w:id="218" w:name="_Toc92987994"/>
      <w:bookmarkStart w:id="219" w:name="_Toc16068296"/>
      <w:bookmarkStart w:id="220" w:name="_Toc4770"/>
      <w:r>
        <w:rPr>
          <w:rFonts w:hint="eastAsia" w:ascii="宋体" w:hAnsi="宋体" w:eastAsia="宋体"/>
          <w:color w:val="000000"/>
          <w:sz w:val="21"/>
          <w:szCs w:val="21"/>
          <w:highlight w:val="none"/>
        </w:rPr>
        <w:t>24.结果公告及成交通知</w:t>
      </w:r>
      <w:bookmarkEnd w:id="216"/>
      <w:bookmarkEnd w:id="217"/>
      <w:bookmarkEnd w:id="218"/>
      <w:bookmarkEnd w:id="219"/>
      <w:bookmarkEnd w:id="220"/>
    </w:p>
    <w:p w14:paraId="679ADFBF">
      <w:pPr>
        <w:pStyle w:val="44"/>
        <w:spacing w:line="360" w:lineRule="auto"/>
        <w:ind w:left="475" w:hanging="474" w:hangingChars="226"/>
        <w:rPr>
          <w:rFonts w:hAnsi="宋体"/>
          <w:color w:val="000000"/>
          <w:highlight w:val="none"/>
        </w:rPr>
      </w:pPr>
      <w:r>
        <w:rPr>
          <w:rFonts w:hAnsi="宋体"/>
          <w:color w:val="000000"/>
          <w:highlight w:val="none"/>
        </w:rPr>
        <w:t>24.1采购人或采购代理机构应当在成交供应商确定后2个工作日内，在财政部门指定的政府采购信息发布媒体上公告成交结果，</w:t>
      </w:r>
      <w:r>
        <w:rPr>
          <w:rFonts w:hAnsi="宋体"/>
          <w:color w:val="000000"/>
          <w:kern w:val="0"/>
          <w:highlight w:val="none"/>
        </w:rPr>
        <w:t>成交公告期限为1个工作日，</w:t>
      </w:r>
      <w:r>
        <w:rPr>
          <w:rFonts w:hAnsi="宋体"/>
          <w:color w:val="000000"/>
          <w:highlight w:val="none"/>
        </w:rPr>
        <w:t>同时向成交供应商发出成交通知书。</w:t>
      </w:r>
    </w:p>
    <w:p w14:paraId="52101298">
      <w:pPr>
        <w:pStyle w:val="44"/>
        <w:spacing w:line="360" w:lineRule="auto"/>
        <w:ind w:left="475" w:hanging="474" w:hangingChars="226"/>
        <w:rPr>
          <w:rFonts w:hAnsi="宋体"/>
          <w:color w:val="000000"/>
          <w:highlight w:val="none"/>
        </w:rPr>
      </w:pPr>
      <w:r>
        <w:rPr>
          <w:rFonts w:hAnsi="宋体"/>
          <w:color w:val="000000"/>
          <w:highlight w:val="none"/>
        </w:rPr>
        <w:t>24.2成交供应商应及时至采购代理机构处办理成交手续并缴纳相关费用。成交通知书对采购人和成交供应商具有法律效力。成交通知书发出后，成交供应商放弃成交资格的，应当承担相应的责任。</w:t>
      </w:r>
    </w:p>
    <w:p w14:paraId="514D6249">
      <w:pPr>
        <w:pStyle w:val="44"/>
        <w:spacing w:line="360" w:lineRule="auto"/>
        <w:rPr>
          <w:rFonts w:hAnsi="宋体"/>
          <w:color w:val="000000"/>
          <w:highlight w:val="none"/>
        </w:rPr>
      </w:pPr>
    </w:p>
    <w:p w14:paraId="30019AA0">
      <w:pPr>
        <w:pStyle w:val="10"/>
        <w:spacing w:line="360" w:lineRule="auto"/>
        <w:jc w:val="center"/>
        <w:rPr>
          <w:rFonts w:hint="eastAsia" w:ascii="宋体" w:hAnsi="宋体"/>
          <w:color w:val="000000"/>
          <w:highlight w:val="none"/>
        </w:rPr>
      </w:pPr>
      <w:bookmarkStart w:id="221" w:name="_Toc10336"/>
      <w:bookmarkStart w:id="222" w:name="_Toc25089"/>
      <w:bookmarkStart w:id="223" w:name="_Toc108539743"/>
      <w:r>
        <w:rPr>
          <w:rFonts w:hint="eastAsia" w:ascii="宋体" w:hAnsi="宋体"/>
          <w:color w:val="000000"/>
          <w:highlight w:val="none"/>
        </w:rPr>
        <w:t>七   签订合同</w:t>
      </w:r>
      <w:bookmarkEnd w:id="221"/>
      <w:bookmarkEnd w:id="222"/>
      <w:bookmarkEnd w:id="223"/>
    </w:p>
    <w:p w14:paraId="7145FA31">
      <w:pPr>
        <w:pStyle w:val="11"/>
        <w:spacing w:before="0" w:after="0" w:line="360" w:lineRule="auto"/>
        <w:rPr>
          <w:rFonts w:hint="eastAsia" w:ascii="宋体" w:hAnsi="宋体" w:eastAsia="宋体"/>
          <w:color w:val="000000"/>
          <w:sz w:val="21"/>
          <w:szCs w:val="21"/>
          <w:highlight w:val="none"/>
        </w:rPr>
      </w:pPr>
      <w:bookmarkStart w:id="224" w:name="_Toc108539744"/>
      <w:bookmarkStart w:id="225" w:name="_Toc2420"/>
      <w:r>
        <w:rPr>
          <w:rFonts w:hint="eastAsia" w:ascii="宋体" w:hAnsi="宋体" w:eastAsia="宋体"/>
          <w:color w:val="000000"/>
          <w:sz w:val="21"/>
          <w:szCs w:val="21"/>
          <w:highlight w:val="none"/>
        </w:rPr>
        <w:t>25．履约保证金</w:t>
      </w:r>
      <w:bookmarkEnd w:id="224"/>
      <w:bookmarkEnd w:id="225"/>
    </w:p>
    <w:p w14:paraId="6A15A834">
      <w:pPr>
        <w:pStyle w:val="44"/>
        <w:spacing w:line="360" w:lineRule="auto"/>
        <w:ind w:left="525" w:hanging="525" w:hangingChars="250"/>
        <w:rPr>
          <w:rFonts w:hAnsi="宋体"/>
          <w:color w:val="000000"/>
          <w:highlight w:val="none"/>
        </w:rPr>
      </w:pPr>
      <w:r>
        <w:rPr>
          <w:rFonts w:hAnsi="宋体"/>
          <w:color w:val="000000"/>
          <w:highlight w:val="none"/>
        </w:rPr>
        <w:t xml:space="preserve">    详见“本章须知前附表” 序号15。</w:t>
      </w:r>
    </w:p>
    <w:p w14:paraId="632CDA29">
      <w:pPr>
        <w:pStyle w:val="11"/>
        <w:spacing w:before="0" w:after="0" w:line="360" w:lineRule="auto"/>
        <w:rPr>
          <w:rFonts w:hint="eastAsia" w:ascii="宋体" w:hAnsi="宋体" w:eastAsia="宋体"/>
          <w:color w:val="000000"/>
          <w:sz w:val="21"/>
          <w:szCs w:val="21"/>
          <w:highlight w:val="none"/>
        </w:rPr>
      </w:pPr>
      <w:bookmarkStart w:id="226" w:name="_Toc17431"/>
      <w:bookmarkStart w:id="227" w:name="_Toc108539745"/>
      <w:r>
        <w:rPr>
          <w:rFonts w:hint="eastAsia" w:ascii="宋体" w:hAnsi="宋体" w:eastAsia="宋体"/>
          <w:color w:val="000000"/>
          <w:sz w:val="21"/>
          <w:szCs w:val="21"/>
          <w:highlight w:val="none"/>
        </w:rPr>
        <w:t>26．签订合同</w:t>
      </w:r>
      <w:bookmarkEnd w:id="226"/>
      <w:bookmarkEnd w:id="227"/>
    </w:p>
    <w:p w14:paraId="0C4A64E4">
      <w:pPr>
        <w:pStyle w:val="44"/>
        <w:spacing w:line="360" w:lineRule="auto"/>
        <w:ind w:left="525" w:hanging="525" w:hangingChars="250"/>
        <w:rPr>
          <w:rFonts w:hAnsi="宋体"/>
          <w:color w:val="000000"/>
          <w:highlight w:val="none"/>
        </w:rPr>
      </w:pPr>
      <w:r>
        <w:rPr>
          <w:rFonts w:hAnsi="宋体"/>
          <w:color w:val="000000"/>
          <w:highlight w:val="none"/>
        </w:rPr>
        <w:t>26.1成交供应商须凭成交通知书按照磋商文件规定的时间内与采购单位签订合同。不得再与采购人签署订立背离磋商文件确定的合同文本以及采购标的、规格型号、采购金额、采购数量、技术和服务要求等实质性内容的协议。</w:t>
      </w:r>
    </w:p>
    <w:p w14:paraId="21CC85E7">
      <w:pPr>
        <w:pStyle w:val="44"/>
        <w:spacing w:line="360" w:lineRule="auto"/>
        <w:ind w:left="525" w:hanging="525" w:hangingChars="250"/>
        <w:rPr>
          <w:rFonts w:hAnsi="宋体"/>
          <w:bCs/>
          <w:color w:val="000000"/>
          <w:highlight w:val="none"/>
        </w:rPr>
      </w:pPr>
      <w:r>
        <w:rPr>
          <w:rFonts w:hAnsi="宋体"/>
          <w:bCs/>
          <w:color w:val="000000"/>
          <w:highlight w:val="none"/>
        </w:rPr>
        <w:t>26.2</w:t>
      </w:r>
      <w:r>
        <w:rPr>
          <w:rFonts w:hAnsi="宋体"/>
          <w:color w:val="000000"/>
          <w:spacing w:val="-4"/>
          <w:highlight w:val="none"/>
        </w:rPr>
        <w:t>除不可抗力等因素外，成交通知书发出后，</w:t>
      </w:r>
      <w:r>
        <w:rPr>
          <w:rFonts w:hAnsi="宋体"/>
          <w:color w:val="000000"/>
          <w:highlight w:val="none"/>
        </w:rPr>
        <w:t>成交供应商拒绝签订施工承包合同协议书的，应当承担相应的法律责任。成交供应商拒绝签订施工承包合同协议书的，采购人可以按照评审报告推荐的候选供应商名单排序，确定下一候选供应商为成交供应商并签订施工承包合同协议书，也可以重新开展采购活动。拒绝签订施工承包合同协议书的成交供应商不得参加对该项目重新开展的采购活动。采购人将违约供应商的不良行为报政府采购监管部门。</w:t>
      </w:r>
    </w:p>
    <w:p w14:paraId="091C0000">
      <w:pPr>
        <w:pStyle w:val="44"/>
        <w:spacing w:line="360" w:lineRule="auto"/>
        <w:ind w:left="525" w:hanging="525" w:hangingChars="250"/>
        <w:rPr>
          <w:rFonts w:hAnsi="宋体"/>
          <w:color w:val="000000"/>
          <w:highlight w:val="none"/>
        </w:rPr>
      </w:pPr>
      <w:r>
        <w:rPr>
          <w:rFonts w:hAnsi="宋体"/>
          <w:color w:val="000000"/>
          <w:highlight w:val="none"/>
        </w:rPr>
        <w:t>26.3由于成交供应商放弃成交或未按规定签订合同，造成本项目的合同成交价提高（指采购人选择第二成交候选供应商导致成交金额高于违约人的成交价），所超出违约人的成交价部分由违约人承担赔偿责任。</w:t>
      </w:r>
    </w:p>
    <w:p w14:paraId="3B6A377A">
      <w:pPr>
        <w:pStyle w:val="44"/>
        <w:spacing w:line="360" w:lineRule="auto"/>
        <w:ind w:left="525" w:hanging="525" w:hangingChars="250"/>
        <w:rPr>
          <w:rFonts w:hAnsi="宋体"/>
          <w:color w:val="000000"/>
          <w:highlight w:val="none"/>
        </w:rPr>
      </w:pPr>
      <w:r>
        <w:rPr>
          <w:rFonts w:hAnsi="宋体"/>
          <w:color w:val="000000"/>
          <w:highlight w:val="none"/>
        </w:rPr>
        <w:t>26.4施工承包合同协议书必须与磋商文件第四章格式(包括内容和结构)相一致，不能改变主要条款。</w:t>
      </w:r>
    </w:p>
    <w:p w14:paraId="451C5C1E">
      <w:pPr>
        <w:pStyle w:val="44"/>
        <w:spacing w:line="360" w:lineRule="auto"/>
        <w:ind w:firstLine="420"/>
        <w:rPr>
          <w:rFonts w:hAnsi="宋体"/>
          <w:color w:val="000000"/>
          <w:highlight w:val="none"/>
        </w:rPr>
      </w:pPr>
    </w:p>
    <w:p w14:paraId="4CF4B78F">
      <w:pPr>
        <w:pStyle w:val="10"/>
        <w:spacing w:line="360" w:lineRule="auto"/>
        <w:jc w:val="center"/>
        <w:rPr>
          <w:rFonts w:hint="eastAsia" w:ascii="宋体" w:hAnsi="宋体"/>
          <w:color w:val="000000"/>
          <w:highlight w:val="none"/>
        </w:rPr>
      </w:pPr>
      <w:bookmarkStart w:id="228" w:name="_Toc108539746"/>
      <w:bookmarkStart w:id="229" w:name="_Toc32448"/>
      <w:bookmarkStart w:id="230" w:name="_Toc486922989"/>
      <w:bookmarkStart w:id="231" w:name="_Toc27685"/>
      <w:bookmarkStart w:id="232" w:name="_Toc207770868"/>
      <w:bookmarkStart w:id="233" w:name="_Toc230578090"/>
      <w:bookmarkStart w:id="234" w:name="_Toc206525715"/>
      <w:bookmarkStart w:id="235" w:name="_Toc12589"/>
      <w:bookmarkStart w:id="236" w:name="_Toc14072"/>
      <w:bookmarkStart w:id="237" w:name="_Toc185702582"/>
      <w:bookmarkStart w:id="238" w:name="_Toc239839896"/>
      <w:bookmarkStart w:id="239" w:name="_Toc486196172"/>
      <w:bookmarkStart w:id="240" w:name="_Toc3910"/>
      <w:r>
        <w:rPr>
          <w:rFonts w:hint="eastAsia" w:ascii="宋体" w:hAnsi="宋体"/>
          <w:color w:val="000000"/>
          <w:highlight w:val="none"/>
        </w:rPr>
        <w:t>八   其他事项</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7D90B834">
      <w:pPr>
        <w:pStyle w:val="136"/>
        <w:snapToGrid w:val="0"/>
        <w:spacing w:line="288" w:lineRule="auto"/>
        <w:ind w:left="1436" w:hanging="1436" w:hangingChars="684"/>
        <w:rPr>
          <w:rFonts w:hAnsi="宋体"/>
          <w:color w:val="000000"/>
          <w:highlight w:val="none"/>
        </w:rPr>
      </w:pPr>
      <w:r>
        <w:rPr>
          <w:rFonts w:hAnsi="宋体"/>
          <w:color w:val="000000"/>
          <w:highlight w:val="none"/>
        </w:rPr>
        <w:t>27.1</w:t>
      </w:r>
      <w:r>
        <w:rPr>
          <w:rFonts w:hint="eastAsia" w:hAnsi="宋体"/>
          <w:color w:val="000000"/>
          <w:highlight w:val="none"/>
        </w:rPr>
        <w:t>代理服务收费标准详见“供应商须知前附表”。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672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1F1B9DB">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费率</w:t>
            </w:r>
          </w:p>
          <w:p w14:paraId="5035DC51">
            <w:pPr>
              <w:spacing w:line="360" w:lineRule="auto"/>
              <w:rPr>
                <w:rFonts w:hint="eastAsia" w:ascii="宋体" w:hAnsi="宋体"/>
                <w:color w:val="000000"/>
                <w:szCs w:val="21"/>
                <w:highlight w:val="none"/>
              </w:rPr>
            </w:pPr>
            <w:r>
              <w:rPr>
                <w:rFonts w:hint="eastAsia" w:ascii="宋体" w:hAnsi="宋体"/>
                <w:color w:val="000000"/>
                <w:szCs w:val="21"/>
                <w:highlight w:val="none"/>
              </w:rPr>
              <w:t>金额</w:t>
            </w:r>
          </w:p>
        </w:tc>
        <w:tc>
          <w:tcPr>
            <w:tcW w:w="1659" w:type="dxa"/>
            <w:vAlign w:val="center"/>
          </w:tcPr>
          <w:p w14:paraId="7E80A392">
            <w:pPr>
              <w:spacing w:line="360" w:lineRule="auto"/>
              <w:ind w:firstLine="105" w:firstLineChars="50"/>
              <w:jc w:val="center"/>
              <w:rPr>
                <w:rFonts w:hint="eastAsia" w:ascii="宋体" w:hAnsi="宋体"/>
                <w:color w:val="000000"/>
                <w:szCs w:val="21"/>
                <w:highlight w:val="none"/>
              </w:rPr>
            </w:pPr>
            <w:r>
              <w:rPr>
                <w:rFonts w:hint="eastAsia" w:ascii="宋体" w:hAnsi="宋体"/>
                <w:color w:val="000000"/>
                <w:szCs w:val="21"/>
                <w:highlight w:val="none"/>
              </w:rPr>
              <w:t>货物类</w:t>
            </w:r>
          </w:p>
        </w:tc>
        <w:tc>
          <w:tcPr>
            <w:tcW w:w="1532" w:type="dxa"/>
            <w:vAlign w:val="center"/>
          </w:tcPr>
          <w:p w14:paraId="7A7230DE">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服务类</w:t>
            </w:r>
          </w:p>
        </w:tc>
        <w:tc>
          <w:tcPr>
            <w:tcW w:w="1546" w:type="dxa"/>
            <w:vAlign w:val="center"/>
          </w:tcPr>
          <w:p w14:paraId="5CA7ECE3">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工程类</w:t>
            </w:r>
          </w:p>
        </w:tc>
      </w:tr>
      <w:tr w14:paraId="51C6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2EFAE9AE">
            <w:pPr>
              <w:spacing w:line="360" w:lineRule="auto"/>
              <w:rPr>
                <w:rFonts w:hint="eastAsia" w:ascii="宋体" w:hAnsi="宋体"/>
                <w:color w:val="000000"/>
                <w:szCs w:val="21"/>
                <w:highlight w:val="none"/>
              </w:rPr>
            </w:pPr>
            <w:r>
              <w:rPr>
                <w:rFonts w:hint="eastAsia" w:ascii="宋体" w:hAnsi="宋体"/>
                <w:color w:val="000000"/>
                <w:szCs w:val="21"/>
                <w:highlight w:val="none"/>
              </w:rPr>
              <w:t>100万元以下</w:t>
            </w:r>
          </w:p>
        </w:tc>
        <w:tc>
          <w:tcPr>
            <w:tcW w:w="1659" w:type="dxa"/>
            <w:vAlign w:val="top"/>
          </w:tcPr>
          <w:p w14:paraId="7EA582AC">
            <w:pPr>
              <w:spacing w:line="360" w:lineRule="auto"/>
              <w:rPr>
                <w:rFonts w:hint="eastAsia" w:ascii="宋体" w:hAnsi="宋体"/>
                <w:color w:val="000000"/>
                <w:kern w:val="0"/>
                <w:szCs w:val="21"/>
                <w:highlight w:val="none"/>
              </w:rPr>
            </w:pPr>
            <w:r>
              <w:rPr>
                <w:rFonts w:hint="eastAsia" w:ascii="宋体" w:hAnsi="宋体"/>
                <w:color w:val="000000"/>
                <w:kern w:val="0"/>
                <w:szCs w:val="21"/>
                <w:highlight w:val="none"/>
              </w:rPr>
              <w:t xml:space="preserve">  1.5%                </w:t>
            </w:r>
          </w:p>
        </w:tc>
        <w:tc>
          <w:tcPr>
            <w:tcW w:w="1532" w:type="dxa"/>
            <w:vAlign w:val="top"/>
          </w:tcPr>
          <w:p w14:paraId="68642222">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1.5%</w:t>
            </w:r>
          </w:p>
        </w:tc>
        <w:tc>
          <w:tcPr>
            <w:tcW w:w="1546" w:type="dxa"/>
            <w:vAlign w:val="top"/>
          </w:tcPr>
          <w:p w14:paraId="0CD7DC82">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 xml:space="preserve">1.0% </w:t>
            </w:r>
          </w:p>
        </w:tc>
      </w:tr>
      <w:tr w14:paraId="6F55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74F9E25">
            <w:pPr>
              <w:spacing w:line="360" w:lineRule="auto"/>
              <w:rPr>
                <w:rFonts w:hint="eastAsia" w:ascii="宋体" w:hAnsi="宋体"/>
                <w:color w:val="000000"/>
                <w:szCs w:val="21"/>
                <w:highlight w:val="none"/>
              </w:rPr>
            </w:pPr>
            <w:r>
              <w:rPr>
                <w:rFonts w:hint="eastAsia" w:ascii="宋体" w:hAnsi="宋体"/>
                <w:color w:val="000000"/>
                <w:szCs w:val="21"/>
                <w:highlight w:val="none"/>
              </w:rPr>
              <w:t>100～500万元</w:t>
            </w:r>
          </w:p>
        </w:tc>
        <w:tc>
          <w:tcPr>
            <w:tcW w:w="1659" w:type="dxa"/>
            <w:vAlign w:val="top"/>
          </w:tcPr>
          <w:p w14:paraId="20982319">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 xml:space="preserve">1.1%                 </w:t>
            </w:r>
          </w:p>
        </w:tc>
        <w:tc>
          <w:tcPr>
            <w:tcW w:w="1532" w:type="dxa"/>
            <w:vAlign w:val="top"/>
          </w:tcPr>
          <w:p w14:paraId="6918B06F">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0.8%</w:t>
            </w:r>
          </w:p>
        </w:tc>
        <w:tc>
          <w:tcPr>
            <w:tcW w:w="1546" w:type="dxa"/>
            <w:vAlign w:val="top"/>
          </w:tcPr>
          <w:p w14:paraId="0F45512F">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 xml:space="preserve">0.7% </w:t>
            </w:r>
          </w:p>
        </w:tc>
      </w:tr>
      <w:tr w14:paraId="207D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714F210">
            <w:pPr>
              <w:spacing w:line="360" w:lineRule="auto"/>
              <w:rPr>
                <w:rFonts w:hint="eastAsia" w:ascii="宋体" w:hAnsi="宋体"/>
                <w:color w:val="000000"/>
                <w:szCs w:val="21"/>
                <w:highlight w:val="none"/>
              </w:rPr>
            </w:pPr>
            <w:r>
              <w:rPr>
                <w:rFonts w:hint="eastAsia" w:ascii="宋体" w:hAnsi="宋体"/>
                <w:color w:val="000000"/>
                <w:szCs w:val="21"/>
                <w:highlight w:val="none"/>
              </w:rPr>
              <w:t>500～1000万元</w:t>
            </w:r>
          </w:p>
        </w:tc>
        <w:tc>
          <w:tcPr>
            <w:tcW w:w="1659" w:type="dxa"/>
            <w:vAlign w:val="top"/>
          </w:tcPr>
          <w:p w14:paraId="5D18B8DA">
            <w:pPr>
              <w:spacing w:line="360" w:lineRule="auto"/>
              <w:rPr>
                <w:rFonts w:hint="eastAsia" w:ascii="宋体" w:hAnsi="宋体"/>
                <w:color w:val="000000"/>
                <w:kern w:val="0"/>
                <w:szCs w:val="21"/>
                <w:highlight w:val="none"/>
              </w:rPr>
            </w:pPr>
            <w:r>
              <w:rPr>
                <w:rFonts w:hint="eastAsia" w:ascii="宋体" w:hAnsi="宋体"/>
                <w:color w:val="000000"/>
                <w:kern w:val="0"/>
                <w:szCs w:val="21"/>
                <w:highlight w:val="none"/>
              </w:rPr>
              <w:t xml:space="preserve">  0.8%                </w:t>
            </w:r>
          </w:p>
        </w:tc>
        <w:tc>
          <w:tcPr>
            <w:tcW w:w="1532" w:type="dxa"/>
            <w:vAlign w:val="top"/>
          </w:tcPr>
          <w:p w14:paraId="105CAEAF">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0.45%</w:t>
            </w:r>
          </w:p>
        </w:tc>
        <w:tc>
          <w:tcPr>
            <w:tcW w:w="1546" w:type="dxa"/>
            <w:vAlign w:val="top"/>
          </w:tcPr>
          <w:p w14:paraId="17DB703E">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0.55%</w:t>
            </w:r>
          </w:p>
        </w:tc>
      </w:tr>
      <w:tr w14:paraId="56C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E6662C1">
            <w:pPr>
              <w:spacing w:line="360" w:lineRule="auto"/>
              <w:rPr>
                <w:rFonts w:hint="eastAsia" w:ascii="宋体" w:hAnsi="宋体"/>
                <w:color w:val="000000"/>
                <w:szCs w:val="21"/>
                <w:highlight w:val="none"/>
              </w:rPr>
            </w:pPr>
            <w:r>
              <w:rPr>
                <w:rFonts w:hint="eastAsia" w:ascii="宋体" w:hAnsi="宋体"/>
                <w:color w:val="000000"/>
                <w:szCs w:val="21"/>
                <w:highlight w:val="none"/>
              </w:rPr>
              <w:t>1000～5000万元</w:t>
            </w:r>
          </w:p>
        </w:tc>
        <w:tc>
          <w:tcPr>
            <w:tcW w:w="1659" w:type="dxa"/>
            <w:vAlign w:val="top"/>
          </w:tcPr>
          <w:p w14:paraId="26B5466C">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 xml:space="preserve">0.5%                </w:t>
            </w:r>
          </w:p>
        </w:tc>
        <w:tc>
          <w:tcPr>
            <w:tcW w:w="1532" w:type="dxa"/>
            <w:vAlign w:val="top"/>
          </w:tcPr>
          <w:p w14:paraId="54F3A8F1">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0.25%</w:t>
            </w:r>
          </w:p>
        </w:tc>
        <w:tc>
          <w:tcPr>
            <w:tcW w:w="1546" w:type="dxa"/>
            <w:vAlign w:val="top"/>
          </w:tcPr>
          <w:p w14:paraId="2D0CBA1F">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 xml:space="preserve">0.35% </w:t>
            </w:r>
          </w:p>
        </w:tc>
      </w:tr>
      <w:tr w14:paraId="620D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6BB35E7">
            <w:pPr>
              <w:spacing w:line="360" w:lineRule="auto"/>
              <w:rPr>
                <w:rFonts w:hint="eastAsia" w:ascii="宋体" w:hAnsi="宋体"/>
                <w:color w:val="000000"/>
                <w:szCs w:val="21"/>
                <w:highlight w:val="none"/>
              </w:rPr>
            </w:pPr>
            <w:r>
              <w:rPr>
                <w:rFonts w:hint="eastAsia" w:ascii="宋体" w:hAnsi="宋体"/>
                <w:color w:val="000000"/>
                <w:szCs w:val="21"/>
                <w:highlight w:val="none"/>
              </w:rPr>
              <w:t>5000万元～1亿元</w:t>
            </w:r>
          </w:p>
        </w:tc>
        <w:tc>
          <w:tcPr>
            <w:tcW w:w="1659" w:type="dxa"/>
            <w:vAlign w:val="top"/>
          </w:tcPr>
          <w:p w14:paraId="2657D7E4">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 xml:space="preserve">0.25%                 </w:t>
            </w:r>
          </w:p>
        </w:tc>
        <w:tc>
          <w:tcPr>
            <w:tcW w:w="1532" w:type="dxa"/>
            <w:vAlign w:val="top"/>
          </w:tcPr>
          <w:p w14:paraId="460271E3">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0.1%</w:t>
            </w:r>
          </w:p>
        </w:tc>
        <w:tc>
          <w:tcPr>
            <w:tcW w:w="1546" w:type="dxa"/>
            <w:vAlign w:val="top"/>
          </w:tcPr>
          <w:p w14:paraId="019B4B42">
            <w:pPr>
              <w:spacing w:line="360" w:lineRule="auto"/>
              <w:ind w:firstLine="210" w:firstLineChars="100"/>
              <w:rPr>
                <w:rFonts w:hint="eastAsia" w:ascii="宋体" w:hAnsi="宋体"/>
                <w:color w:val="000000"/>
                <w:kern w:val="0"/>
                <w:szCs w:val="21"/>
                <w:highlight w:val="none"/>
              </w:rPr>
            </w:pPr>
            <w:r>
              <w:rPr>
                <w:rFonts w:hint="eastAsia" w:ascii="宋体" w:hAnsi="宋体"/>
                <w:color w:val="000000"/>
                <w:kern w:val="0"/>
                <w:szCs w:val="21"/>
                <w:highlight w:val="none"/>
              </w:rPr>
              <w:t>0.2%</w:t>
            </w:r>
          </w:p>
        </w:tc>
      </w:tr>
      <w:tr w14:paraId="571E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BDB249F">
            <w:pPr>
              <w:spacing w:line="360" w:lineRule="auto"/>
              <w:rPr>
                <w:rFonts w:hint="eastAsia" w:ascii="宋体" w:hAnsi="宋体"/>
                <w:color w:val="000000"/>
                <w:szCs w:val="21"/>
                <w:highlight w:val="none"/>
              </w:rPr>
            </w:pPr>
            <w:r>
              <w:rPr>
                <w:rFonts w:hint="eastAsia" w:ascii="宋体" w:hAnsi="宋体"/>
                <w:color w:val="000000"/>
                <w:szCs w:val="21"/>
                <w:highlight w:val="none"/>
              </w:rPr>
              <w:t>1～5亿元</w:t>
            </w:r>
          </w:p>
        </w:tc>
        <w:tc>
          <w:tcPr>
            <w:tcW w:w="1659" w:type="dxa"/>
            <w:vAlign w:val="top"/>
          </w:tcPr>
          <w:p w14:paraId="6DB5BFC1">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rPr>
              <w:t>0.05%</w:t>
            </w:r>
          </w:p>
        </w:tc>
        <w:tc>
          <w:tcPr>
            <w:tcW w:w="1532" w:type="dxa"/>
            <w:vAlign w:val="top"/>
          </w:tcPr>
          <w:p w14:paraId="50D6FF09">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0.05%</w:t>
            </w:r>
          </w:p>
        </w:tc>
        <w:tc>
          <w:tcPr>
            <w:tcW w:w="1546" w:type="dxa"/>
            <w:vAlign w:val="top"/>
          </w:tcPr>
          <w:p w14:paraId="774E9097">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0.05%</w:t>
            </w:r>
          </w:p>
        </w:tc>
      </w:tr>
      <w:tr w14:paraId="3BA7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E762FA7">
            <w:pPr>
              <w:spacing w:line="360" w:lineRule="auto"/>
              <w:rPr>
                <w:rFonts w:hint="eastAsia" w:ascii="宋体" w:hAnsi="宋体"/>
                <w:color w:val="000000"/>
                <w:szCs w:val="21"/>
                <w:highlight w:val="none"/>
              </w:rPr>
            </w:pPr>
            <w:r>
              <w:rPr>
                <w:rFonts w:hint="eastAsia" w:ascii="宋体" w:hAnsi="宋体"/>
                <w:color w:val="000000"/>
                <w:szCs w:val="21"/>
                <w:highlight w:val="none"/>
              </w:rPr>
              <w:t>5～10亿元</w:t>
            </w:r>
          </w:p>
        </w:tc>
        <w:tc>
          <w:tcPr>
            <w:tcW w:w="1659" w:type="dxa"/>
            <w:vAlign w:val="top"/>
          </w:tcPr>
          <w:p w14:paraId="56D65B7C">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0.035%</w:t>
            </w:r>
          </w:p>
        </w:tc>
        <w:tc>
          <w:tcPr>
            <w:tcW w:w="1532" w:type="dxa"/>
            <w:vAlign w:val="top"/>
          </w:tcPr>
          <w:p w14:paraId="25B83B54">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0.035%</w:t>
            </w:r>
          </w:p>
        </w:tc>
        <w:tc>
          <w:tcPr>
            <w:tcW w:w="1546" w:type="dxa"/>
            <w:vAlign w:val="top"/>
          </w:tcPr>
          <w:p w14:paraId="25C2A314">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0.035%</w:t>
            </w:r>
          </w:p>
        </w:tc>
      </w:tr>
      <w:tr w14:paraId="542B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3F1C35D">
            <w:pPr>
              <w:spacing w:line="360" w:lineRule="auto"/>
              <w:rPr>
                <w:rFonts w:hint="eastAsia" w:ascii="宋体" w:hAnsi="宋体"/>
                <w:color w:val="000000"/>
                <w:szCs w:val="21"/>
                <w:highlight w:val="none"/>
              </w:rPr>
            </w:pPr>
            <w:r>
              <w:rPr>
                <w:rFonts w:hint="eastAsia" w:ascii="宋体" w:hAnsi="宋体"/>
                <w:color w:val="000000"/>
                <w:szCs w:val="21"/>
                <w:highlight w:val="none"/>
              </w:rPr>
              <w:t>10～50亿元</w:t>
            </w:r>
          </w:p>
        </w:tc>
        <w:tc>
          <w:tcPr>
            <w:tcW w:w="1659" w:type="dxa"/>
            <w:vAlign w:val="top"/>
          </w:tcPr>
          <w:p w14:paraId="597A6359">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0.008%</w:t>
            </w:r>
          </w:p>
        </w:tc>
        <w:tc>
          <w:tcPr>
            <w:tcW w:w="1532" w:type="dxa"/>
            <w:vAlign w:val="top"/>
          </w:tcPr>
          <w:p w14:paraId="7DAB1B75">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rPr>
              <w:t>0.008%</w:t>
            </w:r>
          </w:p>
        </w:tc>
        <w:tc>
          <w:tcPr>
            <w:tcW w:w="1546" w:type="dxa"/>
            <w:vAlign w:val="top"/>
          </w:tcPr>
          <w:p w14:paraId="25EAA25D">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0.008%</w:t>
            </w:r>
          </w:p>
        </w:tc>
      </w:tr>
      <w:tr w14:paraId="33CE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9B899E8">
            <w:pPr>
              <w:spacing w:line="360" w:lineRule="auto"/>
              <w:rPr>
                <w:rFonts w:hint="eastAsia" w:ascii="宋体" w:hAnsi="宋体"/>
                <w:color w:val="000000"/>
                <w:szCs w:val="21"/>
                <w:highlight w:val="none"/>
              </w:rPr>
            </w:pPr>
            <w:r>
              <w:rPr>
                <w:rFonts w:hint="eastAsia" w:ascii="宋体" w:hAnsi="宋体"/>
                <w:color w:val="000000"/>
                <w:szCs w:val="21"/>
                <w:highlight w:val="none"/>
              </w:rPr>
              <w:t>50～100亿元</w:t>
            </w:r>
          </w:p>
        </w:tc>
        <w:tc>
          <w:tcPr>
            <w:tcW w:w="1659" w:type="dxa"/>
            <w:vAlign w:val="top"/>
          </w:tcPr>
          <w:p w14:paraId="38E64761">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0.006%</w:t>
            </w:r>
          </w:p>
        </w:tc>
        <w:tc>
          <w:tcPr>
            <w:tcW w:w="1532" w:type="dxa"/>
            <w:vAlign w:val="top"/>
          </w:tcPr>
          <w:p w14:paraId="6D691954">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rPr>
              <w:t>0.006%</w:t>
            </w:r>
          </w:p>
        </w:tc>
        <w:tc>
          <w:tcPr>
            <w:tcW w:w="1546" w:type="dxa"/>
            <w:vAlign w:val="top"/>
          </w:tcPr>
          <w:p w14:paraId="226ABA65">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0.006%</w:t>
            </w:r>
          </w:p>
        </w:tc>
      </w:tr>
      <w:tr w14:paraId="6EFB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0718A73">
            <w:pPr>
              <w:spacing w:line="360" w:lineRule="auto"/>
              <w:rPr>
                <w:rFonts w:hint="eastAsia" w:ascii="宋体" w:hAnsi="宋体"/>
                <w:color w:val="000000"/>
                <w:szCs w:val="21"/>
                <w:highlight w:val="none"/>
              </w:rPr>
            </w:pPr>
            <w:r>
              <w:rPr>
                <w:rFonts w:hint="eastAsia" w:ascii="宋体" w:hAnsi="宋体"/>
                <w:color w:val="000000"/>
                <w:szCs w:val="21"/>
                <w:highlight w:val="none"/>
              </w:rPr>
              <w:t>100亿以上</w:t>
            </w:r>
          </w:p>
        </w:tc>
        <w:tc>
          <w:tcPr>
            <w:tcW w:w="1659" w:type="dxa"/>
            <w:vAlign w:val="top"/>
          </w:tcPr>
          <w:p w14:paraId="29043920">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0.004%</w:t>
            </w:r>
          </w:p>
        </w:tc>
        <w:tc>
          <w:tcPr>
            <w:tcW w:w="1532" w:type="dxa"/>
            <w:vAlign w:val="top"/>
          </w:tcPr>
          <w:p w14:paraId="192EB4E5">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rPr>
              <w:t>0.004%</w:t>
            </w:r>
          </w:p>
        </w:tc>
        <w:tc>
          <w:tcPr>
            <w:tcW w:w="1546" w:type="dxa"/>
            <w:vAlign w:val="top"/>
          </w:tcPr>
          <w:p w14:paraId="5D2CCBC1">
            <w:pPr>
              <w:spacing w:line="360" w:lineRule="auto"/>
              <w:ind w:firstLine="105" w:firstLineChars="50"/>
              <w:rPr>
                <w:rFonts w:hint="eastAsia" w:ascii="宋体" w:hAnsi="宋体"/>
                <w:color w:val="000000"/>
                <w:szCs w:val="21"/>
                <w:highlight w:val="none"/>
              </w:rPr>
            </w:pPr>
            <w:r>
              <w:rPr>
                <w:rFonts w:hint="eastAsia" w:ascii="宋体" w:hAnsi="宋体"/>
                <w:color w:val="000000"/>
                <w:szCs w:val="21"/>
                <w:highlight w:val="none"/>
              </w:rPr>
              <w:t>0.004%</w:t>
            </w:r>
          </w:p>
        </w:tc>
      </w:tr>
    </w:tbl>
    <w:p w14:paraId="0A8B123C">
      <w:pPr>
        <w:spacing w:line="360" w:lineRule="auto"/>
        <w:ind w:firstLine="420" w:firstLineChars="200"/>
        <w:contextualSpacing/>
        <w:rPr>
          <w:rFonts w:ascii="宋体" w:hAnsi="宋体"/>
          <w:color w:val="000000"/>
          <w:highlight w:val="none"/>
        </w:rPr>
      </w:pPr>
      <w:r>
        <w:rPr>
          <w:rFonts w:ascii="宋体" w:hAnsi="宋体"/>
          <w:color w:val="000000"/>
          <w:highlight w:val="none"/>
        </w:rPr>
        <w:t xml:space="preserve">注： </w:t>
      </w:r>
    </w:p>
    <w:p w14:paraId="6222DDF0">
      <w:pPr>
        <w:spacing w:line="360" w:lineRule="auto"/>
        <w:ind w:firstLine="420" w:firstLineChars="200"/>
        <w:contextualSpacing/>
        <w:rPr>
          <w:rFonts w:hint="eastAsia" w:ascii="宋体" w:hAnsi="宋体"/>
          <w:color w:val="000000"/>
          <w:highlight w:val="none"/>
        </w:rPr>
      </w:pPr>
      <w:r>
        <w:rPr>
          <w:rFonts w:hint="eastAsia" w:ascii="宋体" w:hAnsi="宋体"/>
          <w:color w:val="000000"/>
          <w:highlight w:val="none"/>
        </w:rPr>
        <w:t>（1）</w:t>
      </w:r>
      <w:r>
        <w:rPr>
          <w:rFonts w:ascii="宋体" w:hAnsi="宋体"/>
          <w:color w:val="000000"/>
          <w:highlight w:val="none"/>
        </w:rPr>
        <w:t>按本表费率计算的收费为</w:t>
      </w:r>
      <w:r>
        <w:rPr>
          <w:rFonts w:hint="eastAsia" w:ascii="宋体" w:hAnsi="宋体"/>
          <w:color w:val="000000"/>
          <w:highlight w:val="none"/>
        </w:rPr>
        <w:t>采购</w:t>
      </w:r>
      <w:r>
        <w:rPr>
          <w:rFonts w:ascii="宋体" w:hAnsi="宋体"/>
          <w:color w:val="000000"/>
          <w:highlight w:val="none"/>
        </w:rPr>
        <w:t>代理的收费基准价格</w:t>
      </w:r>
      <w:r>
        <w:rPr>
          <w:rFonts w:hint="eastAsia" w:ascii="宋体" w:hAnsi="宋体"/>
          <w:color w:val="000000"/>
          <w:highlight w:val="none"/>
        </w:rPr>
        <w:t>；</w:t>
      </w:r>
    </w:p>
    <w:p w14:paraId="3BBDC677">
      <w:pPr>
        <w:spacing w:line="360" w:lineRule="auto"/>
        <w:ind w:firstLine="420" w:firstLineChars="200"/>
        <w:contextualSpacing/>
        <w:rPr>
          <w:rFonts w:hint="eastAsia" w:ascii="宋体" w:hAnsi="宋体"/>
          <w:color w:val="000000"/>
          <w:highlight w:val="none"/>
        </w:rPr>
      </w:pPr>
      <w:r>
        <w:rPr>
          <w:rFonts w:hint="eastAsia" w:ascii="宋体" w:hAnsi="宋体"/>
          <w:color w:val="000000"/>
          <w:highlight w:val="none"/>
        </w:rPr>
        <w:t>（2）采购</w:t>
      </w:r>
      <w:r>
        <w:rPr>
          <w:rFonts w:ascii="宋体" w:hAnsi="宋体"/>
          <w:color w:val="000000"/>
          <w:highlight w:val="none"/>
        </w:rPr>
        <w:t>代理收费按差额定率累进法计算。</w:t>
      </w:r>
    </w:p>
    <w:p w14:paraId="094BD782">
      <w:pPr>
        <w:spacing w:line="360" w:lineRule="auto"/>
        <w:ind w:firstLine="420" w:firstLineChars="200"/>
        <w:contextualSpacing/>
        <w:rPr>
          <w:rFonts w:ascii="宋体" w:hAnsi="宋体"/>
          <w:color w:val="000000"/>
          <w:highlight w:val="none"/>
        </w:rPr>
      </w:pPr>
      <w:r>
        <w:rPr>
          <w:rFonts w:ascii="宋体" w:hAnsi="宋体"/>
          <w:color w:val="000000"/>
          <w:highlight w:val="none"/>
        </w:rPr>
        <w:t>例如：某</w:t>
      </w:r>
      <w:r>
        <w:rPr>
          <w:rFonts w:hint="eastAsia" w:ascii="宋体" w:hAnsi="宋体"/>
          <w:color w:val="000000"/>
          <w:highlight w:val="none"/>
          <w:lang w:val="en-US" w:eastAsia="zh-CN"/>
        </w:rPr>
        <w:t>工程</w:t>
      </w:r>
      <w:r>
        <w:rPr>
          <w:rFonts w:hint="eastAsia" w:ascii="宋体" w:hAnsi="宋体"/>
          <w:color w:val="000000"/>
          <w:highlight w:val="none"/>
        </w:rPr>
        <w:t>采购</w:t>
      </w:r>
      <w:r>
        <w:rPr>
          <w:rFonts w:ascii="宋体" w:hAnsi="宋体"/>
          <w:color w:val="000000"/>
          <w:highlight w:val="none"/>
        </w:rPr>
        <w:t>代理业务</w:t>
      </w:r>
      <w:r>
        <w:rPr>
          <w:rFonts w:hint="eastAsia" w:ascii="宋体" w:hAnsi="宋体"/>
          <w:color w:val="000000"/>
          <w:highlight w:val="none"/>
        </w:rPr>
        <w:t>成交</w:t>
      </w:r>
      <w:r>
        <w:rPr>
          <w:rFonts w:ascii="宋体" w:hAnsi="宋体"/>
          <w:color w:val="000000"/>
          <w:highlight w:val="none"/>
        </w:rPr>
        <w:t>金额</w:t>
      </w:r>
      <w:r>
        <w:rPr>
          <w:rFonts w:hint="eastAsia" w:ascii="宋体" w:hAnsi="宋体"/>
          <w:color w:val="000000"/>
          <w:highlight w:val="none"/>
        </w:rPr>
        <w:t>或者暂定价</w:t>
      </w:r>
      <w:r>
        <w:rPr>
          <w:rFonts w:ascii="宋体" w:hAnsi="宋体"/>
          <w:color w:val="000000"/>
          <w:highlight w:val="none"/>
        </w:rPr>
        <w:t>为</w:t>
      </w:r>
      <w:r>
        <w:rPr>
          <w:rFonts w:hint="eastAsia" w:ascii="宋体" w:hAnsi="宋体"/>
          <w:color w:val="000000"/>
          <w:highlight w:val="none"/>
          <w:lang w:val="en-US" w:eastAsia="zh-CN"/>
        </w:rPr>
        <w:t>300</w:t>
      </w:r>
      <w:r>
        <w:rPr>
          <w:rFonts w:ascii="宋体" w:hAnsi="宋体"/>
          <w:color w:val="000000"/>
          <w:highlight w:val="none"/>
        </w:rPr>
        <w:t>万元，计算</w:t>
      </w:r>
      <w:r>
        <w:rPr>
          <w:rFonts w:hint="eastAsia" w:ascii="宋体" w:hAnsi="宋体"/>
          <w:color w:val="000000"/>
          <w:highlight w:val="none"/>
        </w:rPr>
        <w:t>采购</w:t>
      </w:r>
      <w:r>
        <w:rPr>
          <w:rFonts w:ascii="宋体" w:hAnsi="宋体"/>
          <w:color w:val="000000"/>
          <w:highlight w:val="none"/>
        </w:rPr>
        <w:t>代理收费额如下：</w:t>
      </w:r>
    </w:p>
    <w:p w14:paraId="1C6FC427">
      <w:pPr>
        <w:spacing w:line="360" w:lineRule="auto"/>
        <w:ind w:firstLine="420" w:firstLineChars="200"/>
        <w:contextualSpacing/>
        <w:rPr>
          <w:rFonts w:hint="eastAsia" w:ascii="宋体" w:hAnsi="宋体"/>
          <w:color w:val="000000"/>
          <w:highlight w:val="none"/>
          <w:lang w:val="en-US" w:eastAsia="zh-CN"/>
        </w:rPr>
      </w:pPr>
      <w:r>
        <w:rPr>
          <w:rFonts w:hint="eastAsia" w:ascii="宋体" w:hAnsi="宋体"/>
          <w:color w:val="000000"/>
          <w:highlight w:val="none"/>
          <w:lang w:val="en-US" w:eastAsia="zh-CN"/>
        </w:rPr>
        <w:t>100×1.0％=10000.00元</w:t>
      </w:r>
    </w:p>
    <w:p w14:paraId="32A9A6F0">
      <w:pPr>
        <w:spacing w:line="360" w:lineRule="auto"/>
        <w:ind w:firstLine="420" w:firstLineChars="200"/>
        <w:contextualSpacing/>
        <w:rPr>
          <w:rFonts w:hint="eastAsia" w:ascii="宋体" w:hAnsi="宋体"/>
          <w:color w:val="000000"/>
          <w:highlight w:val="none"/>
          <w:lang w:val="en-US" w:eastAsia="zh-CN"/>
        </w:rPr>
      </w:pPr>
      <w:r>
        <w:rPr>
          <w:rFonts w:hint="eastAsia" w:ascii="宋体" w:hAnsi="宋体"/>
          <w:color w:val="000000"/>
          <w:highlight w:val="none"/>
          <w:lang w:val="en-US" w:eastAsia="zh-CN"/>
        </w:rPr>
        <w:t>200×0.7％=14000.00元</w:t>
      </w:r>
    </w:p>
    <w:p w14:paraId="52A420DB">
      <w:pPr>
        <w:spacing w:line="360" w:lineRule="auto"/>
        <w:ind w:firstLine="420" w:firstLineChars="200"/>
        <w:contextualSpacing/>
        <w:rPr>
          <w:rFonts w:hint="eastAsia" w:ascii="宋体" w:hAnsi="宋体"/>
          <w:color w:val="000000"/>
          <w:highlight w:val="none"/>
          <w:lang w:val="en-US" w:eastAsia="zh-CN"/>
        </w:rPr>
      </w:pPr>
      <w:r>
        <w:rPr>
          <w:rFonts w:hint="eastAsia" w:ascii="宋体" w:hAnsi="宋体"/>
          <w:color w:val="000000"/>
          <w:highlight w:val="none"/>
          <w:lang w:val="en-US" w:eastAsia="zh-CN"/>
        </w:rPr>
        <w:t>合计：10000.00+14000.00=24000.00元</w:t>
      </w:r>
    </w:p>
    <w:p w14:paraId="2D80B32E">
      <w:pPr>
        <w:spacing w:line="360" w:lineRule="auto"/>
        <w:ind w:firstLine="420" w:firstLineChars="200"/>
        <w:contextualSpacing/>
        <w:rPr>
          <w:rFonts w:hint="eastAsia" w:ascii="宋体" w:hAnsi="宋体"/>
          <w:color w:val="000000"/>
          <w:highlight w:val="none"/>
          <w:lang w:val="en-US" w:eastAsia="zh-CN"/>
        </w:rPr>
      </w:pPr>
      <w:r>
        <w:rPr>
          <w:rFonts w:hint="eastAsia" w:ascii="宋体" w:hAnsi="宋体"/>
          <w:color w:val="000000"/>
          <w:highlight w:val="none"/>
          <w:lang w:val="en-US" w:eastAsia="zh-CN"/>
        </w:rPr>
        <w:t>27</w:t>
      </w:r>
      <w:r>
        <w:rPr>
          <w:rFonts w:hint="eastAsia" w:ascii="宋体" w:hAnsi="宋体"/>
          <w:color w:val="000000"/>
          <w:highlight w:val="none"/>
        </w:rPr>
        <w:t>.2采购代理机构的银行账户：</w:t>
      </w:r>
    </w:p>
    <w:p w14:paraId="05F8EB2B">
      <w:pPr>
        <w:pStyle w:val="44"/>
        <w:spacing w:line="360" w:lineRule="auto"/>
        <w:ind w:firstLine="420" w:firstLineChars="200"/>
        <w:rPr>
          <w:rFonts w:hint="eastAsia" w:hAnsi="宋体"/>
          <w:color w:val="000000"/>
          <w:highlight w:val="none"/>
          <w:lang w:eastAsia="zh-CN"/>
        </w:rPr>
      </w:pPr>
      <w:r>
        <w:rPr>
          <w:rFonts w:hAnsi="宋体"/>
          <w:color w:val="000000"/>
          <w:highlight w:val="none"/>
        </w:rPr>
        <w:t>开户名称：</w:t>
      </w:r>
      <w:r>
        <w:rPr>
          <w:rFonts w:hint="eastAsia" w:hAnsi="宋体"/>
          <w:color w:val="000000"/>
          <w:highlight w:val="none"/>
          <w:lang w:eastAsia="zh-CN"/>
        </w:rPr>
        <w:t>梧州市丰胜工程咨询有限公司</w:t>
      </w:r>
    </w:p>
    <w:p w14:paraId="40F3044A">
      <w:pPr>
        <w:pStyle w:val="44"/>
        <w:spacing w:line="360" w:lineRule="auto"/>
        <w:ind w:firstLine="420" w:firstLineChars="200"/>
        <w:rPr>
          <w:rFonts w:hAnsi="宋体"/>
          <w:color w:val="000000"/>
          <w:highlight w:val="none"/>
        </w:rPr>
      </w:pPr>
      <w:r>
        <w:rPr>
          <w:rFonts w:hAnsi="宋体"/>
          <w:color w:val="000000"/>
          <w:highlight w:val="none"/>
        </w:rPr>
        <w:t>开户银行：</w:t>
      </w:r>
      <w:r>
        <w:rPr>
          <w:rFonts w:hint="eastAsia" w:hAnsi="宋体"/>
          <w:color w:val="000000"/>
          <w:highlight w:val="none"/>
          <w:lang w:eastAsia="zh-CN"/>
        </w:rPr>
        <w:t>中国建设银行股份有限公司梧州新兴三路支行</w:t>
      </w:r>
    </w:p>
    <w:p w14:paraId="268C96BD">
      <w:pPr>
        <w:pStyle w:val="44"/>
        <w:spacing w:line="360" w:lineRule="auto"/>
        <w:ind w:firstLine="420" w:firstLineChars="200"/>
        <w:rPr>
          <w:rFonts w:hAnsi="宋体"/>
          <w:color w:val="000000"/>
          <w:highlight w:val="none"/>
        </w:rPr>
      </w:pPr>
      <w:r>
        <w:rPr>
          <w:rFonts w:hAnsi="宋体"/>
          <w:color w:val="000000"/>
          <w:highlight w:val="none"/>
        </w:rPr>
        <w:t>银行帐号：</w:t>
      </w:r>
      <w:r>
        <w:rPr>
          <w:rFonts w:hint="eastAsia" w:hAnsi="宋体"/>
          <w:color w:val="000000"/>
          <w:highlight w:val="none"/>
          <w:lang w:eastAsia="zh-CN"/>
        </w:rPr>
        <w:t>4505 0164 8655 0000 1504</w:t>
      </w:r>
    </w:p>
    <w:p w14:paraId="01D54CF1">
      <w:pPr>
        <w:pStyle w:val="11"/>
        <w:spacing w:before="0" w:after="0" w:line="360" w:lineRule="auto"/>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28．解释权</w:t>
      </w:r>
    </w:p>
    <w:p w14:paraId="1CE578E4">
      <w:pPr>
        <w:pStyle w:val="44"/>
        <w:spacing w:line="360" w:lineRule="auto"/>
        <w:ind w:left="525" w:hanging="525" w:hangingChars="250"/>
        <w:rPr>
          <w:rFonts w:hAnsi="宋体"/>
          <w:color w:val="000000"/>
          <w:highlight w:val="none"/>
        </w:rPr>
      </w:pPr>
      <w:r>
        <w:rPr>
          <w:rFonts w:hAnsi="宋体"/>
          <w:color w:val="000000"/>
          <w:highlight w:val="none"/>
        </w:rPr>
        <w:t>28.1本磋商文件是根据国家有关法律、法规以及政府采购管理有关规定和参照国际惯例编制，解释权属本采购代理机构。</w:t>
      </w:r>
    </w:p>
    <w:p w14:paraId="036F8545">
      <w:pPr>
        <w:pStyle w:val="11"/>
        <w:spacing w:before="0" w:after="0" w:line="360" w:lineRule="auto"/>
        <w:rPr>
          <w:rFonts w:hint="eastAsia" w:ascii="宋体" w:hAnsi="宋体" w:eastAsia="宋体"/>
          <w:color w:val="000000"/>
          <w:sz w:val="21"/>
          <w:szCs w:val="21"/>
          <w:highlight w:val="none"/>
        </w:rPr>
      </w:pPr>
      <w:bookmarkStart w:id="241" w:name="_Toc4136"/>
      <w:bookmarkStart w:id="242" w:name="_Toc486922992"/>
      <w:bookmarkStart w:id="243" w:name="_Toc486196175"/>
      <w:bookmarkStart w:id="244" w:name="_Toc108539749"/>
      <w:r>
        <w:rPr>
          <w:rFonts w:hint="eastAsia" w:ascii="宋体" w:hAnsi="宋体" w:eastAsia="宋体"/>
          <w:color w:val="000000"/>
          <w:sz w:val="21"/>
          <w:szCs w:val="21"/>
          <w:highlight w:val="none"/>
        </w:rPr>
        <w:t>29．知识产权</w:t>
      </w:r>
      <w:bookmarkEnd w:id="241"/>
      <w:bookmarkEnd w:id="242"/>
      <w:bookmarkEnd w:id="243"/>
      <w:bookmarkEnd w:id="244"/>
    </w:p>
    <w:p w14:paraId="584FC293">
      <w:pPr>
        <w:pStyle w:val="44"/>
        <w:spacing w:line="360" w:lineRule="auto"/>
        <w:ind w:left="525" w:hanging="525" w:hangingChars="250"/>
        <w:rPr>
          <w:rFonts w:hAnsi="宋体"/>
          <w:color w:val="000000"/>
          <w:highlight w:val="none"/>
        </w:rPr>
      </w:pPr>
      <w:r>
        <w:rPr>
          <w:rFonts w:hAnsi="宋体"/>
          <w:color w:val="000000"/>
          <w:highlight w:val="none"/>
        </w:rPr>
        <w:t>29.1所有供应商的响应文件以及在本项目的知识成果（包括知识产权在内的任何权利）均归采购人所有，不予退还。供应商并保证所交付的知识成果不侵犯第三人的任何合法权益。</w:t>
      </w:r>
    </w:p>
    <w:p w14:paraId="1FB2415F">
      <w:pPr>
        <w:pStyle w:val="11"/>
        <w:spacing w:before="0" w:after="0" w:line="360" w:lineRule="auto"/>
        <w:rPr>
          <w:rFonts w:hint="eastAsia" w:ascii="宋体" w:hAnsi="宋体" w:eastAsia="宋体"/>
          <w:color w:val="000000"/>
          <w:sz w:val="21"/>
          <w:szCs w:val="21"/>
          <w:highlight w:val="none"/>
        </w:rPr>
      </w:pPr>
      <w:bookmarkStart w:id="245" w:name="_Toc486196176"/>
      <w:bookmarkStart w:id="246" w:name="_Toc108539750"/>
      <w:bookmarkStart w:id="247" w:name="_Toc486922993"/>
      <w:bookmarkStart w:id="248" w:name="_Toc27516"/>
      <w:r>
        <w:rPr>
          <w:rFonts w:hint="eastAsia" w:ascii="宋体" w:hAnsi="宋体" w:eastAsia="宋体"/>
          <w:color w:val="000000"/>
          <w:sz w:val="21"/>
          <w:szCs w:val="21"/>
          <w:highlight w:val="none"/>
        </w:rPr>
        <w:t>30．需要补充的其他内容</w:t>
      </w:r>
      <w:bookmarkEnd w:id="245"/>
      <w:bookmarkEnd w:id="246"/>
      <w:bookmarkEnd w:id="247"/>
      <w:bookmarkEnd w:id="248"/>
    </w:p>
    <w:p w14:paraId="39239FF3">
      <w:pPr>
        <w:widowControl/>
        <w:spacing w:line="360" w:lineRule="auto"/>
        <w:jc w:val="left"/>
        <w:rPr>
          <w:rFonts w:hint="eastAsia" w:ascii="宋体" w:hAnsi="宋体"/>
          <w:color w:val="000000"/>
          <w:szCs w:val="21"/>
          <w:highlight w:val="none"/>
        </w:rPr>
      </w:pPr>
      <w:r>
        <w:rPr>
          <w:rFonts w:hint="eastAsia" w:ascii="宋体" w:hAnsi="宋体"/>
          <w:color w:val="000000"/>
          <w:szCs w:val="21"/>
          <w:highlight w:val="none"/>
        </w:rPr>
        <w:t>30</w:t>
      </w:r>
      <w:r>
        <w:rPr>
          <w:rFonts w:ascii="宋体" w:hAnsi="宋体"/>
          <w:color w:val="000000"/>
          <w:szCs w:val="21"/>
          <w:highlight w:val="none"/>
        </w:rPr>
        <w:t>.1</w:t>
      </w:r>
      <w:r>
        <w:rPr>
          <w:rFonts w:hint="eastAsia" w:ascii="宋体" w:hAnsi="宋体"/>
          <w:color w:val="000000"/>
          <w:szCs w:val="21"/>
          <w:highlight w:val="none"/>
        </w:rPr>
        <w:t>可中止电子交易活动的情形</w:t>
      </w:r>
    </w:p>
    <w:p w14:paraId="791C4F17">
      <w:pPr>
        <w:widowControl/>
        <w:spacing w:line="360" w:lineRule="auto"/>
        <w:ind w:left="420" w:leftChars="200" w:firstLine="420" w:firstLineChars="200"/>
        <w:jc w:val="left"/>
        <w:rPr>
          <w:rFonts w:hint="eastAsia" w:ascii="宋体" w:hAnsi="宋体"/>
          <w:color w:val="000000"/>
          <w:kern w:val="0"/>
          <w:highlight w:val="none"/>
        </w:rPr>
      </w:pPr>
      <w:r>
        <w:rPr>
          <w:rFonts w:hint="eastAsia" w:ascii="宋体" w:hAnsi="宋体"/>
          <w:color w:val="000000"/>
          <w:kern w:val="0"/>
          <w:highlight w:val="none"/>
        </w:rPr>
        <w:t>采购过程中出现以下情形，导致电子交易平台无法正常运行，或者无法保证电子交易的公平、公正和安全时，本采购代理机构可中止电子交易活动：</w:t>
      </w:r>
    </w:p>
    <w:p w14:paraId="0A1E2424">
      <w:pPr>
        <w:widowControl/>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（1）电子交易平台发生故障而无法登录访问的；</w:t>
      </w:r>
    </w:p>
    <w:p w14:paraId="565138BB">
      <w:pPr>
        <w:widowControl/>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（2）电子交易平台应用或数据库出现错误，不能进行正常操作的；</w:t>
      </w:r>
    </w:p>
    <w:p w14:paraId="326C42A1">
      <w:pPr>
        <w:widowControl/>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（3）电子交易平台发现严重安全漏洞，有潜在泄密危险的；</w:t>
      </w:r>
    </w:p>
    <w:p w14:paraId="46F84C80">
      <w:pPr>
        <w:widowControl/>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（4）病毒发作导致不能进行正常操作的；</w:t>
      </w:r>
    </w:p>
    <w:p w14:paraId="0F1B23CA">
      <w:pPr>
        <w:widowControl/>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（5）其他无法保证电子交易的公平、公正和安全的情况。</w:t>
      </w:r>
    </w:p>
    <w:p w14:paraId="080292B1">
      <w:pPr>
        <w:pStyle w:val="44"/>
        <w:spacing w:line="360" w:lineRule="auto"/>
        <w:ind w:left="630" w:leftChars="300" w:firstLine="315" w:firstLineChars="150"/>
        <w:rPr>
          <w:rFonts w:hAnsi="宋体"/>
          <w:color w:val="000000"/>
          <w:highlight w:val="none"/>
        </w:rPr>
      </w:pPr>
      <w:r>
        <w:rPr>
          <w:rFonts w:hAnsi="宋体"/>
          <w:color w:val="000000"/>
          <w:highlight w:val="none"/>
        </w:rPr>
        <w:t>出现前款规定情形，不影响采购公平、公正性的，本采购代理机构待上述情形消除后继续组织电子交易活动；影响或可能影响采购公平、公正性的，重新组织采购活动。</w:t>
      </w:r>
    </w:p>
    <w:p w14:paraId="451EC394">
      <w:pPr>
        <w:pStyle w:val="44"/>
        <w:spacing w:line="360" w:lineRule="auto"/>
        <w:ind w:left="525" w:hanging="525" w:hangingChars="250"/>
        <w:rPr>
          <w:rFonts w:hAnsi="宋体"/>
          <w:color w:val="000000"/>
          <w:highlight w:val="none"/>
        </w:rPr>
      </w:pPr>
      <w:r>
        <w:rPr>
          <w:rFonts w:hAnsi="宋体"/>
          <w:color w:val="000000"/>
          <w:highlight w:val="none"/>
        </w:rPr>
        <w:t>30.2需要补充的其他内容：见本章须知前附表。</w:t>
      </w:r>
    </w:p>
    <w:p w14:paraId="12D5B285">
      <w:pPr>
        <w:pStyle w:val="44"/>
        <w:spacing w:line="400" w:lineRule="exact"/>
        <w:rPr>
          <w:rFonts w:hAnsi="宋体"/>
          <w:color w:val="000000"/>
          <w:highlight w:val="none"/>
        </w:rPr>
      </w:pPr>
      <w:r>
        <w:rPr>
          <w:rFonts w:hAnsi="宋体"/>
          <w:color w:val="000000"/>
          <w:highlight w:val="none"/>
        </w:rPr>
        <w:br w:type="page"/>
      </w:r>
    </w:p>
    <w:p w14:paraId="75972CD2">
      <w:pPr>
        <w:pStyle w:val="44"/>
        <w:spacing w:line="400" w:lineRule="exact"/>
        <w:rPr>
          <w:rFonts w:hAnsi="宋体"/>
          <w:color w:val="000000"/>
          <w:highlight w:val="none"/>
        </w:rPr>
      </w:pPr>
    </w:p>
    <w:p w14:paraId="150DC20C">
      <w:pPr>
        <w:pStyle w:val="44"/>
        <w:spacing w:line="400" w:lineRule="exact"/>
        <w:rPr>
          <w:rFonts w:hAnsi="宋体"/>
          <w:color w:val="000000"/>
          <w:highlight w:val="none"/>
        </w:rPr>
      </w:pPr>
    </w:p>
    <w:p w14:paraId="126EF10F">
      <w:pPr>
        <w:pStyle w:val="44"/>
        <w:spacing w:line="400" w:lineRule="exact"/>
        <w:rPr>
          <w:rFonts w:hAnsi="宋体"/>
          <w:color w:val="000000"/>
          <w:highlight w:val="none"/>
        </w:rPr>
      </w:pPr>
    </w:p>
    <w:p w14:paraId="273D0A26">
      <w:pPr>
        <w:pStyle w:val="44"/>
        <w:spacing w:line="400" w:lineRule="exact"/>
        <w:rPr>
          <w:rFonts w:hAnsi="宋体"/>
          <w:color w:val="000000"/>
          <w:highlight w:val="none"/>
        </w:rPr>
      </w:pPr>
    </w:p>
    <w:p w14:paraId="290A618A">
      <w:pPr>
        <w:pStyle w:val="44"/>
        <w:spacing w:line="400" w:lineRule="exact"/>
        <w:rPr>
          <w:rFonts w:hAnsi="宋体"/>
          <w:color w:val="000000"/>
          <w:highlight w:val="none"/>
        </w:rPr>
      </w:pPr>
    </w:p>
    <w:p w14:paraId="6AA5947D">
      <w:pPr>
        <w:pStyle w:val="44"/>
        <w:spacing w:line="400" w:lineRule="exact"/>
        <w:rPr>
          <w:rFonts w:hAnsi="宋体"/>
          <w:color w:val="000000"/>
          <w:highlight w:val="none"/>
        </w:rPr>
      </w:pPr>
    </w:p>
    <w:p w14:paraId="400FBCFE">
      <w:pPr>
        <w:pStyle w:val="10"/>
        <w:spacing w:line="560" w:lineRule="exact"/>
        <w:jc w:val="center"/>
        <w:rPr>
          <w:rFonts w:hint="eastAsia" w:ascii="宋体" w:hAnsi="宋体"/>
          <w:bCs/>
          <w:color w:val="000000"/>
          <w:sz w:val="44"/>
          <w:highlight w:val="none"/>
        </w:rPr>
      </w:pPr>
      <w:bookmarkStart w:id="249" w:name="_Toc156106969"/>
      <w:bookmarkStart w:id="250" w:name="_Toc185702586"/>
      <w:bookmarkStart w:id="251" w:name="_Toc22634"/>
      <w:bookmarkStart w:id="252" w:name="_Toc185703008"/>
      <w:bookmarkStart w:id="253" w:name="_Toc239839900"/>
      <w:bookmarkStart w:id="254" w:name="_Toc147248434"/>
      <w:bookmarkStart w:id="255" w:name="_Toc486922994"/>
      <w:bookmarkStart w:id="256" w:name="_Toc4579"/>
      <w:r>
        <w:rPr>
          <w:rFonts w:hint="eastAsia" w:ascii="宋体" w:hAnsi="宋体"/>
          <w:bCs/>
          <w:color w:val="000000"/>
          <w:sz w:val="44"/>
          <w:highlight w:val="none"/>
        </w:rPr>
        <w:t xml:space="preserve">第三章   </w:t>
      </w:r>
      <w:bookmarkEnd w:id="249"/>
      <w:bookmarkEnd w:id="250"/>
      <w:bookmarkEnd w:id="251"/>
      <w:bookmarkEnd w:id="252"/>
      <w:bookmarkEnd w:id="253"/>
      <w:bookmarkEnd w:id="254"/>
      <w:bookmarkEnd w:id="255"/>
      <w:r>
        <w:rPr>
          <w:rFonts w:hint="eastAsia" w:ascii="宋体" w:hAnsi="宋体"/>
          <w:bCs/>
          <w:color w:val="000000"/>
          <w:sz w:val="44"/>
          <w:highlight w:val="none"/>
        </w:rPr>
        <w:t>采购内容及要求</w:t>
      </w:r>
      <w:bookmarkEnd w:id="256"/>
    </w:p>
    <w:p w14:paraId="1AD92787">
      <w:pPr>
        <w:pStyle w:val="44"/>
        <w:spacing w:line="400" w:lineRule="exact"/>
        <w:rPr>
          <w:rFonts w:hAnsi="宋体"/>
          <w:color w:val="000000"/>
          <w:highlight w:val="none"/>
        </w:rPr>
      </w:pPr>
    </w:p>
    <w:p w14:paraId="3BA719DA">
      <w:pPr>
        <w:spacing w:line="300" w:lineRule="exact"/>
        <w:ind w:left="629" w:hanging="629"/>
        <w:rPr>
          <w:rFonts w:ascii="宋体" w:hAnsi="宋体"/>
          <w:color w:val="000000"/>
          <w:highlight w:val="none"/>
        </w:rPr>
      </w:pPr>
    </w:p>
    <w:p w14:paraId="54628E76">
      <w:pPr>
        <w:spacing w:line="300" w:lineRule="exact"/>
        <w:ind w:left="629" w:hanging="629"/>
        <w:rPr>
          <w:rFonts w:ascii="宋体" w:hAnsi="宋体"/>
          <w:b/>
          <w:bCs/>
          <w:color w:val="000000"/>
          <w:sz w:val="32"/>
          <w:szCs w:val="32"/>
          <w:highlight w:val="none"/>
        </w:rPr>
      </w:pPr>
      <w:r>
        <w:rPr>
          <w:rFonts w:hint="eastAsia" w:ascii="宋体" w:hAnsi="宋体"/>
          <w:bCs/>
          <w:color w:val="000000"/>
          <w:highlight w:val="none"/>
        </w:rPr>
        <w:br w:type="page"/>
      </w:r>
    </w:p>
    <w:p w14:paraId="39D2AE75">
      <w:pPr>
        <w:pStyle w:val="37"/>
        <w:jc w:val="center"/>
        <w:rPr>
          <w:rFonts w:hint="eastAsia" w:ascii="宋体" w:hAnsi="宋体"/>
          <w:b/>
          <w:bCs/>
          <w:color w:val="000000"/>
          <w:sz w:val="32"/>
          <w:szCs w:val="32"/>
          <w:highlight w:val="none"/>
          <w:lang w:eastAsia="zh-CN"/>
        </w:rPr>
      </w:pPr>
      <w:r>
        <w:rPr>
          <w:rFonts w:hint="eastAsia" w:ascii="宋体" w:hAnsi="宋体"/>
          <w:b/>
          <w:bCs/>
          <w:color w:val="000000"/>
          <w:sz w:val="32"/>
          <w:szCs w:val="32"/>
          <w:highlight w:val="none"/>
          <w:lang w:eastAsia="zh-CN"/>
        </w:rPr>
        <w:t>长洲区泗洲村尚忠片区美丽移民村项目</w:t>
      </w:r>
    </w:p>
    <w:p w14:paraId="2D052E83">
      <w:pPr>
        <w:pStyle w:val="37"/>
        <w:jc w:val="center"/>
        <w:rPr>
          <w:rFonts w:hint="eastAsia" w:ascii="宋体" w:hAnsi="宋体"/>
          <w:b/>
          <w:bCs/>
          <w:color w:val="000000"/>
          <w:sz w:val="32"/>
          <w:szCs w:val="32"/>
          <w:highlight w:val="none"/>
          <w:lang w:eastAsia="zh-CN"/>
        </w:rPr>
      </w:pPr>
      <w:r>
        <w:rPr>
          <w:rFonts w:hint="eastAsia" w:ascii="宋体" w:hAnsi="宋体"/>
          <w:b/>
          <w:bCs/>
          <w:color w:val="000000"/>
          <w:sz w:val="32"/>
          <w:szCs w:val="32"/>
          <w:highlight w:val="none"/>
        </w:rPr>
        <w:t>采购内容及要求（采购需求）</w:t>
      </w:r>
    </w:p>
    <w:p w14:paraId="14E1305D">
      <w:pPr>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 xml:space="preserve">一、项目概况 </w:t>
      </w:r>
    </w:p>
    <w:p w14:paraId="197D6E6B">
      <w:pPr>
        <w:pStyle w:val="37"/>
        <w:spacing w:after="0"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主要建设内容包括</w:t>
      </w:r>
      <w:r>
        <w:rPr>
          <w:rFonts w:hint="eastAsia" w:ascii="宋体" w:hAnsi="宋体"/>
          <w:color w:val="000000"/>
          <w:szCs w:val="21"/>
          <w:highlight w:val="none"/>
          <w:lang w:eastAsia="zh-CN"/>
        </w:rPr>
        <w:t>1、道路工程：巷道硬化约1452.8m²。 2、排水排污工程：散排水沟约210.4m。 3、环境整治：仿竹栅栏665m、垃圾收集站1处、围墙修缮259.01m。 4、其他：挡土墙168.99m、竣工牌1块。</w:t>
      </w:r>
      <w:r>
        <w:rPr>
          <w:rFonts w:hint="eastAsia" w:ascii="宋体" w:hAnsi="宋体"/>
          <w:color w:val="000000"/>
          <w:szCs w:val="21"/>
          <w:highlight w:val="none"/>
        </w:rPr>
        <w:t>（具体按施工图纸、工程量清单、采购文件及相关补充通知的全部内容）</w:t>
      </w:r>
    </w:p>
    <w:p w14:paraId="76F69E1C">
      <w:pPr>
        <w:spacing w:line="440" w:lineRule="exact"/>
        <w:ind w:firstLine="420" w:firstLineChars="200"/>
        <w:rPr>
          <w:rFonts w:hint="eastAsia"/>
          <w:color w:val="000000"/>
          <w:highlight w:val="none"/>
        </w:rPr>
      </w:pPr>
      <w:r>
        <w:rPr>
          <w:rFonts w:hint="eastAsia"/>
          <w:color w:val="000000"/>
          <w:highlight w:val="none"/>
        </w:rPr>
        <w:t>建设地点：</w:t>
      </w:r>
      <w:r>
        <w:rPr>
          <w:rFonts w:hint="eastAsia"/>
          <w:color w:val="000000"/>
          <w:highlight w:val="none"/>
          <w:lang w:eastAsia="zh-CN"/>
        </w:rPr>
        <w:t>梧州市长洲区泗洲村</w:t>
      </w:r>
    </w:p>
    <w:p w14:paraId="3633710A">
      <w:pPr>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二、工期要求：</w:t>
      </w:r>
      <w:r>
        <w:rPr>
          <w:rFonts w:hint="eastAsia" w:ascii="宋体" w:hAnsi="宋体"/>
          <w:bCs/>
          <w:color w:val="000000"/>
          <w:szCs w:val="21"/>
          <w:highlight w:val="none"/>
          <w:lang w:val="en-US" w:eastAsia="zh-CN"/>
        </w:rPr>
        <w:t>180</w:t>
      </w:r>
      <w:r>
        <w:rPr>
          <w:rFonts w:hint="eastAsia" w:ascii="宋体" w:hAnsi="宋体"/>
          <w:bCs/>
          <w:color w:val="000000"/>
          <w:szCs w:val="21"/>
          <w:highlight w:val="none"/>
        </w:rPr>
        <w:t>日历天</w:t>
      </w:r>
    </w:p>
    <w:p w14:paraId="7D8AD22F">
      <w:pPr>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三、付款方式：</w:t>
      </w:r>
    </w:p>
    <w:p w14:paraId="6F0CAF61">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1.预付款：签订合同并项目开工后采购人在10个工作日内按照签约合同价（扣除暂列金额、安全文明施工费）的</w:t>
      </w:r>
      <w:r>
        <w:rPr>
          <w:rFonts w:hint="eastAsia" w:ascii="宋体" w:hAnsi="宋体"/>
          <w:color w:val="000000"/>
          <w:szCs w:val="21"/>
          <w:highlight w:val="none"/>
          <w:lang w:val="en-US" w:eastAsia="zh-CN"/>
        </w:rPr>
        <w:t>1</w:t>
      </w:r>
      <w:r>
        <w:rPr>
          <w:rFonts w:hint="eastAsia" w:ascii="宋体" w:hAnsi="宋体"/>
          <w:color w:val="000000"/>
          <w:szCs w:val="21"/>
          <w:highlight w:val="none"/>
        </w:rPr>
        <w:t>0 %作为项目预付款，支付前须收到承包人递交的等额预付款保函（保函格式自拟）；</w:t>
      </w:r>
    </w:p>
    <w:p w14:paraId="2BECDB1C">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支付方式：进度款原则上按月支付，按工程进度造价的80%支付工程进度款，工程完工并通过各方验收合格由建设单位按相关要求委托第三方造价单位评审审定结算价后30天内支付至结算总价的97%，余下3%的工程款待缺陷责任期满项目不存在质量问题、承包人不存在任何违约情形之日起30日内不计息付清。缺陷责任期内，如工程出现质量问题，致使发包人受损的，发包人有权从余下工程款中扣除并要求承包人承担赔偿责任。</w:t>
      </w:r>
    </w:p>
    <w:p w14:paraId="7A19762A">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在支付预付款前，承包人应（1.缴纳工程款的2％作为农民工工资保障金到人社局劳动监察大队； 2.购买项目意外险，要有对应发票。）</w:t>
      </w:r>
    </w:p>
    <w:p w14:paraId="58A432EF">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在申请支付工程款时，承包人必须提供增值税发票，如本市以外的承包人，还须提供加盖有项目所在地税务机关业务专用章并注明增值税发票和交款书号码的《增值税预缴税款表》。</w:t>
      </w:r>
    </w:p>
    <w:p w14:paraId="777EBC4B">
      <w:pPr>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四、质量要求：</w:t>
      </w:r>
    </w:p>
    <w:p w14:paraId="661F7780">
      <w:pPr>
        <w:spacing w:line="44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达到国家施工验收规范合格标准</w:t>
      </w:r>
    </w:p>
    <w:p w14:paraId="3A32799D">
      <w:pPr>
        <w:pStyle w:val="69"/>
        <w:spacing w:after="0"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五、技术标准和要求</w:t>
      </w:r>
    </w:p>
    <w:p w14:paraId="74A3B4A5">
      <w:pPr>
        <w:spacing w:line="44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施工要求：</w:t>
      </w:r>
    </w:p>
    <w:p w14:paraId="3AC3D13C">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本工程应该认真按照设计施工图纸的要求进行施工，同时也要严格执行我国各专业相关的现行质量标准和技术规范、规程要求。具体技术参数按工程工程量清单说明。我国现行相关工程质量检验评定标准及验收规范标准。</w:t>
      </w:r>
    </w:p>
    <w:p w14:paraId="4F7AF4B2">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2.按照相关规定及规范做好安全生产工作。</w:t>
      </w:r>
    </w:p>
    <w:p w14:paraId="4AD7DE0C">
      <w:pPr>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六、承包方式：</w:t>
      </w:r>
      <w:r>
        <w:rPr>
          <w:rFonts w:hint="eastAsia" w:ascii="宋体" w:hAnsi="宋体"/>
          <w:color w:val="000000"/>
          <w:highlight w:val="none"/>
        </w:rPr>
        <w:t>本工程采用</w:t>
      </w:r>
      <w:r>
        <w:rPr>
          <w:rFonts w:hint="eastAsia" w:ascii="宋体" w:hAnsi="宋体"/>
          <w:color w:val="000000"/>
          <w:highlight w:val="none"/>
          <w:lang w:eastAsia="zh-CN"/>
        </w:rPr>
        <w:t>总价合同</w:t>
      </w:r>
      <w:r>
        <w:rPr>
          <w:rFonts w:hint="eastAsia" w:ascii="宋体" w:hAnsi="宋体"/>
          <w:color w:val="000000"/>
          <w:highlight w:val="none"/>
        </w:rPr>
        <w:t>。</w:t>
      </w:r>
    </w:p>
    <w:p w14:paraId="3C573D20">
      <w:pPr>
        <w:pStyle w:val="44"/>
        <w:spacing w:line="440" w:lineRule="exact"/>
        <w:ind w:firstLine="422" w:firstLineChars="200"/>
        <w:rPr>
          <w:rFonts w:hAnsi="宋体"/>
          <w:b/>
          <w:bCs/>
          <w:color w:val="000000"/>
          <w:highlight w:val="none"/>
        </w:rPr>
      </w:pPr>
      <w:r>
        <w:rPr>
          <w:rFonts w:hAnsi="宋体"/>
          <w:b/>
          <w:bCs/>
          <w:color w:val="000000"/>
          <w:highlight w:val="none"/>
        </w:rPr>
        <w:t>七、标准、规范：</w:t>
      </w:r>
      <w:r>
        <w:rPr>
          <w:rFonts w:hAnsi="宋体"/>
          <w:bCs/>
          <w:color w:val="000000"/>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36CED33C">
      <w:pPr>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八</w:t>
      </w:r>
      <w:r>
        <w:rPr>
          <w:rFonts w:ascii="宋体" w:hAnsi="宋体"/>
          <w:b/>
          <w:bCs/>
          <w:color w:val="000000"/>
          <w:szCs w:val="21"/>
          <w:highlight w:val="none"/>
        </w:rPr>
        <w:t>、报价要求：</w:t>
      </w:r>
    </w:p>
    <w:p w14:paraId="2B909E3C">
      <w:pPr>
        <w:spacing w:line="44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根据</w:t>
      </w:r>
      <w:r>
        <w:rPr>
          <w:rFonts w:ascii="宋体" w:hAnsi="宋体"/>
          <w:color w:val="000000"/>
          <w:szCs w:val="21"/>
          <w:highlight w:val="none"/>
        </w:rPr>
        <w:t>本项目《采购内容及要求》规定的内容、责任范围、工程量清单、施工图纸以及合同条款进行报价</w:t>
      </w:r>
      <w:r>
        <w:rPr>
          <w:rFonts w:hint="eastAsia" w:ascii="宋体" w:hAnsi="宋体"/>
          <w:color w:val="000000"/>
          <w:szCs w:val="21"/>
          <w:highlight w:val="none"/>
        </w:rPr>
        <w:t>，其组成部分包括实施和完成本项目所需的所有费用，包含但不限于完成该项目的劳务、材料、机械、质检（自检）、拆除、安装、缺陷修复、管理、保险、税费、利润等费用，以及合同明示或暗示的所有责任、义务和一般风险。因成交供应商自身原因造成漏报、少报皆由其自行承担责任，采购人不再补偿。</w:t>
      </w:r>
    </w:p>
    <w:p w14:paraId="2A605B0E">
      <w:pPr>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九</w:t>
      </w:r>
      <w:r>
        <w:rPr>
          <w:rFonts w:ascii="宋体" w:hAnsi="宋体"/>
          <w:b/>
          <w:bCs/>
          <w:color w:val="000000"/>
          <w:szCs w:val="21"/>
          <w:highlight w:val="none"/>
        </w:rPr>
        <w:t>、合同签订：</w:t>
      </w:r>
    </w:p>
    <w:p w14:paraId="293170A8">
      <w:pPr>
        <w:pStyle w:val="44"/>
        <w:spacing w:line="440" w:lineRule="exact"/>
        <w:ind w:firstLine="420" w:firstLineChars="200"/>
        <w:rPr>
          <w:rFonts w:hAnsi="宋体"/>
          <w:bCs/>
          <w:color w:val="000000"/>
          <w:highlight w:val="none"/>
        </w:rPr>
      </w:pPr>
      <w:r>
        <w:rPr>
          <w:rFonts w:hAnsi="宋体"/>
          <w:bCs/>
          <w:color w:val="000000"/>
          <w:highlight w:val="none"/>
        </w:rPr>
        <w:t>自成交通知书发出之日起15日内凭成交通知书与采购人签订合同，逾期签订合同且无正当理由不签订合同，则由采购人上报政府采购监督部门。</w:t>
      </w:r>
    </w:p>
    <w:p w14:paraId="61F3E5CE">
      <w:pPr>
        <w:widowControl/>
        <w:jc w:val="left"/>
        <w:rPr>
          <w:rFonts w:ascii="宋体" w:hAnsi="宋体"/>
          <w:bCs/>
          <w:color w:val="000000"/>
          <w:sz w:val="24"/>
          <w:highlight w:val="none"/>
        </w:rPr>
      </w:pPr>
      <w:r>
        <w:rPr>
          <w:rFonts w:ascii="宋体" w:hAnsi="宋体"/>
          <w:bCs/>
          <w:color w:val="000000"/>
          <w:sz w:val="24"/>
          <w:highlight w:val="none"/>
        </w:rPr>
        <w:br w:type="page"/>
      </w:r>
    </w:p>
    <w:p w14:paraId="7EFF6B15">
      <w:pPr>
        <w:pStyle w:val="44"/>
        <w:spacing w:line="440" w:lineRule="exact"/>
        <w:ind w:firstLine="480" w:firstLineChars="200"/>
        <w:rPr>
          <w:rFonts w:hAnsi="宋体"/>
          <w:bCs/>
          <w:color w:val="000000"/>
          <w:sz w:val="24"/>
          <w:szCs w:val="24"/>
          <w:highlight w:val="none"/>
        </w:rPr>
      </w:pPr>
    </w:p>
    <w:p w14:paraId="2A15D2FB">
      <w:pPr>
        <w:pStyle w:val="105"/>
        <w:rPr>
          <w:color w:val="000000"/>
          <w:highlight w:val="none"/>
        </w:rPr>
      </w:pPr>
    </w:p>
    <w:p w14:paraId="305C0158">
      <w:pPr>
        <w:pStyle w:val="105"/>
        <w:rPr>
          <w:color w:val="000000"/>
          <w:highlight w:val="none"/>
        </w:rPr>
      </w:pPr>
    </w:p>
    <w:p w14:paraId="622BE34A">
      <w:pPr>
        <w:pStyle w:val="105"/>
        <w:rPr>
          <w:color w:val="000000"/>
          <w:highlight w:val="none"/>
        </w:rPr>
      </w:pPr>
    </w:p>
    <w:p w14:paraId="2A147E81">
      <w:pPr>
        <w:pStyle w:val="105"/>
        <w:rPr>
          <w:color w:val="000000"/>
          <w:highlight w:val="none"/>
        </w:rPr>
      </w:pPr>
    </w:p>
    <w:p w14:paraId="7B553D48">
      <w:pPr>
        <w:pStyle w:val="105"/>
        <w:rPr>
          <w:color w:val="000000"/>
          <w:highlight w:val="none"/>
        </w:rPr>
      </w:pPr>
    </w:p>
    <w:p w14:paraId="6A13E725">
      <w:pPr>
        <w:pStyle w:val="105"/>
        <w:rPr>
          <w:color w:val="000000"/>
          <w:highlight w:val="none"/>
        </w:rPr>
      </w:pPr>
    </w:p>
    <w:p w14:paraId="6709B057">
      <w:pPr>
        <w:pStyle w:val="10"/>
        <w:spacing w:line="560" w:lineRule="exact"/>
        <w:jc w:val="center"/>
        <w:rPr>
          <w:rFonts w:hint="eastAsia" w:ascii="宋体" w:hAnsi="宋体"/>
          <w:bCs/>
          <w:color w:val="000000"/>
          <w:sz w:val="44"/>
          <w:highlight w:val="none"/>
        </w:rPr>
      </w:pPr>
      <w:bookmarkStart w:id="257" w:name="_Toc31352"/>
      <w:bookmarkStart w:id="258" w:name="_Toc31480"/>
      <w:r>
        <w:rPr>
          <w:rFonts w:hint="eastAsia" w:ascii="宋体" w:hAnsi="宋体"/>
          <w:bCs/>
          <w:color w:val="000000"/>
          <w:sz w:val="44"/>
          <w:highlight w:val="none"/>
        </w:rPr>
        <w:t xml:space="preserve">第四章   </w:t>
      </w:r>
      <w:bookmarkEnd w:id="257"/>
      <w:r>
        <w:rPr>
          <w:rFonts w:hint="eastAsia" w:ascii="宋体" w:hAnsi="宋体"/>
          <w:bCs/>
          <w:color w:val="000000"/>
          <w:sz w:val="44"/>
          <w:highlight w:val="none"/>
        </w:rPr>
        <w:t>施工承包合同协议书（格式）</w:t>
      </w:r>
      <w:bookmarkEnd w:id="258"/>
    </w:p>
    <w:p w14:paraId="772070AD">
      <w:pPr>
        <w:pStyle w:val="44"/>
        <w:spacing w:line="400" w:lineRule="exact"/>
        <w:ind w:firstLine="4" w:firstLineChars="2"/>
        <w:rPr>
          <w:rFonts w:hAnsi="宋体"/>
          <w:b/>
          <w:bCs/>
          <w:color w:val="000000"/>
          <w:highlight w:val="none"/>
        </w:rPr>
      </w:pPr>
    </w:p>
    <w:p w14:paraId="319FE3B7">
      <w:pPr>
        <w:pStyle w:val="44"/>
        <w:spacing w:line="400" w:lineRule="exact"/>
        <w:ind w:firstLine="4" w:firstLineChars="2"/>
        <w:rPr>
          <w:rFonts w:hAnsi="宋体"/>
          <w:b/>
          <w:bCs/>
          <w:color w:val="000000"/>
          <w:highlight w:val="none"/>
        </w:rPr>
      </w:pPr>
    </w:p>
    <w:p w14:paraId="603E3DCB">
      <w:pPr>
        <w:pStyle w:val="44"/>
        <w:spacing w:line="400" w:lineRule="exact"/>
        <w:ind w:firstLine="4" w:firstLineChars="2"/>
        <w:rPr>
          <w:rFonts w:hAnsi="宋体"/>
          <w:b/>
          <w:bCs/>
          <w:color w:val="000000"/>
          <w:highlight w:val="none"/>
        </w:rPr>
      </w:pPr>
    </w:p>
    <w:p w14:paraId="5541918C">
      <w:pPr>
        <w:pStyle w:val="44"/>
        <w:spacing w:line="400" w:lineRule="exact"/>
        <w:ind w:firstLine="4" w:firstLineChars="2"/>
        <w:rPr>
          <w:rFonts w:hAnsi="宋体"/>
          <w:b/>
          <w:bCs/>
          <w:color w:val="000000"/>
          <w:highlight w:val="none"/>
        </w:rPr>
      </w:pPr>
    </w:p>
    <w:p w14:paraId="1288D74E">
      <w:pPr>
        <w:pStyle w:val="44"/>
        <w:spacing w:line="400" w:lineRule="exact"/>
        <w:ind w:firstLine="4" w:firstLineChars="2"/>
        <w:rPr>
          <w:rFonts w:hAnsi="宋体"/>
          <w:b/>
          <w:bCs/>
          <w:color w:val="000000"/>
          <w:highlight w:val="none"/>
        </w:rPr>
      </w:pPr>
      <w:r>
        <w:rPr>
          <w:rFonts w:hAnsi="宋体"/>
          <w:b/>
          <w:bCs/>
          <w:color w:val="000000"/>
          <w:highlight w:val="none"/>
        </w:rPr>
        <w:t>（注：本合同样本仅供参考，具体内容由采购人和成交供应商协商确定，但补充和修改不得造成与本章格式内容有实质性的违背。）</w:t>
      </w:r>
    </w:p>
    <w:p w14:paraId="2F3A76AC">
      <w:pPr>
        <w:pStyle w:val="105"/>
        <w:rPr>
          <w:color w:val="000000"/>
          <w:highlight w:val="none"/>
        </w:rPr>
      </w:pPr>
    </w:p>
    <w:p w14:paraId="42D79452">
      <w:pPr>
        <w:pStyle w:val="105"/>
        <w:rPr>
          <w:color w:val="000000"/>
          <w:highlight w:val="none"/>
        </w:rPr>
      </w:pPr>
    </w:p>
    <w:p w14:paraId="3E5305AE">
      <w:pPr>
        <w:pStyle w:val="105"/>
        <w:rPr>
          <w:color w:val="000000"/>
          <w:highlight w:val="none"/>
        </w:rPr>
      </w:pPr>
    </w:p>
    <w:p w14:paraId="48BCB110">
      <w:pPr>
        <w:pStyle w:val="105"/>
        <w:rPr>
          <w:color w:val="000000"/>
          <w:sz w:val="32"/>
          <w:highlight w:val="none"/>
        </w:rPr>
      </w:pPr>
      <w:r>
        <w:rPr>
          <w:color w:val="000000"/>
          <w:sz w:val="32"/>
          <w:highlight w:val="none"/>
        </w:rPr>
        <w:br w:type="page"/>
      </w:r>
    </w:p>
    <w:p w14:paraId="4ADD6970">
      <w:pPr>
        <w:jc w:val="center"/>
        <w:rPr>
          <w:rFonts w:ascii="宋体" w:hAnsi="宋体"/>
          <w:b/>
          <w:bCs/>
          <w:color w:val="000000"/>
          <w:sz w:val="36"/>
          <w:szCs w:val="36"/>
          <w:highlight w:val="none"/>
        </w:rPr>
      </w:pPr>
    </w:p>
    <w:p w14:paraId="1E0927A3">
      <w:pPr>
        <w:jc w:val="center"/>
        <w:rPr>
          <w:rFonts w:ascii="宋体" w:hAnsi="宋体"/>
          <w:b/>
          <w:bCs/>
          <w:color w:val="000000"/>
          <w:sz w:val="36"/>
          <w:szCs w:val="36"/>
          <w:highlight w:val="none"/>
        </w:rPr>
      </w:pPr>
    </w:p>
    <w:p w14:paraId="35C21AFB">
      <w:pPr>
        <w:jc w:val="center"/>
        <w:rPr>
          <w:rFonts w:ascii="宋体" w:hAnsi="宋体"/>
          <w:b/>
          <w:bCs/>
          <w:color w:val="000000"/>
          <w:sz w:val="36"/>
          <w:szCs w:val="36"/>
          <w:highlight w:val="none"/>
        </w:rPr>
      </w:pPr>
    </w:p>
    <w:p w14:paraId="1988B118">
      <w:pPr>
        <w:jc w:val="center"/>
        <w:rPr>
          <w:rFonts w:ascii="宋体" w:hAnsi="宋体"/>
          <w:b/>
          <w:bCs/>
          <w:color w:val="000000"/>
          <w:sz w:val="36"/>
          <w:szCs w:val="36"/>
          <w:highlight w:val="none"/>
        </w:rPr>
      </w:pPr>
    </w:p>
    <w:p w14:paraId="1848262F">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施工承包合同协议书</w:t>
      </w:r>
    </w:p>
    <w:p w14:paraId="598F764C">
      <w:pPr>
        <w:rPr>
          <w:rFonts w:ascii="宋体" w:hAnsi="宋体"/>
          <w:bCs/>
          <w:color w:val="000000"/>
          <w:sz w:val="30"/>
          <w:szCs w:val="30"/>
          <w:highlight w:val="none"/>
        </w:rPr>
      </w:pPr>
    </w:p>
    <w:p w14:paraId="57C5089C">
      <w:pPr>
        <w:ind w:firstLine="1798" w:firstLineChars="562"/>
        <w:rPr>
          <w:rFonts w:ascii="宋体" w:hAnsi="宋体"/>
          <w:bCs/>
          <w:color w:val="000000"/>
          <w:sz w:val="32"/>
          <w:szCs w:val="32"/>
          <w:highlight w:val="none"/>
        </w:rPr>
      </w:pPr>
    </w:p>
    <w:p w14:paraId="7AEC4CF7">
      <w:pPr>
        <w:pStyle w:val="37"/>
        <w:rPr>
          <w:color w:val="000000"/>
          <w:highlight w:val="none"/>
        </w:rPr>
      </w:pPr>
    </w:p>
    <w:p w14:paraId="34BF50D4">
      <w:pPr>
        <w:pStyle w:val="37"/>
        <w:rPr>
          <w:color w:val="000000"/>
          <w:highlight w:val="none"/>
        </w:rPr>
      </w:pPr>
    </w:p>
    <w:p w14:paraId="53EA582F">
      <w:pPr>
        <w:ind w:firstLine="1798" w:firstLineChars="562"/>
        <w:rPr>
          <w:rFonts w:ascii="宋体" w:hAnsi="宋体"/>
          <w:bCs/>
          <w:color w:val="000000"/>
          <w:sz w:val="32"/>
          <w:szCs w:val="32"/>
          <w:highlight w:val="none"/>
        </w:rPr>
      </w:pPr>
    </w:p>
    <w:p w14:paraId="3978E40F">
      <w:pPr>
        <w:ind w:firstLine="1798" w:firstLineChars="562"/>
        <w:rPr>
          <w:rFonts w:hint="eastAsia" w:ascii="宋体" w:hAnsi="宋体"/>
          <w:bCs/>
          <w:color w:val="000000"/>
          <w:sz w:val="32"/>
          <w:szCs w:val="32"/>
          <w:highlight w:val="none"/>
        </w:rPr>
      </w:pPr>
      <w:r>
        <w:rPr>
          <w:rFonts w:hint="eastAsia" w:ascii="宋体" w:hAnsi="宋体"/>
          <w:bCs/>
          <w:color w:val="000000"/>
          <w:sz w:val="32"/>
          <w:szCs w:val="32"/>
          <w:highlight w:val="none"/>
        </w:rPr>
        <w:t>项目名称：</w:t>
      </w:r>
    </w:p>
    <w:p w14:paraId="47D433D5">
      <w:pPr>
        <w:ind w:firstLine="1798" w:firstLineChars="562"/>
        <w:rPr>
          <w:rFonts w:ascii="宋体" w:hAnsi="宋体"/>
          <w:color w:val="000000"/>
          <w:sz w:val="32"/>
          <w:szCs w:val="32"/>
          <w:highlight w:val="none"/>
        </w:rPr>
      </w:pPr>
    </w:p>
    <w:p w14:paraId="2D181E33">
      <w:pPr>
        <w:ind w:firstLine="1798" w:firstLineChars="562"/>
        <w:rPr>
          <w:rFonts w:hint="eastAsia" w:ascii="宋体" w:hAnsi="宋体"/>
          <w:bCs/>
          <w:color w:val="000000"/>
          <w:sz w:val="32"/>
          <w:szCs w:val="32"/>
          <w:highlight w:val="none"/>
        </w:rPr>
      </w:pPr>
      <w:r>
        <w:rPr>
          <w:rFonts w:hint="eastAsia" w:ascii="宋体" w:hAnsi="宋体"/>
          <w:bCs/>
          <w:color w:val="000000"/>
          <w:sz w:val="32"/>
          <w:szCs w:val="32"/>
          <w:highlight w:val="none"/>
        </w:rPr>
        <w:t>项目编号：</w:t>
      </w:r>
    </w:p>
    <w:p w14:paraId="6D7ED2E3">
      <w:pPr>
        <w:ind w:firstLine="600"/>
        <w:rPr>
          <w:rFonts w:ascii="宋体" w:hAnsi="宋体"/>
          <w:bCs/>
          <w:color w:val="000000"/>
          <w:sz w:val="30"/>
          <w:szCs w:val="30"/>
          <w:highlight w:val="none"/>
        </w:rPr>
      </w:pPr>
    </w:p>
    <w:p w14:paraId="16E312C9">
      <w:pPr>
        <w:ind w:firstLine="600"/>
        <w:rPr>
          <w:rFonts w:ascii="宋体" w:hAnsi="宋体"/>
          <w:bCs/>
          <w:color w:val="000000"/>
          <w:sz w:val="30"/>
          <w:szCs w:val="30"/>
          <w:highlight w:val="none"/>
        </w:rPr>
      </w:pPr>
    </w:p>
    <w:p w14:paraId="38178941">
      <w:pPr>
        <w:ind w:firstLine="600"/>
        <w:rPr>
          <w:rFonts w:ascii="宋体" w:hAnsi="宋体"/>
          <w:bCs/>
          <w:color w:val="000000"/>
          <w:sz w:val="30"/>
          <w:szCs w:val="30"/>
          <w:highlight w:val="none"/>
        </w:rPr>
      </w:pPr>
    </w:p>
    <w:p w14:paraId="0514DF2D">
      <w:pPr>
        <w:ind w:firstLine="600"/>
        <w:rPr>
          <w:rFonts w:ascii="宋体" w:hAnsi="宋体"/>
          <w:bCs/>
          <w:color w:val="000000"/>
          <w:sz w:val="30"/>
          <w:szCs w:val="30"/>
          <w:highlight w:val="none"/>
        </w:rPr>
      </w:pPr>
    </w:p>
    <w:p w14:paraId="74813A1F">
      <w:pPr>
        <w:ind w:firstLine="600"/>
        <w:rPr>
          <w:rFonts w:ascii="宋体" w:hAnsi="宋体"/>
          <w:bCs/>
          <w:color w:val="000000"/>
          <w:sz w:val="30"/>
          <w:szCs w:val="30"/>
          <w:highlight w:val="none"/>
        </w:rPr>
      </w:pPr>
    </w:p>
    <w:p w14:paraId="5B7DD1FE">
      <w:pPr>
        <w:ind w:firstLine="600"/>
        <w:rPr>
          <w:rFonts w:ascii="宋体" w:hAnsi="宋体"/>
          <w:bCs/>
          <w:color w:val="000000"/>
          <w:sz w:val="30"/>
          <w:szCs w:val="30"/>
          <w:highlight w:val="none"/>
        </w:rPr>
      </w:pPr>
    </w:p>
    <w:p w14:paraId="22264393">
      <w:pPr>
        <w:ind w:firstLine="1798" w:firstLineChars="562"/>
        <w:rPr>
          <w:rFonts w:hint="eastAsia" w:ascii="宋体" w:hAnsi="宋体"/>
          <w:bCs/>
          <w:color w:val="000000"/>
          <w:sz w:val="32"/>
          <w:szCs w:val="32"/>
          <w:highlight w:val="none"/>
        </w:rPr>
      </w:pPr>
      <w:r>
        <w:rPr>
          <w:rFonts w:hint="eastAsia" w:ascii="宋体" w:hAnsi="宋体"/>
          <w:bCs/>
          <w:color w:val="000000"/>
          <w:sz w:val="32"/>
          <w:szCs w:val="32"/>
          <w:highlight w:val="none"/>
        </w:rPr>
        <w:t>采  购  人：</w:t>
      </w:r>
    </w:p>
    <w:p w14:paraId="1FA1CCAB">
      <w:pPr>
        <w:ind w:firstLine="640"/>
        <w:rPr>
          <w:rFonts w:ascii="宋体" w:hAnsi="宋体"/>
          <w:bCs/>
          <w:color w:val="000000"/>
          <w:sz w:val="32"/>
          <w:szCs w:val="32"/>
          <w:highlight w:val="none"/>
        </w:rPr>
      </w:pPr>
    </w:p>
    <w:p w14:paraId="03ECD461">
      <w:pPr>
        <w:ind w:firstLine="1798" w:firstLineChars="562"/>
        <w:rPr>
          <w:rFonts w:hint="eastAsia" w:ascii="宋体" w:hAnsi="宋体"/>
          <w:bCs/>
          <w:color w:val="000000"/>
          <w:sz w:val="32"/>
          <w:szCs w:val="32"/>
          <w:highlight w:val="none"/>
        </w:rPr>
      </w:pPr>
      <w:r>
        <w:rPr>
          <w:rFonts w:hint="eastAsia" w:ascii="宋体" w:hAnsi="宋体"/>
          <w:bCs/>
          <w:color w:val="000000"/>
          <w:sz w:val="32"/>
          <w:szCs w:val="32"/>
          <w:highlight w:val="none"/>
        </w:rPr>
        <w:t>供  应  商：</w:t>
      </w:r>
    </w:p>
    <w:p w14:paraId="7D5D8FCA">
      <w:pPr>
        <w:tabs>
          <w:tab w:val="left" w:pos="7380"/>
        </w:tabs>
        <w:spacing w:line="400" w:lineRule="exact"/>
        <w:ind w:firstLine="835" w:firstLineChars="398"/>
        <w:rPr>
          <w:rFonts w:ascii="宋体" w:hAnsi="宋体"/>
          <w:bCs/>
          <w:color w:val="000000"/>
          <w:szCs w:val="21"/>
          <w:highlight w:val="none"/>
        </w:rPr>
      </w:pPr>
    </w:p>
    <w:p w14:paraId="42A52C36">
      <w:pPr>
        <w:tabs>
          <w:tab w:val="left" w:pos="7380"/>
        </w:tabs>
        <w:spacing w:line="400" w:lineRule="exact"/>
        <w:ind w:firstLine="835" w:firstLineChars="398"/>
        <w:rPr>
          <w:rFonts w:ascii="宋体" w:hAnsi="宋体"/>
          <w:bCs/>
          <w:color w:val="000000"/>
          <w:szCs w:val="21"/>
          <w:highlight w:val="none"/>
        </w:rPr>
      </w:pPr>
      <w:r>
        <w:rPr>
          <w:rFonts w:ascii="宋体" w:hAnsi="宋体"/>
          <w:bCs/>
          <w:color w:val="000000"/>
          <w:szCs w:val="21"/>
          <w:highlight w:val="none"/>
        </w:rPr>
        <w:br w:type="page"/>
      </w:r>
    </w:p>
    <w:p w14:paraId="5E1C7425">
      <w:pPr>
        <w:pStyle w:val="37"/>
        <w:jc w:val="center"/>
        <w:rPr>
          <w:rFonts w:hint="eastAsia" w:ascii="宋体" w:hAnsi="宋体"/>
          <w:b/>
          <w:color w:val="000000"/>
          <w:sz w:val="24"/>
          <w:highlight w:val="none"/>
        </w:rPr>
      </w:pPr>
      <w:r>
        <w:rPr>
          <w:rFonts w:hint="eastAsia" w:ascii="宋体" w:hAnsi="宋体"/>
          <w:b/>
          <w:color w:val="000000"/>
          <w:sz w:val="24"/>
          <w:highlight w:val="none"/>
        </w:rPr>
        <w:t>施工承包合同协议书</w:t>
      </w:r>
    </w:p>
    <w:p w14:paraId="328B9FE8">
      <w:pPr>
        <w:snapToGrid w:val="0"/>
        <w:spacing w:line="400" w:lineRule="exact"/>
        <w:ind w:right="480"/>
        <w:jc w:val="left"/>
        <w:rPr>
          <w:rFonts w:hint="eastAsia" w:ascii="宋体" w:hAnsi="宋体"/>
          <w:bCs/>
          <w:color w:val="000000"/>
          <w:szCs w:val="21"/>
          <w:highlight w:val="none"/>
        </w:rPr>
      </w:pPr>
      <w:r>
        <w:rPr>
          <w:rFonts w:hint="eastAsia" w:ascii="宋体" w:hAnsi="宋体"/>
          <w:bCs/>
          <w:color w:val="000000"/>
          <w:szCs w:val="21"/>
          <w:highlight w:val="none"/>
        </w:rPr>
        <w:t>合同编号：</w:t>
      </w:r>
    </w:p>
    <w:p w14:paraId="19A65BA4">
      <w:pPr>
        <w:snapToGrid w:val="0"/>
        <w:spacing w:line="400" w:lineRule="exact"/>
        <w:rPr>
          <w:rFonts w:ascii="宋体" w:hAnsi="宋体"/>
          <w:color w:val="000000"/>
          <w:szCs w:val="21"/>
          <w:highlight w:val="none"/>
        </w:rPr>
      </w:pPr>
    </w:p>
    <w:p w14:paraId="6F6AF091">
      <w:pPr>
        <w:spacing w:line="360" w:lineRule="auto"/>
        <w:rPr>
          <w:rFonts w:hint="eastAsia" w:ascii="宋体" w:hAnsi="宋体"/>
          <w:color w:val="000000"/>
          <w:highlight w:val="none"/>
        </w:rPr>
      </w:pPr>
      <w:r>
        <w:rPr>
          <w:rFonts w:hint="eastAsia" w:ascii="宋体" w:hAnsi="宋体"/>
          <w:color w:val="000000"/>
          <w:highlight w:val="none"/>
        </w:rPr>
        <w:t>发包人（全称）：</w:t>
      </w:r>
    </w:p>
    <w:p w14:paraId="5B15F8C5">
      <w:pPr>
        <w:spacing w:line="360" w:lineRule="auto"/>
        <w:rPr>
          <w:rFonts w:hint="eastAsia" w:ascii="宋体" w:hAnsi="宋体"/>
          <w:color w:val="000000"/>
          <w:highlight w:val="none"/>
        </w:rPr>
      </w:pPr>
      <w:r>
        <w:rPr>
          <w:rFonts w:hint="eastAsia" w:ascii="宋体" w:hAnsi="宋体"/>
          <w:color w:val="000000"/>
          <w:highlight w:val="none"/>
        </w:rPr>
        <w:t>承包人（全称）：</w:t>
      </w:r>
    </w:p>
    <w:p w14:paraId="280C147F">
      <w:pPr>
        <w:spacing w:line="360" w:lineRule="auto"/>
        <w:ind w:firstLine="420" w:firstLineChars="200"/>
        <w:rPr>
          <w:rFonts w:hint="eastAsia" w:ascii="宋体" w:hAnsi="宋体"/>
          <w:color w:val="000000"/>
          <w:highlight w:val="none"/>
        </w:rPr>
      </w:pPr>
      <w:r>
        <w:rPr>
          <w:rFonts w:hint="eastAsia" w:ascii="宋体" w:hAnsi="宋体"/>
          <w:color w:val="000000"/>
          <w:highlight w:val="none"/>
        </w:rPr>
        <w:t>根据《中华人民共和国民法典》、《中华人民共和国建筑法》及有关法律规定，遵循平等、自愿、公平和诚实信用的原则，双方就</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lang w:eastAsia="zh-CN"/>
        </w:rPr>
        <w:t>长洲区泗洲村尚忠片区美丽移民村项目</w:t>
      </w:r>
      <w:r>
        <w:rPr>
          <w:rFonts w:hint="eastAsia" w:ascii="宋体" w:hAnsi="宋体"/>
          <w:color w:val="000000"/>
          <w:highlight w:val="none"/>
          <w:u w:val="single"/>
          <w:lang w:val="en-US" w:eastAsia="zh-CN"/>
        </w:rPr>
        <w:t xml:space="preserve"> </w:t>
      </w:r>
      <w:r>
        <w:rPr>
          <w:rFonts w:hint="eastAsia" w:ascii="宋体" w:hAnsi="宋体"/>
          <w:color w:val="000000"/>
          <w:highlight w:val="none"/>
        </w:rPr>
        <w:t>施工及有关事项协商一致，共同达成如下协议：</w:t>
      </w:r>
    </w:p>
    <w:p w14:paraId="61F70FC8">
      <w:pPr>
        <w:spacing w:line="360" w:lineRule="auto"/>
        <w:ind w:firstLine="422" w:firstLineChars="200"/>
        <w:outlineLvl w:val="0"/>
        <w:rPr>
          <w:rFonts w:hint="eastAsia" w:ascii="宋体" w:hAnsi="宋体"/>
          <w:b/>
          <w:bCs/>
          <w:color w:val="000000"/>
          <w:highlight w:val="none"/>
        </w:rPr>
      </w:pPr>
      <w:bookmarkStart w:id="259" w:name="_Toc23183"/>
      <w:bookmarkStart w:id="260" w:name="_Toc108539753"/>
      <w:r>
        <w:rPr>
          <w:rFonts w:hint="eastAsia" w:ascii="宋体" w:hAnsi="宋体"/>
          <w:b/>
          <w:bCs/>
          <w:color w:val="000000"/>
          <w:highlight w:val="none"/>
        </w:rPr>
        <w:t>一、工程概况</w:t>
      </w:r>
      <w:bookmarkEnd w:id="259"/>
      <w:bookmarkEnd w:id="260"/>
    </w:p>
    <w:p w14:paraId="0E964D99">
      <w:pPr>
        <w:spacing w:line="360" w:lineRule="auto"/>
        <w:ind w:firstLine="411" w:firstLineChars="196"/>
        <w:rPr>
          <w:rFonts w:hint="eastAsia" w:ascii="宋体" w:hAnsi="宋体"/>
          <w:color w:val="000000"/>
          <w:highlight w:val="none"/>
        </w:rPr>
      </w:pPr>
      <w:r>
        <w:rPr>
          <w:rFonts w:hint="eastAsia" w:ascii="宋体" w:hAnsi="宋体"/>
          <w:color w:val="000000"/>
          <w:highlight w:val="none"/>
        </w:rPr>
        <w:t>1. 工程名称：</w:t>
      </w:r>
      <w:r>
        <w:rPr>
          <w:rFonts w:hint="eastAsia" w:ascii="宋体" w:hAnsi="宋体"/>
          <w:color w:val="000000"/>
          <w:highlight w:val="none"/>
          <w:u w:val="single"/>
        </w:rPr>
        <w:t xml:space="preserve">                        </w:t>
      </w:r>
    </w:p>
    <w:p w14:paraId="7CE5C289">
      <w:pPr>
        <w:spacing w:line="360" w:lineRule="auto"/>
        <w:ind w:firstLine="411" w:firstLineChars="196"/>
        <w:rPr>
          <w:rFonts w:hint="eastAsia" w:ascii="宋体" w:hAnsi="宋体"/>
          <w:color w:val="000000"/>
          <w:highlight w:val="none"/>
        </w:rPr>
      </w:pPr>
      <w:r>
        <w:rPr>
          <w:rFonts w:hint="eastAsia" w:ascii="宋体" w:hAnsi="宋体"/>
          <w:color w:val="000000"/>
          <w:highlight w:val="none"/>
        </w:rPr>
        <w:t>2. 工程地点：</w:t>
      </w:r>
      <w:r>
        <w:rPr>
          <w:rFonts w:hint="eastAsia" w:ascii="宋体" w:hAnsi="宋体"/>
          <w:color w:val="000000"/>
          <w:highlight w:val="none"/>
          <w:u w:val="single"/>
        </w:rPr>
        <w:t xml:space="preserve">                        </w:t>
      </w:r>
    </w:p>
    <w:p w14:paraId="49D26A34">
      <w:pPr>
        <w:spacing w:line="360" w:lineRule="auto"/>
        <w:ind w:firstLine="411" w:firstLineChars="196"/>
        <w:rPr>
          <w:rFonts w:hint="eastAsia" w:ascii="宋体" w:hAnsi="宋体"/>
          <w:color w:val="000000"/>
          <w:highlight w:val="none"/>
        </w:rPr>
      </w:pPr>
      <w:r>
        <w:rPr>
          <w:rFonts w:hint="eastAsia" w:ascii="宋体" w:hAnsi="宋体"/>
          <w:color w:val="000000"/>
          <w:highlight w:val="none"/>
        </w:rPr>
        <w:t>3. 工程立项批准文号：</w:t>
      </w:r>
      <w:r>
        <w:rPr>
          <w:rFonts w:hint="eastAsia" w:ascii="宋体" w:hAnsi="宋体"/>
          <w:color w:val="000000"/>
          <w:highlight w:val="none"/>
          <w:u w:val="single"/>
        </w:rPr>
        <w:t xml:space="preserve">   /   </w:t>
      </w:r>
    </w:p>
    <w:p w14:paraId="77D6ED6C">
      <w:pPr>
        <w:spacing w:line="360" w:lineRule="auto"/>
        <w:ind w:firstLine="411" w:firstLineChars="196"/>
        <w:rPr>
          <w:rFonts w:hint="eastAsia" w:ascii="宋体" w:hAnsi="宋体"/>
          <w:color w:val="000000"/>
          <w:highlight w:val="none"/>
        </w:rPr>
      </w:pPr>
      <w:r>
        <w:rPr>
          <w:rFonts w:hint="eastAsia" w:ascii="宋体" w:hAnsi="宋体"/>
          <w:color w:val="000000"/>
          <w:highlight w:val="none"/>
        </w:rPr>
        <w:t>4. 资金来源：</w:t>
      </w:r>
      <w:r>
        <w:rPr>
          <w:rFonts w:hint="eastAsia" w:ascii="宋体" w:hAnsi="宋体"/>
          <w:color w:val="000000"/>
          <w:highlight w:val="none"/>
          <w:u w:val="single"/>
        </w:rPr>
        <w:t xml:space="preserve">                    </w:t>
      </w:r>
    </w:p>
    <w:p w14:paraId="56A4BA9F">
      <w:pPr>
        <w:spacing w:line="360" w:lineRule="auto"/>
        <w:ind w:firstLine="411" w:firstLineChars="196"/>
        <w:rPr>
          <w:rFonts w:hint="eastAsia" w:ascii="宋体" w:hAnsi="宋体"/>
          <w:color w:val="000000"/>
          <w:highlight w:val="none"/>
        </w:rPr>
      </w:pPr>
      <w:r>
        <w:rPr>
          <w:rFonts w:hint="eastAsia" w:ascii="宋体" w:hAnsi="宋体"/>
          <w:color w:val="000000"/>
          <w:highlight w:val="none"/>
        </w:rPr>
        <w:t>5. 工程内容：</w:t>
      </w:r>
      <w:r>
        <w:rPr>
          <w:rFonts w:hint="eastAsia" w:ascii="宋体" w:hAnsi="宋体"/>
          <w:color w:val="000000"/>
          <w:highlight w:val="none"/>
          <w:u w:val="single"/>
        </w:rPr>
        <w:t xml:space="preserve">                                      。</w:t>
      </w:r>
      <w:r>
        <w:rPr>
          <w:rFonts w:hint="eastAsia" w:ascii="宋体" w:hAnsi="宋体"/>
          <w:color w:val="000000"/>
          <w:highlight w:val="none"/>
        </w:rPr>
        <w:t>（具体按施工图纸、工程量清单、采购文件及相关补充通知的全部内容）</w:t>
      </w:r>
    </w:p>
    <w:p w14:paraId="328E8236">
      <w:pPr>
        <w:spacing w:line="360" w:lineRule="auto"/>
        <w:ind w:firstLine="411" w:firstLineChars="196"/>
        <w:rPr>
          <w:rFonts w:hint="eastAsia" w:ascii="宋体" w:hAnsi="宋体"/>
          <w:color w:val="000000"/>
          <w:highlight w:val="none"/>
        </w:rPr>
      </w:pPr>
      <w:r>
        <w:rPr>
          <w:rFonts w:hint="eastAsia" w:ascii="宋体" w:hAnsi="宋体"/>
          <w:color w:val="000000"/>
          <w:highlight w:val="none"/>
        </w:rPr>
        <w:t>6. 工程承包范围：工程发包图纸以及工程量清单中全部工程内容。</w:t>
      </w:r>
    </w:p>
    <w:p w14:paraId="6545DF5F">
      <w:pPr>
        <w:spacing w:line="360" w:lineRule="auto"/>
        <w:ind w:firstLine="407" w:firstLineChars="193"/>
        <w:outlineLvl w:val="0"/>
        <w:rPr>
          <w:rFonts w:hint="eastAsia" w:ascii="宋体" w:hAnsi="宋体"/>
          <w:b/>
          <w:bCs/>
          <w:color w:val="000000"/>
          <w:highlight w:val="none"/>
        </w:rPr>
      </w:pPr>
      <w:bookmarkStart w:id="261" w:name="_Toc7219"/>
      <w:bookmarkStart w:id="262" w:name="_Toc108539754"/>
      <w:r>
        <w:rPr>
          <w:rFonts w:hint="eastAsia" w:ascii="宋体" w:hAnsi="宋体"/>
          <w:b/>
          <w:bCs/>
          <w:color w:val="000000"/>
          <w:highlight w:val="none"/>
        </w:rPr>
        <w:t>二、合同工期</w:t>
      </w:r>
      <w:bookmarkEnd w:id="261"/>
      <w:bookmarkEnd w:id="262"/>
    </w:p>
    <w:p w14:paraId="501766BC">
      <w:pPr>
        <w:spacing w:line="360" w:lineRule="auto"/>
        <w:ind w:firstLine="459"/>
        <w:rPr>
          <w:rFonts w:hint="eastAsia" w:ascii="宋体" w:hAnsi="宋体"/>
          <w:color w:val="000000"/>
          <w:highlight w:val="none"/>
        </w:rPr>
      </w:pPr>
      <w:r>
        <w:rPr>
          <w:rFonts w:hint="eastAsia" w:ascii="宋体" w:hAnsi="宋体"/>
          <w:color w:val="000000"/>
          <w:highlight w:val="none"/>
        </w:rPr>
        <w:t>计划开工日期：</w:t>
      </w:r>
      <w:r>
        <w:rPr>
          <w:rFonts w:hint="eastAsia" w:ascii="宋体" w:hAnsi="宋体"/>
          <w:color w:val="000000"/>
          <w:highlight w:val="none"/>
          <w:u w:val="single"/>
        </w:rPr>
        <w:t></w:t>
      </w:r>
      <w:r>
        <w:rPr>
          <w:rFonts w:hint="eastAsia" w:ascii="宋体" w:hAnsi="宋体"/>
          <w:color w:val="000000"/>
          <w:highlight w:val="none"/>
        </w:rPr>
        <w:t>年</w:t>
      </w:r>
      <w:r>
        <w:rPr>
          <w:rFonts w:hint="eastAsia" w:ascii="宋体" w:hAnsi="宋体"/>
          <w:color w:val="000000"/>
          <w:highlight w:val="none"/>
          <w:u w:val="single"/>
        </w:rPr>
        <w:t></w:t>
      </w:r>
      <w:r>
        <w:rPr>
          <w:rFonts w:hint="eastAsia" w:ascii="宋体" w:hAnsi="宋体"/>
          <w:color w:val="000000"/>
          <w:highlight w:val="none"/>
        </w:rPr>
        <w:t>月</w:t>
      </w:r>
      <w:r>
        <w:rPr>
          <w:rFonts w:hint="eastAsia" w:ascii="宋体" w:hAnsi="宋体"/>
          <w:color w:val="000000"/>
          <w:highlight w:val="none"/>
          <w:u w:val="single"/>
        </w:rPr>
        <w:t></w:t>
      </w:r>
      <w:r>
        <w:rPr>
          <w:rFonts w:hint="eastAsia" w:ascii="宋体" w:hAnsi="宋体"/>
          <w:color w:val="000000"/>
          <w:highlight w:val="none"/>
        </w:rPr>
        <w:t>日。（具体以发包人书面通知为准）</w:t>
      </w:r>
    </w:p>
    <w:p w14:paraId="1F6743EC">
      <w:pPr>
        <w:spacing w:line="360" w:lineRule="auto"/>
        <w:ind w:firstLine="459"/>
        <w:rPr>
          <w:rFonts w:hint="eastAsia" w:ascii="宋体" w:hAnsi="宋体"/>
          <w:color w:val="000000"/>
          <w:highlight w:val="none"/>
        </w:rPr>
      </w:pPr>
      <w:r>
        <w:rPr>
          <w:rFonts w:hint="eastAsia" w:ascii="宋体" w:hAnsi="宋体"/>
          <w:color w:val="000000"/>
          <w:highlight w:val="none"/>
        </w:rPr>
        <w:t>计划竣工日期：</w:t>
      </w:r>
      <w:r>
        <w:rPr>
          <w:rFonts w:hint="eastAsia" w:ascii="宋体" w:hAnsi="宋体"/>
          <w:color w:val="000000"/>
          <w:highlight w:val="none"/>
          <w:u w:val="single"/>
        </w:rPr>
        <w:t></w:t>
      </w:r>
      <w:r>
        <w:rPr>
          <w:rFonts w:hint="eastAsia" w:ascii="宋体" w:hAnsi="宋体"/>
          <w:color w:val="000000"/>
          <w:highlight w:val="none"/>
        </w:rPr>
        <w:t>年</w:t>
      </w:r>
      <w:r>
        <w:rPr>
          <w:rFonts w:hint="eastAsia" w:ascii="宋体" w:hAnsi="宋体"/>
          <w:color w:val="000000"/>
          <w:highlight w:val="none"/>
          <w:u w:val="single"/>
        </w:rPr>
        <w:t></w:t>
      </w:r>
      <w:r>
        <w:rPr>
          <w:rFonts w:hint="eastAsia" w:ascii="宋体" w:hAnsi="宋体"/>
          <w:color w:val="000000"/>
          <w:highlight w:val="none"/>
        </w:rPr>
        <w:t>月</w:t>
      </w:r>
      <w:r>
        <w:rPr>
          <w:rFonts w:hint="eastAsia" w:ascii="宋体" w:hAnsi="宋体"/>
          <w:color w:val="000000"/>
          <w:highlight w:val="none"/>
          <w:u w:val="single"/>
        </w:rPr>
        <w:t></w:t>
      </w:r>
      <w:r>
        <w:rPr>
          <w:rFonts w:hint="eastAsia" w:ascii="宋体" w:hAnsi="宋体"/>
          <w:color w:val="000000"/>
          <w:highlight w:val="none"/>
        </w:rPr>
        <w:t>日。</w:t>
      </w:r>
    </w:p>
    <w:p w14:paraId="48E9FCA8">
      <w:pPr>
        <w:spacing w:line="360" w:lineRule="auto"/>
        <w:ind w:firstLine="459"/>
        <w:rPr>
          <w:rFonts w:hint="eastAsia" w:ascii="宋体" w:hAnsi="宋体"/>
          <w:color w:val="000000"/>
          <w:highlight w:val="none"/>
        </w:rPr>
      </w:pPr>
      <w:r>
        <w:rPr>
          <w:rFonts w:hint="eastAsia" w:ascii="宋体" w:hAnsi="宋体"/>
          <w:color w:val="000000"/>
          <w:highlight w:val="none"/>
        </w:rPr>
        <w:t>工期要求：</w:t>
      </w:r>
      <w:r>
        <w:rPr>
          <w:rFonts w:hint="eastAsia" w:ascii="宋体" w:hAnsi="宋体"/>
          <w:color w:val="000000"/>
          <w:highlight w:val="none"/>
          <w:u w:val="single"/>
        </w:rPr>
        <w:t xml:space="preserve">       。</w:t>
      </w:r>
      <w:r>
        <w:rPr>
          <w:rFonts w:hint="eastAsia" w:ascii="宋体" w:hAnsi="宋体"/>
          <w:color w:val="000000"/>
          <w:highlight w:val="none"/>
        </w:rPr>
        <w:t xml:space="preserve"> 工期总日历天数与根据前述计划开竣工日期计算的工期天数不一致的，以工期总日历天数为准。</w:t>
      </w:r>
    </w:p>
    <w:p w14:paraId="77A71248">
      <w:pPr>
        <w:spacing w:line="360" w:lineRule="auto"/>
        <w:ind w:firstLine="459"/>
        <w:outlineLvl w:val="0"/>
        <w:rPr>
          <w:rFonts w:hint="eastAsia" w:ascii="宋体" w:hAnsi="宋体"/>
          <w:b/>
          <w:bCs/>
          <w:color w:val="000000"/>
          <w:highlight w:val="none"/>
        </w:rPr>
      </w:pPr>
      <w:bookmarkStart w:id="263" w:name="_Toc25402"/>
      <w:bookmarkStart w:id="264" w:name="_Toc108539755"/>
      <w:r>
        <w:rPr>
          <w:rFonts w:hint="eastAsia" w:ascii="宋体" w:hAnsi="宋体"/>
          <w:b/>
          <w:bCs/>
          <w:color w:val="000000"/>
          <w:highlight w:val="none"/>
        </w:rPr>
        <w:t>三、质量标准</w:t>
      </w:r>
      <w:bookmarkEnd w:id="263"/>
      <w:bookmarkEnd w:id="264"/>
    </w:p>
    <w:p w14:paraId="7CECC1B8">
      <w:pPr>
        <w:spacing w:line="360" w:lineRule="auto"/>
        <w:ind w:firstLine="459"/>
        <w:outlineLvl w:val="0"/>
        <w:rPr>
          <w:rFonts w:hint="eastAsia" w:ascii="宋体" w:hAnsi="宋体"/>
          <w:color w:val="000000"/>
          <w:highlight w:val="none"/>
        </w:rPr>
      </w:pPr>
      <w:bookmarkStart w:id="265" w:name="_Toc8892"/>
      <w:bookmarkStart w:id="266" w:name="_Toc108539756"/>
      <w:r>
        <w:rPr>
          <w:rFonts w:hint="eastAsia" w:ascii="宋体" w:hAnsi="宋体"/>
          <w:color w:val="000000"/>
          <w:highlight w:val="none"/>
        </w:rPr>
        <w:t>工程质量符合标准。</w:t>
      </w:r>
      <w:bookmarkEnd w:id="265"/>
      <w:bookmarkEnd w:id="266"/>
    </w:p>
    <w:p w14:paraId="3FB8FE98">
      <w:pPr>
        <w:spacing w:line="360" w:lineRule="auto"/>
        <w:ind w:firstLine="459"/>
        <w:outlineLvl w:val="0"/>
        <w:rPr>
          <w:rFonts w:hint="eastAsia" w:ascii="宋体" w:hAnsi="宋体"/>
          <w:b/>
          <w:bCs/>
          <w:color w:val="000000"/>
          <w:highlight w:val="none"/>
        </w:rPr>
      </w:pPr>
      <w:bookmarkStart w:id="267" w:name="_Toc15651"/>
      <w:bookmarkStart w:id="268" w:name="_Toc108539757"/>
      <w:r>
        <w:rPr>
          <w:rFonts w:hint="eastAsia" w:ascii="宋体" w:hAnsi="宋体"/>
          <w:b/>
          <w:bCs/>
          <w:color w:val="000000"/>
          <w:highlight w:val="none"/>
        </w:rPr>
        <w:t>四、签约合同价与合同价格形式</w:t>
      </w:r>
      <w:bookmarkEnd w:id="267"/>
      <w:bookmarkEnd w:id="268"/>
    </w:p>
    <w:p w14:paraId="4243CA55">
      <w:pPr>
        <w:spacing w:line="360" w:lineRule="auto"/>
        <w:ind w:firstLine="459"/>
        <w:rPr>
          <w:rFonts w:hint="eastAsia" w:ascii="宋体" w:hAnsi="宋体"/>
          <w:color w:val="000000"/>
          <w:highlight w:val="none"/>
        </w:rPr>
      </w:pPr>
      <w:r>
        <w:rPr>
          <w:rFonts w:hint="eastAsia" w:ascii="宋体" w:hAnsi="宋体"/>
          <w:color w:val="000000"/>
          <w:highlight w:val="none"/>
        </w:rPr>
        <w:t>1. 暂定合同价为：</w:t>
      </w:r>
    </w:p>
    <w:p w14:paraId="7E66A08D">
      <w:pPr>
        <w:spacing w:line="360" w:lineRule="auto"/>
        <w:ind w:firstLine="630" w:firstLineChars="300"/>
        <w:rPr>
          <w:rFonts w:hint="eastAsia" w:ascii="宋体" w:hAnsi="宋体"/>
          <w:color w:val="000000"/>
          <w:highlight w:val="none"/>
        </w:rPr>
      </w:pPr>
      <w:r>
        <w:rPr>
          <w:rFonts w:hint="eastAsia" w:ascii="宋体" w:hAnsi="宋体"/>
          <w:color w:val="000000"/>
          <w:highlight w:val="none"/>
        </w:rPr>
        <w:t>人民币</w:t>
      </w:r>
      <w:r>
        <w:rPr>
          <w:rFonts w:hint="eastAsia" w:ascii="宋体" w:hAnsi="宋体"/>
          <w:color w:val="000000"/>
          <w:highlight w:val="none"/>
          <w:u w:val="single"/>
        </w:rPr>
        <w:t>（大写             元（¥         ）</w:t>
      </w:r>
      <w:r>
        <w:rPr>
          <w:rFonts w:hint="eastAsia" w:ascii="宋体" w:hAnsi="宋体"/>
          <w:color w:val="000000"/>
          <w:highlight w:val="none"/>
        </w:rPr>
        <w:t>；</w:t>
      </w:r>
    </w:p>
    <w:p w14:paraId="19BBB854">
      <w:pPr>
        <w:spacing w:line="360" w:lineRule="auto"/>
        <w:ind w:firstLine="525" w:firstLineChars="250"/>
        <w:rPr>
          <w:rFonts w:hint="eastAsia" w:ascii="宋体" w:hAnsi="宋体"/>
          <w:color w:val="000000"/>
          <w:highlight w:val="none"/>
        </w:rPr>
      </w:pPr>
      <w:r>
        <w:rPr>
          <w:rFonts w:hint="eastAsia" w:ascii="宋体" w:hAnsi="宋体"/>
          <w:color w:val="000000"/>
          <w:highlight w:val="none"/>
        </w:rPr>
        <w:t>其中：</w:t>
      </w:r>
    </w:p>
    <w:p w14:paraId="3571DC9F">
      <w:pPr>
        <w:spacing w:line="360" w:lineRule="auto"/>
        <w:ind w:firstLine="420" w:firstLineChars="200"/>
        <w:rPr>
          <w:rFonts w:hint="eastAsia" w:ascii="宋体" w:hAnsi="宋体"/>
          <w:color w:val="000000"/>
          <w:highlight w:val="none"/>
        </w:rPr>
      </w:pPr>
      <w:r>
        <w:rPr>
          <w:rFonts w:hint="eastAsia" w:ascii="宋体" w:hAnsi="宋体"/>
          <w:color w:val="000000"/>
          <w:highlight w:val="none"/>
        </w:rPr>
        <w:t>（1）安全文明施工费：</w:t>
      </w:r>
    </w:p>
    <w:p w14:paraId="6FD996C5">
      <w:pPr>
        <w:spacing w:line="360" w:lineRule="auto"/>
        <w:ind w:firstLine="840" w:firstLineChars="400"/>
        <w:rPr>
          <w:rFonts w:hint="eastAsia" w:ascii="宋体" w:hAnsi="宋体"/>
          <w:color w:val="000000"/>
          <w:highlight w:val="none"/>
        </w:rPr>
      </w:pPr>
      <w:r>
        <w:rPr>
          <w:rFonts w:hint="eastAsia" w:ascii="宋体" w:hAnsi="宋体"/>
          <w:color w:val="000000"/>
          <w:highlight w:val="none"/>
        </w:rPr>
        <w:t>人民币</w:t>
      </w:r>
      <w:r>
        <w:rPr>
          <w:rFonts w:hint="eastAsia" w:ascii="宋体" w:hAnsi="宋体"/>
          <w:color w:val="000000"/>
          <w:highlight w:val="none"/>
          <w:u w:val="single"/>
        </w:rPr>
        <w:t>（大写             元（¥         ）</w:t>
      </w:r>
      <w:r>
        <w:rPr>
          <w:rFonts w:hint="eastAsia" w:ascii="宋体" w:hAnsi="宋体"/>
          <w:color w:val="000000"/>
          <w:highlight w:val="none"/>
        </w:rPr>
        <w:t>；</w:t>
      </w:r>
    </w:p>
    <w:p w14:paraId="770BF55E">
      <w:pPr>
        <w:spacing w:line="360" w:lineRule="auto"/>
        <w:ind w:firstLine="420" w:firstLineChars="200"/>
        <w:rPr>
          <w:rFonts w:hint="eastAsia" w:ascii="宋体" w:hAnsi="宋体"/>
          <w:color w:val="000000"/>
          <w:highlight w:val="none"/>
        </w:rPr>
      </w:pPr>
      <w:r>
        <w:rPr>
          <w:rFonts w:hint="eastAsia" w:ascii="宋体" w:hAnsi="宋体"/>
          <w:color w:val="000000"/>
          <w:highlight w:val="none"/>
        </w:rPr>
        <w:t>（2）建安劳保费：</w:t>
      </w:r>
    </w:p>
    <w:p w14:paraId="6513C70F">
      <w:pPr>
        <w:spacing w:line="360" w:lineRule="auto"/>
        <w:ind w:firstLine="840" w:firstLineChars="400"/>
        <w:rPr>
          <w:rFonts w:hint="eastAsia" w:ascii="宋体" w:hAnsi="宋体"/>
          <w:color w:val="000000"/>
          <w:highlight w:val="none"/>
        </w:rPr>
      </w:pPr>
      <w:r>
        <w:rPr>
          <w:rFonts w:hint="eastAsia" w:ascii="宋体" w:hAnsi="宋体"/>
          <w:color w:val="000000"/>
          <w:highlight w:val="none"/>
        </w:rPr>
        <w:t>人民币</w:t>
      </w:r>
      <w:r>
        <w:rPr>
          <w:rFonts w:hint="eastAsia" w:ascii="宋体" w:hAnsi="宋体"/>
          <w:color w:val="000000"/>
          <w:highlight w:val="none"/>
          <w:u w:val="single"/>
        </w:rPr>
        <w:t>（大写             元（¥         ）</w:t>
      </w:r>
      <w:r>
        <w:rPr>
          <w:rFonts w:hint="eastAsia" w:ascii="宋体" w:hAnsi="宋体"/>
          <w:color w:val="000000"/>
          <w:highlight w:val="none"/>
        </w:rPr>
        <w:t>；</w:t>
      </w:r>
    </w:p>
    <w:p w14:paraId="1EF8044A">
      <w:pPr>
        <w:spacing w:line="360" w:lineRule="auto"/>
        <w:ind w:firstLine="420" w:firstLineChars="200"/>
        <w:rPr>
          <w:rFonts w:hint="eastAsia" w:ascii="宋体" w:hAnsi="宋体"/>
          <w:color w:val="000000"/>
          <w:highlight w:val="none"/>
        </w:rPr>
      </w:pPr>
      <w:r>
        <w:rPr>
          <w:rFonts w:hint="eastAsia" w:ascii="宋体" w:hAnsi="宋体"/>
          <w:color w:val="000000"/>
          <w:highlight w:val="none"/>
        </w:rPr>
        <w:t>（3）材料和工程设备暂估价金额：</w:t>
      </w:r>
    </w:p>
    <w:p w14:paraId="0014C7CB">
      <w:pPr>
        <w:spacing w:line="360" w:lineRule="auto"/>
        <w:ind w:firstLine="840" w:firstLineChars="400"/>
        <w:rPr>
          <w:rFonts w:hint="eastAsia" w:ascii="宋体" w:hAnsi="宋体"/>
          <w:color w:val="000000"/>
          <w:highlight w:val="none"/>
        </w:rPr>
      </w:pPr>
      <w:r>
        <w:rPr>
          <w:rFonts w:hint="eastAsia" w:ascii="宋体" w:hAnsi="宋体"/>
          <w:color w:val="000000"/>
          <w:highlight w:val="none"/>
        </w:rPr>
        <w:t>人民币</w:t>
      </w:r>
      <w:r>
        <w:rPr>
          <w:rFonts w:hint="eastAsia" w:ascii="宋体" w:hAnsi="宋体"/>
          <w:color w:val="000000"/>
          <w:highlight w:val="none"/>
          <w:u w:val="single"/>
        </w:rPr>
        <w:t>（大写             元（¥         ）</w:t>
      </w:r>
      <w:r>
        <w:rPr>
          <w:rFonts w:hint="eastAsia" w:ascii="宋体" w:hAnsi="宋体"/>
          <w:color w:val="000000"/>
          <w:highlight w:val="none"/>
        </w:rPr>
        <w:t>；</w:t>
      </w:r>
    </w:p>
    <w:p w14:paraId="4BB91A8C">
      <w:pPr>
        <w:spacing w:line="360" w:lineRule="auto"/>
        <w:ind w:firstLine="420" w:firstLineChars="200"/>
        <w:rPr>
          <w:rFonts w:hint="eastAsia" w:ascii="宋体" w:hAnsi="宋体"/>
          <w:color w:val="000000"/>
          <w:highlight w:val="none"/>
        </w:rPr>
      </w:pPr>
      <w:r>
        <w:rPr>
          <w:rFonts w:hint="eastAsia" w:ascii="宋体" w:hAnsi="宋体"/>
          <w:color w:val="000000"/>
          <w:highlight w:val="none"/>
        </w:rPr>
        <w:t>（4）专业工程暂估价金额：</w:t>
      </w:r>
    </w:p>
    <w:p w14:paraId="08DC9D3D">
      <w:pPr>
        <w:spacing w:line="360" w:lineRule="auto"/>
        <w:ind w:firstLine="840" w:firstLineChars="400"/>
        <w:rPr>
          <w:rFonts w:hint="eastAsia" w:ascii="宋体" w:hAnsi="宋体"/>
          <w:color w:val="000000"/>
          <w:highlight w:val="none"/>
        </w:rPr>
      </w:pPr>
      <w:r>
        <w:rPr>
          <w:rFonts w:hint="eastAsia" w:ascii="宋体" w:hAnsi="宋体"/>
          <w:color w:val="000000"/>
          <w:highlight w:val="none"/>
        </w:rPr>
        <w:t>人民币</w:t>
      </w:r>
      <w:r>
        <w:rPr>
          <w:rFonts w:hint="eastAsia" w:ascii="宋体" w:hAnsi="宋体"/>
          <w:color w:val="000000"/>
          <w:highlight w:val="none"/>
          <w:u w:val="single"/>
        </w:rPr>
        <w:t>（大写             元（¥         ）</w:t>
      </w:r>
      <w:r>
        <w:rPr>
          <w:rFonts w:hint="eastAsia" w:ascii="宋体" w:hAnsi="宋体"/>
          <w:color w:val="000000"/>
          <w:highlight w:val="none"/>
        </w:rPr>
        <w:t>；</w:t>
      </w:r>
    </w:p>
    <w:p w14:paraId="691DD74B">
      <w:pPr>
        <w:spacing w:line="360" w:lineRule="auto"/>
        <w:ind w:firstLine="420" w:firstLineChars="200"/>
        <w:rPr>
          <w:rFonts w:hint="eastAsia" w:ascii="宋体" w:hAnsi="宋体"/>
          <w:color w:val="000000"/>
          <w:highlight w:val="none"/>
        </w:rPr>
      </w:pPr>
      <w:r>
        <w:rPr>
          <w:rFonts w:hint="eastAsia" w:ascii="宋体" w:hAnsi="宋体"/>
          <w:color w:val="000000"/>
          <w:highlight w:val="none"/>
        </w:rPr>
        <w:t>（5）暂列金额：</w:t>
      </w:r>
    </w:p>
    <w:p w14:paraId="6D48451B">
      <w:pPr>
        <w:spacing w:line="360" w:lineRule="auto"/>
        <w:ind w:firstLine="777" w:firstLineChars="370"/>
        <w:rPr>
          <w:rFonts w:hint="eastAsia" w:ascii="宋体" w:hAnsi="宋体"/>
          <w:color w:val="000000"/>
          <w:highlight w:val="none"/>
        </w:rPr>
      </w:pPr>
      <w:r>
        <w:rPr>
          <w:rFonts w:hint="eastAsia" w:ascii="宋体" w:hAnsi="宋体"/>
          <w:color w:val="000000"/>
          <w:highlight w:val="none"/>
        </w:rPr>
        <w:t>人民币</w:t>
      </w:r>
      <w:r>
        <w:rPr>
          <w:rFonts w:hint="eastAsia" w:ascii="宋体" w:hAnsi="宋体"/>
          <w:color w:val="000000"/>
          <w:highlight w:val="none"/>
          <w:u w:val="single"/>
        </w:rPr>
        <w:t>（大写             元（¥         ）</w:t>
      </w:r>
      <w:r>
        <w:rPr>
          <w:rFonts w:hint="eastAsia" w:ascii="宋体" w:hAnsi="宋体"/>
          <w:color w:val="000000"/>
          <w:highlight w:val="none"/>
        </w:rPr>
        <w:t>；</w:t>
      </w:r>
    </w:p>
    <w:p w14:paraId="71287E59">
      <w:pPr>
        <w:spacing w:line="360" w:lineRule="auto"/>
        <w:ind w:firstLine="359" w:firstLineChars="171"/>
        <w:rPr>
          <w:rFonts w:hint="eastAsia" w:ascii="宋体" w:hAnsi="宋体"/>
          <w:color w:val="000000"/>
          <w:highlight w:val="none"/>
        </w:rPr>
      </w:pPr>
      <w:r>
        <w:rPr>
          <w:rFonts w:hint="eastAsia" w:ascii="宋体" w:hAnsi="宋体"/>
          <w:color w:val="000000"/>
          <w:highlight w:val="none"/>
        </w:rPr>
        <w:t>（6）增值税额：</w:t>
      </w:r>
    </w:p>
    <w:p w14:paraId="694759E7">
      <w:pPr>
        <w:spacing w:line="360" w:lineRule="auto"/>
        <w:ind w:firstLine="840" w:firstLineChars="400"/>
        <w:rPr>
          <w:rFonts w:hint="eastAsia" w:ascii="宋体" w:hAnsi="宋体"/>
          <w:color w:val="000000"/>
          <w:highlight w:val="none"/>
        </w:rPr>
      </w:pPr>
      <w:r>
        <w:rPr>
          <w:rFonts w:hint="eastAsia" w:ascii="宋体" w:hAnsi="宋体"/>
          <w:color w:val="000000"/>
          <w:highlight w:val="none"/>
        </w:rPr>
        <w:t>人民币</w:t>
      </w:r>
      <w:r>
        <w:rPr>
          <w:rFonts w:hint="eastAsia" w:ascii="宋体" w:hAnsi="宋体"/>
          <w:color w:val="000000"/>
          <w:highlight w:val="none"/>
          <w:u w:val="single"/>
        </w:rPr>
        <w:t>（大写             元（¥         ）</w:t>
      </w:r>
      <w:r>
        <w:rPr>
          <w:rFonts w:hint="eastAsia" w:ascii="宋体" w:hAnsi="宋体"/>
          <w:color w:val="000000"/>
          <w:highlight w:val="none"/>
        </w:rPr>
        <w:t>；</w:t>
      </w:r>
    </w:p>
    <w:p w14:paraId="4E6DF64D">
      <w:pPr>
        <w:spacing w:line="360" w:lineRule="auto"/>
        <w:ind w:firstLine="840" w:firstLineChars="400"/>
        <w:rPr>
          <w:rFonts w:hint="eastAsia" w:ascii="宋体" w:hAnsi="宋体"/>
          <w:color w:val="000000"/>
          <w:highlight w:val="none"/>
        </w:rPr>
      </w:pPr>
      <w:r>
        <w:rPr>
          <w:rFonts w:hint="eastAsia" w:ascii="宋体" w:hAnsi="宋体"/>
          <w:color w:val="000000"/>
          <w:highlight w:val="none"/>
        </w:rPr>
        <w:t>增值税率：</w:t>
      </w:r>
      <w:r>
        <w:rPr>
          <w:rFonts w:hint="eastAsia" w:ascii="宋体" w:hAnsi="宋体"/>
          <w:color w:val="000000"/>
          <w:highlight w:val="none"/>
          <w:u w:val="single"/>
        </w:rPr>
        <w:t xml:space="preserve">  　　　　　　  </w:t>
      </w:r>
    </w:p>
    <w:p w14:paraId="095E0B1E">
      <w:pPr>
        <w:numPr>
          <w:ilvl w:val="0"/>
          <w:numId w:val="4"/>
        </w:numPr>
        <w:spacing w:line="360" w:lineRule="auto"/>
        <w:ind w:firstLine="420" w:firstLineChars="200"/>
        <w:rPr>
          <w:rFonts w:hint="eastAsia" w:ascii="宋体" w:hAnsi="宋体"/>
          <w:color w:val="000000"/>
          <w:highlight w:val="none"/>
        </w:rPr>
      </w:pPr>
      <w:r>
        <w:rPr>
          <w:rFonts w:hint="eastAsia" w:ascii="宋体" w:hAnsi="宋体"/>
          <w:color w:val="000000"/>
          <w:highlight w:val="none"/>
        </w:rPr>
        <w:t xml:space="preserve">合同价格形式：  </w:t>
      </w:r>
    </w:p>
    <w:p w14:paraId="7E177F06">
      <w:pPr>
        <w:spacing w:line="360" w:lineRule="auto"/>
        <w:ind w:firstLine="630" w:firstLineChars="300"/>
        <w:rPr>
          <w:rFonts w:hint="eastAsia" w:ascii="宋体" w:hAnsi="宋体"/>
          <w:color w:val="000000"/>
          <w:highlight w:val="none"/>
        </w:rPr>
      </w:pPr>
      <w:r>
        <w:rPr>
          <w:rFonts w:hint="eastAsia" w:ascii="宋体" w:hAnsi="宋体"/>
          <w:color w:val="000000"/>
          <w:highlight w:val="none"/>
        </w:rPr>
        <w:t>合同价格形式：</w:t>
      </w:r>
      <w:r>
        <w:rPr>
          <w:rFonts w:hint="eastAsia" w:ascii="宋体" w:hAnsi="宋体"/>
          <w:color w:val="000000"/>
          <w:highlight w:val="none"/>
          <w:u w:val="single"/>
        </w:rPr>
        <w:t>本工程采用</w:t>
      </w:r>
      <w:r>
        <w:rPr>
          <w:rFonts w:hint="eastAsia" w:ascii="宋体" w:hAnsi="宋体"/>
          <w:color w:val="000000"/>
          <w:highlight w:val="none"/>
          <w:u w:val="single"/>
          <w:lang w:eastAsia="zh-CN"/>
        </w:rPr>
        <w:t>总价合同</w:t>
      </w:r>
      <w:r>
        <w:rPr>
          <w:rFonts w:hint="eastAsia" w:ascii="宋体" w:hAnsi="宋体"/>
          <w:color w:val="000000"/>
          <w:highlight w:val="none"/>
          <w:u w:val="single"/>
        </w:rPr>
        <w:t>。</w:t>
      </w:r>
    </w:p>
    <w:p w14:paraId="37449E6B">
      <w:pPr>
        <w:spacing w:line="360" w:lineRule="auto"/>
        <w:ind w:firstLine="422" w:firstLineChars="200"/>
        <w:outlineLvl w:val="0"/>
        <w:rPr>
          <w:rFonts w:hint="eastAsia" w:ascii="宋体" w:hAnsi="宋体"/>
          <w:b/>
          <w:bCs/>
          <w:color w:val="000000"/>
          <w:highlight w:val="none"/>
        </w:rPr>
      </w:pPr>
      <w:bookmarkStart w:id="269" w:name="_Toc351203485"/>
      <w:bookmarkStart w:id="270" w:name="_Toc108539758"/>
      <w:bookmarkStart w:id="271" w:name="_Toc24341"/>
      <w:r>
        <w:rPr>
          <w:rFonts w:hint="eastAsia" w:ascii="宋体" w:hAnsi="宋体"/>
          <w:b/>
          <w:bCs/>
          <w:color w:val="000000"/>
          <w:highlight w:val="none"/>
        </w:rPr>
        <w:t>五、</w:t>
      </w:r>
      <w:bookmarkEnd w:id="269"/>
      <w:r>
        <w:rPr>
          <w:rFonts w:hint="eastAsia" w:ascii="宋体" w:hAnsi="宋体"/>
          <w:b/>
          <w:bCs/>
          <w:color w:val="000000"/>
          <w:highlight w:val="none"/>
        </w:rPr>
        <w:t>项目经理</w:t>
      </w:r>
      <w:bookmarkEnd w:id="270"/>
      <w:bookmarkEnd w:id="271"/>
    </w:p>
    <w:p w14:paraId="743B1073">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承包人项目经理：</w:t>
      </w:r>
      <w:r>
        <w:rPr>
          <w:rFonts w:hint="eastAsia" w:ascii="宋体" w:hAnsi="宋体"/>
          <w:color w:val="000000"/>
          <w:highlight w:val="none"/>
          <w:u w:val="single"/>
        </w:rPr>
        <w:t xml:space="preserve">  　　　　　　  </w:t>
      </w:r>
      <w:r>
        <w:rPr>
          <w:rFonts w:hint="eastAsia" w:ascii="宋体" w:hAnsi="宋体"/>
          <w:color w:val="000000"/>
          <w:highlight w:val="none"/>
        </w:rPr>
        <w:t>。</w:t>
      </w:r>
    </w:p>
    <w:p w14:paraId="23FD35D3">
      <w:pPr>
        <w:spacing w:line="360" w:lineRule="auto"/>
        <w:ind w:firstLine="422" w:firstLineChars="200"/>
        <w:outlineLvl w:val="0"/>
        <w:rPr>
          <w:rFonts w:hint="eastAsia" w:ascii="宋体" w:hAnsi="宋体"/>
          <w:b/>
          <w:bCs/>
          <w:color w:val="000000"/>
          <w:highlight w:val="none"/>
        </w:rPr>
      </w:pPr>
      <w:bookmarkStart w:id="272" w:name="_Toc108539759"/>
      <w:bookmarkStart w:id="273" w:name="_Toc29184"/>
      <w:r>
        <w:rPr>
          <w:rFonts w:hint="eastAsia" w:ascii="宋体" w:hAnsi="宋体"/>
          <w:b/>
          <w:bCs/>
          <w:color w:val="000000"/>
          <w:highlight w:val="none"/>
        </w:rPr>
        <w:t>六、合同文件构成</w:t>
      </w:r>
      <w:bookmarkEnd w:id="272"/>
      <w:bookmarkEnd w:id="273"/>
    </w:p>
    <w:p w14:paraId="6281855C">
      <w:pPr>
        <w:spacing w:line="360" w:lineRule="auto"/>
        <w:ind w:firstLine="420" w:firstLineChars="200"/>
        <w:rPr>
          <w:rFonts w:hint="eastAsia" w:ascii="宋体" w:hAnsi="宋体"/>
          <w:color w:val="000000"/>
          <w:highlight w:val="none"/>
        </w:rPr>
      </w:pPr>
      <w:r>
        <w:rPr>
          <w:rFonts w:hint="eastAsia" w:ascii="宋体" w:hAnsi="宋体"/>
          <w:color w:val="000000"/>
          <w:highlight w:val="none"/>
        </w:rPr>
        <w:t>本协议书与下列文件一起构成合同文件：</w:t>
      </w:r>
    </w:p>
    <w:p w14:paraId="0469AB57">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（1）成交通知书（如有）；</w:t>
      </w:r>
    </w:p>
    <w:p w14:paraId="1A7AC0B2">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 xml:space="preserve">（2）磋商函及其附录（如有）； </w:t>
      </w:r>
    </w:p>
    <w:p w14:paraId="314476CF">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（3）专用合同条款及其附件；</w:t>
      </w:r>
    </w:p>
    <w:p w14:paraId="666800C1">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（4）通用合同条款；</w:t>
      </w:r>
    </w:p>
    <w:p w14:paraId="0C51CA7C">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（5）技术标准和要求；</w:t>
      </w:r>
    </w:p>
    <w:p w14:paraId="0B48A7BE">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（6）图纸；</w:t>
      </w:r>
    </w:p>
    <w:p w14:paraId="6B3C4306">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 xml:space="preserve">（7）已标价工程量清单； </w:t>
      </w:r>
    </w:p>
    <w:p w14:paraId="46A2390E">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（8）其他合同文件：</w:t>
      </w:r>
    </w:p>
    <w:p w14:paraId="7E71B60E">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磋商文件及附件（含所有补充通知）；</w:t>
      </w:r>
    </w:p>
    <w:p w14:paraId="1D86C558">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在合同订立及履行过程中形成的与合同有关的文件均构成合同文件组成部分。</w:t>
      </w:r>
    </w:p>
    <w:p w14:paraId="65362558">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上述各项合同文件包括合同当事人就该项合同文件所作出的补充和修改，属于同一类内容的文件，应以最新签署的为准。专用合同条款及其附件须经合同当事人签字或盖章。</w:t>
      </w:r>
    </w:p>
    <w:p w14:paraId="750AD8CA">
      <w:pPr>
        <w:autoSpaceDE w:val="0"/>
        <w:autoSpaceDN w:val="0"/>
        <w:spacing w:line="360" w:lineRule="auto"/>
        <w:ind w:firstLine="422" w:firstLineChars="200"/>
        <w:jc w:val="left"/>
        <w:outlineLvl w:val="0"/>
        <w:rPr>
          <w:rFonts w:hint="eastAsia" w:ascii="宋体" w:hAnsi="宋体"/>
          <w:b/>
          <w:bCs/>
          <w:color w:val="000000"/>
          <w:highlight w:val="none"/>
        </w:rPr>
      </w:pPr>
      <w:bookmarkStart w:id="274" w:name="_Toc10862"/>
      <w:bookmarkStart w:id="275" w:name="_Toc108539760"/>
      <w:r>
        <w:rPr>
          <w:rFonts w:hint="eastAsia" w:ascii="宋体" w:hAnsi="宋体"/>
          <w:b/>
          <w:bCs/>
          <w:color w:val="000000"/>
          <w:highlight w:val="none"/>
        </w:rPr>
        <w:t>七、承诺</w:t>
      </w:r>
      <w:bookmarkEnd w:id="274"/>
      <w:bookmarkEnd w:id="275"/>
    </w:p>
    <w:p w14:paraId="0801B251">
      <w:pPr>
        <w:spacing w:line="360" w:lineRule="auto"/>
        <w:ind w:firstLine="420" w:firstLineChars="200"/>
        <w:rPr>
          <w:rFonts w:hint="eastAsia" w:ascii="宋体" w:hAnsi="宋体"/>
          <w:color w:val="000000"/>
          <w:highlight w:val="none"/>
        </w:rPr>
      </w:pPr>
      <w:r>
        <w:rPr>
          <w:rFonts w:hint="eastAsia" w:ascii="宋体" w:hAnsi="宋体"/>
          <w:color w:val="000000"/>
          <w:highlight w:val="none"/>
        </w:rPr>
        <w:t>1. 发包人承诺按照法律规定履行项目审批手续、筹集工程建设资金并按照合同约定的期限和方式支付合同价款。</w:t>
      </w:r>
    </w:p>
    <w:p w14:paraId="5333BA0B">
      <w:pPr>
        <w:spacing w:line="360" w:lineRule="auto"/>
        <w:ind w:firstLine="420" w:firstLineChars="200"/>
        <w:rPr>
          <w:rFonts w:hint="eastAsia" w:ascii="宋体" w:hAnsi="宋体"/>
          <w:color w:val="000000"/>
          <w:highlight w:val="none"/>
        </w:rPr>
      </w:pPr>
      <w:r>
        <w:rPr>
          <w:rFonts w:hint="eastAsia" w:ascii="宋体" w:hAnsi="宋体"/>
          <w:color w:val="000000"/>
          <w:highlight w:val="none"/>
        </w:rPr>
        <w:t>2. 承包人承诺按照法律规定及合同约定组织完成工程施工，确保工程质量和安全，不进行转包及违法分包，并在缺陷责任期及保修期内承担相应的工程维修责任。</w:t>
      </w:r>
    </w:p>
    <w:p w14:paraId="542F0E59">
      <w:pPr>
        <w:spacing w:line="360" w:lineRule="auto"/>
        <w:ind w:firstLine="420" w:firstLineChars="200"/>
        <w:rPr>
          <w:rFonts w:hint="eastAsia" w:ascii="宋体" w:hAnsi="宋体"/>
          <w:color w:val="000000"/>
          <w:highlight w:val="none"/>
        </w:rPr>
      </w:pPr>
      <w:r>
        <w:rPr>
          <w:rFonts w:hint="eastAsia" w:ascii="宋体" w:hAnsi="宋体"/>
          <w:color w:val="000000"/>
          <w:highlight w:val="none"/>
        </w:rPr>
        <w:t>3. 发包人和承包人通过招投标形式签订合同的，双方理解并承诺不再就同一工程另行签订与合同实质性内容相背离的协议。</w:t>
      </w:r>
    </w:p>
    <w:p w14:paraId="006AFEA1">
      <w:pPr>
        <w:spacing w:line="360" w:lineRule="auto"/>
        <w:ind w:firstLine="422" w:firstLineChars="200"/>
        <w:outlineLvl w:val="0"/>
        <w:rPr>
          <w:rFonts w:hint="eastAsia" w:ascii="宋体" w:hAnsi="宋体"/>
          <w:b/>
          <w:bCs/>
          <w:color w:val="000000"/>
          <w:highlight w:val="none"/>
        </w:rPr>
      </w:pPr>
      <w:bookmarkStart w:id="276" w:name="_Toc108539761"/>
      <w:bookmarkStart w:id="277" w:name="_Toc23365"/>
      <w:r>
        <w:rPr>
          <w:rFonts w:hint="eastAsia" w:ascii="宋体" w:hAnsi="宋体"/>
          <w:b/>
          <w:bCs/>
          <w:color w:val="000000"/>
          <w:highlight w:val="none"/>
        </w:rPr>
        <w:t>八、词语含义</w:t>
      </w:r>
      <w:bookmarkEnd w:id="276"/>
      <w:bookmarkEnd w:id="277"/>
    </w:p>
    <w:p w14:paraId="3D51EA22">
      <w:pPr>
        <w:spacing w:line="360" w:lineRule="auto"/>
        <w:ind w:firstLine="420" w:firstLineChars="200"/>
        <w:rPr>
          <w:rFonts w:hint="eastAsia" w:ascii="宋体" w:hAnsi="宋体"/>
          <w:color w:val="000000"/>
          <w:highlight w:val="none"/>
        </w:rPr>
      </w:pPr>
      <w:r>
        <w:rPr>
          <w:rFonts w:hint="eastAsia" w:ascii="宋体" w:hAnsi="宋体"/>
          <w:color w:val="000000"/>
          <w:highlight w:val="none"/>
        </w:rPr>
        <w:t>本协议书中词语含义与第二部分通用合同条款中赋予的含义相同。</w:t>
      </w:r>
    </w:p>
    <w:p w14:paraId="6FAFD4A9">
      <w:pPr>
        <w:spacing w:line="360" w:lineRule="auto"/>
        <w:ind w:firstLine="422" w:firstLineChars="200"/>
        <w:outlineLvl w:val="0"/>
        <w:rPr>
          <w:rFonts w:hint="eastAsia" w:ascii="宋体" w:hAnsi="宋体"/>
          <w:b/>
          <w:bCs/>
          <w:color w:val="000000"/>
          <w:highlight w:val="none"/>
        </w:rPr>
      </w:pPr>
      <w:bookmarkStart w:id="278" w:name="_Toc108539762"/>
      <w:bookmarkStart w:id="279" w:name="_Toc29003"/>
      <w:r>
        <w:rPr>
          <w:rFonts w:hint="eastAsia" w:ascii="宋体" w:hAnsi="宋体"/>
          <w:b/>
          <w:bCs/>
          <w:color w:val="000000"/>
          <w:highlight w:val="none"/>
        </w:rPr>
        <w:t>九、签订时间</w:t>
      </w:r>
      <w:bookmarkEnd w:id="278"/>
      <w:bookmarkEnd w:id="279"/>
    </w:p>
    <w:p w14:paraId="4920266C">
      <w:pPr>
        <w:spacing w:line="360" w:lineRule="auto"/>
        <w:ind w:firstLine="420" w:firstLineChars="200"/>
        <w:rPr>
          <w:rFonts w:hint="eastAsia" w:ascii="宋体" w:hAnsi="宋体"/>
          <w:bCs/>
          <w:color w:val="000000"/>
          <w:szCs w:val="21"/>
          <w:highlight w:val="none"/>
        </w:rPr>
      </w:pPr>
      <w:r>
        <w:rPr>
          <w:rFonts w:hint="eastAsia" w:ascii="宋体" w:hAnsi="宋体"/>
          <w:bCs/>
          <w:color w:val="000000"/>
          <w:szCs w:val="21"/>
          <w:highlight w:val="none"/>
        </w:rPr>
        <w:t>本合同于</w:t>
      </w:r>
      <w:r>
        <w:rPr>
          <w:rFonts w:hint="eastAsia" w:ascii="宋体" w:hAnsi="宋体"/>
          <w:bCs/>
          <w:color w:val="000000"/>
          <w:szCs w:val="21"/>
          <w:highlight w:val="none"/>
          <w:u w:val="single"/>
        </w:rPr>
        <w:t xml:space="preserve">       年   月    日</w:t>
      </w:r>
      <w:r>
        <w:rPr>
          <w:rFonts w:hint="eastAsia" w:ascii="宋体" w:hAnsi="宋体"/>
          <w:bCs/>
          <w:color w:val="000000"/>
          <w:szCs w:val="21"/>
          <w:highlight w:val="none"/>
        </w:rPr>
        <w:t>签订</w:t>
      </w:r>
      <w:r>
        <w:rPr>
          <w:rFonts w:hint="eastAsia" w:ascii="宋体" w:hAnsi="宋体"/>
          <w:color w:val="000000"/>
          <w:highlight w:val="none"/>
        </w:rPr>
        <w:t>。</w:t>
      </w:r>
    </w:p>
    <w:p w14:paraId="1C5D8D50">
      <w:pPr>
        <w:spacing w:line="360" w:lineRule="auto"/>
        <w:ind w:firstLine="422" w:firstLineChars="200"/>
        <w:outlineLvl w:val="0"/>
        <w:rPr>
          <w:rFonts w:hint="eastAsia" w:ascii="宋体" w:hAnsi="宋体"/>
          <w:b/>
          <w:bCs/>
          <w:color w:val="000000"/>
          <w:highlight w:val="none"/>
        </w:rPr>
      </w:pPr>
      <w:bookmarkStart w:id="280" w:name="_Toc108539763"/>
      <w:bookmarkStart w:id="281" w:name="_Toc20675"/>
      <w:r>
        <w:rPr>
          <w:rFonts w:hint="eastAsia" w:ascii="宋体" w:hAnsi="宋体"/>
          <w:b/>
          <w:bCs/>
          <w:color w:val="000000"/>
          <w:highlight w:val="none"/>
        </w:rPr>
        <w:t>十、签订地点</w:t>
      </w:r>
      <w:bookmarkEnd w:id="280"/>
      <w:bookmarkEnd w:id="281"/>
    </w:p>
    <w:p w14:paraId="469D51FE">
      <w:pPr>
        <w:spacing w:line="360" w:lineRule="auto"/>
        <w:ind w:firstLine="420" w:firstLineChars="200"/>
        <w:rPr>
          <w:rFonts w:hint="eastAsia" w:ascii="宋体" w:hAnsi="宋体"/>
          <w:color w:val="000000"/>
          <w:highlight w:val="none"/>
        </w:rPr>
      </w:pPr>
      <w:r>
        <w:rPr>
          <w:rFonts w:hint="eastAsia" w:ascii="宋体" w:hAnsi="宋体"/>
          <w:color w:val="000000"/>
          <w:highlight w:val="none"/>
        </w:rPr>
        <w:t>本合同在</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rPr>
        <w:t>签订。</w:t>
      </w:r>
    </w:p>
    <w:p w14:paraId="0E3F5649">
      <w:pPr>
        <w:spacing w:line="360" w:lineRule="auto"/>
        <w:ind w:firstLine="422" w:firstLineChars="200"/>
        <w:outlineLvl w:val="0"/>
        <w:rPr>
          <w:rFonts w:hint="eastAsia" w:ascii="宋体" w:hAnsi="宋体"/>
          <w:b/>
          <w:bCs/>
          <w:color w:val="000000"/>
          <w:highlight w:val="none"/>
        </w:rPr>
      </w:pPr>
      <w:bookmarkStart w:id="282" w:name="_Toc15409"/>
      <w:bookmarkStart w:id="283" w:name="_Toc108539764"/>
      <w:r>
        <w:rPr>
          <w:rFonts w:hint="eastAsia" w:ascii="宋体" w:hAnsi="宋体"/>
          <w:b/>
          <w:bCs/>
          <w:color w:val="000000"/>
          <w:highlight w:val="none"/>
        </w:rPr>
        <w:t>十一、补充协议</w:t>
      </w:r>
      <w:bookmarkEnd w:id="282"/>
      <w:bookmarkEnd w:id="283"/>
    </w:p>
    <w:p w14:paraId="245C2ABE">
      <w:pPr>
        <w:spacing w:line="360" w:lineRule="auto"/>
        <w:ind w:firstLine="420" w:firstLineChars="200"/>
        <w:rPr>
          <w:rFonts w:hint="eastAsia" w:ascii="宋体" w:hAnsi="宋体"/>
          <w:color w:val="000000"/>
          <w:highlight w:val="none"/>
        </w:rPr>
      </w:pPr>
      <w:r>
        <w:rPr>
          <w:rFonts w:hint="eastAsia" w:ascii="宋体" w:hAnsi="宋体"/>
          <w:color w:val="000000"/>
          <w:highlight w:val="none"/>
        </w:rPr>
        <w:t>合同未尽事宜，合同当事人另行签订补充协议，补充协议是合同的组成部分。</w:t>
      </w:r>
    </w:p>
    <w:p w14:paraId="4E22FED7">
      <w:pPr>
        <w:spacing w:line="360" w:lineRule="auto"/>
        <w:ind w:firstLine="422" w:firstLineChars="200"/>
        <w:outlineLvl w:val="0"/>
        <w:rPr>
          <w:rFonts w:hint="eastAsia" w:ascii="宋体" w:hAnsi="宋体"/>
          <w:b/>
          <w:bCs/>
          <w:color w:val="000000"/>
          <w:highlight w:val="none"/>
        </w:rPr>
      </w:pPr>
      <w:bookmarkStart w:id="284" w:name="_Toc108539765"/>
      <w:bookmarkStart w:id="285" w:name="_Toc20758"/>
      <w:r>
        <w:rPr>
          <w:rFonts w:hint="eastAsia" w:ascii="宋体" w:hAnsi="宋体"/>
          <w:b/>
          <w:bCs/>
          <w:color w:val="000000"/>
          <w:highlight w:val="none"/>
        </w:rPr>
        <w:t>十二、合同生效</w:t>
      </w:r>
      <w:bookmarkEnd w:id="284"/>
      <w:bookmarkEnd w:id="285"/>
    </w:p>
    <w:p w14:paraId="69386AEC">
      <w:pPr>
        <w:spacing w:line="360" w:lineRule="auto"/>
        <w:ind w:firstLine="420" w:firstLineChars="200"/>
        <w:rPr>
          <w:rFonts w:hint="eastAsia" w:ascii="宋体" w:hAnsi="宋体"/>
          <w:color w:val="000000"/>
          <w:highlight w:val="none"/>
        </w:rPr>
      </w:pPr>
      <w:r>
        <w:rPr>
          <w:rFonts w:hint="eastAsia" w:ascii="宋体" w:hAnsi="宋体"/>
          <w:color w:val="000000"/>
          <w:highlight w:val="none"/>
        </w:rPr>
        <w:t>本合同自</w:t>
      </w:r>
      <w:r>
        <w:rPr>
          <w:rFonts w:hint="eastAsia" w:ascii="宋体" w:hAnsi="宋体"/>
          <w:color w:val="000000"/>
          <w:highlight w:val="none"/>
          <w:u w:val="single"/>
        </w:rPr>
        <w:t xml:space="preserve">  双方法定代表人（负责人）或其委托代理人签字并盖公章之日起</w:t>
      </w:r>
      <w:r>
        <w:rPr>
          <w:rFonts w:hint="eastAsia" w:ascii="宋体" w:hAnsi="宋体"/>
          <w:color w:val="000000"/>
          <w:highlight w:val="none"/>
        </w:rPr>
        <w:t>生效。</w:t>
      </w:r>
    </w:p>
    <w:p w14:paraId="0390CFCB">
      <w:pPr>
        <w:spacing w:line="360" w:lineRule="auto"/>
        <w:ind w:firstLine="422" w:firstLineChars="200"/>
        <w:outlineLvl w:val="0"/>
        <w:rPr>
          <w:rFonts w:hint="eastAsia" w:ascii="宋体" w:hAnsi="宋体"/>
          <w:b/>
          <w:bCs/>
          <w:color w:val="000000"/>
          <w:highlight w:val="none"/>
        </w:rPr>
      </w:pPr>
      <w:bookmarkStart w:id="286" w:name="_Toc108539766"/>
      <w:bookmarkStart w:id="287" w:name="_Toc28360"/>
      <w:r>
        <w:rPr>
          <w:rFonts w:hint="eastAsia" w:ascii="宋体" w:hAnsi="宋体"/>
          <w:b/>
          <w:bCs/>
          <w:color w:val="000000"/>
          <w:highlight w:val="none"/>
        </w:rPr>
        <w:t>十三、合同份数</w:t>
      </w:r>
      <w:bookmarkEnd w:id="286"/>
      <w:bookmarkEnd w:id="287"/>
    </w:p>
    <w:p w14:paraId="3B26D948">
      <w:pPr>
        <w:spacing w:line="360" w:lineRule="auto"/>
        <w:ind w:firstLine="420" w:firstLineChars="200"/>
        <w:rPr>
          <w:rFonts w:hint="eastAsia" w:ascii="宋体" w:hAnsi="宋体"/>
          <w:color w:val="000000"/>
          <w:highlight w:val="none"/>
        </w:rPr>
      </w:pPr>
      <w:r>
        <w:rPr>
          <w:rFonts w:hint="eastAsia" w:ascii="宋体" w:hAnsi="宋体"/>
          <w:color w:val="000000"/>
          <w:highlight w:val="none"/>
        </w:rPr>
        <w:t>本合同一式</w:t>
      </w:r>
      <w:r>
        <w:rPr>
          <w:rFonts w:hint="eastAsia" w:ascii="宋体" w:hAnsi="宋体"/>
          <w:color w:val="000000"/>
          <w:highlight w:val="none"/>
          <w:u w:val="single"/>
        </w:rPr>
        <w:t xml:space="preserve">  玖  </w:t>
      </w:r>
      <w:r>
        <w:rPr>
          <w:rFonts w:hint="eastAsia" w:ascii="宋体" w:hAnsi="宋体"/>
          <w:color w:val="000000"/>
          <w:highlight w:val="none"/>
        </w:rPr>
        <w:t>份，均具有同等法律效力，发包人执</w:t>
      </w:r>
      <w:r>
        <w:rPr>
          <w:rFonts w:hint="eastAsia" w:ascii="宋体" w:hAnsi="宋体"/>
          <w:color w:val="000000"/>
          <w:highlight w:val="none"/>
          <w:u w:val="single"/>
        </w:rPr>
        <w:t xml:space="preserve">  肆  </w:t>
      </w:r>
      <w:r>
        <w:rPr>
          <w:rFonts w:hint="eastAsia" w:ascii="宋体" w:hAnsi="宋体"/>
          <w:color w:val="000000"/>
          <w:highlight w:val="none"/>
        </w:rPr>
        <w:t>份，承包人执</w:t>
      </w:r>
      <w:r>
        <w:rPr>
          <w:rFonts w:hint="eastAsia" w:ascii="宋体" w:hAnsi="宋体"/>
          <w:color w:val="000000"/>
          <w:highlight w:val="none"/>
          <w:u w:val="single"/>
        </w:rPr>
        <w:t xml:space="preserve">  肆  </w:t>
      </w:r>
      <w:r>
        <w:rPr>
          <w:rFonts w:hint="eastAsia" w:ascii="宋体" w:hAnsi="宋体"/>
          <w:color w:val="000000"/>
          <w:highlight w:val="none"/>
        </w:rPr>
        <w:t xml:space="preserve">份，采购代理机构 </w:t>
      </w:r>
      <w:r>
        <w:rPr>
          <w:rFonts w:hint="eastAsia" w:ascii="宋体" w:hAnsi="宋体"/>
          <w:color w:val="000000"/>
          <w:highlight w:val="none"/>
          <w:u w:val="single"/>
        </w:rPr>
        <w:t xml:space="preserve"> 壹  </w:t>
      </w:r>
      <w:r>
        <w:rPr>
          <w:rFonts w:hint="eastAsia" w:ascii="宋体" w:hAnsi="宋体"/>
          <w:color w:val="000000"/>
          <w:highlight w:val="none"/>
        </w:rPr>
        <w:t>份（用于广西政府采购云平台备案）。</w:t>
      </w:r>
    </w:p>
    <w:p w14:paraId="1A75690B">
      <w:pPr>
        <w:spacing w:line="360" w:lineRule="auto"/>
        <w:rPr>
          <w:rFonts w:ascii="宋体" w:hAnsi="宋体"/>
          <w:color w:val="000000"/>
          <w:highlight w:val="none"/>
        </w:rPr>
      </w:pPr>
    </w:p>
    <w:p w14:paraId="5DB7C0D7">
      <w:pPr>
        <w:spacing w:line="360" w:lineRule="auto"/>
        <w:rPr>
          <w:rFonts w:hint="eastAsia" w:ascii="宋体" w:hAnsi="宋体"/>
          <w:color w:val="000000"/>
          <w:highlight w:val="none"/>
        </w:rPr>
      </w:pPr>
      <w:r>
        <w:rPr>
          <w:rFonts w:hint="eastAsia" w:ascii="宋体" w:hAnsi="宋体"/>
          <w:color w:val="000000"/>
          <w:highlight w:val="none"/>
        </w:rPr>
        <w:t>发包人：  （公章）                              承包人：  （公章）</w:t>
      </w:r>
    </w:p>
    <w:p w14:paraId="1737263D">
      <w:pPr>
        <w:spacing w:line="360" w:lineRule="auto"/>
        <w:rPr>
          <w:rFonts w:ascii="宋体" w:hAnsi="宋体"/>
          <w:color w:val="000000"/>
          <w:highlight w:val="none"/>
          <w:u w:val="single"/>
        </w:rPr>
      </w:pPr>
    </w:p>
    <w:p w14:paraId="188DA0E1">
      <w:pPr>
        <w:spacing w:line="360" w:lineRule="auto"/>
        <w:rPr>
          <w:rFonts w:hint="eastAsia" w:ascii="宋体" w:hAnsi="宋体"/>
          <w:color w:val="000000"/>
          <w:highlight w:val="none"/>
        </w:rPr>
      </w:pPr>
      <w:r>
        <w:rPr>
          <w:rFonts w:hint="eastAsia" w:ascii="宋体" w:hAnsi="宋体"/>
          <w:color w:val="000000"/>
          <w:highlight w:val="none"/>
        </w:rPr>
        <w:t>法定代表人（负责人）或其委托代理人：          法定代表人（负责人）或其委托代理人：</w:t>
      </w:r>
    </w:p>
    <w:p w14:paraId="7113152F">
      <w:pPr>
        <w:spacing w:line="360" w:lineRule="auto"/>
        <w:rPr>
          <w:rFonts w:hint="eastAsia" w:ascii="宋体" w:hAnsi="宋体"/>
          <w:color w:val="000000"/>
          <w:highlight w:val="none"/>
        </w:rPr>
      </w:pPr>
      <w:r>
        <w:rPr>
          <w:rFonts w:hint="eastAsia" w:ascii="宋体" w:hAnsi="宋体"/>
          <w:color w:val="000000"/>
          <w:highlight w:val="none"/>
        </w:rPr>
        <w:t>（签字</w:t>
      </w:r>
      <w:r>
        <w:rPr>
          <w:rFonts w:hint="eastAsia" w:ascii="宋体" w:hAnsi="宋体"/>
          <w:color w:val="000000"/>
          <w:highlight w:val="none"/>
          <w:lang w:eastAsia="zh-CN"/>
        </w:rPr>
        <w:t>或盖章</w:t>
      </w:r>
      <w:r>
        <w:rPr>
          <w:rFonts w:hint="eastAsia" w:ascii="宋体" w:hAnsi="宋体"/>
          <w:color w:val="000000"/>
          <w:highlight w:val="none"/>
        </w:rPr>
        <w:t>）                                     （签字</w:t>
      </w:r>
      <w:r>
        <w:rPr>
          <w:rFonts w:hint="eastAsia" w:ascii="宋体" w:hAnsi="宋体"/>
          <w:color w:val="000000"/>
          <w:highlight w:val="none"/>
          <w:lang w:eastAsia="zh-CN"/>
        </w:rPr>
        <w:t>或盖章</w:t>
      </w:r>
      <w:r>
        <w:rPr>
          <w:rFonts w:hint="eastAsia" w:ascii="宋体" w:hAnsi="宋体"/>
          <w:color w:val="000000"/>
          <w:highlight w:val="none"/>
        </w:rPr>
        <w:t>）</w:t>
      </w:r>
    </w:p>
    <w:p w14:paraId="630B9DFE">
      <w:pPr>
        <w:spacing w:line="360" w:lineRule="auto"/>
        <w:rPr>
          <w:rFonts w:ascii="宋体" w:hAnsi="宋体"/>
          <w:color w:val="000000"/>
          <w:highlight w:val="none"/>
          <w:u w:val="single"/>
        </w:rPr>
      </w:pPr>
    </w:p>
    <w:p w14:paraId="38BBA4D5">
      <w:pPr>
        <w:tabs>
          <w:tab w:val="left" w:pos="4410"/>
        </w:tabs>
        <w:spacing w:line="360" w:lineRule="auto"/>
        <w:rPr>
          <w:rFonts w:hint="eastAsia" w:ascii="宋体" w:hAnsi="宋体"/>
          <w:color w:val="000000"/>
          <w:highlight w:val="none"/>
        </w:rPr>
      </w:pPr>
      <w:r>
        <w:rPr>
          <w:rFonts w:hint="eastAsia" w:ascii="宋体" w:hAnsi="宋体"/>
          <w:color w:val="000000"/>
          <w:highlight w:val="none"/>
        </w:rPr>
        <w:t>统一社会信用代码：                           统一社会信用代码：</w:t>
      </w:r>
    </w:p>
    <w:p w14:paraId="08B10880">
      <w:pPr>
        <w:spacing w:line="360" w:lineRule="auto"/>
        <w:rPr>
          <w:rFonts w:hint="eastAsia" w:ascii="宋体" w:hAnsi="宋体"/>
          <w:color w:val="000000"/>
          <w:highlight w:val="none"/>
        </w:rPr>
      </w:pPr>
      <w:r>
        <w:rPr>
          <w:rFonts w:hint="eastAsia" w:ascii="宋体" w:hAnsi="宋体"/>
          <w:color w:val="000000"/>
          <w:highlight w:val="none"/>
        </w:rPr>
        <w:t xml:space="preserve">地  址：                                    </w:t>
      </w:r>
      <w:r>
        <w:rPr>
          <w:rFonts w:ascii="宋体" w:hAnsi="宋体"/>
          <w:color w:val="000000"/>
          <w:highlight w:val="none"/>
        </w:rPr>
        <w:t xml:space="preserve"> </w:t>
      </w:r>
      <w:r>
        <w:rPr>
          <w:rFonts w:hint="eastAsia" w:ascii="宋体" w:hAnsi="宋体"/>
          <w:color w:val="000000"/>
          <w:highlight w:val="none"/>
        </w:rPr>
        <w:t>地      址：</w:t>
      </w:r>
    </w:p>
    <w:p w14:paraId="5CA17D3F">
      <w:pPr>
        <w:spacing w:line="360" w:lineRule="auto"/>
        <w:rPr>
          <w:rFonts w:hint="eastAsia" w:ascii="宋体" w:hAnsi="宋体"/>
          <w:color w:val="000000"/>
          <w:highlight w:val="none"/>
        </w:rPr>
      </w:pPr>
      <w:r>
        <w:rPr>
          <w:rFonts w:hint="eastAsia" w:ascii="宋体" w:hAnsi="宋体"/>
          <w:color w:val="000000"/>
          <w:highlight w:val="none"/>
        </w:rPr>
        <w:t>邮政编码：                                   邮政编码：</w:t>
      </w:r>
    </w:p>
    <w:p w14:paraId="3B2031BC">
      <w:pPr>
        <w:spacing w:line="360" w:lineRule="auto"/>
        <w:rPr>
          <w:rFonts w:hint="eastAsia" w:ascii="宋体" w:hAnsi="宋体"/>
          <w:color w:val="000000"/>
          <w:highlight w:val="none"/>
        </w:rPr>
      </w:pPr>
      <w:r>
        <w:rPr>
          <w:rFonts w:hint="eastAsia" w:ascii="宋体" w:hAnsi="宋体"/>
          <w:color w:val="000000"/>
          <w:highlight w:val="none"/>
        </w:rPr>
        <w:t>法定代表人：                                 法定代表人：</w:t>
      </w:r>
    </w:p>
    <w:p w14:paraId="1A33F679">
      <w:pPr>
        <w:spacing w:line="360" w:lineRule="auto"/>
        <w:rPr>
          <w:rFonts w:hint="eastAsia" w:ascii="宋体" w:hAnsi="宋体"/>
          <w:color w:val="000000"/>
          <w:highlight w:val="none"/>
        </w:rPr>
      </w:pPr>
      <w:r>
        <w:rPr>
          <w:rFonts w:hint="eastAsia" w:ascii="宋体" w:hAnsi="宋体"/>
          <w:color w:val="000000"/>
          <w:highlight w:val="none"/>
        </w:rPr>
        <w:t>委托代理人：                                 委托代理人：</w:t>
      </w:r>
    </w:p>
    <w:p w14:paraId="457869B8">
      <w:pPr>
        <w:spacing w:line="360" w:lineRule="auto"/>
        <w:rPr>
          <w:rFonts w:hint="eastAsia" w:ascii="宋体" w:hAnsi="宋体"/>
          <w:color w:val="000000"/>
          <w:highlight w:val="none"/>
        </w:rPr>
      </w:pPr>
      <w:r>
        <w:rPr>
          <w:rFonts w:hint="eastAsia" w:ascii="宋体" w:hAnsi="宋体"/>
          <w:color w:val="000000"/>
          <w:highlight w:val="none"/>
        </w:rPr>
        <w:t>电  话：                                     电  话：</w:t>
      </w:r>
    </w:p>
    <w:p w14:paraId="0F6CB0E8">
      <w:pPr>
        <w:spacing w:line="360" w:lineRule="auto"/>
        <w:rPr>
          <w:rFonts w:hint="eastAsia" w:ascii="宋体" w:hAnsi="宋体"/>
          <w:color w:val="000000"/>
          <w:highlight w:val="none"/>
        </w:rPr>
      </w:pPr>
      <w:r>
        <w:rPr>
          <w:rFonts w:hint="eastAsia" w:ascii="宋体" w:hAnsi="宋体"/>
          <w:color w:val="000000"/>
          <w:highlight w:val="none"/>
        </w:rPr>
        <w:t>传  真：                                     传  真：</w:t>
      </w:r>
    </w:p>
    <w:p w14:paraId="23704F3E">
      <w:pPr>
        <w:spacing w:line="360" w:lineRule="auto"/>
        <w:rPr>
          <w:rFonts w:hint="eastAsia" w:ascii="宋体" w:hAnsi="宋体"/>
          <w:color w:val="000000"/>
          <w:highlight w:val="none"/>
        </w:rPr>
      </w:pPr>
      <w:r>
        <w:rPr>
          <w:rFonts w:hint="eastAsia" w:ascii="宋体" w:hAnsi="宋体"/>
          <w:color w:val="000000"/>
          <w:highlight w:val="none"/>
        </w:rPr>
        <w:t>电子信箱：                                   电子信箱：</w:t>
      </w:r>
    </w:p>
    <w:p w14:paraId="2CDC972A">
      <w:pPr>
        <w:spacing w:line="360" w:lineRule="auto"/>
        <w:rPr>
          <w:rFonts w:hint="eastAsia" w:ascii="宋体" w:hAnsi="宋体"/>
          <w:color w:val="000000"/>
          <w:highlight w:val="none"/>
        </w:rPr>
      </w:pPr>
      <w:r>
        <w:rPr>
          <w:rFonts w:hint="eastAsia" w:ascii="宋体" w:hAnsi="宋体"/>
          <w:color w:val="000000"/>
          <w:highlight w:val="none"/>
        </w:rPr>
        <w:t>开户银行：                                   开户银行：</w:t>
      </w:r>
    </w:p>
    <w:p w14:paraId="043398C2">
      <w:pPr>
        <w:rPr>
          <w:rFonts w:hint="eastAsia" w:ascii="宋体" w:hAnsi="宋体"/>
          <w:color w:val="000000"/>
          <w:highlight w:val="none"/>
        </w:rPr>
      </w:pPr>
      <w:r>
        <w:rPr>
          <w:rFonts w:hint="eastAsia" w:ascii="宋体" w:hAnsi="宋体"/>
          <w:color w:val="000000"/>
          <w:highlight w:val="none"/>
        </w:rPr>
        <w:t>账  号：                                     账  号：</w:t>
      </w:r>
    </w:p>
    <w:p w14:paraId="670C5775">
      <w:pPr>
        <w:widowControl/>
        <w:jc w:val="left"/>
        <w:rPr>
          <w:rFonts w:hint="eastAsia" w:ascii="宋体" w:hAnsi="宋体"/>
          <w:color w:val="000000"/>
          <w:highlight w:val="none"/>
        </w:rPr>
      </w:pPr>
      <w:r>
        <w:rPr>
          <w:rFonts w:hint="eastAsia" w:ascii="宋体" w:hAnsi="宋体"/>
          <w:color w:val="000000"/>
          <w:highlight w:val="none"/>
        </w:rPr>
        <w:br w:type="page"/>
      </w:r>
    </w:p>
    <w:p w14:paraId="34053C96">
      <w:pPr>
        <w:numPr>
          <w:ilvl w:val="0"/>
          <w:numId w:val="5"/>
        </w:numPr>
        <w:spacing w:line="500" w:lineRule="exact"/>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rPr>
        <w:t>合同通用条款</w:t>
      </w:r>
    </w:p>
    <w:p w14:paraId="0BD64544">
      <w:pPr>
        <w:spacing w:line="500" w:lineRule="exact"/>
        <w:rPr>
          <w:rFonts w:hint="eastAsia" w:ascii="宋体" w:hAnsi="宋体"/>
          <w:color w:val="000000"/>
          <w:sz w:val="24"/>
          <w:highlight w:val="none"/>
        </w:rPr>
      </w:pPr>
      <w:r>
        <w:rPr>
          <w:rFonts w:hint="eastAsia" w:ascii="宋体" w:hAnsi="宋体"/>
          <w:color w:val="000000"/>
          <w:sz w:val="24"/>
          <w:highlight w:val="none"/>
        </w:rPr>
        <w:t>本建设工程施工合同条件采用国家工商行政管理局和建设部颁发的《建设工程施工合同》（</w:t>
      </w:r>
      <w:r>
        <w:rPr>
          <w:rFonts w:hint="eastAsia" w:ascii="宋体" w:hAnsi="宋体"/>
          <w:b/>
          <w:bCs/>
          <w:color w:val="000000"/>
          <w:sz w:val="24"/>
          <w:highlight w:val="none"/>
        </w:rPr>
        <w:t>GF—2017—0201</w:t>
      </w:r>
      <w:r>
        <w:rPr>
          <w:rFonts w:hint="eastAsia" w:ascii="宋体" w:hAnsi="宋体"/>
          <w:color w:val="000000"/>
          <w:sz w:val="24"/>
          <w:highlight w:val="none"/>
        </w:rPr>
        <w:t>）的通用条款</w:t>
      </w:r>
    </w:p>
    <w:p w14:paraId="4027E75B">
      <w:pPr>
        <w:spacing w:line="360" w:lineRule="auto"/>
        <w:ind w:firstLine="420" w:firstLineChars="200"/>
        <w:rPr>
          <w:rFonts w:ascii="宋体" w:hAnsi="宋体"/>
          <w:color w:val="000000"/>
          <w:szCs w:val="21"/>
          <w:highlight w:val="none"/>
        </w:rPr>
      </w:pPr>
    </w:p>
    <w:p w14:paraId="081C3000">
      <w:pPr>
        <w:pStyle w:val="10"/>
        <w:keepNext w:val="0"/>
        <w:jc w:val="center"/>
        <w:rPr>
          <w:rFonts w:hint="eastAsia" w:ascii="宋体" w:hAnsi="宋体"/>
          <w:color w:val="000000"/>
          <w:sz w:val="30"/>
          <w:szCs w:val="30"/>
          <w:highlight w:val="none"/>
        </w:rPr>
      </w:pPr>
      <w:bookmarkStart w:id="288" w:name="_Toc407135193"/>
      <w:bookmarkStart w:id="289" w:name="_Toc10182"/>
      <w:bookmarkStart w:id="290" w:name="_Toc389065257"/>
      <w:bookmarkStart w:id="291" w:name="_Toc108539767"/>
      <w:bookmarkStart w:id="292" w:name="_Toc6849"/>
      <w:bookmarkStart w:id="293" w:name="_Toc487632690"/>
      <w:r>
        <w:rPr>
          <w:rFonts w:hint="eastAsia" w:ascii="宋体" w:hAnsi="宋体"/>
          <w:color w:val="000000"/>
          <w:sz w:val="30"/>
          <w:szCs w:val="30"/>
          <w:highlight w:val="none"/>
        </w:rPr>
        <w:t>第三部分专用合同条款</w:t>
      </w:r>
      <w:bookmarkEnd w:id="288"/>
      <w:bookmarkEnd w:id="289"/>
      <w:bookmarkEnd w:id="290"/>
      <w:bookmarkEnd w:id="291"/>
      <w:bookmarkEnd w:id="292"/>
      <w:bookmarkEnd w:id="293"/>
    </w:p>
    <w:p w14:paraId="554CA3BC">
      <w:pPr>
        <w:pStyle w:val="11"/>
        <w:rPr>
          <w:rFonts w:ascii="宋体" w:hAnsi="宋体" w:eastAsia="宋体"/>
          <w:color w:val="000000"/>
          <w:highlight w:val="none"/>
        </w:rPr>
      </w:pPr>
      <w:bookmarkStart w:id="294" w:name="_Toc389065258"/>
      <w:bookmarkStart w:id="295" w:name="_Toc108539768"/>
      <w:bookmarkStart w:id="296" w:name="_Toc373478339"/>
      <w:bookmarkStart w:id="297" w:name="_Toc487632691"/>
      <w:bookmarkStart w:id="298" w:name="_Toc407135194"/>
      <w:bookmarkStart w:id="299" w:name="_Toc31003"/>
      <w:bookmarkStart w:id="300" w:name="_Toc373227692"/>
      <w:bookmarkStart w:id="301" w:name="_Toc351203633"/>
      <w:r>
        <w:rPr>
          <w:rFonts w:ascii="宋体" w:hAnsi="宋体" w:eastAsia="宋体"/>
          <w:color w:val="000000"/>
          <w:highlight w:val="none"/>
        </w:rPr>
        <w:t xml:space="preserve">1. </w:t>
      </w:r>
      <w:r>
        <w:rPr>
          <w:rFonts w:hint="eastAsia" w:ascii="宋体" w:hAnsi="宋体" w:eastAsia="宋体"/>
          <w:color w:val="000000"/>
          <w:highlight w:val="none"/>
        </w:rPr>
        <w:t>一般约定</w:t>
      </w:r>
      <w:bookmarkEnd w:id="294"/>
      <w:bookmarkEnd w:id="295"/>
      <w:bookmarkEnd w:id="296"/>
      <w:bookmarkEnd w:id="297"/>
      <w:bookmarkEnd w:id="298"/>
      <w:bookmarkEnd w:id="299"/>
      <w:bookmarkEnd w:id="300"/>
      <w:bookmarkEnd w:id="301"/>
    </w:p>
    <w:p w14:paraId="6B8E2DDC">
      <w:pPr>
        <w:pStyle w:val="12"/>
        <w:spacing w:before="0" w:after="60"/>
        <w:rPr>
          <w:rFonts w:ascii="宋体" w:hAnsi="宋体"/>
          <w:color w:val="000000"/>
          <w:highlight w:val="none"/>
        </w:rPr>
      </w:pPr>
      <w:bookmarkStart w:id="302" w:name="_Toc373478340"/>
      <w:bookmarkStart w:id="303" w:name="_Toc108539769"/>
      <w:bookmarkStart w:id="304" w:name="_Toc407135195"/>
      <w:bookmarkStart w:id="305" w:name="_Toc487632692"/>
      <w:bookmarkStart w:id="306" w:name="_Toc389065259"/>
      <w:bookmarkStart w:id="307" w:name="_Toc373227693"/>
      <w:bookmarkStart w:id="308" w:name="_Toc8936"/>
      <w:r>
        <w:rPr>
          <w:rFonts w:ascii="宋体" w:hAnsi="宋体"/>
          <w:color w:val="000000"/>
          <w:highlight w:val="none"/>
        </w:rPr>
        <w:t xml:space="preserve">1.1 </w:t>
      </w:r>
      <w:r>
        <w:rPr>
          <w:rFonts w:hint="eastAsia" w:ascii="宋体" w:hAnsi="宋体"/>
          <w:color w:val="000000"/>
          <w:highlight w:val="none"/>
        </w:rPr>
        <w:t>词语定义</w:t>
      </w:r>
      <w:bookmarkEnd w:id="302"/>
      <w:bookmarkEnd w:id="303"/>
      <w:bookmarkEnd w:id="304"/>
      <w:bookmarkEnd w:id="305"/>
      <w:bookmarkEnd w:id="306"/>
      <w:bookmarkEnd w:id="307"/>
      <w:bookmarkEnd w:id="308"/>
    </w:p>
    <w:p w14:paraId="613B2D41">
      <w:pPr>
        <w:spacing w:line="360" w:lineRule="auto"/>
        <w:ind w:firstLine="420" w:firstLineChars="200"/>
        <w:rPr>
          <w:rFonts w:ascii="宋体" w:hAnsi="宋体"/>
          <w:color w:val="000000"/>
          <w:kern w:val="0"/>
          <w:highlight w:val="none"/>
        </w:rPr>
      </w:pPr>
      <w:r>
        <w:rPr>
          <w:rFonts w:ascii="宋体" w:hAnsi="宋体"/>
          <w:color w:val="000000"/>
          <w:kern w:val="0"/>
          <w:highlight w:val="none"/>
        </w:rPr>
        <w:t xml:space="preserve">1.1.1 </w:t>
      </w:r>
      <w:r>
        <w:rPr>
          <w:rFonts w:hint="eastAsia" w:ascii="宋体" w:hAnsi="宋体"/>
          <w:color w:val="000000"/>
          <w:kern w:val="0"/>
          <w:highlight w:val="none"/>
        </w:rPr>
        <w:t>合同</w:t>
      </w:r>
    </w:p>
    <w:p w14:paraId="72F8F75A">
      <w:pPr>
        <w:spacing w:line="360" w:lineRule="auto"/>
        <w:rPr>
          <w:rFonts w:ascii="宋体" w:hAnsi="宋体"/>
          <w:color w:val="000000"/>
          <w:kern w:val="0"/>
          <w:highlight w:val="none"/>
        </w:rPr>
      </w:pPr>
      <w:r>
        <w:rPr>
          <w:rFonts w:ascii="宋体" w:hAnsi="宋体"/>
          <w:color w:val="000000"/>
          <w:kern w:val="0"/>
          <w:highlight w:val="none"/>
        </w:rPr>
        <w:t xml:space="preserve">1.1.1.10 </w:t>
      </w:r>
      <w:r>
        <w:rPr>
          <w:rFonts w:hint="eastAsia" w:ascii="宋体" w:hAnsi="宋体"/>
          <w:color w:val="000000"/>
          <w:kern w:val="0"/>
          <w:highlight w:val="none"/>
        </w:rPr>
        <w:t>其他合同文件包括：</w:t>
      </w:r>
      <w:r>
        <w:rPr>
          <w:rFonts w:hint="eastAsia" w:ascii="宋体" w:hAnsi="宋体"/>
          <w:color w:val="000000"/>
          <w:szCs w:val="21"/>
          <w:highlight w:val="none"/>
          <w:u w:val="single"/>
        </w:rPr>
        <w:t>合同协议书；成交通知书；</w:t>
      </w:r>
      <w:r>
        <w:rPr>
          <w:rFonts w:hint="eastAsia" w:ascii="宋体" w:hAnsi="宋体"/>
          <w:color w:val="000000"/>
          <w:kern w:val="0"/>
          <w:szCs w:val="21"/>
          <w:highlight w:val="none"/>
          <w:u w:val="single"/>
        </w:rPr>
        <w:t>磋商函及其附录；</w:t>
      </w:r>
      <w:r>
        <w:rPr>
          <w:rFonts w:hint="eastAsia" w:ascii="宋体" w:hAnsi="宋体"/>
          <w:color w:val="000000"/>
          <w:szCs w:val="21"/>
          <w:highlight w:val="none"/>
          <w:u w:val="single"/>
        </w:rPr>
        <w:t xml:space="preserve">专用合同条款及其附件；通用合同条款；技术标准和要求；招标工程量清单和图纸；磋商文件；响应文件；其他合同文件；补充协议；工程洽商；经发包人同意监理人发布的变更指示和工程签证；工程会议纪要；备忘录 </w:t>
      </w:r>
      <w:r>
        <w:rPr>
          <w:rFonts w:hint="eastAsia" w:ascii="宋体" w:hAnsi="宋体"/>
          <w:color w:val="000000"/>
          <w:highlight w:val="none"/>
        </w:rPr>
        <w:t>。</w:t>
      </w:r>
    </w:p>
    <w:p w14:paraId="11018E6C">
      <w:pPr>
        <w:spacing w:line="360" w:lineRule="auto"/>
        <w:ind w:firstLine="420" w:firstLineChars="200"/>
        <w:rPr>
          <w:rFonts w:ascii="宋体" w:hAnsi="宋体"/>
          <w:color w:val="000000"/>
          <w:highlight w:val="none"/>
        </w:rPr>
      </w:pPr>
      <w:r>
        <w:rPr>
          <w:rFonts w:ascii="宋体" w:hAnsi="宋体"/>
          <w:color w:val="000000"/>
          <w:highlight w:val="none"/>
        </w:rPr>
        <w:t xml:space="preserve">1.1.2 </w:t>
      </w:r>
      <w:r>
        <w:rPr>
          <w:rFonts w:hint="eastAsia" w:ascii="宋体" w:hAnsi="宋体"/>
          <w:color w:val="000000"/>
          <w:highlight w:val="none"/>
        </w:rPr>
        <w:t>合同当事人及其他相关方</w:t>
      </w:r>
    </w:p>
    <w:p w14:paraId="5180840C">
      <w:pPr>
        <w:spacing w:line="360" w:lineRule="auto"/>
        <w:ind w:firstLine="420" w:firstLineChars="200"/>
        <w:outlineLvl w:val="0"/>
        <w:rPr>
          <w:rFonts w:ascii="宋体" w:hAnsi="宋体"/>
          <w:color w:val="000000"/>
          <w:highlight w:val="none"/>
        </w:rPr>
      </w:pPr>
      <w:bookmarkStart w:id="309" w:name="_Toc21476"/>
      <w:bookmarkStart w:id="310" w:name="_Toc24799"/>
      <w:bookmarkStart w:id="311" w:name="_Toc108539770"/>
      <w:r>
        <w:rPr>
          <w:rFonts w:ascii="宋体" w:hAnsi="宋体"/>
          <w:color w:val="000000"/>
          <w:highlight w:val="none"/>
        </w:rPr>
        <w:t xml:space="preserve">1.1.2.4 </w:t>
      </w:r>
      <w:r>
        <w:rPr>
          <w:rFonts w:hint="eastAsia" w:ascii="宋体" w:hAnsi="宋体"/>
          <w:color w:val="000000"/>
          <w:highlight w:val="none"/>
        </w:rPr>
        <w:t>监理人：</w:t>
      </w:r>
      <w:bookmarkEnd w:id="309"/>
      <w:bookmarkEnd w:id="310"/>
      <w:bookmarkEnd w:id="311"/>
    </w:p>
    <w:p w14:paraId="6C82D53F">
      <w:pPr>
        <w:spacing w:line="360" w:lineRule="auto"/>
        <w:ind w:firstLine="420" w:firstLineChars="200"/>
        <w:rPr>
          <w:rFonts w:hint="eastAsia" w:ascii="宋体" w:hAnsi="宋体"/>
          <w:color w:val="000000"/>
          <w:highlight w:val="none"/>
        </w:rPr>
      </w:pPr>
      <w:r>
        <w:rPr>
          <w:rFonts w:hint="eastAsia" w:ascii="宋体" w:hAnsi="宋体"/>
          <w:color w:val="000000"/>
          <w:highlight w:val="none"/>
        </w:rPr>
        <w:t>名称：</w:t>
      </w:r>
      <w:r>
        <w:rPr>
          <w:rFonts w:hint="eastAsia" w:ascii="宋体" w:hAnsi="宋体"/>
          <w:color w:val="000000"/>
          <w:highlight w:val="none"/>
          <w:u w:val="single"/>
        </w:rPr>
        <w:t xml:space="preserve">  　　　　　　  </w:t>
      </w:r>
      <w:r>
        <w:rPr>
          <w:rFonts w:hint="eastAsia" w:ascii="宋体" w:hAnsi="宋体"/>
          <w:color w:val="000000"/>
          <w:highlight w:val="none"/>
        </w:rPr>
        <w:t>；</w:t>
      </w:r>
    </w:p>
    <w:p w14:paraId="75B5A903">
      <w:pPr>
        <w:spacing w:line="360" w:lineRule="auto"/>
        <w:ind w:firstLine="420" w:firstLineChars="200"/>
        <w:rPr>
          <w:rFonts w:hint="eastAsia" w:ascii="宋体" w:hAnsi="宋体"/>
          <w:color w:val="000000"/>
          <w:highlight w:val="none"/>
        </w:rPr>
      </w:pPr>
      <w:r>
        <w:rPr>
          <w:rFonts w:hint="eastAsia" w:ascii="宋体" w:hAnsi="宋体"/>
          <w:color w:val="000000"/>
          <w:highlight w:val="none"/>
        </w:rPr>
        <w:t>资质类别和等级：</w:t>
      </w:r>
      <w:r>
        <w:rPr>
          <w:rFonts w:hint="eastAsia" w:ascii="宋体" w:hAnsi="宋体"/>
          <w:color w:val="000000"/>
          <w:highlight w:val="none"/>
          <w:u w:val="single"/>
        </w:rPr>
        <w:t xml:space="preserve">  　　　　　　  </w:t>
      </w:r>
      <w:r>
        <w:rPr>
          <w:rFonts w:hint="eastAsia" w:ascii="宋体" w:hAnsi="宋体"/>
          <w:color w:val="000000"/>
          <w:highlight w:val="none"/>
        </w:rPr>
        <w:t>；</w:t>
      </w:r>
    </w:p>
    <w:p w14:paraId="68E629AB">
      <w:pPr>
        <w:spacing w:line="360" w:lineRule="auto"/>
        <w:ind w:firstLine="420" w:firstLineChars="200"/>
        <w:rPr>
          <w:rFonts w:hint="eastAsia" w:ascii="宋体" w:hAnsi="宋体"/>
          <w:color w:val="000000"/>
          <w:highlight w:val="none"/>
        </w:rPr>
      </w:pPr>
      <w:r>
        <w:rPr>
          <w:rFonts w:hint="eastAsia" w:ascii="宋体" w:hAnsi="宋体"/>
          <w:color w:val="000000"/>
          <w:highlight w:val="none"/>
        </w:rPr>
        <w:t>联系电话：</w:t>
      </w:r>
      <w:r>
        <w:rPr>
          <w:rFonts w:hint="eastAsia" w:ascii="宋体" w:hAnsi="宋体"/>
          <w:color w:val="000000"/>
          <w:highlight w:val="none"/>
          <w:u w:val="single"/>
        </w:rPr>
        <w:t xml:space="preserve">  　　　　　　  </w:t>
      </w:r>
      <w:r>
        <w:rPr>
          <w:rFonts w:hint="eastAsia" w:ascii="宋体" w:hAnsi="宋体"/>
          <w:color w:val="000000"/>
          <w:highlight w:val="none"/>
        </w:rPr>
        <w:t>；</w:t>
      </w:r>
    </w:p>
    <w:p w14:paraId="3610781A">
      <w:pPr>
        <w:spacing w:line="360" w:lineRule="auto"/>
        <w:ind w:firstLine="420" w:firstLineChars="200"/>
        <w:rPr>
          <w:rFonts w:hint="eastAsia" w:ascii="宋体" w:hAnsi="宋体"/>
          <w:color w:val="000000"/>
          <w:highlight w:val="none"/>
        </w:rPr>
      </w:pPr>
      <w:r>
        <w:rPr>
          <w:rFonts w:hint="eastAsia" w:ascii="宋体" w:hAnsi="宋体"/>
          <w:color w:val="000000"/>
          <w:highlight w:val="none"/>
        </w:rPr>
        <w:t>电子信箱：</w:t>
      </w:r>
      <w:r>
        <w:rPr>
          <w:rFonts w:hint="eastAsia" w:ascii="宋体" w:hAnsi="宋体"/>
          <w:color w:val="000000"/>
          <w:highlight w:val="none"/>
          <w:u w:val="single"/>
        </w:rPr>
        <w:t xml:space="preserve">  　　　　　　  </w:t>
      </w:r>
      <w:r>
        <w:rPr>
          <w:rFonts w:hint="eastAsia" w:ascii="宋体" w:hAnsi="宋体"/>
          <w:color w:val="000000"/>
          <w:highlight w:val="none"/>
        </w:rPr>
        <w:t>；</w:t>
      </w:r>
    </w:p>
    <w:p w14:paraId="4ECDE0C9">
      <w:pPr>
        <w:spacing w:line="360" w:lineRule="auto"/>
        <w:ind w:firstLine="420" w:firstLineChars="200"/>
        <w:rPr>
          <w:rFonts w:hint="eastAsia" w:ascii="宋体" w:hAnsi="宋体"/>
          <w:color w:val="000000"/>
          <w:highlight w:val="none"/>
        </w:rPr>
      </w:pPr>
      <w:r>
        <w:rPr>
          <w:rFonts w:hint="eastAsia" w:ascii="宋体" w:hAnsi="宋体"/>
          <w:color w:val="000000"/>
          <w:highlight w:val="none"/>
        </w:rPr>
        <w:t>通信地址：</w:t>
      </w:r>
      <w:r>
        <w:rPr>
          <w:rFonts w:hint="eastAsia" w:ascii="宋体" w:hAnsi="宋体"/>
          <w:color w:val="000000"/>
          <w:highlight w:val="none"/>
          <w:u w:val="single"/>
        </w:rPr>
        <w:t xml:space="preserve">  　　　　　　  </w:t>
      </w:r>
      <w:r>
        <w:rPr>
          <w:rFonts w:hint="eastAsia" w:ascii="宋体" w:hAnsi="宋体"/>
          <w:color w:val="000000"/>
          <w:highlight w:val="none"/>
        </w:rPr>
        <w:t>。</w:t>
      </w:r>
    </w:p>
    <w:p w14:paraId="0AE5215A">
      <w:pPr>
        <w:spacing w:line="360" w:lineRule="auto"/>
        <w:ind w:firstLine="420" w:firstLineChars="200"/>
        <w:outlineLvl w:val="0"/>
        <w:rPr>
          <w:rFonts w:ascii="宋体" w:hAnsi="宋体"/>
          <w:color w:val="000000"/>
          <w:highlight w:val="none"/>
        </w:rPr>
      </w:pPr>
      <w:bookmarkStart w:id="312" w:name="_Toc5831"/>
      <w:bookmarkStart w:id="313" w:name="_Toc32510"/>
      <w:bookmarkStart w:id="314" w:name="_Toc108539771"/>
      <w:r>
        <w:rPr>
          <w:rFonts w:ascii="宋体" w:hAnsi="宋体"/>
          <w:color w:val="000000"/>
          <w:highlight w:val="none"/>
        </w:rPr>
        <w:t xml:space="preserve">1.1.2.5 </w:t>
      </w:r>
      <w:r>
        <w:rPr>
          <w:rFonts w:hint="eastAsia" w:ascii="宋体" w:hAnsi="宋体"/>
          <w:color w:val="000000"/>
          <w:highlight w:val="none"/>
        </w:rPr>
        <w:t>设计人：</w:t>
      </w:r>
      <w:bookmarkEnd w:id="312"/>
      <w:bookmarkEnd w:id="313"/>
      <w:bookmarkEnd w:id="314"/>
    </w:p>
    <w:p w14:paraId="0E54565B">
      <w:pPr>
        <w:spacing w:line="360" w:lineRule="auto"/>
        <w:ind w:firstLine="420" w:firstLineChars="200"/>
        <w:rPr>
          <w:rFonts w:hint="eastAsia" w:ascii="宋体" w:hAnsi="宋体"/>
          <w:color w:val="000000"/>
          <w:highlight w:val="none"/>
        </w:rPr>
      </w:pPr>
      <w:r>
        <w:rPr>
          <w:rFonts w:hint="eastAsia" w:ascii="宋体" w:hAnsi="宋体"/>
          <w:color w:val="000000"/>
          <w:highlight w:val="none"/>
        </w:rPr>
        <w:t>名称：</w:t>
      </w:r>
      <w:r>
        <w:rPr>
          <w:rFonts w:hint="eastAsia" w:ascii="宋体" w:hAnsi="宋体"/>
          <w:color w:val="000000"/>
          <w:highlight w:val="none"/>
          <w:u w:val="single"/>
        </w:rPr>
        <w:t xml:space="preserve">  　　　　　　  </w:t>
      </w:r>
      <w:r>
        <w:rPr>
          <w:rFonts w:hint="eastAsia" w:ascii="宋体" w:hAnsi="宋体"/>
          <w:color w:val="000000"/>
          <w:highlight w:val="none"/>
        </w:rPr>
        <w:t>；</w:t>
      </w:r>
    </w:p>
    <w:p w14:paraId="37533D67">
      <w:pPr>
        <w:spacing w:line="360" w:lineRule="auto"/>
        <w:ind w:firstLine="420" w:firstLineChars="200"/>
        <w:rPr>
          <w:rFonts w:hint="eastAsia" w:ascii="宋体" w:hAnsi="宋体"/>
          <w:color w:val="000000"/>
          <w:highlight w:val="none"/>
        </w:rPr>
      </w:pPr>
      <w:r>
        <w:rPr>
          <w:rFonts w:hint="eastAsia" w:ascii="宋体" w:hAnsi="宋体"/>
          <w:color w:val="000000"/>
          <w:highlight w:val="none"/>
        </w:rPr>
        <w:t>资质类别和等级：</w:t>
      </w:r>
      <w:r>
        <w:rPr>
          <w:rFonts w:hint="eastAsia" w:ascii="宋体" w:hAnsi="宋体"/>
          <w:color w:val="000000"/>
          <w:highlight w:val="none"/>
          <w:u w:val="single"/>
        </w:rPr>
        <w:t xml:space="preserve">  　　　　　　  </w:t>
      </w:r>
      <w:r>
        <w:rPr>
          <w:rFonts w:hint="eastAsia" w:ascii="宋体" w:hAnsi="宋体"/>
          <w:color w:val="000000"/>
          <w:highlight w:val="none"/>
        </w:rPr>
        <w:t>；</w:t>
      </w:r>
    </w:p>
    <w:p w14:paraId="0BBBAB40">
      <w:pPr>
        <w:spacing w:line="360" w:lineRule="auto"/>
        <w:ind w:firstLine="420" w:firstLineChars="200"/>
        <w:rPr>
          <w:rFonts w:hint="eastAsia" w:ascii="宋体" w:hAnsi="宋体"/>
          <w:color w:val="000000"/>
          <w:highlight w:val="none"/>
        </w:rPr>
      </w:pPr>
      <w:r>
        <w:rPr>
          <w:rFonts w:hint="eastAsia" w:ascii="宋体" w:hAnsi="宋体"/>
          <w:color w:val="000000"/>
          <w:highlight w:val="none"/>
        </w:rPr>
        <w:t>联系电话：</w:t>
      </w:r>
      <w:r>
        <w:rPr>
          <w:rFonts w:hint="eastAsia" w:ascii="宋体" w:hAnsi="宋体"/>
          <w:color w:val="000000"/>
          <w:highlight w:val="none"/>
          <w:u w:val="single"/>
        </w:rPr>
        <w:t xml:space="preserve">  　　　　　　  </w:t>
      </w:r>
      <w:r>
        <w:rPr>
          <w:rFonts w:hint="eastAsia" w:ascii="宋体" w:hAnsi="宋体"/>
          <w:color w:val="000000"/>
          <w:highlight w:val="none"/>
        </w:rPr>
        <w:t>；</w:t>
      </w:r>
    </w:p>
    <w:p w14:paraId="4DC4152C">
      <w:pPr>
        <w:spacing w:line="360" w:lineRule="auto"/>
        <w:ind w:firstLine="420" w:firstLineChars="200"/>
        <w:rPr>
          <w:rFonts w:hint="eastAsia" w:ascii="宋体" w:hAnsi="宋体"/>
          <w:color w:val="000000"/>
          <w:highlight w:val="none"/>
        </w:rPr>
      </w:pPr>
      <w:r>
        <w:rPr>
          <w:rFonts w:hint="eastAsia" w:ascii="宋体" w:hAnsi="宋体"/>
          <w:color w:val="000000"/>
          <w:highlight w:val="none"/>
        </w:rPr>
        <w:t>电子信箱：</w:t>
      </w:r>
      <w:r>
        <w:rPr>
          <w:rFonts w:hint="eastAsia" w:ascii="宋体" w:hAnsi="宋体"/>
          <w:color w:val="000000"/>
          <w:highlight w:val="none"/>
          <w:u w:val="single"/>
        </w:rPr>
        <w:t xml:space="preserve">  　　　　　　  </w:t>
      </w:r>
      <w:r>
        <w:rPr>
          <w:rFonts w:hint="eastAsia" w:ascii="宋体" w:hAnsi="宋体"/>
          <w:color w:val="000000"/>
          <w:highlight w:val="none"/>
        </w:rPr>
        <w:t>；</w:t>
      </w:r>
    </w:p>
    <w:p w14:paraId="4D375F21">
      <w:pPr>
        <w:spacing w:line="360" w:lineRule="auto"/>
        <w:ind w:firstLine="420" w:firstLineChars="200"/>
        <w:rPr>
          <w:rFonts w:hint="eastAsia" w:ascii="宋体" w:hAnsi="宋体"/>
          <w:color w:val="000000"/>
          <w:highlight w:val="none"/>
        </w:rPr>
      </w:pPr>
      <w:r>
        <w:rPr>
          <w:rFonts w:hint="eastAsia" w:ascii="宋体" w:hAnsi="宋体"/>
          <w:color w:val="000000"/>
          <w:highlight w:val="none"/>
        </w:rPr>
        <w:t>通信地址：</w:t>
      </w:r>
      <w:r>
        <w:rPr>
          <w:rFonts w:hint="eastAsia" w:ascii="宋体" w:hAnsi="宋体"/>
          <w:color w:val="000000"/>
          <w:highlight w:val="none"/>
          <w:u w:val="single"/>
        </w:rPr>
        <w:t xml:space="preserve">  　　　　　　  </w:t>
      </w:r>
      <w:r>
        <w:rPr>
          <w:rFonts w:hint="eastAsia" w:ascii="宋体" w:hAnsi="宋体"/>
          <w:color w:val="000000"/>
          <w:highlight w:val="none"/>
        </w:rPr>
        <w:t>。</w:t>
      </w:r>
    </w:p>
    <w:p w14:paraId="59B2814D">
      <w:pPr>
        <w:spacing w:line="360" w:lineRule="auto"/>
        <w:ind w:firstLine="420" w:firstLineChars="200"/>
        <w:rPr>
          <w:rFonts w:ascii="宋体" w:hAnsi="宋体"/>
          <w:color w:val="000000"/>
          <w:highlight w:val="none"/>
        </w:rPr>
      </w:pPr>
      <w:r>
        <w:rPr>
          <w:rFonts w:ascii="宋体" w:hAnsi="宋体"/>
          <w:color w:val="000000"/>
          <w:highlight w:val="none"/>
        </w:rPr>
        <w:t xml:space="preserve">1.1.3 </w:t>
      </w:r>
      <w:r>
        <w:rPr>
          <w:rFonts w:hint="eastAsia" w:ascii="宋体" w:hAnsi="宋体"/>
          <w:color w:val="000000"/>
          <w:highlight w:val="none"/>
        </w:rPr>
        <w:t>工程和设备</w:t>
      </w:r>
    </w:p>
    <w:p w14:paraId="1E0AA0C3">
      <w:pPr>
        <w:spacing w:line="360" w:lineRule="auto"/>
        <w:ind w:firstLine="420" w:firstLineChars="200"/>
        <w:outlineLvl w:val="0"/>
        <w:rPr>
          <w:rFonts w:ascii="宋体" w:hAnsi="宋体"/>
          <w:color w:val="000000"/>
          <w:highlight w:val="none"/>
        </w:rPr>
      </w:pPr>
      <w:bookmarkStart w:id="315" w:name="_Toc108539772"/>
      <w:bookmarkStart w:id="316" w:name="_Toc28641"/>
      <w:bookmarkStart w:id="317" w:name="_Toc10228"/>
      <w:r>
        <w:rPr>
          <w:rFonts w:ascii="宋体" w:hAnsi="宋体"/>
          <w:color w:val="000000"/>
          <w:highlight w:val="none"/>
        </w:rPr>
        <w:t xml:space="preserve">1.1.3.7 </w:t>
      </w:r>
      <w:r>
        <w:rPr>
          <w:rFonts w:hint="eastAsia" w:ascii="宋体" w:hAnsi="宋体"/>
          <w:color w:val="000000"/>
          <w:highlight w:val="none"/>
        </w:rPr>
        <w:t>作为施工现场组成部分的其他场所包括：</w:t>
      </w:r>
      <w:r>
        <w:rPr>
          <w:rFonts w:hint="eastAsia" w:ascii="宋体" w:hAnsi="宋体"/>
          <w:color w:val="000000"/>
          <w:highlight w:val="none"/>
          <w:u w:val="single"/>
        </w:rPr>
        <w:t>包括永久占地、临时占地</w:t>
      </w:r>
      <w:r>
        <w:rPr>
          <w:rFonts w:hint="eastAsia" w:ascii="宋体" w:hAnsi="宋体"/>
          <w:color w:val="000000"/>
          <w:highlight w:val="none"/>
        </w:rPr>
        <w:t>。</w:t>
      </w:r>
      <w:bookmarkEnd w:id="315"/>
      <w:bookmarkEnd w:id="316"/>
      <w:bookmarkEnd w:id="317"/>
    </w:p>
    <w:p w14:paraId="1F16EDB0">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1.1.3.9 </w:t>
      </w:r>
      <w:r>
        <w:rPr>
          <w:rFonts w:hint="eastAsia" w:ascii="宋体" w:hAnsi="宋体"/>
          <w:color w:val="000000"/>
          <w:kern w:val="0"/>
          <w:highlight w:val="none"/>
        </w:rPr>
        <w:t>永久占地包括：</w:t>
      </w:r>
      <w:r>
        <w:rPr>
          <w:rFonts w:hint="eastAsia" w:ascii="宋体" w:hAnsi="宋体"/>
          <w:color w:val="000000"/>
          <w:highlight w:val="none"/>
          <w:u w:val="single"/>
        </w:rPr>
        <w:t>为实施合同工程需永久占用的土地</w:t>
      </w:r>
      <w:r>
        <w:rPr>
          <w:rFonts w:hint="eastAsia" w:ascii="宋体" w:hAnsi="宋体"/>
          <w:color w:val="000000"/>
          <w:kern w:val="0"/>
          <w:highlight w:val="none"/>
        </w:rPr>
        <w:t>。</w:t>
      </w:r>
    </w:p>
    <w:p w14:paraId="2C8417D9">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1.1.3.10 </w:t>
      </w:r>
      <w:r>
        <w:rPr>
          <w:rFonts w:hint="eastAsia" w:ascii="宋体" w:hAnsi="宋体"/>
          <w:color w:val="000000"/>
          <w:kern w:val="0"/>
          <w:highlight w:val="none"/>
        </w:rPr>
        <w:t>临时占地包括：</w:t>
      </w:r>
      <w:r>
        <w:rPr>
          <w:rFonts w:hint="eastAsia" w:ascii="宋体" w:hAnsi="宋体"/>
          <w:color w:val="000000"/>
          <w:highlight w:val="none"/>
          <w:u w:val="single"/>
        </w:rPr>
        <w:t>需要临时占地的，由承包人办理相关申报手续，发包人予以协助，发生的费用由承包人承担</w:t>
      </w:r>
      <w:r>
        <w:rPr>
          <w:rFonts w:hint="eastAsia" w:ascii="宋体" w:hAnsi="宋体"/>
          <w:color w:val="000000"/>
          <w:kern w:val="0"/>
          <w:highlight w:val="none"/>
        </w:rPr>
        <w:t>。</w:t>
      </w:r>
    </w:p>
    <w:p w14:paraId="4B65EC0E">
      <w:pPr>
        <w:pStyle w:val="12"/>
        <w:spacing w:before="0" w:after="60"/>
        <w:rPr>
          <w:rFonts w:ascii="宋体" w:hAnsi="宋体"/>
          <w:color w:val="000000"/>
          <w:highlight w:val="none"/>
        </w:rPr>
      </w:pPr>
      <w:bookmarkStart w:id="318" w:name="_Toc108539773"/>
      <w:bookmarkStart w:id="319" w:name="_Toc407135196"/>
      <w:bookmarkStart w:id="320" w:name="_Toc487632693"/>
      <w:bookmarkStart w:id="321" w:name="_Toc16626"/>
      <w:bookmarkStart w:id="322" w:name="_Toc389065260"/>
      <w:bookmarkStart w:id="323" w:name="_Toc373478341"/>
      <w:bookmarkStart w:id="324" w:name="_Toc373227694"/>
      <w:r>
        <w:rPr>
          <w:rFonts w:ascii="宋体" w:hAnsi="宋体"/>
          <w:color w:val="000000"/>
          <w:highlight w:val="none"/>
        </w:rPr>
        <w:t xml:space="preserve">1.3 </w:t>
      </w:r>
      <w:r>
        <w:rPr>
          <w:rFonts w:hint="eastAsia" w:ascii="宋体" w:hAnsi="宋体"/>
          <w:color w:val="000000"/>
          <w:highlight w:val="none"/>
        </w:rPr>
        <w:t>法律</w:t>
      </w:r>
      <w:bookmarkEnd w:id="318"/>
      <w:bookmarkEnd w:id="319"/>
      <w:bookmarkEnd w:id="320"/>
      <w:bookmarkEnd w:id="321"/>
      <w:bookmarkEnd w:id="322"/>
      <w:bookmarkEnd w:id="323"/>
      <w:bookmarkEnd w:id="324"/>
    </w:p>
    <w:p w14:paraId="17A992C5">
      <w:pPr>
        <w:autoSpaceDE w:val="0"/>
        <w:autoSpaceDN w:val="0"/>
        <w:spacing w:line="360" w:lineRule="auto"/>
        <w:ind w:firstLine="525" w:firstLineChars="250"/>
        <w:jc w:val="left"/>
        <w:rPr>
          <w:rFonts w:hint="eastAsia" w:ascii="宋体" w:hAnsi="宋体"/>
          <w:color w:val="000000"/>
          <w:highlight w:val="none"/>
        </w:rPr>
      </w:pPr>
      <w:r>
        <w:rPr>
          <w:rFonts w:hint="eastAsia" w:ascii="宋体" w:hAnsi="宋体"/>
          <w:color w:val="000000"/>
          <w:highlight w:val="none"/>
        </w:rPr>
        <w:t>适用于合同的其他规范性文件：</w:t>
      </w:r>
      <w:r>
        <w:rPr>
          <w:rFonts w:hint="eastAsia" w:ascii="宋体" w:hAnsi="宋体"/>
          <w:color w:val="000000"/>
          <w:highlight w:val="none"/>
          <w:u w:val="single"/>
        </w:rPr>
        <w:t>《中华人民共和国民法典》、《中华人民共和国建筑法》及国家、广西有关主管部门的现行法规，梧政办发[2014]2号《梧州市人民政府办公室转发市住建委关于我市建设工程安全防护文明施工措施费管理规定的通知》、梧政发【2018】28号《梧州市人民政府关于加强财政性投资项目资金管理有关事项的通知》</w:t>
      </w:r>
      <w:r>
        <w:rPr>
          <w:rFonts w:hint="eastAsia" w:ascii="宋体" w:hAnsi="宋体"/>
          <w:color w:val="000000"/>
          <w:highlight w:val="none"/>
        </w:rPr>
        <w:t>。</w:t>
      </w:r>
    </w:p>
    <w:p w14:paraId="66834CA6">
      <w:pPr>
        <w:pStyle w:val="12"/>
        <w:spacing w:before="0" w:after="60"/>
        <w:rPr>
          <w:rFonts w:ascii="宋体" w:hAnsi="宋体"/>
          <w:color w:val="000000"/>
          <w:highlight w:val="none"/>
        </w:rPr>
      </w:pPr>
      <w:bookmarkStart w:id="325" w:name="_Toc16966"/>
      <w:bookmarkStart w:id="326" w:name="_Toc389065261"/>
      <w:bookmarkStart w:id="327" w:name="_Toc373227695"/>
      <w:bookmarkStart w:id="328" w:name="_Toc407135197"/>
      <w:bookmarkStart w:id="329" w:name="_Toc108539774"/>
      <w:bookmarkStart w:id="330" w:name="_Toc487632694"/>
      <w:bookmarkStart w:id="331" w:name="_Toc373478342"/>
      <w:r>
        <w:rPr>
          <w:rFonts w:ascii="宋体" w:hAnsi="宋体"/>
          <w:color w:val="000000"/>
          <w:highlight w:val="none"/>
        </w:rPr>
        <w:t xml:space="preserve">1.4 </w:t>
      </w:r>
      <w:r>
        <w:rPr>
          <w:rFonts w:hint="eastAsia" w:ascii="宋体" w:hAnsi="宋体"/>
          <w:color w:val="000000"/>
          <w:highlight w:val="none"/>
        </w:rPr>
        <w:t>标准和规范</w:t>
      </w:r>
      <w:bookmarkEnd w:id="325"/>
      <w:bookmarkEnd w:id="326"/>
      <w:bookmarkEnd w:id="327"/>
      <w:bookmarkEnd w:id="328"/>
      <w:bookmarkEnd w:id="329"/>
      <w:bookmarkEnd w:id="330"/>
      <w:bookmarkEnd w:id="331"/>
    </w:p>
    <w:p w14:paraId="7BF84989">
      <w:pPr>
        <w:spacing w:line="360" w:lineRule="auto"/>
        <w:rPr>
          <w:rFonts w:ascii="宋体" w:hAnsi="宋体"/>
          <w:color w:val="000000"/>
          <w:highlight w:val="none"/>
        </w:rPr>
      </w:pPr>
      <w:r>
        <w:rPr>
          <w:rFonts w:ascii="宋体" w:hAnsi="宋体"/>
          <w:color w:val="000000"/>
          <w:highlight w:val="none"/>
        </w:rPr>
        <w:t xml:space="preserve">1.4.1 </w:t>
      </w:r>
      <w:r>
        <w:rPr>
          <w:rFonts w:hint="eastAsia" w:ascii="宋体" w:hAnsi="宋体"/>
          <w:color w:val="000000"/>
          <w:highlight w:val="none"/>
        </w:rPr>
        <w:t>适用于工程的标准规范包括：</w:t>
      </w:r>
      <w:r>
        <w:rPr>
          <w:rFonts w:hint="eastAsia" w:ascii="宋体" w:hAnsi="宋体"/>
          <w:color w:val="000000"/>
          <w:highlight w:val="none"/>
          <w:u w:val="single"/>
        </w:rPr>
        <w:t>现行的国家标准、行业标准、地方规范性文件</w:t>
      </w:r>
      <w:r>
        <w:rPr>
          <w:rFonts w:hint="eastAsia" w:ascii="宋体" w:hAnsi="宋体"/>
          <w:color w:val="000000"/>
          <w:highlight w:val="none"/>
        </w:rPr>
        <w:t>。</w:t>
      </w:r>
    </w:p>
    <w:p w14:paraId="3C2E2291">
      <w:pPr>
        <w:spacing w:line="360" w:lineRule="auto"/>
        <w:rPr>
          <w:rFonts w:ascii="宋体" w:hAnsi="宋体"/>
          <w:color w:val="000000"/>
          <w:kern w:val="0"/>
          <w:highlight w:val="none"/>
        </w:rPr>
      </w:pPr>
      <w:r>
        <w:rPr>
          <w:rFonts w:ascii="宋体" w:hAnsi="宋体"/>
          <w:color w:val="000000"/>
          <w:kern w:val="0"/>
          <w:highlight w:val="none"/>
        </w:rPr>
        <w:t xml:space="preserve">1.4.2 </w:t>
      </w:r>
      <w:r>
        <w:rPr>
          <w:rFonts w:hint="eastAsia" w:ascii="宋体" w:hAnsi="宋体"/>
          <w:color w:val="000000"/>
          <w:kern w:val="0"/>
          <w:highlight w:val="none"/>
        </w:rPr>
        <w:t>发包人提供国外标准、规范的名称：</w:t>
      </w:r>
      <w:r>
        <w:rPr>
          <w:rFonts w:hint="eastAsia" w:ascii="宋体" w:hAnsi="宋体"/>
          <w:color w:val="000000"/>
          <w:highlight w:val="none"/>
          <w:u w:val="single"/>
        </w:rPr>
        <w:t>无</w:t>
      </w:r>
      <w:r>
        <w:rPr>
          <w:rFonts w:hint="eastAsia" w:ascii="宋体" w:hAnsi="宋体"/>
          <w:color w:val="000000"/>
          <w:highlight w:val="none"/>
        </w:rPr>
        <w:t>；</w:t>
      </w:r>
    </w:p>
    <w:p w14:paraId="23B7AC91">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发包人提供国外标准、规范的份数：</w:t>
      </w:r>
      <w:r>
        <w:rPr>
          <w:rFonts w:hint="eastAsia" w:ascii="宋体" w:hAnsi="宋体"/>
          <w:color w:val="000000"/>
          <w:highlight w:val="none"/>
          <w:u w:val="single"/>
        </w:rPr>
        <w:t>无</w:t>
      </w:r>
      <w:r>
        <w:rPr>
          <w:rFonts w:hint="eastAsia" w:ascii="宋体" w:hAnsi="宋体"/>
          <w:color w:val="000000"/>
          <w:kern w:val="0"/>
          <w:highlight w:val="none"/>
        </w:rPr>
        <w:t>；</w:t>
      </w:r>
    </w:p>
    <w:p w14:paraId="1E82FEF6">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发包人提供国外标准、规范的名称：</w:t>
      </w:r>
      <w:r>
        <w:rPr>
          <w:rFonts w:hint="eastAsia" w:ascii="宋体" w:hAnsi="宋体"/>
          <w:color w:val="000000"/>
          <w:highlight w:val="none"/>
          <w:u w:val="single"/>
        </w:rPr>
        <w:t>无</w:t>
      </w:r>
      <w:r>
        <w:rPr>
          <w:rFonts w:hint="eastAsia" w:ascii="宋体" w:hAnsi="宋体"/>
          <w:color w:val="000000"/>
          <w:kern w:val="0"/>
          <w:highlight w:val="none"/>
        </w:rPr>
        <w:t>。</w:t>
      </w:r>
    </w:p>
    <w:p w14:paraId="7A23FC23">
      <w:pPr>
        <w:spacing w:line="360" w:lineRule="auto"/>
        <w:rPr>
          <w:rFonts w:ascii="宋体" w:hAnsi="宋体"/>
          <w:color w:val="000000"/>
          <w:highlight w:val="none"/>
        </w:rPr>
      </w:pPr>
      <w:r>
        <w:rPr>
          <w:rFonts w:ascii="宋体" w:hAnsi="宋体"/>
          <w:color w:val="000000"/>
          <w:highlight w:val="none"/>
        </w:rPr>
        <w:t xml:space="preserve">1.4.3 </w:t>
      </w:r>
      <w:r>
        <w:rPr>
          <w:rFonts w:hint="eastAsia" w:ascii="宋体" w:hAnsi="宋体"/>
          <w:color w:val="000000"/>
          <w:highlight w:val="none"/>
        </w:rPr>
        <w:t>发包人对工程的技术标准和功能要求的特殊要求：</w:t>
      </w:r>
      <w:r>
        <w:rPr>
          <w:rFonts w:hint="eastAsia" w:ascii="宋体" w:hAnsi="宋体"/>
          <w:color w:val="000000"/>
          <w:highlight w:val="none"/>
          <w:u w:val="single"/>
        </w:rPr>
        <w:t>无</w:t>
      </w:r>
      <w:r>
        <w:rPr>
          <w:rFonts w:hint="eastAsia" w:ascii="宋体" w:hAnsi="宋体"/>
          <w:color w:val="000000"/>
          <w:highlight w:val="none"/>
        </w:rPr>
        <w:t>。</w:t>
      </w:r>
    </w:p>
    <w:p w14:paraId="2CB84EB1">
      <w:pPr>
        <w:pStyle w:val="12"/>
        <w:spacing w:before="0" w:after="60"/>
        <w:rPr>
          <w:rFonts w:ascii="宋体" w:hAnsi="宋体"/>
          <w:color w:val="000000"/>
          <w:highlight w:val="none"/>
        </w:rPr>
      </w:pPr>
      <w:bookmarkStart w:id="332" w:name="_Toc108539775"/>
      <w:bookmarkStart w:id="333" w:name="_Toc373478343"/>
      <w:bookmarkStart w:id="334" w:name="_Toc487632695"/>
      <w:bookmarkStart w:id="335" w:name="_Toc389065262"/>
      <w:bookmarkStart w:id="336" w:name="_Toc407135198"/>
      <w:bookmarkStart w:id="337" w:name="_Toc373227696"/>
      <w:bookmarkStart w:id="338" w:name="_Toc403"/>
      <w:r>
        <w:rPr>
          <w:rFonts w:ascii="宋体" w:hAnsi="宋体"/>
          <w:color w:val="000000"/>
          <w:highlight w:val="none"/>
        </w:rPr>
        <w:t xml:space="preserve">1.5 </w:t>
      </w:r>
      <w:r>
        <w:rPr>
          <w:rFonts w:hint="eastAsia" w:ascii="宋体" w:hAnsi="宋体"/>
          <w:color w:val="000000"/>
          <w:highlight w:val="none"/>
        </w:rPr>
        <w:t>合同文件的优先顺序</w:t>
      </w:r>
      <w:bookmarkEnd w:id="332"/>
      <w:bookmarkEnd w:id="333"/>
      <w:bookmarkEnd w:id="334"/>
      <w:bookmarkEnd w:id="335"/>
      <w:bookmarkEnd w:id="336"/>
      <w:bookmarkEnd w:id="337"/>
      <w:bookmarkEnd w:id="338"/>
    </w:p>
    <w:p w14:paraId="454F19FF">
      <w:pPr>
        <w:spacing w:line="360" w:lineRule="auto"/>
        <w:ind w:firstLine="420" w:firstLineChars="200"/>
        <w:rPr>
          <w:rFonts w:hint="eastAsia" w:ascii="宋体" w:hAnsi="宋体"/>
          <w:color w:val="000000"/>
          <w:highlight w:val="none"/>
        </w:rPr>
      </w:pPr>
      <w:r>
        <w:rPr>
          <w:rFonts w:hint="eastAsia" w:ascii="宋体" w:hAnsi="宋体"/>
          <w:color w:val="000000"/>
          <w:highlight w:val="none"/>
        </w:rPr>
        <w:t>合同文件组成及优先顺序为：</w:t>
      </w:r>
    </w:p>
    <w:p w14:paraId="57C90B09">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1</w:t>
      </w:r>
      <w:r>
        <w:rPr>
          <w:rFonts w:hint="eastAsia" w:ascii="宋体" w:hAnsi="宋体"/>
          <w:color w:val="000000"/>
          <w:kern w:val="0"/>
          <w:highlight w:val="none"/>
        </w:rPr>
        <w:t>）合同协议书；</w:t>
      </w:r>
    </w:p>
    <w:p w14:paraId="3B3BD347">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）成交通知书；</w:t>
      </w:r>
    </w:p>
    <w:p w14:paraId="0CD79719">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3</w:t>
      </w:r>
      <w:r>
        <w:rPr>
          <w:rFonts w:hint="eastAsia" w:ascii="宋体" w:hAnsi="宋体"/>
          <w:color w:val="000000"/>
          <w:kern w:val="0"/>
          <w:highlight w:val="none"/>
        </w:rPr>
        <w:t>）磋商函及其附录；</w:t>
      </w:r>
    </w:p>
    <w:p w14:paraId="0CC220B6">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4</w:t>
      </w:r>
      <w:r>
        <w:rPr>
          <w:rFonts w:hint="eastAsia" w:ascii="宋体" w:hAnsi="宋体"/>
          <w:color w:val="000000"/>
          <w:kern w:val="0"/>
          <w:highlight w:val="none"/>
        </w:rPr>
        <w:t>）专用合同条款及其附件；</w:t>
      </w:r>
    </w:p>
    <w:p w14:paraId="781E8FA8">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5</w:t>
      </w:r>
      <w:r>
        <w:rPr>
          <w:rFonts w:hint="eastAsia" w:ascii="宋体" w:hAnsi="宋体"/>
          <w:color w:val="000000"/>
          <w:kern w:val="0"/>
          <w:highlight w:val="none"/>
        </w:rPr>
        <w:t>）通用合同条款；</w:t>
      </w:r>
    </w:p>
    <w:p w14:paraId="51A7E226">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6</w:t>
      </w:r>
      <w:r>
        <w:rPr>
          <w:rFonts w:hint="eastAsia" w:ascii="宋体" w:hAnsi="宋体"/>
          <w:color w:val="000000"/>
          <w:kern w:val="0"/>
          <w:highlight w:val="none"/>
        </w:rPr>
        <w:t>）</w:t>
      </w:r>
      <w:r>
        <w:rPr>
          <w:rFonts w:hint="eastAsia" w:ascii="宋体" w:hAnsi="宋体"/>
          <w:color w:val="000000"/>
          <w:kern w:val="0"/>
          <w:highlight w:val="none"/>
          <w:u w:val="single"/>
        </w:rPr>
        <w:t>技术标准和要求</w:t>
      </w:r>
      <w:r>
        <w:rPr>
          <w:rFonts w:hint="eastAsia" w:ascii="宋体" w:hAnsi="宋体"/>
          <w:color w:val="000000"/>
          <w:kern w:val="0"/>
          <w:highlight w:val="none"/>
        </w:rPr>
        <w:t>；</w:t>
      </w:r>
    </w:p>
    <w:p w14:paraId="4BE51BB0">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7</w:t>
      </w:r>
      <w:r>
        <w:rPr>
          <w:rFonts w:hint="eastAsia" w:ascii="宋体" w:hAnsi="宋体"/>
          <w:color w:val="000000"/>
          <w:kern w:val="0"/>
          <w:highlight w:val="none"/>
        </w:rPr>
        <w:t>）</w:t>
      </w:r>
      <w:r>
        <w:rPr>
          <w:rFonts w:hint="eastAsia" w:ascii="宋体" w:hAnsi="宋体"/>
          <w:color w:val="000000"/>
          <w:kern w:val="0"/>
          <w:highlight w:val="none"/>
          <w:u w:val="single"/>
        </w:rPr>
        <w:t>图纸</w:t>
      </w:r>
      <w:r>
        <w:rPr>
          <w:rFonts w:hint="eastAsia" w:ascii="宋体" w:hAnsi="宋体"/>
          <w:color w:val="000000"/>
          <w:kern w:val="0"/>
          <w:highlight w:val="none"/>
        </w:rPr>
        <w:t>；</w:t>
      </w:r>
    </w:p>
    <w:p w14:paraId="45751851">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8</w:t>
      </w:r>
      <w:r>
        <w:rPr>
          <w:rFonts w:hint="eastAsia" w:ascii="宋体" w:hAnsi="宋体"/>
          <w:color w:val="000000"/>
          <w:kern w:val="0"/>
          <w:highlight w:val="none"/>
        </w:rPr>
        <w:t>）</w:t>
      </w:r>
      <w:r>
        <w:rPr>
          <w:rFonts w:hint="eastAsia" w:ascii="宋体" w:hAnsi="宋体"/>
          <w:color w:val="000000"/>
          <w:kern w:val="0"/>
          <w:highlight w:val="none"/>
          <w:u w:val="single"/>
        </w:rPr>
        <w:t>已标价工程量清单</w:t>
      </w:r>
      <w:r>
        <w:rPr>
          <w:rFonts w:hint="eastAsia" w:ascii="宋体" w:hAnsi="宋体"/>
          <w:color w:val="000000"/>
          <w:kern w:val="0"/>
          <w:highlight w:val="none"/>
        </w:rPr>
        <w:t>；</w:t>
      </w:r>
    </w:p>
    <w:p w14:paraId="6825CB67">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9</w:t>
      </w:r>
      <w:r>
        <w:rPr>
          <w:rFonts w:hint="eastAsia" w:ascii="宋体" w:hAnsi="宋体"/>
          <w:color w:val="000000"/>
          <w:kern w:val="0"/>
          <w:highlight w:val="none"/>
        </w:rPr>
        <w:t>）</w:t>
      </w:r>
      <w:r>
        <w:rPr>
          <w:rFonts w:hint="eastAsia" w:ascii="宋体" w:hAnsi="宋体"/>
          <w:color w:val="000000"/>
          <w:kern w:val="0"/>
          <w:highlight w:val="none"/>
          <w:u w:val="single"/>
        </w:rPr>
        <w:t>其他合同文件</w:t>
      </w:r>
      <w:r>
        <w:rPr>
          <w:rFonts w:hint="eastAsia" w:ascii="宋体" w:hAnsi="宋体"/>
          <w:color w:val="000000"/>
          <w:kern w:val="0"/>
          <w:highlight w:val="none"/>
        </w:rPr>
        <w:t>。</w:t>
      </w:r>
    </w:p>
    <w:p w14:paraId="0FA64818">
      <w:pPr>
        <w:spacing w:line="360" w:lineRule="auto"/>
        <w:ind w:firstLine="420" w:firstLineChars="200"/>
        <w:rPr>
          <w:rFonts w:hint="eastAsia" w:hAnsi="宋体"/>
          <w:color w:val="000000"/>
          <w:kern w:val="0"/>
          <w:szCs w:val="21"/>
          <w:highlight w:val="none"/>
        </w:rPr>
      </w:pPr>
      <w:r>
        <w:rPr>
          <w:rFonts w:hint="eastAsia" w:hAnsi="宋体"/>
          <w:color w:val="000000"/>
          <w:kern w:val="0"/>
          <w:szCs w:val="21"/>
          <w:highlight w:val="none"/>
        </w:rPr>
        <w:t>上述各项合同文件包括合同当事人就该项合同文件所作出的补充和修改，属于同一类内容的文件，应以最新签署的为准（违反磋商文件</w:t>
      </w:r>
      <w:r>
        <w:rPr>
          <w:rFonts w:hAnsi="宋体"/>
          <w:color w:val="000000"/>
          <w:kern w:val="0"/>
          <w:szCs w:val="21"/>
          <w:highlight w:val="none"/>
        </w:rPr>
        <w:t>实质性内容的约定除外</w:t>
      </w:r>
      <w:r>
        <w:rPr>
          <w:rFonts w:hint="eastAsia" w:hAnsi="宋体"/>
          <w:color w:val="000000"/>
          <w:kern w:val="0"/>
          <w:szCs w:val="21"/>
          <w:highlight w:val="none"/>
        </w:rPr>
        <w:t>）。专用合同条款及其附件须经合同当事人签字或盖章。</w:t>
      </w:r>
    </w:p>
    <w:p w14:paraId="1AFADEDB">
      <w:pPr>
        <w:pStyle w:val="12"/>
        <w:spacing w:before="0" w:after="60"/>
        <w:rPr>
          <w:rFonts w:ascii="宋体" w:hAnsi="宋体"/>
          <w:color w:val="000000"/>
          <w:highlight w:val="none"/>
        </w:rPr>
      </w:pPr>
      <w:bookmarkStart w:id="339" w:name="_Toc407135199"/>
      <w:bookmarkStart w:id="340" w:name="_Toc487632696"/>
      <w:bookmarkStart w:id="341" w:name="_Toc389065263"/>
      <w:bookmarkStart w:id="342" w:name="_Toc373478344"/>
      <w:bookmarkStart w:id="343" w:name="_Toc16699"/>
      <w:bookmarkStart w:id="344" w:name="_Toc373227697"/>
      <w:bookmarkStart w:id="345" w:name="_Toc108539776"/>
      <w:r>
        <w:rPr>
          <w:rFonts w:ascii="宋体" w:hAnsi="宋体"/>
          <w:color w:val="000000"/>
          <w:highlight w:val="none"/>
        </w:rPr>
        <w:t xml:space="preserve">1.6 </w:t>
      </w:r>
      <w:r>
        <w:rPr>
          <w:rFonts w:hint="eastAsia" w:ascii="宋体" w:hAnsi="宋体"/>
          <w:color w:val="000000"/>
          <w:highlight w:val="none"/>
        </w:rPr>
        <w:t>图纸和承包人文件</w:t>
      </w:r>
      <w:bookmarkEnd w:id="339"/>
      <w:bookmarkEnd w:id="340"/>
      <w:bookmarkEnd w:id="341"/>
      <w:bookmarkEnd w:id="342"/>
      <w:bookmarkEnd w:id="343"/>
      <w:bookmarkEnd w:id="344"/>
      <w:bookmarkEnd w:id="345"/>
      <w:r>
        <w:rPr>
          <w:rFonts w:ascii="宋体" w:hAnsi="宋体"/>
          <w:color w:val="000000"/>
          <w:highlight w:val="none"/>
        </w:rPr>
        <w:tab/>
      </w:r>
    </w:p>
    <w:p w14:paraId="49812BEC">
      <w:pPr>
        <w:spacing w:line="360" w:lineRule="auto"/>
        <w:ind w:firstLine="420" w:firstLineChars="200"/>
        <w:rPr>
          <w:rFonts w:ascii="宋体" w:hAnsi="宋体"/>
          <w:color w:val="000000"/>
          <w:highlight w:val="none"/>
        </w:rPr>
      </w:pPr>
      <w:r>
        <w:rPr>
          <w:rFonts w:ascii="宋体" w:hAnsi="宋体"/>
          <w:color w:val="000000"/>
          <w:highlight w:val="none"/>
        </w:rPr>
        <w:t xml:space="preserve">1.6.1 </w:t>
      </w:r>
      <w:r>
        <w:rPr>
          <w:rFonts w:hint="eastAsia" w:ascii="宋体" w:hAnsi="宋体"/>
          <w:color w:val="000000"/>
          <w:highlight w:val="none"/>
        </w:rPr>
        <w:t>图纸的提供</w:t>
      </w:r>
    </w:p>
    <w:p w14:paraId="2ED13E35">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发包人向承包人提供图纸的期限：</w:t>
      </w:r>
      <w:r>
        <w:rPr>
          <w:rFonts w:hint="eastAsia" w:ascii="宋体" w:hAnsi="宋体"/>
          <w:color w:val="000000"/>
          <w:highlight w:val="none"/>
          <w:u w:val="single"/>
        </w:rPr>
        <w:t>签订合同后5天内</w:t>
      </w:r>
      <w:r>
        <w:rPr>
          <w:rFonts w:hint="eastAsia" w:ascii="宋体" w:hAnsi="宋体"/>
          <w:color w:val="000000"/>
          <w:highlight w:val="none"/>
        </w:rPr>
        <w:t>；</w:t>
      </w:r>
    </w:p>
    <w:p w14:paraId="3AA59A40">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发包人向承包人提供图纸的数量：</w:t>
      </w:r>
      <w:r>
        <w:rPr>
          <w:rFonts w:hint="eastAsia" w:ascii="宋体" w:hAnsi="宋体"/>
          <w:color w:val="000000"/>
          <w:highlight w:val="none"/>
          <w:u w:val="single"/>
        </w:rPr>
        <w:t>叁套（承包人需要增加图纸套数的，发包人应代为复制，复制费用由承包人承担）</w:t>
      </w:r>
      <w:r>
        <w:rPr>
          <w:rFonts w:hint="eastAsia" w:ascii="宋体" w:hAnsi="宋体"/>
          <w:color w:val="000000"/>
          <w:highlight w:val="none"/>
        </w:rPr>
        <w:t>；</w:t>
      </w:r>
    </w:p>
    <w:p w14:paraId="30CE4406">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发包人向承包人提供图纸的内容：</w:t>
      </w:r>
      <w:r>
        <w:rPr>
          <w:rFonts w:hint="eastAsia" w:ascii="宋体" w:hAnsi="宋体"/>
          <w:color w:val="000000"/>
          <w:highlight w:val="none"/>
          <w:u w:val="single"/>
        </w:rPr>
        <w:t>经政府部门相关机构审核合格后的施工图和设计单位提供的图纸。详见图纸目录</w:t>
      </w:r>
      <w:r>
        <w:rPr>
          <w:rFonts w:hint="eastAsia" w:ascii="宋体" w:hAnsi="宋体"/>
          <w:color w:val="000000"/>
          <w:highlight w:val="none"/>
        </w:rPr>
        <w:t>。</w:t>
      </w:r>
    </w:p>
    <w:p w14:paraId="0C201A7F">
      <w:pPr>
        <w:spacing w:line="360" w:lineRule="auto"/>
        <w:ind w:firstLine="420" w:firstLineChars="200"/>
        <w:rPr>
          <w:rFonts w:ascii="宋体" w:hAnsi="宋体"/>
          <w:color w:val="000000"/>
          <w:highlight w:val="none"/>
        </w:rPr>
      </w:pPr>
      <w:r>
        <w:rPr>
          <w:rFonts w:ascii="宋体" w:hAnsi="宋体"/>
          <w:color w:val="000000"/>
          <w:highlight w:val="none"/>
        </w:rPr>
        <w:t xml:space="preserve">1.6.4 </w:t>
      </w:r>
      <w:r>
        <w:rPr>
          <w:rFonts w:hint="eastAsia" w:ascii="宋体" w:hAnsi="宋体"/>
          <w:color w:val="000000"/>
          <w:highlight w:val="none"/>
        </w:rPr>
        <w:t>承包人文件</w:t>
      </w:r>
    </w:p>
    <w:p w14:paraId="0D03B071">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需要由承包人提供的文件，包括</w:t>
      </w:r>
      <w:r>
        <w:rPr>
          <w:rFonts w:hint="eastAsia" w:ascii="宋体" w:hAnsi="宋体"/>
          <w:color w:val="000000"/>
          <w:highlight w:val="none"/>
          <w:u w:val="single"/>
        </w:rPr>
        <w:t>：开工报告、专项施工方案、进度计划、其他应交的管理、技术文件及办理施工许可必备的资料，施工组织设计、人材机计划等</w:t>
      </w:r>
      <w:r>
        <w:rPr>
          <w:rFonts w:hint="eastAsia" w:ascii="宋体" w:hAnsi="宋体"/>
          <w:color w:val="000000"/>
          <w:highlight w:val="none"/>
        </w:rPr>
        <w:t>；</w:t>
      </w:r>
    </w:p>
    <w:p w14:paraId="1DC0D140">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承包人提供的文件的期限为：</w:t>
      </w:r>
      <w:r>
        <w:rPr>
          <w:rFonts w:hint="eastAsia" w:ascii="宋体" w:hAnsi="宋体"/>
          <w:color w:val="000000"/>
          <w:highlight w:val="none"/>
          <w:u w:val="single"/>
        </w:rPr>
        <w:t>文件实施前3天</w:t>
      </w:r>
      <w:r>
        <w:rPr>
          <w:rFonts w:hint="eastAsia" w:ascii="宋体" w:hAnsi="宋体"/>
          <w:color w:val="000000"/>
          <w:highlight w:val="none"/>
        </w:rPr>
        <w:t>；</w:t>
      </w:r>
    </w:p>
    <w:p w14:paraId="55DD2F50">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承包人提供的文件的数量为：</w:t>
      </w:r>
      <w:r>
        <w:rPr>
          <w:rFonts w:hint="eastAsia" w:ascii="宋体" w:hAnsi="宋体"/>
          <w:color w:val="000000"/>
          <w:highlight w:val="none"/>
          <w:u w:val="single"/>
        </w:rPr>
        <w:t>按发包人要求提供</w:t>
      </w:r>
      <w:r>
        <w:rPr>
          <w:rFonts w:hint="eastAsia" w:ascii="宋体" w:hAnsi="宋体"/>
          <w:color w:val="000000"/>
          <w:highlight w:val="none"/>
        </w:rPr>
        <w:t>；</w:t>
      </w:r>
    </w:p>
    <w:p w14:paraId="39BE8285">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承包人提供的文件的形式为：</w:t>
      </w:r>
      <w:r>
        <w:rPr>
          <w:rFonts w:hint="eastAsia" w:ascii="宋体" w:hAnsi="宋体"/>
          <w:color w:val="000000"/>
          <w:highlight w:val="none"/>
          <w:u w:val="single"/>
        </w:rPr>
        <w:t>加盖单位公章的纸质文件</w:t>
      </w:r>
      <w:r>
        <w:rPr>
          <w:rFonts w:hint="eastAsia" w:ascii="宋体" w:hAnsi="宋体"/>
          <w:color w:val="000000"/>
          <w:highlight w:val="none"/>
        </w:rPr>
        <w:t>；</w:t>
      </w:r>
    </w:p>
    <w:p w14:paraId="63017353">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发包人审批承包人文件的期限：</w:t>
      </w:r>
      <w:r>
        <w:rPr>
          <w:rFonts w:hint="eastAsia" w:ascii="宋体" w:hAnsi="宋体"/>
          <w:color w:val="000000"/>
          <w:highlight w:val="none"/>
          <w:u w:val="single"/>
        </w:rPr>
        <w:t>收到文件后7天内</w:t>
      </w:r>
      <w:r>
        <w:rPr>
          <w:rFonts w:hint="eastAsia" w:ascii="宋体" w:hAnsi="宋体"/>
          <w:color w:val="000000"/>
          <w:highlight w:val="none"/>
        </w:rPr>
        <w:t>。</w:t>
      </w:r>
    </w:p>
    <w:p w14:paraId="53857B76">
      <w:pPr>
        <w:spacing w:line="360" w:lineRule="auto"/>
        <w:ind w:firstLine="420" w:firstLineChars="200"/>
        <w:rPr>
          <w:rFonts w:ascii="宋体" w:hAnsi="宋体"/>
          <w:color w:val="000000"/>
          <w:highlight w:val="none"/>
        </w:rPr>
      </w:pPr>
      <w:r>
        <w:rPr>
          <w:rFonts w:ascii="宋体" w:hAnsi="宋体"/>
          <w:color w:val="000000"/>
          <w:highlight w:val="none"/>
        </w:rPr>
        <w:t xml:space="preserve">1.6.5 </w:t>
      </w:r>
      <w:r>
        <w:rPr>
          <w:rFonts w:hint="eastAsia" w:ascii="宋体" w:hAnsi="宋体"/>
          <w:color w:val="000000"/>
          <w:highlight w:val="none"/>
        </w:rPr>
        <w:t>现场图纸准备</w:t>
      </w:r>
    </w:p>
    <w:p w14:paraId="2A8161C1">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关于现场图纸准备的约定：</w:t>
      </w:r>
      <w:r>
        <w:rPr>
          <w:rFonts w:hint="eastAsia" w:ascii="宋体" w:hAnsi="宋体"/>
          <w:color w:val="000000"/>
          <w:highlight w:val="none"/>
          <w:u w:val="single"/>
        </w:rPr>
        <w:t>按通用合同条款执行</w:t>
      </w:r>
      <w:r>
        <w:rPr>
          <w:rFonts w:hint="eastAsia" w:ascii="宋体" w:hAnsi="宋体"/>
          <w:color w:val="000000"/>
          <w:highlight w:val="none"/>
        </w:rPr>
        <w:t>。</w:t>
      </w:r>
    </w:p>
    <w:p w14:paraId="57DBD1AD">
      <w:pPr>
        <w:pStyle w:val="12"/>
        <w:spacing w:before="0" w:after="60"/>
        <w:rPr>
          <w:rFonts w:ascii="宋体" w:hAnsi="宋体"/>
          <w:color w:val="000000"/>
          <w:highlight w:val="none"/>
        </w:rPr>
      </w:pPr>
      <w:bookmarkStart w:id="346" w:name="_Toc29511"/>
      <w:bookmarkStart w:id="347" w:name="_Toc108539777"/>
      <w:r>
        <w:rPr>
          <w:rFonts w:ascii="宋体" w:hAnsi="宋体"/>
          <w:color w:val="000000"/>
          <w:highlight w:val="none"/>
        </w:rPr>
        <w:t xml:space="preserve">1.7 </w:t>
      </w:r>
      <w:r>
        <w:rPr>
          <w:rFonts w:hint="eastAsia" w:ascii="宋体" w:hAnsi="宋体"/>
          <w:color w:val="000000"/>
          <w:highlight w:val="none"/>
        </w:rPr>
        <w:t>联络</w:t>
      </w:r>
      <w:bookmarkEnd w:id="346"/>
      <w:bookmarkEnd w:id="347"/>
    </w:p>
    <w:p w14:paraId="6EE91506">
      <w:pPr>
        <w:spacing w:line="360" w:lineRule="auto"/>
        <w:ind w:firstLine="420" w:firstLineChars="200"/>
        <w:rPr>
          <w:rFonts w:ascii="宋体" w:hAnsi="宋体"/>
          <w:color w:val="000000"/>
          <w:kern w:val="0"/>
          <w:highlight w:val="none"/>
        </w:rPr>
      </w:pPr>
      <w:r>
        <w:rPr>
          <w:rFonts w:ascii="宋体" w:hAnsi="宋体"/>
          <w:color w:val="000000"/>
          <w:kern w:val="0"/>
          <w:highlight w:val="none"/>
        </w:rPr>
        <w:t>1.7.1</w:t>
      </w:r>
      <w:r>
        <w:rPr>
          <w:rFonts w:hint="eastAsia" w:ascii="宋体" w:hAnsi="宋体"/>
          <w:color w:val="000000"/>
          <w:kern w:val="0"/>
          <w:highlight w:val="none"/>
        </w:rPr>
        <w:t>发包人和承包人应当在</w:t>
      </w:r>
      <w:r>
        <w:rPr>
          <w:rFonts w:hint="eastAsia" w:ascii="宋体" w:hAnsi="宋体"/>
          <w:color w:val="000000"/>
          <w:highlight w:val="none"/>
          <w:u w:val="single"/>
        </w:rPr>
        <w:t>3</w:t>
      </w:r>
      <w:r>
        <w:rPr>
          <w:rFonts w:hint="eastAsia" w:ascii="宋体" w:hAnsi="宋体"/>
          <w:color w:val="000000"/>
          <w:kern w:val="0"/>
          <w:highlight w:val="none"/>
        </w:rPr>
        <w:t>天内将与合同有关的通知、批准、证明、证书、指示、指令、要求、请求、同意、意见、确定和决定等书面函件送达对方当事人。</w:t>
      </w:r>
    </w:p>
    <w:p w14:paraId="6EA9DE85">
      <w:pPr>
        <w:spacing w:line="360" w:lineRule="auto"/>
        <w:ind w:firstLine="420" w:firstLineChars="200"/>
        <w:rPr>
          <w:rFonts w:ascii="宋体" w:hAnsi="宋体"/>
          <w:color w:val="000000"/>
          <w:kern w:val="0"/>
          <w:highlight w:val="none"/>
        </w:rPr>
      </w:pPr>
      <w:r>
        <w:rPr>
          <w:rFonts w:ascii="宋体" w:hAnsi="宋体"/>
          <w:color w:val="000000"/>
          <w:kern w:val="0"/>
          <w:highlight w:val="none"/>
        </w:rPr>
        <w:t xml:space="preserve">1.7.2 </w:t>
      </w:r>
      <w:r>
        <w:rPr>
          <w:rFonts w:hint="eastAsia" w:ascii="宋体" w:hAnsi="宋体"/>
          <w:color w:val="000000"/>
          <w:kern w:val="0"/>
          <w:highlight w:val="none"/>
        </w:rPr>
        <w:t>发包人接收文件的地点：</w:t>
      </w:r>
      <w:r>
        <w:rPr>
          <w:rFonts w:hint="eastAsia" w:ascii="宋体" w:hAnsi="宋体"/>
          <w:color w:val="000000"/>
          <w:highlight w:val="none"/>
          <w:u w:val="single"/>
        </w:rPr>
        <w:t>发包人办公室</w:t>
      </w:r>
      <w:r>
        <w:rPr>
          <w:rFonts w:hint="eastAsia" w:ascii="宋体" w:hAnsi="宋体"/>
          <w:color w:val="000000"/>
          <w:kern w:val="0"/>
          <w:highlight w:val="none"/>
        </w:rPr>
        <w:t>；</w:t>
      </w:r>
    </w:p>
    <w:p w14:paraId="69B8B38A">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发包人指定的接收人为：</w:t>
      </w:r>
      <w:r>
        <w:rPr>
          <w:rFonts w:hint="eastAsia" w:ascii="宋体" w:hAnsi="宋体"/>
          <w:color w:val="000000"/>
          <w:highlight w:val="none"/>
          <w:u w:val="single"/>
        </w:rPr>
        <w:t>工地代表（可委托）</w:t>
      </w:r>
      <w:r>
        <w:rPr>
          <w:rFonts w:hint="eastAsia" w:ascii="宋体" w:hAnsi="宋体"/>
          <w:color w:val="000000"/>
          <w:kern w:val="0"/>
          <w:highlight w:val="none"/>
        </w:rPr>
        <w:t>。</w:t>
      </w:r>
    </w:p>
    <w:p w14:paraId="330CCD35">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承包人接收文件的地点：</w:t>
      </w:r>
      <w:r>
        <w:rPr>
          <w:rFonts w:hint="eastAsia" w:ascii="宋体" w:hAnsi="宋体"/>
          <w:color w:val="000000"/>
          <w:highlight w:val="none"/>
          <w:u w:val="single"/>
        </w:rPr>
        <w:t>承包人项目部办公室</w:t>
      </w:r>
      <w:r>
        <w:rPr>
          <w:rFonts w:hint="eastAsia" w:ascii="宋体" w:hAnsi="宋体"/>
          <w:color w:val="000000"/>
          <w:kern w:val="0"/>
          <w:highlight w:val="none"/>
        </w:rPr>
        <w:t>；</w:t>
      </w:r>
    </w:p>
    <w:p w14:paraId="55E18DB0">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承包人指定的接收人为：</w:t>
      </w:r>
      <w:r>
        <w:rPr>
          <w:rFonts w:hint="eastAsia" w:ascii="宋体" w:hAnsi="宋体"/>
          <w:color w:val="000000"/>
          <w:highlight w:val="none"/>
          <w:u w:val="single"/>
        </w:rPr>
        <w:t>项目经理</w:t>
      </w:r>
      <w:r>
        <w:rPr>
          <w:rFonts w:hint="eastAsia" w:ascii="宋体" w:hAnsi="宋体"/>
          <w:color w:val="000000"/>
          <w:kern w:val="0"/>
          <w:highlight w:val="none"/>
        </w:rPr>
        <w:t>。</w:t>
      </w:r>
    </w:p>
    <w:p w14:paraId="3689EA5B">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监理人接收文件的地点：</w:t>
      </w:r>
      <w:r>
        <w:rPr>
          <w:rFonts w:hint="eastAsia" w:ascii="宋体" w:hAnsi="宋体"/>
          <w:color w:val="000000"/>
          <w:highlight w:val="none"/>
          <w:u w:val="single"/>
        </w:rPr>
        <w:t>项目监理部</w:t>
      </w:r>
      <w:r>
        <w:rPr>
          <w:rFonts w:hint="eastAsia" w:ascii="宋体" w:hAnsi="宋体"/>
          <w:color w:val="000000"/>
          <w:kern w:val="0"/>
          <w:highlight w:val="none"/>
        </w:rPr>
        <w:t>；</w:t>
      </w:r>
    </w:p>
    <w:p w14:paraId="401F142D">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监理人指定的接收人为：</w:t>
      </w:r>
      <w:r>
        <w:rPr>
          <w:rFonts w:hint="eastAsia" w:ascii="宋体" w:hAnsi="宋体"/>
          <w:color w:val="000000"/>
          <w:highlight w:val="none"/>
          <w:u w:val="single"/>
        </w:rPr>
        <w:t>总监理工程师（可委托）</w:t>
      </w:r>
      <w:r>
        <w:rPr>
          <w:rFonts w:hint="eastAsia" w:ascii="宋体" w:hAnsi="宋体"/>
          <w:color w:val="000000"/>
          <w:kern w:val="0"/>
          <w:highlight w:val="none"/>
        </w:rPr>
        <w:t>。</w:t>
      </w:r>
    </w:p>
    <w:p w14:paraId="1912139D">
      <w:pPr>
        <w:pStyle w:val="12"/>
        <w:spacing w:before="0" w:after="60"/>
        <w:rPr>
          <w:rFonts w:ascii="宋体" w:hAnsi="宋体"/>
          <w:color w:val="000000"/>
          <w:highlight w:val="none"/>
        </w:rPr>
      </w:pPr>
      <w:bookmarkStart w:id="348" w:name="_Toc3336"/>
      <w:bookmarkStart w:id="349" w:name="_Toc108539778"/>
      <w:r>
        <w:rPr>
          <w:rFonts w:ascii="宋体" w:hAnsi="宋体"/>
          <w:color w:val="000000"/>
          <w:highlight w:val="none"/>
        </w:rPr>
        <w:t xml:space="preserve">1.10 </w:t>
      </w:r>
      <w:r>
        <w:rPr>
          <w:rFonts w:hint="eastAsia" w:ascii="宋体" w:hAnsi="宋体"/>
          <w:color w:val="000000"/>
          <w:highlight w:val="none"/>
        </w:rPr>
        <w:t>交通运输</w:t>
      </w:r>
      <w:bookmarkEnd w:id="348"/>
      <w:bookmarkEnd w:id="349"/>
    </w:p>
    <w:p w14:paraId="6678B3DC">
      <w:pPr>
        <w:spacing w:line="360" w:lineRule="auto"/>
        <w:ind w:firstLine="420" w:firstLineChars="200"/>
        <w:rPr>
          <w:rFonts w:ascii="宋体" w:hAnsi="宋体"/>
          <w:color w:val="000000"/>
          <w:highlight w:val="none"/>
        </w:rPr>
      </w:pPr>
      <w:r>
        <w:rPr>
          <w:rFonts w:ascii="宋体" w:hAnsi="宋体"/>
          <w:color w:val="000000"/>
          <w:highlight w:val="none"/>
        </w:rPr>
        <w:t xml:space="preserve">1.10.1 </w:t>
      </w:r>
      <w:r>
        <w:rPr>
          <w:rFonts w:hint="eastAsia" w:ascii="宋体" w:hAnsi="宋体"/>
          <w:color w:val="000000"/>
          <w:highlight w:val="none"/>
        </w:rPr>
        <w:t>出入现场的权利</w:t>
      </w:r>
    </w:p>
    <w:p w14:paraId="3321E4AA">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关于出入现场的权利的约定：</w:t>
      </w:r>
      <w:r>
        <w:rPr>
          <w:rFonts w:hint="eastAsia" w:ascii="宋体" w:hAnsi="宋体"/>
          <w:color w:val="000000"/>
          <w:highlight w:val="none"/>
          <w:u w:val="single"/>
        </w:rPr>
        <w:t>按现有出入现场的道路现状交付承包人，由承包人自行解决取得出入现场的道路通行的权利，发包人应协助办理有关手续</w:t>
      </w:r>
      <w:r>
        <w:rPr>
          <w:rFonts w:hint="eastAsia" w:ascii="宋体" w:hAnsi="宋体"/>
          <w:color w:val="000000"/>
          <w:highlight w:val="none"/>
        </w:rPr>
        <w:t>。</w:t>
      </w:r>
    </w:p>
    <w:p w14:paraId="5595D84D">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1.10.3 </w:t>
      </w:r>
      <w:r>
        <w:rPr>
          <w:rFonts w:hint="eastAsia" w:ascii="宋体" w:hAnsi="宋体"/>
          <w:color w:val="000000"/>
          <w:highlight w:val="none"/>
        </w:rPr>
        <w:t>场内交通</w:t>
      </w:r>
    </w:p>
    <w:p w14:paraId="0CBA10A2">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关于场外交通和场内交通的边界的约定：</w:t>
      </w:r>
      <w:r>
        <w:rPr>
          <w:rFonts w:hint="eastAsia" w:ascii="宋体" w:hAnsi="宋体"/>
          <w:color w:val="000000"/>
          <w:highlight w:val="none"/>
          <w:u w:val="single"/>
        </w:rPr>
        <w:t>由承包方按照规划红线进行封闭围挡，施工现场封闭围挡范围以内为场内交通；范围以外为场外交通</w:t>
      </w:r>
      <w:r>
        <w:rPr>
          <w:rFonts w:hint="eastAsia" w:ascii="宋体" w:hAnsi="宋体"/>
          <w:color w:val="000000"/>
          <w:highlight w:val="none"/>
        </w:rPr>
        <w:t>。</w:t>
      </w:r>
    </w:p>
    <w:p w14:paraId="18CF0D68">
      <w:pPr>
        <w:spacing w:line="360" w:lineRule="auto"/>
        <w:ind w:firstLine="420" w:firstLineChars="200"/>
        <w:jc w:val="left"/>
        <w:rPr>
          <w:rFonts w:ascii="宋体" w:hAnsi="宋体"/>
          <w:color w:val="000000"/>
          <w:highlight w:val="none"/>
        </w:rPr>
      </w:pPr>
      <w:r>
        <w:rPr>
          <w:rFonts w:ascii="宋体" w:hAnsi="宋体"/>
          <w:color w:val="000000"/>
          <w:highlight w:val="none"/>
        </w:rPr>
        <w:t>关于发包人向承包人免费提供满足工程施工需要的场内道路和交通设施的约定：</w:t>
      </w:r>
      <w:r>
        <w:rPr>
          <w:rFonts w:hint="eastAsia" w:ascii="宋体" w:hAnsi="宋体"/>
          <w:color w:val="000000"/>
          <w:highlight w:val="none"/>
          <w:u w:val="single"/>
        </w:rPr>
        <w:t>发包人按照施工现场现状提供施工需要的场内道路和交通设施，承包人负责修建、维修、养护和管理施工所需的其他场内临时道路和交通设施，并承担相应的费用</w:t>
      </w:r>
      <w:r>
        <w:rPr>
          <w:rFonts w:ascii="宋体" w:hAnsi="宋体"/>
          <w:color w:val="000000"/>
          <w:highlight w:val="none"/>
        </w:rPr>
        <w:t>。</w:t>
      </w:r>
    </w:p>
    <w:p w14:paraId="29D3314F">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1.10.4 </w:t>
      </w:r>
      <w:r>
        <w:rPr>
          <w:rFonts w:hint="eastAsia" w:ascii="宋体" w:hAnsi="宋体"/>
          <w:color w:val="000000"/>
          <w:highlight w:val="none"/>
        </w:rPr>
        <w:t>超大件和超重件的运输</w:t>
      </w:r>
    </w:p>
    <w:p w14:paraId="0CE4584E">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运输超大件或超重件所需的道路和桥梁临时加固改造费用和其他有关费用由</w:t>
      </w:r>
      <w:r>
        <w:rPr>
          <w:rFonts w:hint="eastAsia" w:ascii="宋体" w:hAnsi="宋体"/>
          <w:color w:val="000000"/>
          <w:highlight w:val="none"/>
          <w:u w:val="single"/>
        </w:rPr>
        <w:t>承包方</w:t>
      </w:r>
      <w:r>
        <w:rPr>
          <w:rFonts w:hint="eastAsia" w:ascii="宋体" w:hAnsi="宋体"/>
          <w:color w:val="000000"/>
          <w:highlight w:val="none"/>
        </w:rPr>
        <w:t>承担。</w:t>
      </w:r>
    </w:p>
    <w:p w14:paraId="22CCDFD0">
      <w:pPr>
        <w:pStyle w:val="12"/>
        <w:spacing w:before="0" w:after="60"/>
        <w:rPr>
          <w:rFonts w:ascii="宋体" w:hAnsi="宋体"/>
          <w:color w:val="000000"/>
          <w:highlight w:val="none"/>
        </w:rPr>
      </w:pPr>
      <w:bookmarkStart w:id="350" w:name="_Toc389065266"/>
      <w:bookmarkStart w:id="351" w:name="_Toc373227700"/>
      <w:bookmarkStart w:id="352" w:name="_Toc407135202"/>
      <w:bookmarkStart w:id="353" w:name="_Toc108539779"/>
      <w:bookmarkStart w:id="354" w:name="_Toc487632699"/>
      <w:bookmarkStart w:id="355" w:name="_Toc373478347"/>
      <w:bookmarkStart w:id="356" w:name="_Toc26441"/>
      <w:r>
        <w:rPr>
          <w:rFonts w:ascii="宋体" w:hAnsi="宋体"/>
          <w:color w:val="000000"/>
          <w:highlight w:val="none"/>
        </w:rPr>
        <w:t xml:space="preserve">1.11 </w:t>
      </w:r>
      <w:r>
        <w:rPr>
          <w:rFonts w:hint="eastAsia" w:ascii="宋体" w:hAnsi="宋体"/>
          <w:color w:val="000000"/>
          <w:highlight w:val="none"/>
        </w:rPr>
        <w:t>知识产权</w:t>
      </w:r>
      <w:bookmarkEnd w:id="350"/>
      <w:bookmarkEnd w:id="351"/>
      <w:bookmarkEnd w:id="352"/>
      <w:bookmarkEnd w:id="353"/>
      <w:bookmarkEnd w:id="354"/>
      <w:bookmarkEnd w:id="355"/>
      <w:bookmarkEnd w:id="356"/>
    </w:p>
    <w:p w14:paraId="06899F28">
      <w:pPr>
        <w:spacing w:line="360" w:lineRule="auto"/>
        <w:ind w:firstLine="420" w:firstLineChars="200"/>
        <w:rPr>
          <w:rFonts w:ascii="宋体" w:hAnsi="宋体"/>
          <w:color w:val="000000"/>
          <w:highlight w:val="none"/>
        </w:rPr>
      </w:pPr>
      <w:r>
        <w:rPr>
          <w:rFonts w:ascii="宋体" w:hAnsi="宋体"/>
          <w:color w:val="000000"/>
          <w:highlight w:val="none"/>
        </w:rPr>
        <w:t xml:space="preserve">1.11.1 </w:t>
      </w:r>
      <w:r>
        <w:rPr>
          <w:rFonts w:hint="eastAsia" w:ascii="宋体" w:hAnsi="宋体"/>
          <w:color w:val="000000"/>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000000"/>
          <w:highlight w:val="none"/>
          <w:u w:val="single"/>
        </w:rPr>
        <w:t>归发包人</w:t>
      </w:r>
      <w:r>
        <w:rPr>
          <w:rFonts w:hint="eastAsia" w:ascii="宋体" w:hAnsi="宋体"/>
          <w:color w:val="000000"/>
          <w:highlight w:val="none"/>
        </w:rPr>
        <w:t>。</w:t>
      </w:r>
    </w:p>
    <w:p w14:paraId="1AF39995">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关于发包人提供的上述文件的使用限制的要求：</w:t>
      </w:r>
      <w:r>
        <w:rPr>
          <w:rFonts w:hint="eastAsia" w:ascii="宋体" w:hAnsi="宋体"/>
          <w:color w:val="000000"/>
          <w:highlight w:val="none"/>
          <w:u w:val="single"/>
        </w:rPr>
        <w:t>未经发包人书面同意，承包人不得为了合同以外的目的而复制、使用上述文件或将之提供给任何第三方</w:t>
      </w:r>
      <w:r>
        <w:rPr>
          <w:rFonts w:hint="eastAsia" w:ascii="宋体" w:hAnsi="宋体"/>
          <w:color w:val="000000"/>
          <w:highlight w:val="none"/>
        </w:rPr>
        <w:t>。</w:t>
      </w:r>
    </w:p>
    <w:p w14:paraId="5D215B3E">
      <w:pPr>
        <w:spacing w:line="360" w:lineRule="auto"/>
        <w:ind w:firstLine="420" w:firstLineChars="200"/>
        <w:rPr>
          <w:rFonts w:ascii="宋体" w:hAnsi="宋体"/>
          <w:color w:val="000000"/>
          <w:highlight w:val="none"/>
        </w:rPr>
      </w:pPr>
      <w:r>
        <w:rPr>
          <w:rFonts w:ascii="宋体" w:hAnsi="宋体"/>
          <w:color w:val="000000"/>
          <w:highlight w:val="none"/>
        </w:rPr>
        <w:t xml:space="preserve">1.11.2 </w:t>
      </w:r>
      <w:r>
        <w:rPr>
          <w:rFonts w:hint="eastAsia" w:ascii="宋体" w:hAnsi="宋体"/>
          <w:color w:val="000000"/>
          <w:highlight w:val="none"/>
        </w:rPr>
        <w:t>关于承包人为实施工程所编制文件的著作权的归属：</w:t>
      </w:r>
      <w:r>
        <w:rPr>
          <w:rFonts w:hint="eastAsia" w:ascii="宋体" w:hAnsi="宋体"/>
          <w:color w:val="000000"/>
          <w:highlight w:val="none"/>
          <w:u w:val="single"/>
        </w:rPr>
        <w:t>按通用合同条款执行</w:t>
      </w:r>
      <w:r>
        <w:rPr>
          <w:rFonts w:hint="eastAsia" w:ascii="宋体" w:hAnsi="宋体"/>
          <w:color w:val="000000"/>
          <w:highlight w:val="none"/>
        </w:rPr>
        <w:t>。</w:t>
      </w:r>
    </w:p>
    <w:p w14:paraId="1AF545FB">
      <w:pPr>
        <w:spacing w:line="360" w:lineRule="auto"/>
        <w:ind w:firstLine="420" w:firstLineChars="200"/>
        <w:rPr>
          <w:rFonts w:ascii="宋体" w:hAnsi="宋体"/>
          <w:color w:val="000000"/>
          <w:highlight w:val="none"/>
        </w:rPr>
      </w:pPr>
      <w:r>
        <w:rPr>
          <w:rFonts w:ascii="宋体" w:hAnsi="宋体"/>
          <w:color w:val="000000"/>
          <w:highlight w:val="none"/>
        </w:rPr>
        <w:t>1.11.</w:t>
      </w:r>
      <w:r>
        <w:rPr>
          <w:rFonts w:hint="eastAsia" w:ascii="宋体" w:hAnsi="宋体"/>
          <w:color w:val="000000"/>
          <w:highlight w:val="none"/>
        </w:rPr>
        <w:t>3关于承包人提供的上述文件的使用限制的要求：</w:t>
      </w:r>
      <w:r>
        <w:rPr>
          <w:rFonts w:hint="eastAsia" w:ascii="宋体" w:hAnsi="宋体"/>
          <w:color w:val="000000"/>
          <w:highlight w:val="none"/>
          <w:u w:val="single"/>
        </w:rPr>
        <w:t>未经发包人书面同意，承包人不得为了合同以外的目的而复制、使用上述文件或将之提供给任何第三方</w:t>
      </w:r>
      <w:r>
        <w:rPr>
          <w:rFonts w:hint="eastAsia" w:ascii="宋体" w:hAnsi="宋体"/>
          <w:color w:val="000000"/>
          <w:highlight w:val="none"/>
        </w:rPr>
        <w:t>。</w:t>
      </w:r>
    </w:p>
    <w:p w14:paraId="0F04E62B">
      <w:pPr>
        <w:spacing w:line="360" w:lineRule="auto"/>
        <w:ind w:firstLine="420" w:firstLineChars="200"/>
        <w:rPr>
          <w:rFonts w:ascii="宋体" w:hAnsi="宋体"/>
          <w:color w:val="000000"/>
          <w:highlight w:val="none"/>
        </w:rPr>
      </w:pPr>
      <w:r>
        <w:rPr>
          <w:rFonts w:ascii="宋体" w:hAnsi="宋体"/>
          <w:color w:val="000000"/>
          <w:highlight w:val="none"/>
        </w:rPr>
        <w:t xml:space="preserve">1.11.4 </w:t>
      </w:r>
      <w:r>
        <w:rPr>
          <w:rFonts w:hint="eastAsia" w:ascii="宋体" w:hAnsi="宋体"/>
          <w:color w:val="000000"/>
          <w:highlight w:val="none"/>
        </w:rPr>
        <w:t>承包人在施工过程中所采用的专利、专有技术、技术秘密的使用费的承担方式：</w:t>
      </w:r>
    </w:p>
    <w:p w14:paraId="37FFB1F0">
      <w:pPr>
        <w:spacing w:line="360" w:lineRule="auto"/>
        <w:rPr>
          <w:rFonts w:hint="eastAsia" w:ascii="宋体" w:hAnsi="宋体"/>
          <w:color w:val="000000"/>
          <w:highlight w:val="none"/>
          <w:u w:val="single"/>
        </w:rPr>
      </w:pPr>
      <w:r>
        <w:rPr>
          <w:rFonts w:hint="eastAsia" w:ascii="宋体" w:hAnsi="宋体"/>
          <w:color w:val="000000"/>
          <w:highlight w:val="none"/>
          <w:u w:val="single"/>
        </w:rPr>
        <w:t>按通用合同条款执行</w:t>
      </w:r>
      <w:r>
        <w:rPr>
          <w:rFonts w:hint="eastAsia" w:ascii="宋体" w:hAnsi="宋体"/>
          <w:color w:val="000000"/>
          <w:kern w:val="0"/>
          <w:highlight w:val="none"/>
        </w:rPr>
        <w:t>。</w:t>
      </w:r>
    </w:p>
    <w:p w14:paraId="7902D85E">
      <w:pPr>
        <w:pStyle w:val="12"/>
        <w:spacing w:before="0" w:after="60"/>
        <w:rPr>
          <w:rFonts w:ascii="宋体" w:hAnsi="宋体"/>
          <w:color w:val="000000"/>
          <w:highlight w:val="none"/>
        </w:rPr>
      </w:pPr>
      <w:bookmarkStart w:id="357" w:name="_Toc407135203"/>
      <w:bookmarkStart w:id="358" w:name="_Toc373227701"/>
      <w:bookmarkStart w:id="359" w:name="_Toc389065267"/>
      <w:bookmarkStart w:id="360" w:name="_Toc108539780"/>
      <w:bookmarkStart w:id="361" w:name="_Toc31850"/>
      <w:bookmarkStart w:id="362" w:name="_Toc487632700"/>
      <w:bookmarkStart w:id="363" w:name="_Toc373478348"/>
      <w:r>
        <w:rPr>
          <w:rFonts w:ascii="宋体" w:hAnsi="宋体"/>
          <w:color w:val="000000"/>
          <w:highlight w:val="none"/>
        </w:rPr>
        <w:t>1.13</w:t>
      </w:r>
      <w:r>
        <w:rPr>
          <w:rFonts w:hint="eastAsia" w:ascii="宋体" w:hAnsi="宋体"/>
          <w:color w:val="000000"/>
          <w:highlight w:val="none"/>
        </w:rPr>
        <w:t>工程量清单错误的修正</w:t>
      </w:r>
      <w:bookmarkEnd w:id="357"/>
      <w:bookmarkEnd w:id="358"/>
      <w:bookmarkEnd w:id="359"/>
      <w:bookmarkEnd w:id="360"/>
      <w:bookmarkEnd w:id="361"/>
      <w:bookmarkEnd w:id="362"/>
      <w:bookmarkEnd w:id="363"/>
    </w:p>
    <w:p w14:paraId="60EF50F7">
      <w:pPr>
        <w:spacing w:line="360" w:lineRule="auto"/>
        <w:ind w:firstLine="420" w:firstLineChars="200"/>
        <w:rPr>
          <w:rFonts w:hint="eastAsia" w:ascii="宋体" w:hAnsi="宋体"/>
          <w:color w:val="000000"/>
          <w:highlight w:val="none"/>
        </w:rPr>
      </w:pPr>
      <w:r>
        <w:rPr>
          <w:rFonts w:hint="eastAsia" w:ascii="宋体" w:hAnsi="宋体"/>
          <w:color w:val="000000"/>
          <w:highlight w:val="none"/>
        </w:rPr>
        <w:t>出现工程量清单工程量偏差时，是否调整合同价格：</w:t>
      </w:r>
      <w:r>
        <w:rPr>
          <w:rFonts w:hint="eastAsia" w:ascii="宋体" w:hAnsi="宋体"/>
          <w:color w:val="000000"/>
          <w:highlight w:val="none"/>
          <w:u w:val="single"/>
        </w:rPr>
        <w:t>是</w:t>
      </w:r>
      <w:r>
        <w:rPr>
          <w:rFonts w:hint="eastAsia" w:ascii="宋体" w:hAnsi="宋体"/>
          <w:color w:val="000000"/>
          <w:kern w:val="0"/>
          <w:highlight w:val="none"/>
        </w:rPr>
        <w:t>。</w:t>
      </w:r>
    </w:p>
    <w:p w14:paraId="1FCB8195">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允许调整合同价格的工程量偏差范围及其调整办法：</w:t>
      </w:r>
      <w:r>
        <w:rPr>
          <w:rFonts w:hint="eastAsia" w:ascii="宋体" w:hAnsi="宋体"/>
          <w:color w:val="000000"/>
          <w:highlight w:val="none"/>
          <w:u w:val="single"/>
        </w:rPr>
        <w:t>按10.4.1 变更估价原则</w:t>
      </w:r>
      <w:r>
        <w:rPr>
          <w:rFonts w:hint="eastAsia" w:ascii="宋体" w:hAnsi="宋体"/>
          <w:color w:val="000000"/>
          <w:kern w:val="0"/>
          <w:highlight w:val="none"/>
        </w:rPr>
        <w:t>。</w:t>
      </w:r>
    </w:p>
    <w:p w14:paraId="5B974664">
      <w:pPr>
        <w:pStyle w:val="11"/>
        <w:rPr>
          <w:rFonts w:ascii="宋体" w:hAnsi="宋体" w:eastAsia="宋体"/>
          <w:color w:val="000000"/>
          <w:highlight w:val="none"/>
        </w:rPr>
      </w:pPr>
      <w:bookmarkStart w:id="364" w:name="_Toc351203634"/>
      <w:bookmarkStart w:id="365" w:name="_Toc487632701"/>
      <w:bookmarkStart w:id="366" w:name="_Toc389065268"/>
      <w:bookmarkStart w:id="367" w:name="_Toc407135204"/>
      <w:bookmarkStart w:id="368" w:name="_Toc373227702"/>
      <w:bookmarkStart w:id="369" w:name="_Toc108539781"/>
      <w:bookmarkStart w:id="370" w:name="_Toc373478349"/>
      <w:bookmarkStart w:id="371" w:name="_Toc16905"/>
      <w:r>
        <w:rPr>
          <w:rFonts w:ascii="宋体" w:hAnsi="宋体" w:eastAsia="宋体"/>
          <w:color w:val="000000"/>
          <w:highlight w:val="none"/>
        </w:rPr>
        <w:t xml:space="preserve">2. </w:t>
      </w:r>
      <w:r>
        <w:rPr>
          <w:rFonts w:hint="eastAsia" w:ascii="宋体" w:hAnsi="宋体" w:eastAsia="宋体"/>
          <w:color w:val="000000"/>
          <w:highlight w:val="none"/>
        </w:rPr>
        <w:t>发包人</w:t>
      </w:r>
      <w:bookmarkEnd w:id="364"/>
      <w:bookmarkEnd w:id="365"/>
      <w:bookmarkEnd w:id="366"/>
      <w:bookmarkEnd w:id="367"/>
      <w:bookmarkEnd w:id="368"/>
      <w:bookmarkEnd w:id="369"/>
      <w:bookmarkEnd w:id="370"/>
      <w:bookmarkEnd w:id="371"/>
    </w:p>
    <w:p w14:paraId="6BB49DC7">
      <w:pPr>
        <w:pStyle w:val="12"/>
        <w:spacing w:before="0" w:after="60"/>
        <w:rPr>
          <w:rFonts w:ascii="宋体" w:hAnsi="宋体"/>
          <w:color w:val="000000"/>
          <w:highlight w:val="none"/>
        </w:rPr>
      </w:pPr>
      <w:bookmarkStart w:id="372" w:name="_Toc487632702"/>
      <w:bookmarkStart w:id="373" w:name="_Toc373478350"/>
      <w:bookmarkStart w:id="374" w:name="_Toc20502"/>
      <w:bookmarkStart w:id="375" w:name="_Toc389065269"/>
      <w:bookmarkStart w:id="376" w:name="_Toc407135205"/>
      <w:bookmarkStart w:id="377" w:name="_Toc373227703"/>
      <w:bookmarkStart w:id="378" w:name="_Toc108539782"/>
      <w:r>
        <w:rPr>
          <w:rFonts w:ascii="宋体" w:hAnsi="宋体"/>
          <w:color w:val="000000"/>
          <w:highlight w:val="none"/>
        </w:rPr>
        <w:t xml:space="preserve">2.2 </w:t>
      </w:r>
      <w:r>
        <w:rPr>
          <w:rFonts w:hint="eastAsia" w:ascii="宋体" w:hAnsi="宋体"/>
          <w:color w:val="000000"/>
          <w:highlight w:val="none"/>
        </w:rPr>
        <w:t>发包人代表</w:t>
      </w:r>
      <w:bookmarkEnd w:id="372"/>
      <w:bookmarkEnd w:id="373"/>
      <w:bookmarkEnd w:id="374"/>
      <w:bookmarkEnd w:id="375"/>
      <w:bookmarkEnd w:id="376"/>
      <w:bookmarkEnd w:id="377"/>
      <w:bookmarkEnd w:id="378"/>
    </w:p>
    <w:p w14:paraId="171FF6ED">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发包人代表：</w:t>
      </w:r>
    </w:p>
    <w:p w14:paraId="243B5AEF">
      <w:pPr>
        <w:spacing w:line="360" w:lineRule="auto"/>
        <w:ind w:firstLine="420" w:firstLineChars="200"/>
        <w:rPr>
          <w:rFonts w:ascii="宋体" w:hAnsi="宋体"/>
          <w:color w:val="000000"/>
          <w:highlight w:val="none"/>
        </w:rPr>
      </w:pPr>
      <w:r>
        <w:rPr>
          <w:rFonts w:ascii="宋体" w:hAnsi="宋体"/>
          <w:color w:val="000000"/>
          <w:highlight w:val="none"/>
        </w:rPr>
        <w:t>姓</w:t>
      </w:r>
      <w:r>
        <w:rPr>
          <w:rFonts w:hint="eastAsia" w:ascii="宋体" w:hAnsi="宋体"/>
          <w:color w:val="000000"/>
          <w:highlight w:val="none"/>
          <w:lang w:val="en-US" w:eastAsia="zh-CN"/>
        </w:rPr>
        <w:t xml:space="preserve">    </w:t>
      </w:r>
      <w:r>
        <w:rPr>
          <w:rFonts w:ascii="宋体" w:hAnsi="宋体"/>
          <w:color w:val="000000"/>
          <w:highlight w:val="none"/>
        </w:rPr>
        <w:t>名：</w:t>
      </w:r>
      <w:r>
        <w:rPr>
          <w:rFonts w:hint="eastAsia" w:ascii="宋体" w:hAnsi="宋体"/>
          <w:color w:val="000000"/>
          <w:highlight w:val="none"/>
          <w:u w:val="single"/>
        </w:rPr>
        <w:t></w:t>
      </w:r>
      <w:r>
        <w:rPr>
          <w:rFonts w:ascii="宋体" w:hAnsi="宋体"/>
          <w:color w:val="000000"/>
          <w:highlight w:val="none"/>
        </w:rPr>
        <w:t>；</w:t>
      </w:r>
    </w:p>
    <w:p w14:paraId="63BFD800">
      <w:pPr>
        <w:spacing w:line="360" w:lineRule="auto"/>
        <w:ind w:firstLine="420" w:firstLineChars="200"/>
        <w:rPr>
          <w:rFonts w:ascii="宋体" w:hAnsi="宋体"/>
          <w:color w:val="000000"/>
          <w:highlight w:val="none"/>
        </w:rPr>
      </w:pPr>
      <w:r>
        <w:rPr>
          <w:rFonts w:ascii="宋体" w:hAnsi="宋体"/>
          <w:color w:val="000000"/>
          <w:highlight w:val="none"/>
        </w:rPr>
        <w:t>身份证号：</w:t>
      </w:r>
      <w:r>
        <w:rPr>
          <w:rFonts w:hint="eastAsia" w:ascii="宋体" w:hAnsi="宋体"/>
          <w:color w:val="000000"/>
          <w:highlight w:val="none"/>
          <w:u w:val="single"/>
        </w:rPr>
        <w:t></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w:t>
      </w:r>
      <w:r>
        <w:rPr>
          <w:rFonts w:ascii="宋体" w:hAnsi="宋体"/>
          <w:color w:val="000000"/>
          <w:highlight w:val="none"/>
        </w:rPr>
        <w:t>；</w:t>
      </w:r>
    </w:p>
    <w:p w14:paraId="276F40FB">
      <w:pPr>
        <w:spacing w:line="360" w:lineRule="auto"/>
        <w:ind w:firstLine="420" w:firstLineChars="200"/>
        <w:rPr>
          <w:rFonts w:ascii="宋体" w:hAnsi="宋体"/>
          <w:color w:val="000000"/>
          <w:highlight w:val="none"/>
        </w:rPr>
      </w:pPr>
      <w:r>
        <w:rPr>
          <w:rFonts w:ascii="宋体" w:hAnsi="宋体"/>
          <w:color w:val="000000"/>
          <w:highlight w:val="none"/>
        </w:rPr>
        <w:t>职</w:t>
      </w:r>
      <w:r>
        <w:rPr>
          <w:rFonts w:hint="eastAsia" w:ascii="宋体" w:hAnsi="宋体"/>
          <w:color w:val="000000"/>
          <w:highlight w:val="none"/>
          <w:lang w:val="en-US" w:eastAsia="zh-CN"/>
        </w:rPr>
        <w:t xml:space="preserve">    </w:t>
      </w:r>
      <w:r>
        <w:rPr>
          <w:rFonts w:ascii="宋体" w:hAnsi="宋体"/>
          <w:color w:val="000000"/>
          <w:highlight w:val="none"/>
        </w:rPr>
        <w:t>务：</w:t>
      </w:r>
      <w:r>
        <w:rPr>
          <w:rFonts w:hint="eastAsia" w:ascii="宋体" w:hAnsi="宋体"/>
          <w:color w:val="000000"/>
          <w:highlight w:val="none"/>
          <w:u w:val="single"/>
        </w:rPr>
        <w:t></w:t>
      </w:r>
      <w:r>
        <w:rPr>
          <w:rFonts w:ascii="宋体" w:hAnsi="宋体"/>
          <w:color w:val="000000"/>
          <w:highlight w:val="none"/>
        </w:rPr>
        <w:t>；</w:t>
      </w:r>
    </w:p>
    <w:p w14:paraId="4F851618">
      <w:pPr>
        <w:spacing w:line="360" w:lineRule="auto"/>
        <w:ind w:firstLine="420" w:firstLineChars="200"/>
        <w:rPr>
          <w:rFonts w:ascii="宋体" w:hAnsi="宋体"/>
          <w:color w:val="000000"/>
          <w:highlight w:val="none"/>
        </w:rPr>
      </w:pPr>
      <w:r>
        <w:rPr>
          <w:rFonts w:ascii="宋体" w:hAnsi="宋体"/>
          <w:color w:val="000000"/>
          <w:highlight w:val="none"/>
        </w:rPr>
        <w:t>联系电话：</w:t>
      </w:r>
      <w:r>
        <w:rPr>
          <w:rFonts w:hint="eastAsia" w:ascii="宋体" w:hAnsi="宋体"/>
          <w:color w:val="000000"/>
          <w:highlight w:val="none"/>
          <w:u w:val="single"/>
        </w:rPr>
        <w:t></w:t>
      </w:r>
      <w:r>
        <w:rPr>
          <w:rFonts w:ascii="宋体" w:hAnsi="宋体"/>
          <w:color w:val="000000"/>
          <w:highlight w:val="none"/>
        </w:rPr>
        <w:t>；</w:t>
      </w:r>
    </w:p>
    <w:p w14:paraId="7C633808">
      <w:pPr>
        <w:spacing w:line="360" w:lineRule="auto"/>
        <w:ind w:firstLine="420" w:firstLineChars="200"/>
        <w:rPr>
          <w:rFonts w:ascii="宋体" w:hAnsi="宋体"/>
          <w:color w:val="000000"/>
          <w:highlight w:val="none"/>
        </w:rPr>
      </w:pPr>
      <w:r>
        <w:rPr>
          <w:rFonts w:ascii="宋体" w:hAnsi="宋体"/>
          <w:color w:val="000000"/>
          <w:highlight w:val="none"/>
        </w:rPr>
        <w:t>电子信箱：</w:t>
      </w:r>
      <w:r>
        <w:rPr>
          <w:rFonts w:hint="eastAsia" w:ascii="宋体" w:hAnsi="宋体"/>
          <w:color w:val="000000"/>
          <w:highlight w:val="none"/>
          <w:u w:val="single"/>
        </w:rPr>
        <w:t></w:t>
      </w:r>
      <w:r>
        <w:rPr>
          <w:rFonts w:ascii="宋体" w:hAnsi="宋体"/>
          <w:color w:val="000000"/>
          <w:highlight w:val="none"/>
        </w:rPr>
        <w:t>；</w:t>
      </w:r>
    </w:p>
    <w:p w14:paraId="294B5655">
      <w:pPr>
        <w:spacing w:line="360" w:lineRule="auto"/>
        <w:ind w:firstLine="420" w:firstLineChars="200"/>
        <w:rPr>
          <w:rFonts w:ascii="宋体" w:hAnsi="宋体"/>
          <w:color w:val="000000"/>
          <w:highlight w:val="none"/>
        </w:rPr>
      </w:pPr>
      <w:r>
        <w:rPr>
          <w:rFonts w:ascii="宋体" w:hAnsi="宋体"/>
          <w:color w:val="000000"/>
          <w:highlight w:val="none"/>
        </w:rPr>
        <w:t>通信地址：</w:t>
      </w:r>
      <w:r>
        <w:rPr>
          <w:rFonts w:hint="eastAsia" w:ascii="宋体" w:hAnsi="宋体"/>
          <w:color w:val="000000"/>
          <w:highlight w:val="none"/>
          <w:u w:val="single"/>
        </w:rPr>
        <w:t></w:t>
      </w:r>
      <w:r>
        <w:rPr>
          <w:rFonts w:ascii="宋体" w:hAnsi="宋体"/>
          <w:color w:val="000000"/>
          <w:highlight w:val="none"/>
        </w:rPr>
        <w:t>。</w:t>
      </w:r>
    </w:p>
    <w:p w14:paraId="79A33E50">
      <w:pPr>
        <w:pStyle w:val="112"/>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发包人对发包人代表的授权范围如下：</w:t>
      </w:r>
      <w:r>
        <w:rPr>
          <w:rFonts w:hint="eastAsia" w:ascii="宋体" w:hAnsi="宋体"/>
          <w:color w:val="000000"/>
          <w:highlight w:val="none"/>
          <w:u w:val="single"/>
        </w:rPr>
        <w:t>除以下事项以外，发包人代表有权处理合同履行过程中与发包人有关的事宜：</w:t>
      </w:r>
    </w:p>
    <w:p w14:paraId="62E8543C">
      <w:pPr>
        <w:pStyle w:val="112"/>
        <w:spacing w:line="360" w:lineRule="auto"/>
        <w:ind w:firstLine="420" w:firstLineChars="200"/>
        <w:rPr>
          <w:rFonts w:hint="eastAsia" w:ascii="宋体" w:hAnsi="宋体"/>
          <w:color w:val="000000"/>
          <w:highlight w:val="none"/>
        </w:rPr>
      </w:pPr>
      <w:r>
        <w:rPr>
          <w:rFonts w:hint="eastAsia" w:ascii="宋体" w:hAnsi="宋体"/>
          <w:color w:val="000000"/>
          <w:highlight w:val="none"/>
        </w:rPr>
        <w:t>（1）发布暂停施工命令</w:t>
      </w:r>
    </w:p>
    <w:p w14:paraId="466B7D86">
      <w:pPr>
        <w:pStyle w:val="112"/>
        <w:spacing w:line="360" w:lineRule="auto"/>
        <w:ind w:firstLine="420" w:firstLineChars="200"/>
        <w:rPr>
          <w:rFonts w:hint="eastAsia" w:ascii="宋体" w:hAnsi="宋体"/>
          <w:color w:val="000000"/>
          <w:highlight w:val="none"/>
        </w:rPr>
      </w:pPr>
      <w:r>
        <w:rPr>
          <w:rFonts w:hint="eastAsia" w:ascii="宋体" w:hAnsi="宋体"/>
          <w:color w:val="000000"/>
          <w:highlight w:val="none"/>
        </w:rPr>
        <w:t>（2）同意组织竣工验收</w:t>
      </w:r>
    </w:p>
    <w:p w14:paraId="336E2F07">
      <w:pPr>
        <w:pStyle w:val="112"/>
        <w:spacing w:line="360" w:lineRule="auto"/>
        <w:ind w:firstLine="420" w:firstLineChars="200"/>
        <w:rPr>
          <w:rFonts w:hint="eastAsia" w:ascii="宋体" w:hAnsi="宋体"/>
          <w:color w:val="000000"/>
          <w:highlight w:val="none"/>
        </w:rPr>
      </w:pPr>
      <w:r>
        <w:rPr>
          <w:rFonts w:hint="eastAsia" w:ascii="宋体" w:hAnsi="宋体"/>
          <w:color w:val="000000"/>
          <w:highlight w:val="none"/>
        </w:rPr>
        <w:t>（3）签认竣工付款证书</w:t>
      </w:r>
    </w:p>
    <w:p w14:paraId="31EA3B64">
      <w:pPr>
        <w:pStyle w:val="112"/>
        <w:spacing w:line="360" w:lineRule="auto"/>
        <w:ind w:firstLine="420" w:firstLineChars="200"/>
        <w:rPr>
          <w:rFonts w:hint="eastAsia" w:ascii="宋体" w:hAnsi="宋体"/>
          <w:color w:val="000000"/>
          <w:highlight w:val="none"/>
        </w:rPr>
      </w:pPr>
      <w:r>
        <w:rPr>
          <w:rFonts w:hint="eastAsia" w:ascii="宋体" w:hAnsi="宋体"/>
          <w:color w:val="000000"/>
          <w:highlight w:val="none"/>
        </w:rPr>
        <w:t>（4）签发工程接收证书</w:t>
      </w:r>
    </w:p>
    <w:p w14:paraId="5B883A68">
      <w:pPr>
        <w:pStyle w:val="112"/>
        <w:spacing w:line="360" w:lineRule="auto"/>
        <w:ind w:firstLine="420" w:firstLineChars="200"/>
        <w:rPr>
          <w:rFonts w:hint="eastAsia" w:ascii="宋体" w:hAnsi="宋体"/>
          <w:color w:val="000000"/>
          <w:highlight w:val="none"/>
        </w:rPr>
      </w:pPr>
      <w:r>
        <w:rPr>
          <w:rFonts w:hint="eastAsia" w:ascii="宋体" w:hAnsi="宋体"/>
          <w:color w:val="000000"/>
          <w:highlight w:val="none"/>
        </w:rPr>
        <w:t>（5）签发缺陷责任终止证书</w:t>
      </w:r>
    </w:p>
    <w:p w14:paraId="1FFB0F2A">
      <w:pPr>
        <w:pStyle w:val="112"/>
        <w:spacing w:line="360" w:lineRule="auto"/>
        <w:ind w:firstLine="420" w:firstLineChars="200"/>
        <w:rPr>
          <w:rFonts w:hint="eastAsia" w:ascii="宋体" w:hAnsi="宋体"/>
          <w:color w:val="000000"/>
          <w:highlight w:val="none"/>
        </w:rPr>
      </w:pPr>
      <w:r>
        <w:rPr>
          <w:rFonts w:hint="eastAsia" w:ascii="宋体" w:hAnsi="宋体"/>
          <w:color w:val="000000"/>
          <w:highlight w:val="none"/>
        </w:rPr>
        <w:t>（6）签发最终结清证书。</w:t>
      </w:r>
    </w:p>
    <w:p w14:paraId="73AAB386">
      <w:pPr>
        <w:pStyle w:val="12"/>
        <w:spacing w:before="0" w:after="60"/>
        <w:rPr>
          <w:rFonts w:ascii="宋体" w:hAnsi="宋体"/>
          <w:color w:val="000000"/>
          <w:highlight w:val="none"/>
        </w:rPr>
      </w:pPr>
      <w:bookmarkStart w:id="379" w:name="_Toc108539783"/>
      <w:bookmarkStart w:id="380" w:name="_Toc32614"/>
      <w:r>
        <w:rPr>
          <w:rFonts w:ascii="宋体" w:hAnsi="宋体"/>
          <w:color w:val="000000"/>
          <w:highlight w:val="none"/>
        </w:rPr>
        <w:t xml:space="preserve">2.4 </w:t>
      </w:r>
      <w:r>
        <w:rPr>
          <w:rFonts w:hint="eastAsia" w:ascii="宋体" w:hAnsi="宋体"/>
          <w:color w:val="000000"/>
          <w:highlight w:val="none"/>
        </w:rPr>
        <w:t>施工现场、施工条件和基础资料的提供</w:t>
      </w:r>
      <w:bookmarkEnd w:id="379"/>
      <w:bookmarkEnd w:id="380"/>
    </w:p>
    <w:p w14:paraId="65A589A0">
      <w:pPr>
        <w:spacing w:line="360" w:lineRule="auto"/>
        <w:ind w:firstLine="420" w:firstLineChars="200"/>
        <w:rPr>
          <w:rFonts w:ascii="宋体" w:hAnsi="宋体"/>
          <w:color w:val="000000"/>
          <w:highlight w:val="none"/>
        </w:rPr>
      </w:pPr>
      <w:r>
        <w:rPr>
          <w:rFonts w:ascii="宋体" w:hAnsi="宋体"/>
          <w:color w:val="000000"/>
          <w:highlight w:val="none"/>
        </w:rPr>
        <w:t xml:space="preserve">2.4.1 </w:t>
      </w:r>
      <w:r>
        <w:rPr>
          <w:rFonts w:hint="eastAsia" w:ascii="宋体" w:hAnsi="宋体"/>
          <w:color w:val="000000"/>
          <w:highlight w:val="none"/>
        </w:rPr>
        <w:t>提供施工现场</w:t>
      </w:r>
    </w:p>
    <w:p w14:paraId="262EAAC1">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关于发包人移交施工现场的期限要求：</w:t>
      </w:r>
      <w:r>
        <w:rPr>
          <w:rFonts w:hint="eastAsia" w:ascii="宋体" w:hAnsi="宋体"/>
          <w:color w:val="000000"/>
          <w:highlight w:val="none"/>
          <w:u w:val="single"/>
        </w:rPr>
        <w:t>开工日期7天前</w:t>
      </w:r>
      <w:r>
        <w:rPr>
          <w:rFonts w:hint="eastAsia" w:ascii="宋体" w:hAnsi="宋体"/>
          <w:color w:val="000000"/>
          <w:highlight w:val="none"/>
        </w:rPr>
        <w:t>。</w:t>
      </w:r>
    </w:p>
    <w:p w14:paraId="72D69B95">
      <w:pPr>
        <w:spacing w:line="360" w:lineRule="auto"/>
        <w:ind w:firstLine="420" w:firstLineChars="200"/>
        <w:rPr>
          <w:rFonts w:ascii="宋体" w:hAnsi="宋体"/>
          <w:color w:val="000000"/>
          <w:highlight w:val="none"/>
        </w:rPr>
      </w:pPr>
      <w:r>
        <w:rPr>
          <w:rFonts w:ascii="宋体" w:hAnsi="宋体"/>
          <w:color w:val="000000"/>
          <w:highlight w:val="none"/>
        </w:rPr>
        <w:t xml:space="preserve">2.4.2 </w:t>
      </w:r>
      <w:r>
        <w:rPr>
          <w:rFonts w:hint="eastAsia" w:ascii="宋体" w:hAnsi="宋体"/>
          <w:color w:val="000000"/>
          <w:highlight w:val="none"/>
        </w:rPr>
        <w:t>提供施工条件</w:t>
      </w:r>
    </w:p>
    <w:p w14:paraId="33F81556">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关于发包人应负责提供施工所需要的条件，包括：</w:t>
      </w:r>
      <w:r>
        <w:rPr>
          <w:rFonts w:hint="eastAsia" w:ascii="宋体" w:hAnsi="宋体"/>
          <w:color w:val="000000"/>
          <w:highlight w:val="none"/>
          <w:u w:val="single"/>
        </w:rPr>
        <w:t>发包人在开工前协调施工所需的水、电等。承包人负责其所需的水、电等施工管线的铺设，费用由承包人承担，施工用水、电费由承包人按规定向供水、电部门交纳。发包人提供的临时施工用的总水表及总电表箱在交给承包人正常使用后，由承包人负责对总水表及总电表箱进行维护及保管，如由于总水表及总电表箱属正常损耗或施工不当造成需要更换或维修的由承包人负责；如由于临时施工用水总水管及临时施工用电变压器的容量不能满足施工要求的，承包人应及时通知发包人提出进行增容安装，发包人负责增容安装；但临时施工用水供到各幢楼后的水压力不能满足施工要求的，经供水部门确认需要二次加压后才能使用的，由承包人自行负责解决</w:t>
      </w:r>
      <w:r>
        <w:rPr>
          <w:rFonts w:hint="eastAsia" w:ascii="宋体" w:hAnsi="宋体"/>
          <w:color w:val="000000"/>
          <w:highlight w:val="none"/>
        </w:rPr>
        <w:t>。</w:t>
      </w:r>
    </w:p>
    <w:p w14:paraId="67B666C8">
      <w:pPr>
        <w:pStyle w:val="12"/>
        <w:spacing w:before="0" w:after="60"/>
        <w:rPr>
          <w:rFonts w:ascii="宋体" w:hAnsi="宋体"/>
          <w:color w:val="000000"/>
          <w:highlight w:val="none"/>
        </w:rPr>
      </w:pPr>
      <w:bookmarkStart w:id="381" w:name="_Toc17020"/>
      <w:bookmarkStart w:id="382" w:name="_Toc487632704"/>
      <w:bookmarkStart w:id="383" w:name="_Toc373227705"/>
      <w:bookmarkStart w:id="384" w:name="_Toc373478352"/>
      <w:bookmarkStart w:id="385" w:name="_Toc407135207"/>
      <w:bookmarkStart w:id="386" w:name="_Toc108539784"/>
      <w:bookmarkStart w:id="387" w:name="_Toc389065271"/>
      <w:r>
        <w:rPr>
          <w:rFonts w:ascii="宋体" w:hAnsi="宋体"/>
          <w:color w:val="000000"/>
          <w:highlight w:val="none"/>
        </w:rPr>
        <w:t xml:space="preserve">2.5 </w:t>
      </w:r>
      <w:r>
        <w:rPr>
          <w:rFonts w:hint="eastAsia" w:ascii="宋体" w:hAnsi="宋体"/>
          <w:color w:val="000000"/>
          <w:highlight w:val="none"/>
        </w:rPr>
        <w:t>资金来源证明及支付担保</w:t>
      </w:r>
      <w:bookmarkEnd w:id="381"/>
      <w:bookmarkEnd w:id="382"/>
      <w:bookmarkEnd w:id="383"/>
      <w:bookmarkEnd w:id="384"/>
      <w:bookmarkEnd w:id="385"/>
      <w:bookmarkEnd w:id="386"/>
      <w:bookmarkEnd w:id="387"/>
    </w:p>
    <w:p w14:paraId="7A6D4BB7">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发包人提供资金来源证明的期限要求：</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无</w:t>
      </w:r>
      <w:r>
        <w:rPr>
          <w:rFonts w:hint="eastAsia" w:ascii="宋体" w:hAnsi="宋体"/>
          <w:color w:val="000000"/>
          <w:highlight w:val="none"/>
          <w:u w:val="single"/>
          <w:lang w:val="en-US" w:eastAsia="zh-CN"/>
        </w:rPr>
        <w:t xml:space="preserve">  </w:t>
      </w:r>
      <w:r>
        <w:rPr>
          <w:rFonts w:hint="eastAsia" w:ascii="宋体" w:hAnsi="宋体"/>
          <w:color w:val="000000"/>
          <w:highlight w:val="none"/>
        </w:rPr>
        <w:t>。</w:t>
      </w:r>
    </w:p>
    <w:p w14:paraId="2B3DF925">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发包人是否提供支付担保：</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否</w:t>
      </w:r>
      <w:r>
        <w:rPr>
          <w:rFonts w:hint="eastAsia" w:ascii="宋体" w:hAnsi="宋体"/>
          <w:color w:val="000000"/>
          <w:highlight w:val="none"/>
          <w:u w:val="single"/>
          <w:lang w:val="en-US" w:eastAsia="zh-CN"/>
        </w:rPr>
        <w:t xml:space="preserve">  </w:t>
      </w:r>
      <w:r>
        <w:rPr>
          <w:rFonts w:hint="eastAsia" w:ascii="宋体" w:hAnsi="宋体"/>
          <w:color w:val="000000"/>
          <w:highlight w:val="none"/>
        </w:rPr>
        <w:t>。</w:t>
      </w:r>
    </w:p>
    <w:p w14:paraId="51C1A946">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发包人提供支付担保的形式：</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无</w:t>
      </w:r>
      <w:r>
        <w:rPr>
          <w:rFonts w:hint="eastAsia" w:ascii="宋体" w:hAnsi="宋体"/>
          <w:color w:val="000000"/>
          <w:highlight w:val="none"/>
          <w:u w:val="single"/>
          <w:lang w:val="en-US" w:eastAsia="zh-CN"/>
        </w:rPr>
        <w:t xml:space="preserve">  </w:t>
      </w:r>
      <w:r>
        <w:rPr>
          <w:rFonts w:hint="eastAsia" w:ascii="宋体" w:hAnsi="宋体"/>
          <w:color w:val="000000"/>
          <w:highlight w:val="none"/>
        </w:rPr>
        <w:t>。</w:t>
      </w:r>
    </w:p>
    <w:p w14:paraId="11F9B035">
      <w:pPr>
        <w:pStyle w:val="11"/>
        <w:rPr>
          <w:rFonts w:ascii="宋体" w:hAnsi="宋体" w:eastAsia="宋体"/>
          <w:color w:val="000000"/>
          <w:highlight w:val="none"/>
        </w:rPr>
      </w:pPr>
      <w:bookmarkStart w:id="388" w:name="_Toc389065272"/>
      <w:bookmarkStart w:id="389" w:name="_Toc373227706"/>
      <w:bookmarkStart w:id="390" w:name="_Toc373478353"/>
      <w:bookmarkStart w:id="391" w:name="_Toc407135208"/>
      <w:bookmarkStart w:id="392" w:name="_Toc351203635"/>
      <w:bookmarkStart w:id="393" w:name="_Toc108539785"/>
      <w:bookmarkStart w:id="394" w:name="_Toc11737"/>
      <w:bookmarkStart w:id="395" w:name="_Toc487632705"/>
      <w:r>
        <w:rPr>
          <w:rFonts w:ascii="宋体" w:hAnsi="宋体" w:eastAsia="宋体"/>
          <w:color w:val="000000"/>
          <w:highlight w:val="none"/>
        </w:rPr>
        <w:t xml:space="preserve">3. </w:t>
      </w:r>
      <w:r>
        <w:rPr>
          <w:rFonts w:hint="eastAsia" w:ascii="宋体" w:hAnsi="宋体" w:eastAsia="宋体"/>
          <w:color w:val="000000"/>
          <w:highlight w:val="none"/>
        </w:rPr>
        <w:t>承包人</w:t>
      </w:r>
      <w:bookmarkEnd w:id="388"/>
      <w:bookmarkEnd w:id="389"/>
      <w:bookmarkEnd w:id="390"/>
      <w:bookmarkEnd w:id="391"/>
      <w:bookmarkEnd w:id="392"/>
      <w:bookmarkEnd w:id="393"/>
      <w:bookmarkEnd w:id="394"/>
      <w:bookmarkEnd w:id="395"/>
    </w:p>
    <w:p w14:paraId="54F9104E">
      <w:pPr>
        <w:pStyle w:val="12"/>
        <w:spacing w:before="0" w:after="60"/>
        <w:rPr>
          <w:rFonts w:ascii="宋体" w:hAnsi="宋体"/>
          <w:color w:val="000000"/>
          <w:highlight w:val="none"/>
        </w:rPr>
      </w:pPr>
      <w:bookmarkStart w:id="396" w:name="_Toc5847"/>
      <w:bookmarkStart w:id="397" w:name="_Toc373227707"/>
      <w:bookmarkStart w:id="398" w:name="_Toc108539786"/>
      <w:bookmarkStart w:id="399" w:name="_Toc407135209"/>
      <w:bookmarkStart w:id="400" w:name="_Toc487632706"/>
      <w:bookmarkStart w:id="401" w:name="_Toc373478354"/>
      <w:bookmarkStart w:id="402" w:name="_Toc389065273"/>
      <w:r>
        <w:rPr>
          <w:rFonts w:ascii="宋体" w:hAnsi="宋体"/>
          <w:color w:val="000000"/>
          <w:highlight w:val="none"/>
        </w:rPr>
        <w:t xml:space="preserve">3.1 </w:t>
      </w:r>
      <w:r>
        <w:rPr>
          <w:rFonts w:hint="eastAsia" w:ascii="宋体" w:hAnsi="宋体"/>
          <w:color w:val="000000"/>
          <w:highlight w:val="none"/>
        </w:rPr>
        <w:t>承包人的一般义务</w:t>
      </w:r>
      <w:bookmarkEnd w:id="396"/>
      <w:bookmarkEnd w:id="397"/>
      <w:bookmarkEnd w:id="398"/>
      <w:bookmarkEnd w:id="399"/>
      <w:bookmarkEnd w:id="400"/>
      <w:bookmarkEnd w:id="401"/>
      <w:bookmarkEnd w:id="402"/>
    </w:p>
    <w:p w14:paraId="2E70F48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3</w:t>
      </w:r>
      <w:r>
        <w:rPr>
          <w:rFonts w:ascii="宋体" w:hAnsi="宋体"/>
          <w:color w:val="000000"/>
          <w:highlight w:val="none"/>
        </w:rPr>
        <w:t>.1.1</w:t>
      </w:r>
      <w:r>
        <w:rPr>
          <w:rFonts w:hint="eastAsia" w:ascii="宋体" w:hAnsi="宋体"/>
          <w:color w:val="000000"/>
          <w:highlight w:val="none"/>
        </w:rPr>
        <w:t>承包人提交的竣工资料的内容：</w:t>
      </w:r>
      <w:r>
        <w:rPr>
          <w:rFonts w:hint="eastAsia" w:ascii="宋体" w:hAnsi="宋体"/>
          <w:color w:val="000000"/>
          <w:szCs w:val="21"/>
          <w:highlight w:val="none"/>
          <w:u w:val="single"/>
        </w:rPr>
        <w:t>按照现行规范和合同约定编制竣工资料，符合工程所在地建设行政主管部门和（或）城市建设档案管理机构有关施工资料的要求，并立卷及归档。完整的工程竣工资料、竣工图纸（竣工资料及竣工图纸必须准确真实的反映实际施工情况），属于发包人应提供的资料由发包人负责及时提供给承包人，由承包人汇总整理后与上述竣工资料、竣工图同时提交，然后由发包人统一移交接管部门。若承包人所提交的竣工资料不符合备案要求，承包人应按时更正，否则按竣工日期迟延支付违约金</w:t>
      </w:r>
      <w:r>
        <w:rPr>
          <w:rFonts w:hint="eastAsia" w:ascii="宋体" w:hAnsi="宋体"/>
          <w:color w:val="000000"/>
          <w:highlight w:val="none"/>
        </w:rPr>
        <w:t>。</w:t>
      </w:r>
    </w:p>
    <w:p w14:paraId="1C532D2D">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3</w:t>
      </w:r>
      <w:r>
        <w:rPr>
          <w:rFonts w:ascii="宋体" w:hAnsi="宋体"/>
          <w:color w:val="000000"/>
          <w:highlight w:val="none"/>
        </w:rPr>
        <w:t>.1.2</w:t>
      </w:r>
      <w:r>
        <w:rPr>
          <w:rFonts w:hint="eastAsia" w:ascii="宋体" w:hAnsi="宋体"/>
          <w:color w:val="000000"/>
          <w:highlight w:val="none"/>
        </w:rPr>
        <w:t>承包人需要提交的竣工资料套数：</w:t>
      </w:r>
      <w:r>
        <w:rPr>
          <w:rFonts w:hint="eastAsia" w:ascii="宋体" w:hAnsi="宋体"/>
          <w:color w:val="000000"/>
          <w:highlight w:val="none"/>
          <w:u w:val="single"/>
        </w:rPr>
        <w:t>纸质文件4套，竣工图电子文件1套（电子格式为：文字文档部分采用微软Office; 施工图等）</w:t>
      </w:r>
      <w:r>
        <w:rPr>
          <w:rFonts w:hint="eastAsia" w:ascii="宋体" w:hAnsi="宋体"/>
          <w:color w:val="000000"/>
          <w:highlight w:val="none"/>
        </w:rPr>
        <w:t>。</w:t>
      </w:r>
    </w:p>
    <w:p w14:paraId="129C9496">
      <w:pPr>
        <w:spacing w:line="360" w:lineRule="auto"/>
        <w:ind w:left="424" w:leftChars="202"/>
        <w:jc w:val="left"/>
        <w:rPr>
          <w:rFonts w:hint="eastAsia" w:ascii="宋体" w:hAnsi="宋体"/>
          <w:color w:val="000000"/>
          <w:highlight w:val="none"/>
        </w:rPr>
      </w:pPr>
      <w:r>
        <w:rPr>
          <w:rFonts w:hint="eastAsia" w:ascii="宋体" w:hAnsi="宋体"/>
          <w:color w:val="000000"/>
          <w:highlight w:val="none"/>
        </w:rPr>
        <w:t>3</w:t>
      </w:r>
      <w:r>
        <w:rPr>
          <w:rFonts w:ascii="宋体" w:hAnsi="宋体"/>
          <w:color w:val="000000"/>
          <w:highlight w:val="none"/>
        </w:rPr>
        <w:t>.1.3</w:t>
      </w:r>
      <w:r>
        <w:rPr>
          <w:rFonts w:hint="eastAsia" w:ascii="宋体" w:hAnsi="宋体"/>
          <w:color w:val="000000"/>
          <w:highlight w:val="none"/>
        </w:rPr>
        <w:t>承包人提交的竣工资料的费用承担：</w:t>
      </w:r>
      <w:r>
        <w:rPr>
          <w:rFonts w:hint="eastAsia" w:ascii="宋体" w:hAnsi="宋体"/>
          <w:color w:val="000000"/>
          <w:highlight w:val="none"/>
          <w:u w:val="single"/>
        </w:rPr>
        <w:t>承包人承担</w:t>
      </w:r>
      <w:r>
        <w:rPr>
          <w:rFonts w:hint="eastAsia" w:ascii="宋体" w:hAnsi="宋体"/>
          <w:color w:val="000000"/>
          <w:highlight w:val="none"/>
        </w:rPr>
        <w:t>。</w:t>
      </w:r>
    </w:p>
    <w:p w14:paraId="5831A441">
      <w:pPr>
        <w:spacing w:line="360" w:lineRule="auto"/>
        <w:ind w:left="424" w:leftChars="202"/>
        <w:jc w:val="left"/>
        <w:rPr>
          <w:rFonts w:hint="eastAsia" w:ascii="宋体" w:hAnsi="宋体"/>
          <w:color w:val="000000"/>
          <w:highlight w:val="none"/>
        </w:rPr>
      </w:pPr>
      <w:r>
        <w:rPr>
          <w:rFonts w:hint="eastAsia" w:ascii="宋体" w:hAnsi="宋体"/>
          <w:color w:val="000000"/>
          <w:highlight w:val="none"/>
        </w:rPr>
        <w:t>3</w:t>
      </w:r>
      <w:r>
        <w:rPr>
          <w:rFonts w:ascii="宋体" w:hAnsi="宋体"/>
          <w:color w:val="000000"/>
          <w:highlight w:val="none"/>
        </w:rPr>
        <w:t>.1.4</w:t>
      </w:r>
      <w:r>
        <w:rPr>
          <w:rFonts w:hint="eastAsia" w:ascii="宋体" w:hAnsi="宋体"/>
          <w:color w:val="000000"/>
          <w:highlight w:val="none"/>
        </w:rPr>
        <w:t>承包人提交的竣工资料移交时间：</w:t>
      </w:r>
      <w:r>
        <w:rPr>
          <w:rFonts w:hint="eastAsia" w:ascii="宋体" w:hAnsi="宋体"/>
          <w:color w:val="000000"/>
          <w:highlight w:val="none"/>
          <w:u w:val="single"/>
        </w:rPr>
        <w:t>工程竣工验收合格后7日内</w:t>
      </w:r>
      <w:r>
        <w:rPr>
          <w:rFonts w:hint="eastAsia" w:ascii="宋体" w:hAnsi="宋体"/>
          <w:color w:val="000000"/>
          <w:highlight w:val="none"/>
        </w:rPr>
        <w:t>。</w:t>
      </w:r>
    </w:p>
    <w:p w14:paraId="2740B2F9">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3</w:t>
      </w:r>
      <w:r>
        <w:rPr>
          <w:rFonts w:ascii="宋体" w:hAnsi="宋体"/>
          <w:color w:val="000000"/>
          <w:highlight w:val="none"/>
        </w:rPr>
        <w:t>.1.5</w:t>
      </w:r>
      <w:r>
        <w:rPr>
          <w:rFonts w:hint="eastAsia" w:ascii="宋体" w:hAnsi="宋体"/>
          <w:color w:val="000000"/>
          <w:highlight w:val="none"/>
        </w:rPr>
        <w:t>承包人提交的竣工资料形式要求：</w:t>
      </w:r>
      <w:r>
        <w:rPr>
          <w:rFonts w:hint="eastAsia" w:ascii="宋体" w:hAnsi="宋体"/>
          <w:color w:val="000000"/>
          <w:highlight w:val="none"/>
          <w:u w:val="single"/>
        </w:rPr>
        <w:t>纸质4套，电子扫描件文档1套</w:t>
      </w:r>
      <w:r>
        <w:rPr>
          <w:rFonts w:hint="eastAsia" w:ascii="宋体" w:hAnsi="宋体"/>
          <w:color w:val="000000"/>
          <w:highlight w:val="none"/>
        </w:rPr>
        <w:t>。</w:t>
      </w:r>
    </w:p>
    <w:p w14:paraId="674753B8">
      <w:pPr>
        <w:spacing w:line="360" w:lineRule="auto"/>
        <w:ind w:firstLine="420" w:firstLineChars="200"/>
        <w:rPr>
          <w:rFonts w:hint="eastAsia" w:ascii="宋体" w:hAnsi="宋体"/>
          <w:color w:val="000000"/>
          <w:highlight w:val="none"/>
        </w:rPr>
      </w:pPr>
      <w:r>
        <w:rPr>
          <w:rFonts w:hint="eastAsia" w:ascii="宋体" w:hAnsi="宋体"/>
          <w:color w:val="000000"/>
          <w:highlight w:val="none"/>
        </w:rPr>
        <w:t>3</w:t>
      </w:r>
      <w:r>
        <w:rPr>
          <w:rFonts w:ascii="宋体" w:hAnsi="宋体"/>
          <w:color w:val="000000"/>
          <w:highlight w:val="none"/>
        </w:rPr>
        <w:t>.1.6</w:t>
      </w:r>
      <w:r>
        <w:rPr>
          <w:rFonts w:hint="eastAsia" w:ascii="宋体" w:hAnsi="宋体"/>
          <w:color w:val="000000"/>
          <w:kern w:val="0"/>
          <w:highlight w:val="none"/>
        </w:rPr>
        <w:t>承包人应履行的其他义务：</w:t>
      </w:r>
    </w:p>
    <w:p w14:paraId="6330C560">
      <w:pPr>
        <w:spacing w:line="360" w:lineRule="auto"/>
        <w:ind w:firstLine="420" w:firstLineChars="200"/>
        <w:rPr>
          <w:rFonts w:hint="eastAsia" w:ascii="宋体" w:hAnsi="宋体"/>
          <w:color w:val="000000"/>
          <w:kern w:val="0"/>
          <w:szCs w:val="22"/>
          <w:highlight w:val="none"/>
          <w:u w:val="single"/>
        </w:rPr>
      </w:pPr>
      <w:r>
        <w:rPr>
          <w:rFonts w:hint="eastAsia" w:ascii="宋体" w:hAnsi="宋体"/>
          <w:color w:val="000000"/>
          <w:kern w:val="0"/>
          <w:szCs w:val="22"/>
          <w:highlight w:val="none"/>
          <w:u w:val="single"/>
        </w:rPr>
        <w:t>①按规定做好进出口洗车平台硬化和流水排放措施，接受交警、城管、运输等管理部门的监督管理，进出车辆不得污染市政道路并按《广西壮族自治区建筑工程文明施工导则》(桂建管[2012]108号)有关规定执行。由于施工车造成的道路环境等污染，其责任和费用均由承包人承担，并包含在磋商报价中。</w:t>
      </w:r>
    </w:p>
    <w:p w14:paraId="6BCAC5AB">
      <w:pPr>
        <w:spacing w:line="360" w:lineRule="auto"/>
        <w:ind w:firstLine="420" w:firstLineChars="200"/>
        <w:rPr>
          <w:rFonts w:hint="eastAsia" w:ascii="宋体" w:hAnsi="宋体"/>
          <w:color w:val="000000"/>
          <w:kern w:val="0"/>
          <w:szCs w:val="22"/>
          <w:highlight w:val="none"/>
          <w:u w:val="single"/>
        </w:rPr>
      </w:pPr>
      <w:r>
        <w:rPr>
          <w:rFonts w:hint="eastAsia" w:ascii="宋体" w:hAnsi="宋体"/>
          <w:color w:val="000000"/>
          <w:kern w:val="0"/>
          <w:szCs w:val="22"/>
          <w:highlight w:val="none"/>
          <w:u w:val="single"/>
        </w:rPr>
        <w:t>②为确保工程施工进度、质量和安全，履行承包人磋商时的承诺，承包人保证按照经甲方批准的工程施工进度计划，及时派出磋商时承诺拟派出的现场施工主要管理人员，做好工程各项施工工作。</w:t>
      </w:r>
    </w:p>
    <w:p w14:paraId="57CD6584">
      <w:pPr>
        <w:spacing w:line="360" w:lineRule="auto"/>
        <w:ind w:firstLine="420" w:firstLineChars="200"/>
        <w:rPr>
          <w:rFonts w:hint="eastAsia" w:ascii="宋体" w:hAnsi="宋体"/>
          <w:color w:val="000000"/>
          <w:kern w:val="0"/>
          <w:szCs w:val="22"/>
          <w:highlight w:val="none"/>
          <w:u w:val="single"/>
        </w:rPr>
      </w:pPr>
      <w:r>
        <w:rPr>
          <w:rFonts w:hint="eastAsia" w:ascii="宋体" w:hAnsi="宋体"/>
          <w:color w:val="000000"/>
          <w:kern w:val="0"/>
          <w:szCs w:val="22"/>
          <w:highlight w:val="none"/>
          <w:u w:val="single"/>
        </w:rPr>
        <w:t>③承包人生活设施及施工场地应做好防雷电、防火等的安全防护工作，并自费配备消防设备；承担施工现场和施工人员的治安、环境卫生、计生、外来人员暂住手续等管理工作和相关费用；若发生任何安全等事故，均由承包人承担全部责任。</w:t>
      </w:r>
    </w:p>
    <w:p w14:paraId="74D29493">
      <w:pPr>
        <w:spacing w:line="360" w:lineRule="auto"/>
        <w:ind w:firstLine="420" w:firstLineChars="200"/>
        <w:rPr>
          <w:rFonts w:hint="eastAsia" w:ascii="宋体" w:hAnsi="宋体"/>
          <w:color w:val="000000"/>
          <w:kern w:val="0"/>
          <w:szCs w:val="22"/>
          <w:highlight w:val="none"/>
          <w:u w:val="single"/>
        </w:rPr>
      </w:pPr>
      <w:r>
        <w:rPr>
          <w:rFonts w:hint="eastAsia" w:ascii="宋体" w:hAnsi="宋体"/>
          <w:color w:val="000000"/>
          <w:kern w:val="0"/>
          <w:szCs w:val="22"/>
          <w:highlight w:val="none"/>
          <w:u w:val="single"/>
        </w:rPr>
        <w:t>④配合发包人做好施工现场安全文明宣传、领导检查宣传等工作，相关费用由承包人承担。</w:t>
      </w:r>
    </w:p>
    <w:p w14:paraId="634DF160">
      <w:pPr>
        <w:pStyle w:val="44"/>
        <w:spacing w:line="360" w:lineRule="auto"/>
        <w:ind w:firstLine="441" w:firstLineChars="210"/>
        <w:rPr>
          <w:rFonts w:hAnsi="宋体"/>
          <w:color w:val="000000"/>
          <w:kern w:val="0"/>
          <w:szCs w:val="22"/>
          <w:highlight w:val="none"/>
          <w:u w:val="single"/>
        </w:rPr>
      </w:pPr>
      <w:r>
        <w:rPr>
          <w:rFonts w:hAnsi="宋体"/>
          <w:color w:val="000000"/>
          <w:kern w:val="0"/>
          <w:szCs w:val="22"/>
          <w:highlight w:val="none"/>
          <w:u w:val="single"/>
        </w:rPr>
        <w:t>⑤承包人承担因自身原因违反相关规定（包括但不限于安全生产、环卫、噪音等行政管理规定）造成的损失和罚款。</w:t>
      </w:r>
    </w:p>
    <w:p w14:paraId="6AAB3400">
      <w:pPr>
        <w:pStyle w:val="44"/>
        <w:spacing w:line="360" w:lineRule="auto"/>
        <w:ind w:firstLine="441" w:firstLineChars="210"/>
        <w:rPr>
          <w:rFonts w:hAnsi="宋体"/>
          <w:color w:val="000000"/>
          <w:kern w:val="0"/>
          <w:szCs w:val="22"/>
          <w:highlight w:val="none"/>
          <w:u w:val="single"/>
        </w:rPr>
      </w:pPr>
      <w:r>
        <w:rPr>
          <w:rFonts w:hAnsi="宋体"/>
          <w:color w:val="000000"/>
          <w:kern w:val="0"/>
          <w:szCs w:val="22"/>
          <w:highlight w:val="none"/>
          <w:u w:val="single"/>
        </w:rPr>
        <w:t>⑥</w:t>
      </w:r>
      <w:r>
        <w:rPr>
          <w:rFonts w:hAnsi="宋体"/>
          <w:color w:val="000000"/>
          <w:kern w:val="0"/>
          <w:highlight w:val="none"/>
          <w:u w:val="single"/>
        </w:rPr>
        <w:t>合同履行期间，乙方不按核批的进度计划组织施工，经甲方书面通知3日内仍未能有效整改的，甲方有权对无进度履约能力的部位或部分进行强制分割，组织其他满足行政法规规定的其它单位或组织负责赶工作业，但不免除乙方的合同责任</w:t>
      </w:r>
    </w:p>
    <w:p w14:paraId="36F3284D">
      <w:pPr>
        <w:pStyle w:val="44"/>
        <w:spacing w:line="360" w:lineRule="auto"/>
        <w:ind w:firstLine="441" w:firstLineChars="210"/>
        <w:rPr>
          <w:rFonts w:hAnsi="宋体"/>
          <w:color w:val="000000"/>
          <w:kern w:val="0"/>
          <w:szCs w:val="22"/>
          <w:highlight w:val="none"/>
          <w:u w:val="single"/>
        </w:rPr>
      </w:pPr>
      <w:r>
        <w:rPr>
          <w:rFonts w:hAnsi="宋体"/>
          <w:color w:val="000000"/>
          <w:kern w:val="0"/>
          <w:szCs w:val="22"/>
          <w:highlight w:val="none"/>
          <w:u w:val="single"/>
        </w:rPr>
        <w:t>⑦甲方对乙方无进度履约能力的部位和部分进行强制分割而形成的相关费用，须及时完善手续，列入乙方成本。甲方需及时组织监理，实施分割作业的队组负责人、乙方代表等对现场形成的费用等共同确认，但乙方人为或故意对此现场费用的缺席确认，并不能免除乙方责任；</w:t>
      </w:r>
    </w:p>
    <w:p w14:paraId="60AD0B83">
      <w:pPr>
        <w:pStyle w:val="108"/>
        <w:widowControl/>
        <w:spacing w:line="360" w:lineRule="auto"/>
        <w:ind w:firstLine="420" w:firstLineChars="200"/>
        <w:rPr>
          <w:rFonts w:hint="eastAsia" w:ascii="宋体" w:hAnsi="宋体"/>
          <w:color w:val="000000"/>
          <w:kern w:val="0"/>
          <w:highlight w:val="none"/>
          <w:u w:val="single"/>
        </w:rPr>
      </w:pPr>
      <w:r>
        <w:rPr>
          <w:rFonts w:hint="eastAsia" w:ascii="宋体" w:hAnsi="宋体"/>
          <w:color w:val="000000"/>
          <w:kern w:val="0"/>
          <w:highlight w:val="none"/>
          <w:u w:val="single"/>
        </w:rPr>
        <w:t>⑧需承包人办理的有关施工场地环卫和施工噪音管理等手续：因施工需要，经发包人批准，由承包人办理和负责费用。</w:t>
      </w:r>
    </w:p>
    <w:p w14:paraId="18C7B597">
      <w:pPr>
        <w:pStyle w:val="108"/>
        <w:widowControl/>
        <w:spacing w:line="360" w:lineRule="auto"/>
        <w:ind w:firstLine="420" w:firstLineChars="200"/>
        <w:rPr>
          <w:rFonts w:hint="eastAsia" w:ascii="宋体" w:hAnsi="宋体"/>
          <w:color w:val="000000"/>
          <w:kern w:val="0"/>
          <w:highlight w:val="none"/>
          <w:u w:val="single"/>
        </w:rPr>
      </w:pPr>
      <w:r>
        <w:rPr>
          <w:rFonts w:hint="eastAsia" w:ascii="宋体" w:hAnsi="宋体"/>
          <w:color w:val="000000"/>
          <w:kern w:val="0"/>
          <w:highlight w:val="none"/>
          <w:u w:val="single"/>
        </w:rPr>
        <w:t>⑨施工场地清洁卫生的要求：由于施工造成的环境污染，其责任和费用均由承包人承担。</w:t>
      </w:r>
    </w:p>
    <w:p w14:paraId="67BE4F4B">
      <w:pPr>
        <w:pStyle w:val="108"/>
        <w:widowControl/>
        <w:spacing w:line="360" w:lineRule="auto"/>
        <w:ind w:firstLine="420" w:firstLineChars="200"/>
        <w:rPr>
          <w:rFonts w:hint="eastAsia" w:ascii="宋体" w:hAnsi="宋体"/>
          <w:color w:val="000000"/>
          <w:kern w:val="0"/>
          <w:highlight w:val="none"/>
          <w:u w:val="single"/>
        </w:rPr>
      </w:pPr>
      <w:r>
        <w:rPr>
          <w:rFonts w:hint="eastAsia" w:ascii="宋体" w:hAnsi="宋体"/>
          <w:color w:val="000000"/>
          <w:kern w:val="0"/>
          <w:highlight w:val="none"/>
          <w:u w:val="single"/>
        </w:rPr>
        <w:t>⑩协助发包人做好施工所需的条件，成交候选人公示期满次日起</w:t>
      </w:r>
      <w:r>
        <w:rPr>
          <w:rFonts w:ascii="宋体" w:hAnsi="宋体"/>
          <w:color w:val="000000"/>
          <w:kern w:val="0"/>
          <w:highlight w:val="none"/>
          <w:u w:val="single"/>
        </w:rPr>
        <w:t>20</w:t>
      </w:r>
      <w:r>
        <w:rPr>
          <w:rFonts w:hint="eastAsia" w:ascii="宋体" w:hAnsi="宋体"/>
          <w:color w:val="000000"/>
          <w:kern w:val="0"/>
          <w:highlight w:val="none"/>
          <w:u w:val="single"/>
        </w:rPr>
        <w:t>日历天内将办理施工许可证所需要承包人的资料全部递交发包人，协助办理报监、报建手续及政府其他行政部门需要的报批手续。</w:t>
      </w:r>
    </w:p>
    <w:p w14:paraId="30EE6070">
      <w:pPr>
        <w:pStyle w:val="12"/>
        <w:spacing w:before="0" w:after="60"/>
        <w:rPr>
          <w:rFonts w:ascii="宋体" w:hAnsi="宋体"/>
          <w:color w:val="000000"/>
          <w:highlight w:val="none"/>
        </w:rPr>
      </w:pPr>
      <w:bookmarkStart w:id="403" w:name="_Toc108539787"/>
      <w:bookmarkStart w:id="404" w:name="_Toc16327"/>
      <w:r>
        <w:rPr>
          <w:rFonts w:ascii="宋体" w:hAnsi="宋体"/>
          <w:color w:val="000000"/>
          <w:highlight w:val="none"/>
        </w:rPr>
        <w:t xml:space="preserve">3.2 </w:t>
      </w:r>
      <w:r>
        <w:rPr>
          <w:rFonts w:hint="eastAsia" w:ascii="宋体" w:hAnsi="宋体"/>
          <w:color w:val="000000"/>
          <w:highlight w:val="none"/>
        </w:rPr>
        <w:t>项目经理</w:t>
      </w:r>
      <w:bookmarkEnd w:id="403"/>
      <w:bookmarkEnd w:id="404"/>
    </w:p>
    <w:p w14:paraId="6B9A94D7">
      <w:pPr>
        <w:spacing w:line="360" w:lineRule="auto"/>
        <w:ind w:firstLine="420" w:firstLineChars="200"/>
        <w:rPr>
          <w:rFonts w:ascii="宋体" w:hAnsi="宋体"/>
          <w:color w:val="000000"/>
          <w:kern w:val="0"/>
          <w:highlight w:val="none"/>
        </w:rPr>
      </w:pPr>
      <w:r>
        <w:rPr>
          <w:rFonts w:ascii="宋体" w:hAnsi="宋体"/>
          <w:color w:val="000000"/>
          <w:kern w:val="0"/>
          <w:highlight w:val="none"/>
        </w:rPr>
        <w:t xml:space="preserve">3.2.1 </w:t>
      </w:r>
      <w:r>
        <w:rPr>
          <w:rFonts w:hint="eastAsia" w:ascii="宋体" w:hAnsi="宋体"/>
          <w:color w:val="000000"/>
          <w:highlight w:val="none"/>
        </w:rPr>
        <w:t>项目经理：</w:t>
      </w:r>
    </w:p>
    <w:p w14:paraId="42FFDC29">
      <w:pPr>
        <w:spacing w:line="360" w:lineRule="auto"/>
        <w:ind w:firstLine="420" w:firstLineChars="200"/>
        <w:rPr>
          <w:rFonts w:ascii="宋体" w:hAnsi="宋体"/>
          <w:color w:val="000000"/>
          <w:highlight w:val="none"/>
        </w:rPr>
      </w:pPr>
      <w:r>
        <w:rPr>
          <w:rFonts w:ascii="宋体" w:hAnsi="宋体"/>
          <w:color w:val="000000"/>
          <w:highlight w:val="none"/>
        </w:rPr>
        <w:t>姓名：</w:t>
      </w:r>
      <w:r>
        <w:rPr>
          <w:rFonts w:hint="eastAsia" w:ascii="宋体" w:hAnsi="宋体"/>
          <w:color w:val="000000"/>
          <w:highlight w:val="none"/>
          <w:u w:val="single"/>
        </w:rPr>
        <w:t></w:t>
      </w:r>
      <w:r>
        <w:rPr>
          <w:rFonts w:ascii="宋体" w:hAnsi="宋体"/>
          <w:color w:val="000000"/>
          <w:highlight w:val="none"/>
        </w:rPr>
        <w:t>；</w:t>
      </w:r>
    </w:p>
    <w:p w14:paraId="75641AFA">
      <w:pPr>
        <w:spacing w:line="360" w:lineRule="auto"/>
        <w:ind w:firstLine="420" w:firstLineChars="200"/>
        <w:rPr>
          <w:rFonts w:ascii="宋体" w:hAnsi="宋体"/>
          <w:color w:val="000000"/>
          <w:highlight w:val="none"/>
        </w:rPr>
      </w:pPr>
      <w:r>
        <w:rPr>
          <w:rFonts w:ascii="宋体" w:hAnsi="宋体"/>
          <w:color w:val="000000"/>
          <w:highlight w:val="none"/>
        </w:rPr>
        <w:t>身份证号：</w:t>
      </w:r>
      <w:r>
        <w:rPr>
          <w:rFonts w:hint="eastAsia" w:ascii="宋体" w:hAnsi="宋体"/>
          <w:color w:val="000000"/>
          <w:highlight w:val="none"/>
          <w:u w:val="single"/>
        </w:rPr>
        <w:t></w:t>
      </w:r>
      <w:r>
        <w:rPr>
          <w:rFonts w:ascii="宋体" w:hAnsi="宋体"/>
          <w:color w:val="000000"/>
          <w:highlight w:val="none"/>
        </w:rPr>
        <w:t>；</w:t>
      </w:r>
    </w:p>
    <w:p w14:paraId="34C9BB44">
      <w:pPr>
        <w:spacing w:line="360" w:lineRule="auto"/>
        <w:ind w:firstLine="420" w:firstLineChars="200"/>
        <w:rPr>
          <w:rFonts w:ascii="宋体" w:hAnsi="宋体"/>
          <w:color w:val="000000"/>
          <w:highlight w:val="none"/>
        </w:rPr>
      </w:pPr>
      <w:r>
        <w:rPr>
          <w:rFonts w:ascii="宋体" w:hAnsi="宋体"/>
          <w:color w:val="000000"/>
          <w:highlight w:val="none"/>
        </w:rPr>
        <w:t>建造师执业资格等级：</w:t>
      </w:r>
      <w:r>
        <w:rPr>
          <w:rFonts w:hint="eastAsia" w:ascii="宋体" w:hAnsi="宋体"/>
          <w:color w:val="000000"/>
          <w:highlight w:val="none"/>
          <w:u w:val="single"/>
        </w:rPr>
        <w:t></w:t>
      </w:r>
      <w:r>
        <w:rPr>
          <w:rFonts w:ascii="宋体" w:hAnsi="宋体"/>
          <w:color w:val="000000"/>
          <w:highlight w:val="none"/>
        </w:rPr>
        <w:t>；</w:t>
      </w:r>
    </w:p>
    <w:p w14:paraId="4831A189">
      <w:pPr>
        <w:spacing w:line="360" w:lineRule="auto"/>
        <w:ind w:firstLine="420" w:firstLineChars="200"/>
        <w:rPr>
          <w:rFonts w:ascii="宋体" w:hAnsi="宋体"/>
          <w:color w:val="000000"/>
          <w:highlight w:val="none"/>
        </w:rPr>
      </w:pPr>
      <w:r>
        <w:rPr>
          <w:rFonts w:ascii="宋体" w:hAnsi="宋体"/>
          <w:color w:val="000000"/>
          <w:highlight w:val="none"/>
        </w:rPr>
        <w:t>建造师注册证书号：</w:t>
      </w:r>
      <w:r>
        <w:rPr>
          <w:rFonts w:hint="eastAsia" w:ascii="宋体" w:hAnsi="宋体"/>
          <w:color w:val="000000"/>
          <w:highlight w:val="none"/>
          <w:u w:val="single"/>
        </w:rPr>
        <w:t></w:t>
      </w:r>
      <w:r>
        <w:rPr>
          <w:rFonts w:ascii="宋体" w:hAnsi="宋体"/>
          <w:color w:val="000000"/>
          <w:highlight w:val="none"/>
        </w:rPr>
        <w:t>；</w:t>
      </w:r>
    </w:p>
    <w:p w14:paraId="65B133EE">
      <w:pPr>
        <w:spacing w:line="360" w:lineRule="auto"/>
        <w:ind w:firstLine="420" w:firstLineChars="200"/>
        <w:rPr>
          <w:rFonts w:ascii="宋体" w:hAnsi="宋体"/>
          <w:color w:val="000000"/>
          <w:highlight w:val="none"/>
        </w:rPr>
      </w:pPr>
      <w:r>
        <w:rPr>
          <w:rFonts w:ascii="宋体" w:hAnsi="宋体"/>
          <w:color w:val="000000"/>
          <w:highlight w:val="none"/>
        </w:rPr>
        <w:t>建造师执业印章号：</w:t>
      </w:r>
      <w:r>
        <w:rPr>
          <w:rFonts w:hint="eastAsia" w:ascii="宋体" w:hAnsi="宋体"/>
          <w:color w:val="000000"/>
          <w:highlight w:val="none"/>
          <w:u w:val="single"/>
        </w:rPr>
        <w:t></w:t>
      </w:r>
      <w:r>
        <w:rPr>
          <w:rFonts w:ascii="宋体" w:hAnsi="宋体"/>
          <w:color w:val="000000"/>
          <w:highlight w:val="none"/>
        </w:rPr>
        <w:t>；</w:t>
      </w:r>
    </w:p>
    <w:p w14:paraId="222FAE45">
      <w:pPr>
        <w:spacing w:line="360" w:lineRule="auto"/>
        <w:ind w:firstLine="420" w:firstLineChars="200"/>
        <w:rPr>
          <w:rFonts w:ascii="宋体" w:hAnsi="宋体"/>
          <w:color w:val="000000"/>
          <w:highlight w:val="none"/>
        </w:rPr>
      </w:pPr>
      <w:r>
        <w:rPr>
          <w:rFonts w:ascii="宋体" w:hAnsi="宋体"/>
          <w:color w:val="000000"/>
          <w:highlight w:val="none"/>
        </w:rPr>
        <w:t>安全生产考核合格证书号：</w:t>
      </w:r>
      <w:r>
        <w:rPr>
          <w:rFonts w:hint="eastAsia" w:ascii="宋体" w:hAnsi="宋体"/>
          <w:color w:val="000000"/>
          <w:highlight w:val="none"/>
          <w:u w:val="single"/>
        </w:rPr>
        <w:t></w:t>
      </w:r>
      <w:r>
        <w:rPr>
          <w:rFonts w:ascii="宋体" w:hAnsi="宋体"/>
          <w:color w:val="000000"/>
          <w:highlight w:val="none"/>
        </w:rPr>
        <w:t>；</w:t>
      </w:r>
    </w:p>
    <w:p w14:paraId="4D543CBB">
      <w:pPr>
        <w:spacing w:line="360" w:lineRule="auto"/>
        <w:ind w:firstLine="420" w:firstLineChars="200"/>
        <w:rPr>
          <w:rFonts w:ascii="宋体" w:hAnsi="宋体"/>
          <w:color w:val="000000"/>
          <w:highlight w:val="none"/>
        </w:rPr>
      </w:pPr>
      <w:r>
        <w:rPr>
          <w:rFonts w:ascii="宋体" w:hAnsi="宋体"/>
          <w:color w:val="000000"/>
          <w:highlight w:val="none"/>
        </w:rPr>
        <w:t>联系电话：</w:t>
      </w:r>
      <w:r>
        <w:rPr>
          <w:rFonts w:hint="eastAsia" w:ascii="宋体" w:hAnsi="宋体"/>
          <w:color w:val="000000"/>
          <w:highlight w:val="none"/>
          <w:u w:val="single"/>
        </w:rPr>
        <w:t></w:t>
      </w:r>
      <w:r>
        <w:rPr>
          <w:rFonts w:ascii="宋体" w:hAnsi="宋体"/>
          <w:color w:val="000000"/>
          <w:highlight w:val="none"/>
        </w:rPr>
        <w:t>；</w:t>
      </w:r>
    </w:p>
    <w:p w14:paraId="2EA79317">
      <w:pPr>
        <w:spacing w:line="360" w:lineRule="auto"/>
        <w:ind w:firstLine="420" w:firstLineChars="200"/>
        <w:rPr>
          <w:rFonts w:ascii="宋体" w:hAnsi="宋体"/>
          <w:color w:val="000000"/>
          <w:highlight w:val="none"/>
        </w:rPr>
      </w:pPr>
      <w:r>
        <w:rPr>
          <w:rFonts w:ascii="宋体" w:hAnsi="宋体"/>
          <w:color w:val="000000"/>
          <w:highlight w:val="none"/>
        </w:rPr>
        <w:t>电子信箱：</w:t>
      </w:r>
      <w:r>
        <w:rPr>
          <w:rFonts w:hint="eastAsia" w:ascii="宋体" w:hAnsi="宋体"/>
          <w:color w:val="000000"/>
          <w:highlight w:val="none"/>
          <w:u w:val="single"/>
        </w:rPr>
        <w:t></w:t>
      </w:r>
      <w:r>
        <w:rPr>
          <w:rFonts w:ascii="宋体" w:hAnsi="宋体"/>
          <w:color w:val="000000"/>
          <w:highlight w:val="none"/>
        </w:rPr>
        <w:t>；</w:t>
      </w:r>
    </w:p>
    <w:p w14:paraId="1AC044F0">
      <w:pPr>
        <w:spacing w:line="360" w:lineRule="auto"/>
        <w:ind w:firstLine="420" w:firstLineChars="200"/>
        <w:rPr>
          <w:rFonts w:ascii="宋体" w:hAnsi="宋体"/>
          <w:color w:val="000000"/>
          <w:highlight w:val="none"/>
        </w:rPr>
      </w:pPr>
      <w:r>
        <w:rPr>
          <w:rFonts w:ascii="宋体" w:hAnsi="宋体"/>
          <w:color w:val="000000"/>
          <w:highlight w:val="none"/>
        </w:rPr>
        <w:t>通信地址：</w:t>
      </w:r>
      <w:r>
        <w:rPr>
          <w:rFonts w:hint="eastAsia" w:ascii="宋体" w:hAnsi="宋体"/>
          <w:color w:val="000000"/>
          <w:highlight w:val="none"/>
          <w:u w:val="single"/>
        </w:rPr>
        <w:t></w:t>
      </w:r>
      <w:r>
        <w:rPr>
          <w:rFonts w:ascii="宋体" w:hAnsi="宋体"/>
          <w:color w:val="000000"/>
          <w:highlight w:val="none"/>
        </w:rPr>
        <w:t>；</w:t>
      </w:r>
    </w:p>
    <w:p w14:paraId="096B4632">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承包人对项目经理的授权范围如下：</w:t>
      </w:r>
      <w:r>
        <w:rPr>
          <w:rFonts w:hint="eastAsia" w:ascii="宋体" w:hAnsi="宋体"/>
          <w:color w:val="000000"/>
          <w:highlight w:val="none"/>
          <w:u w:val="single"/>
        </w:rPr>
        <w:t>项目经理经承包人授权后代表承包人负责履行合同，但是下列事项必须经承包人同意，并加盖承包人单位公章方为有效：</w:t>
      </w:r>
    </w:p>
    <w:p w14:paraId="27EF8DD1">
      <w:pPr>
        <w:spacing w:line="360" w:lineRule="auto"/>
        <w:ind w:firstLine="420" w:firstLineChars="200"/>
        <w:rPr>
          <w:rFonts w:hint="eastAsia" w:ascii="宋体" w:hAnsi="宋体"/>
          <w:color w:val="000000"/>
          <w:highlight w:val="none"/>
          <w:u w:val="single"/>
        </w:rPr>
      </w:pPr>
      <w:r>
        <w:rPr>
          <w:rFonts w:hint="eastAsia" w:ascii="宋体" w:hAnsi="宋体"/>
          <w:color w:val="000000"/>
          <w:highlight w:val="none"/>
          <w:u w:val="single"/>
        </w:rPr>
        <w:t>1）与本工程相关的任何补充协议的签订；</w:t>
      </w:r>
    </w:p>
    <w:p w14:paraId="7B92CFAB">
      <w:pPr>
        <w:spacing w:line="360" w:lineRule="auto"/>
        <w:ind w:firstLine="420" w:firstLineChars="200"/>
        <w:rPr>
          <w:rFonts w:hint="eastAsia" w:ascii="宋体" w:hAnsi="宋体"/>
          <w:color w:val="000000"/>
          <w:highlight w:val="none"/>
          <w:u w:val="single"/>
        </w:rPr>
      </w:pPr>
      <w:r>
        <w:rPr>
          <w:rFonts w:hint="eastAsia" w:ascii="宋体" w:hAnsi="宋体"/>
          <w:color w:val="000000"/>
          <w:highlight w:val="none"/>
          <w:u w:val="single"/>
        </w:rPr>
        <w:t>2）与本工程相关的任何分包合同、施工承包合同协议书、聘任合同的签订：</w:t>
      </w:r>
    </w:p>
    <w:p w14:paraId="3F85BB13">
      <w:pPr>
        <w:spacing w:line="360" w:lineRule="auto"/>
        <w:ind w:firstLine="420" w:firstLineChars="200"/>
        <w:rPr>
          <w:rFonts w:hint="eastAsia" w:ascii="宋体" w:hAnsi="宋体"/>
          <w:color w:val="000000"/>
          <w:highlight w:val="none"/>
          <w:u w:val="single"/>
        </w:rPr>
      </w:pPr>
      <w:r>
        <w:rPr>
          <w:rFonts w:hint="eastAsia" w:ascii="宋体" w:hAnsi="宋体"/>
          <w:color w:val="000000"/>
          <w:highlight w:val="none"/>
          <w:u w:val="single"/>
        </w:rPr>
        <w:t>3）同意涉及合同价款变化超过1万元或合同工期变化超过3天的变更指示；</w:t>
      </w:r>
    </w:p>
    <w:p w14:paraId="365064F4">
      <w:pPr>
        <w:spacing w:line="360" w:lineRule="auto"/>
        <w:ind w:firstLine="420" w:firstLineChars="200"/>
        <w:rPr>
          <w:rFonts w:hint="eastAsia" w:ascii="宋体" w:hAnsi="宋体"/>
          <w:color w:val="000000"/>
          <w:highlight w:val="none"/>
          <w:u w:val="single"/>
        </w:rPr>
      </w:pPr>
      <w:r>
        <w:rPr>
          <w:rFonts w:hint="eastAsia" w:ascii="宋体" w:hAnsi="宋体"/>
          <w:color w:val="000000"/>
          <w:highlight w:val="none"/>
          <w:u w:val="single"/>
        </w:rPr>
        <w:t>4）进度款支付申请；</w:t>
      </w:r>
    </w:p>
    <w:p w14:paraId="05E1C9AD">
      <w:pPr>
        <w:spacing w:line="360" w:lineRule="auto"/>
        <w:ind w:firstLine="420" w:firstLineChars="200"/>
        <w:rPr>
          <w:rFonts w:hint="eastAsia" w:ascii="宋体" w:hAnsi="宋体"/>
          <w:color w:val="000000"/>
          <w:highlight w:val="none"/>
          <w:u w:val="single"/>
        </w:rPr>
      </w:pPr>
      <w:r>
        <w:rPr>
          <w:rFonts w:hint="eastAsia" w:ascii="宋体" w:hAnsi="宋体"/>
          <w:color w:val="000000"/>
          <w:highlight w:val="none"/>
          <w:u w:val="single"/>
        </w:rPr>
        <w:t>5）竣工验收申请；</w:t>
      </w:r>
    </w:p>
    <w:p w14:paraId="62CD78CB">
      <w:pPr>
        <w:spacing w:line="360" w:lineRule="auto"/>
        <w:ind w:firstLine="420" w:firstLineChars="200"/>
        <w:rPr>
          <w:rFonts w:hint="eastAsia" w:ascii="宋体" w:hAnsi="宋体"/>
          <w:color w:val="000000"/>
          <w:highlight w:val="none"/>
          <w:u w:val="single"/>
        </w:rPr>
      </w:pPr>
      <w:r>
        <w:rPr>
          <w:rFonts w:hint="eastAsia" w:ascii="宋体" w:hAnsi="宋体"/>
          <w:color w:val="000000"/>
          <w:highlight w:val="none"/>
          <w:u w:val="single"/>
        </w:rPr>
        <w:t>6）最终结清申请单</w:t>
      </w:r>
      <w:r>
        <w:rPr>
          <w:rFonts w:hint="eastAsia" w:ascii="宋体" w:hAnsi="宋体"/>
          <w:color w:val="000000"/>
          <w:highlight w:val="none"/>
        </w:rPr>
        <w:t>。</w:t>
      </w:r>
    </w:p>
    <w:p w14:paraId="60C7D6C0">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关于项目经理在施工现场的时间要求：</w:t>
      </w:r>
      <w:r>
        <w:rPr>
          <w:rFonts w:hint="eastAsia" w:ascii="宋体"/>
          <w:color w:val="000000"/>
          <w:kern w:val="0"/>
          <w:highlight w:val="none"/>
          <w:u w:val="single"/>
          <w:lang w:val="zh-CN"/>
        </w:rPr>
        <w:t>项目经理在岗带班时间不得少于当月施工时间的</w:t>
      </w:r>
      <w:r>
        <w:rPr>
          <w:rFonts w:ascii="宋体"/>
          <w:color w:val="000000"/>
          <w:kern w:val="0"/>
          <w:highlight w:val="none"/>
          <w:u w:val="single"/>
          <w:lang w:val="zh-CN"/>
        </w:rPr>
        <w:t>80%</w:t>
      </w:r>
      <w:r>
        <w:rPr>
          <w:rFonts w:hint="eastAsia" w:ascii="宋体"/>
          <w:color w:val="000000"/>
          <w:kern w:val="0"/>
          <w:highlight w:val="none"/>
          <w:u w:val="single"/>
          <w:lang w:val="zh-CN"/>
        </w:rPr>
        <w:t>，且关键部位施工必须在现场以及分部分项验收、隐蔽工程验收必须在现场</w:t>
      </w:r>
      <w:r>
        <w:rPr>
          <w:rFonts w:hint="eastAsia" w:ascii="宋体" w:hAnsi="宋体"/>
          <w:color w:val="000000"/>
          <w:highlight w:val="none"/>
        </w:rPr>
        <w:t>。</w:t>
      </w:r>
    </w:p>
    <w:p w14:paraId="39B0F4D4">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承包人未提交劳动合同，以及没有为项目经理缴纳社会保险证明的违约责任：</w:t>
      </w:r>
      <w:r>
        <w:rPr>
          <w:rFonts w:hint="eastAsia" w:ascii="宋体" w:hAnsi="宋体"/>
          <w:color w:val="000000"/>
          <w:highlight w:val="none"/>
          <w:u w:val="single"/>
        </w:rPr>
        <w:t>监理人限期承包人在收到提交要求后3日内补交，并承担违约金1000元；3日内不能补交的，发包人有权要求承包人更换项目经理，并承担违约金10000元。由此增加的费用和（或）延误的工期由承包人承担</w:t>
      </w:r>
      <w:r>
        <w:rPr>
          <w:rFonts w:hint="eastAsia" w:ascii="宋体" w:hAnsi="宋体"/>
          <w:color w:val="000000"/>
          <w:highlight w:val="none"/>
        </w:rPr>
        <w:t>。同时，</w:t>
      </w:r>
      <w:r>
        <w:rPr>
          <w:rFonts w:hint="eastAsia" w:ascii="宋体" w:hAnsi="宋体"/>
          <w:color w:val="000000"/>
          <w:highlight w:val="none"/>
          <w:u w:val="single"/>
        </w:rPr>
        <w:t>由此而影响到项目报建报监手续办理、被主管部门处罚停工、民工上访等造成的经济损失，由承包人赔偿。</w:t>
      </w:r>
    </w:p>
    <w:p w14:paraId="3BA4187E">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项目经理未经批准，擅自离开施工现场的违约责任：</w:t>
      </w:r>
      <w:r>
        <w:rPr>
          <w:rFonts w:hint="eastAsia" w:ascii="宋体" w:hAnsi="宋体"/>
          <w:color w:val="000000"/>
          <w:highlight w:val="none"/>
          <w:u w:val="single"/>
        </w:rPr>
        <w:t>项目经理每月在岗带班时间不得少于当月施工时间的</w:t>
      </w:r>
      <w:r>
        <w:rPr>
          <w:rFonts w:ascii="宋体" w:hAnsi="宋体"/>
          <w:color w:val="000000"/>
          <w:highlight w:val="none"/>
          <w:u w:val="single"/>
        </w:rPr>
        <w:t>80%</w:t>
      </w:r>
      <w:r>
        <w:rPr>
          <w:rFonts w:hint="eastAsia" w:ascii="宋体" w:hAnsi="宋体"/>
          <w:color w:val="000000"/>
          <w:highlight w:val="none"/>
          <w:u w:val="single"/>
        </w:rPr>
        <w:t>。未经发包人同意或正当理由，项目经理每月在岗带班时间少于当月施工时间</w:t>
      </w:r>
      <w:r>
        <w:rPr>
          <w:rFonts w:ascii="宋体" w:hAnsi="宋体"/>
          <w:color w:val="000000"/>
          <w:highlight w:val="none"/>
          <w:u w:val="single"/>
        </w:rPr>
        <w:t>80%</w:t>
      </w:r>
      <w:r>
        <w:rPr>
          <w:rFonts w:hint="eastAsia" w:ascii="宋体" w:hAnsi="宋体"/>
          <w:color w:val="000000"/>
          <w:highlight w:val="none"/>
          <w:u w:val="single"/>
        </w:rPr>
        <w:t>的，少在岗带班一天，发包人有权处违约金1000元</w:t>
      </w:r>
      <w:r>
        <w:rPr>
          <w:rFonts w:ascii="宋体" w:hAnsi="宋体"/>
          <w:color w:val="000000"/>
          <w:highlight w:val="none"/>
          <w:u w:val="single"/>
        </w:rPr>
        <w:t>/</w:t>
      </w:r>
      <w:r>
        <w:rPr>
          <w:rFonts w:hint="eastAsia" w:ascii="宋体" w:hAnsi="宋体"/>
          <w:color w:val="000000"/>
          <w:highlight w:val="none"/>
          <w:u w:val="single"/>
        </w:rPr>
        <w:t>日（人民币）</w:t>
      </w:r>
      <w:r>
        <w:rPr>
          <w:rFonts w:hint="eastAsia" w:ascii="宋体" w:hAnsi="宋体"/>
          <w:color w:val="000000"/>
          <w:highlight w:val="none"/>
        </w:rPr>
        <w:t>。</w:t>
      </w:r>
    </w:p>
    <w:p w14:paraId="140E5770">
      <w:pPr>
        <w:spacing w:line="360" w:lineRule="auto"/>
        <w:ind w:firstLine="420" w:firstLineChars="200"/>
        <w:rPr>
          <w:rFonts w:ascii="宋体" w:hAnsi="宋体"/>
          <w:color w:val="000000"/>
          <w:highlight w:val="none"/>
        </w:rPr>
      </w:pPr>
      <w:r>
        <w:rPr>
          <w:rFonts w:ascii="宋体" w:hAnsi="宋体"/>
          <w:color w:val="000000"/>
          <w:highlight w:val="none"/>
        </w:rPr>
        <w:t xml:space="preserve">3.2.3 </w:t>
      </w:r>
      <w:r>
        <w:rPr>
          <w:rFonts w:hint="eastAsia" w:ascii="宋体" w:hAnsi="宋体"/>
          <w:color w:val="000000"/>
          <w:highlight w:val="none"/>
        </w:rPr>
        <w:t>承包人擅自更换项目经理的违约责任：</w:t>
      </w:r>
      <w:r>
        <w:rPr>
          <w:rFonts w:hint="eastAsia" w:ascii="宋体" w:hAnsi="宋体"/>
          <w:color w:val="000000"/>
          <w:highlight w:val="none"/>
          <w:u w:val="single"/>
        </w:rPr>
        <w:t>承包人项目经理必须与承包人磋商时所承诺的人员一致，并在（开工日期）前到任。在监理人向承包人颁发（竣工证明材料名称）前，项目经理不得同时兼任其他任何项目的项目经理</w:t>
      </w:r>
      <w:r>
        <w:rPr>
          <w:rFonts w:ascii="宋体" w:hAnsi="宋体"/>
          <w:color w:val="000000"/>
          <w:highlight w:val="none"/>
          <w:u w:val="single"/>
        </w:rPr>
        <w:t>（符合《广西壮族自治区建筑市场诚信卡管理暂行办法》第十六条第一款及桂建管﹝2016﹞70号、</w:t>
      </w:r>
      <w:r>
        <w:rPr>
          <w:rFonts w:ascii="宋体" w:hAnsi="宋体"/>
          <w:color w:val="000000"/>
          <w:szCs w:val="21"/>
          <w:highlight w:val="none"/>
          <w:u w:val="single"/>
        </w:rPr>
        <w:t>桂建管〔2020〕11号</w:t>
      </w:r>
      <w:r>
        <w:rPr>
          <w:rFonts w:ascii="宋体" w:hAnsi="宋体"/>
          <w:color w:val="000000"/>
          <w:highlight w:val="none"/>
          <w:u w:val="single"/>
        </w:rPr>
        <w:t>文除外）</w:t>
      </w:r>
      <w:r>
        <w:rPr>
          <w:rFonts w:hint="eastAsia" w:ascii="宋体" w:hAnsi="宋体"/>
          <w:color w:val="000000"/>
          <w:highlight w:val="none"/>
          <w:u w:val="single"/>
        </w:rPr>
        <w:t>。未经发包人书面同意，承包人擅自更换项目经理的视为违约，违约金处3000元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w:t>
      </w:r>
      <w:r>
        <w:rPr>
          <w:rFonts w:hint="eastAsia" w:ascii="宋体" w:hAnsi="宋体"/>
          <w:color w:val="000000"/>
          <w:highlight w:val="none"/>
        </w:rPr>
        <w:t>。</w:t>
      </w:r>
    </w:p>
    <w:p w14:paraId="22381BFF">
      <w:pPr>
        <w:spacing w:line="360" w:lineRule="auto"/>
        <w:ind w:firstLine="420" w:firstLineChars="200"/>
        <w:rPr>
          <w:rFonts w:ascii="宋体" w:hAnsi="宋体"/>
          <w:color w:val="000000"/>
          <w:highlight w:val="none"/>
        </w:rPr>
      </w:pPr>
      <w:r>
        <w:rPr>
          <w:rFonts w:ascii="宋体" w:hAnsi="宋体"/>
          <w:color w:val="000000"/>
          <w:highlight w:val="none"/>
        </w:rPr>
        <w:t xml:space="preserve">3.2.4 </w:t>
      </w:r>
      <w:r>
        <w:rPr>
          <w:rFonts w:hint="eastAsia" w:ascii="宋体" w:hAnsi="宋体"/>
          <w:color w:val="000000"/>
          <w:highlight w:val="none"/>
        </w:rPr>
        <w:t>承包人无正当理由拒绝更换项目经理的违约责任：</w:t>
      </w:r>
      <w:r>
        <w:rPr>
          <w:rFonts w:hint="eastAsia" w:ascii="宋体" w:hAnsi="宋体"/>
          <w:color w:val="000000"/>
          <w:highlight w:val="none"/>
          <w:u w:val="single"/>
        </w:rPr>
        <w:t>因承包人项目经理不称职，发包人要求调换而未及时调换的，视为承包人违约，必须向发包人交纳处罚金3000元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w:t>
      </w:r>
      <w:r>
        <w:rPr>
          <w:rFonts w:hint="eastAsia" w:ascii="宋体" w:hAnsi="宋体"/>
          <w:color w:val="000000"/>
          <w:highlight w:val="none"/>
        </w:rPr>
        <w:t>。</w:t>
      </w:r>
    </w:p>
    <w:p w14:paraId="766E647C">
      <w:pPr>
        <w:pStyle w:val="12"/>
        <w:spacing w:before="0" w:after="60"/>
        <w:rPr>
          <w:rFonts w:ascii="宋体" w:hAnsi="宋体"/>
          <w:color w:val="000000"/>
          <w:highlight w:val="none"/>
        </w:rPr>
      </w:pPr>
      <w:bookmarkStart w:id="405" w:name="_Toc373478356"/>
      <w:bookmarkStart w:id="406" w:name="_Toc407135211"/>
      <w:bookmarkStart w:id="407" w:name="_Toc108539788"/>
      <w:bookmarkStart w:id="408" w:name="_Toc10667"/>
      <w:bookmarkStart w:id="409" w:name="_Toc389065275"/>
      <w:bookmarkStart w:id="410" w:name="_Toc487632708"/>
      <w:bookmarkStart w:id="411" w:name="_Toc373227709"/>
      <w:r>
        <w:rPr>
          <w:rFonts w:ascii="宋体" w:hAnsi="宋体"/>
          <w:color w:val="000000"/>
          <w:highlight w:val="none"/>
        </w:rPr>
        <w:t xml:space="preserve">3.3 </w:t>
      </w:r>
      <w:r>
        <w:rPr>
          <w:rFonts w:hint="eastAsia" w:ascii="宋体" w:hAnsi="宋体"/>
          <w:color w:val="000000"/>
          <w:highlight w:val="none"/>
        </w:rPr>
        <w:t>承包人人员</w:t>
      </w:r>
      <w:bookmarkEnd w:id="405"/>
      <w:bookmarkEnd w:id="406"/>
      <w:bookmarkEnd w:id="407"/>
      <w:bookmarkEnd w:id="408"/>
      <w:bookmarkEnd w:id="409"/>
      <w:bookmarkEnd w:id="410"/>
      <w:bookmarkEnd w:id="411"/>
    </w:p>
    <w:p w14:paraId="0E6C573B">
      <w:pPr>
        <w:spacing w:line="360" w:lineRule="auto"/>
        <w:ind w:firstLine="420" w:firstLineChars="200"/>
        <w:rPr>
          <w:rFonts w:ascii="宋体" w:hAnsi="宋体"/>
          <w:color w:val="000000"/>
          <w:highlight w:val="none"/>
        </w:rPr>
      </w:pPr>
      <w:r>
        <w:rPr>
          <w:rFonts w:ascii="宋体" w:hAnsi="宋体"/>
          <w:color w:val="000000"/>
          <w:highlight w:val="none"/>
        </w:rPr>
        <w:t xml:space="preserve">3.3.1 </w:t>
      </w:r>
      <w:r>
        <w:rPr>
          <w:rFonts w:hint="eastAsia" w:ascii="宋体" w:hAnsi="宋体"/>
          <w:color w:val="000000"/>
          <w:highlight w:val="none"/>
        </w:rPr>
        <w:t>承包人提交项目管理机构及施工现场管理人员安排报告的期限：</w:t>
      </w:r>
      <w:r>
        <w:rPr>
          <w:rFonts w:hint="eastAsia" w:ascii="宋体" w:hAnsi="宋体"/>
          <w:color w:val="000000"/>
          <w:highlight w:val="none"/>
          <w:u w:val="single"/>
        </w:rPr>
        <w:t>接到开工通知后7天内</w:t>
      </w:r>
      <w:r>
        <w:rPr>
          <w:rFonts w:hint="eastAsia" w:ascii="宋体" w:hAnsi="宋体"/>
          <w:color w:val="000000"/>
          <w:highlight w:val="none"/>
        </w:rPr>
        <w:t>。</w:t>
      </w:r>
    </w:p>
    <w:p w14:paraId="3FBA38A7">
      <w:pPr>
        <w:spacing w:line="360" w:lineRule="auto"/>
        <w:ind w:firstLine="420" w:firstLineChars="200"/>
        <w:rPr>
          <w:rFonts w:ascii="宋体" w:hAnsi="宋体"/>
          <w:color w:val="000000"/>
          <w:highlight w:val="none"/>
        </w:rPr>
      </w:pPr>
      <w:r>
        <w:rPr>
          <w:rFonts w:ascii="宋体" w:hAnsi="宋体"/>
          <w:color w:val="000000"/>
          <w:highlight w:val="none"/>
        </w:rPr>
        <w:t xml:space="preserve">3.3.3 </w:t>
      </w:r>
      <w:r>
        <w:rPr>
          <w:rFonts w:hint="eastAsia" w:ascii="宋体" w:hAnsi="宋体"/>
          <w:color w:val="000000"/>
          <w:highlight w:val="none"/>
        </w:rPr>
        <w:t>承包人无正当理由拒绝撤换主要施工管理人员的违约责任：</w:t>
      </w:r>
      <w:r>
        <w:rPr>
          <w:rFonts w:hint="eastAsia" w:ascii="宋体" w:hAnsi="宋体"/>
          <w:color w:val="000000"/>
          <w:highlight w:val="none"/>
          <w:u w:val="single"/>
        </w:rPr>
        <w:t>因承包人主要施工管理人员不称职，发包人要求调换而无正当理由拒绝撤换或未及时调换的，视为承包人违约，必须向发包人交纳处罚金，处罚标准：技术负责人1000元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次（人民币）；专业工程师500元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w:t>
      </w:r>
      <w:r>
        <w:rPr>
          <w:rFonts w:hint="eastAsia" w:ascii="宋体" w:hAnsi="宋体"/>
          <w:color w:val="000000"/>
          <w:highlight w:val="none"/>
        </w:rPr>
        <w:t>。</w:t>
      </w:r>
    </w:p>
    <w:p w14:paraId="459349E8">
      <w:pPr>
        <w:spacing w:line="360" w:lineRule="auto"/>
        <w:ind w:firstLine="420" w:firstLineChars="200"/>
        <w:rPr>
          <w:rFonts w:ascii="宋体" w:hAnsi="宋体"/>
          <w:color w:val="000000"/>
          <w:highlight w:val="none"/>
        </w:rPr>
      </w:pPr>
      <w:r>
        <w:rPr>
          <w:rFonts w:ascii="宋体" w:hAnsi="宋体"/>
          <w:color w:val="000000"/>
          <w:highlight w:val="none"/>
        </w:rPr>
        <w:t xml:space="preserve">3.3.4 </w:t>
      </w:r>
      <w:r>
        <w:rPr>
          <w:rFonts w:hint="eastAsia" w:ascii="宋体" w:hAnsi="宋体"/>
          <w:color w:val="000000"/>
          <w:highlight w:val="none"/>
        </w:rPr>
        <w:t>承包人主要施工管理人员离开施工现场的批准要求：</w:t>
      </w:r>
      <w:r>
        <w:rPr>
          <w:rFonts w:hint="eastAsia" w:ascii="宋体" w:hAnsi="宋体"/>
          <w:color w:val="000000"/>
          <w:highlight w:val="none"/>
          <w:u w:val="single"/>
        </w:rPr>
        <w:t>按通用合同条款执行</w:t>
      </w:r>
      <w:r>
        <w:rPr>
          <w:rFonts w:hint="eastAsia" w:ascii="宋体" w:hAnsi="宋体"/>
          <w:color w:val="000000"/>
          <w:highlight w:val="none"/>
        </w:rPr>
        <w:t>。</w:t>
      </w:r>
    </w:p>
    <w:p w14:paraId="5012C9EE">
      <w:pPr>
        <w:spacing w:line="360" w:lineRule="auto"/>
        <w:ind w:firstLine="420" w:firstLineChars="200"/>
        <w:rPr>
          <w:rFonts w:ascii="宋体" w:hAnsi="宋体"/>
          <w:color w:val="000000"/>
          <w:highlight w:val="none"/>
        </w:rPr>
      </w:pPr>
      <w:r>
        <w:rPr>
          <w:rFonts w:ascii="宋体" w:hAnsi="宋体"/>
          <w:color w:val="000000"/>
          <w:highlight w:val="none"/>
        </w:rPr>
        <w:t xml:space="preserve">3.3.5 </w:t>
      </w:r>
      <w:r>
        <w:rPr>
          <w:rFonts w:hint="eastAsia" w:ascii="宋体" w:hAnsi="宋体"/>
          <w:color w:val="000000"/>
          <w:highlight w:val="none"/>
        </w:rPr>
        <w:t>承包人擅自更换主要施工管理人员的违约责任：</w:t>
      </w:r>
      <w:r>
        <w:rPr>
          <w:rFonts w:hint="eastAsia" w:ascii="宋体" w:hAnsi="宋体"/>
          <w:color w:val="000000"/>
          <w:highlight w:val="none"/>
          <w:u w:val="single"/>
        </w:rPr>
        <w:t>项目技术负责人、专职安全生产管理人员及其承诺的其它在场管理人员未经发包人书面同意不准擅自更换，擅自更换项目技术负责人处1000元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次（人民币）违约金；擅自更换专职安全生产管理人员处500元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次（人民币）违约金；擅自更换其它在场管理人员处500元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次（人民币）违约金</w:t>
      </w:r>
      <w:r>
        <w:rPr>
          <w:rFonts w:hint="eastAsia" w:ascii="宋体" w:hAnsi="宋体"/>
          <w:color w:val="000000"/>
          <w:highlight w:val="none"/>
        </w:rPr>
        <w:t>。</w:t>
      </w:r>
    </w:p>
    <w:p w14:paraId="44911A47">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承包人主要施工管理人员擅自离开施工现场的违约责任：</w:t>
      </w:r>
      <w:r>
        <w:rPr>
          <w:rFonts w:hint="eastAsia" w:ascii="宋体" w:hAnsi="宋体"/>
          <w:color w:val="000000"/>
          <w:highlight w:val="none"/>
          <w:u w:val="single"/>
        </w:rPr>
        <w:t>未经发包人同意，项目技术负责人擅自离岗的，视为承包人违约，发包人有权处违约金3000元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次（人民币）；未经发包人同意，专职安全生产管理人员擅自离岗的，视为承包人违约，发包人有权处违约金1000元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次（人民币）；其它在场管理人员擅自离岗的，视为承包人违约，发包人有权处违约金1000元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w:t>
      </w:r>
      <w:r>
        <w:rPr>
          <w:rFonts w:hint="eastAsia" w:ascii="宋体" w:hAnsi="宋体"/>
          <w:color w:val="000000"/>
          <w:highlight w:val="none"/>
        </w:rPr>
        <w:t>。</w:t>
      </w:r>
    </w:p>
    <w:p w14:paraId="05172FA1">
      <w:pPr>
        <w:spacing w:line="360" w:lineRule="auto"/>
        <w:ind w:firstLine="420" w:firstLineChars="200"/>
        <w:rPr>
          <w:rFonts w:hint="eastAsia" w:ascii="宋体" w:hAnsi="宋体"/>
          <w:color w:val="000000"/>
          <w:highlight w:val="none"/>
        </w:rPr>
      </w:pPr>
      <w:r>
        <w:rPr>
          <w:rFonts w:hint="eastAsia" w:ascii="宋体" w:hAnsi="宋体"/>
          <w:color w:val="000000"/>
          <w:highlight w:val="none"/>
        </w:rPr>
        <w:t>3</w:t>
      </w:r>
      <w:r>
        <w:rPr>
          <w:rFonts w:ascii="宋体" w:hAnsi="宋体"/>
          <w:color w:val="000000"/>
          <w:highlight w:val="none"/>
        </w:rPr>
        <w:t xml:space="preserve">.3.6 </w:t>
      </w:r>
      <w:r>
        <w:rPr>
          <w:rFonts w:hint="eastAsia" w:ascii="宋体" w:hAnsi="宋体"/>
          <w:color w:val="000000"/>
          <w:highlight w:val="none"/>
        </w:rPr>
        <w:t>承包人未及时足额发放工人工资（含农民工）的违约责任：</w:t>
      </w:r>
      <w:r>
        <w:rPr>
          <w:rFonts w:hint="eastAsia" w:ascii="宋体" w:hAnsi="宋体"/>
          <w:color w:val="000000"/>
          <w:highlight w:val="none"/>
          <w:u w:val="single"/>
        </w:rPr>
        <w:t>因承包人未及时足额发放而拖欠工人（含农民工）工资造成集体上访、投诉、停工、罢工的，发包人除有权暂停支付工程进度款（如有）外，还有权处违约金1000元</w:t>
      </w:r>
      <w:r>
        <w:rPr>
          <w:rFonts w:ascii="宋体" w:hAnsi="宋体"/>
          <w:color w:val="000000"/>
          <w:highlight w:val="none"/>
          <w:u w:val="single"/>
        </w:rPr>
        <w:t>/</w:t>
      </w:r>
      <w:r>
        <w:rPr>
          <w:rFonts w:hint="eastAsia" w:ascii="宋体" w:hAnsi="宋体"/>
          <w:color w:val="000000"/>
          <w:highlight w:val="none"/>
          <w:u w:val="single"/>
        </w:rPr>
        <w:t>人</w:t>
      </w:r>
      <w:r>
        <w:rPr>
          <w:rFonts w:ascii="宋体" w:hAnsi="宋体"/>
          <w:color w:val="000000"/>
          <w:highlight w:val="none"/>
          <w:u w:val="single"/>
        </w:rPr>
        <w:t>•</w:t>
      </w:r>
      <w:r>
        <w:rPr>
          <w:rFonts w:hint="eastAsia" w:ascii="宋体" w:hAnsi="宋体"/>
          <w:color w:val="000000"/>
          <w:highlight w:val="none"/>
          <w:u w:val="single"/>
        </w:rPr>
        <w:t>次（人民币）。</w:t>
      </w:r>
    </w:p>
    <w:p w14:paraId="5FCF6D9C">
      <w:pPr>
        <w:spacing w:line="360" w:lineRule="auto"/>
        <w:ind w:firstLine="420" w:firstLineChars="200"/>
        <w:rPr>
          <w:rFonts w:ascii="宋体" w:hAnsi="宋体"/>
          <w:color w:val="000000"/>
          <w:highlight w:val="none"/>
        </w:rPr>
      </w:pPr>
    </w:p>
    <w:p w14:paraId="6F0390CC">
      <w:pPr>
        <w:pStyle w:val="12"/>
        <w:spacing w:before="0" w:after="60"/>
        <w:rPr>
          <w:rFonts w:ascii="宋体" w:hAnsi="宋体"/>
          <w:color w:val="000000"/>
          <w:highlight w:val="none"/>
        </w:rPr>
      </w:pPr>
      <w:bookmarkStart w:id="412" w:name="_Toc373227710"/>
      <w:bookmarkStart w:id="413" w:name="_Toc373478357"/>
      <w:bookmarkStart w:id="414" w:name="_Toc19603"/>
      <w:bookmarkStart w:id="415" w:name="_Toc389065276"/>
      <w:bookmarkStart w:id="416" w:name="_Toc108539789"/>
      <w:bookmarkStart w:id="417" w:name="_Toc407135212"/>
      <w:bookmarkStart w:id="418" w:name="_Toc487632709"/>
      <w:r>
        <w:rPr>
          <w:rFonts w:ascii="宋体" w:hAnsi="宋体"/>
          <w:color w:val="000000"/>
          <w:highlight w:val="none"/>
        </w:rPr>
        <w:t xml:space="preserve">3.5 </w:t>
      </w:r>
      <w:r>
        <w:rPr>
          <w:rFonts w:hint="eastAsia" w:ascii="宋体" w:hAnsi="宋体"/>
          <w:color w:val="000000"/>
          <w:highlight w:val="none"/>
        </w:rPr>
        <w:t>分包</w:t>
      </w:r>
      <w:bookmarkEnd w:id="412"/>
      <w:bookmarkEnd w:id="413"/>
      <w:bookmarkEnd w:id="414"/>
      <w:bookmarkEnd w:id="415"/>
      <w:bookmarkEnd w:id="416"/>
      <w:bookmarkEnd w:id="417"/>
      <w:bookmarkEnd w:id="418"/>
    </w:p>
    <w:p w14:paraId="0647E9F5">
      <w:pPr>
        <w:spacing w:line="360" w:lineRule="auto"/>
        <w:ind w:firstLine="420" w:firstLineChars="200"/>
        <w:rPr>
          <w:rFonts w:ascii="宋体" w:hAnsi="宋体"/>
          <w:color w:val="000000"/>
          <w:highlight w:val="none"/>
        </w:rPr>
      </w:pPr>
      <w:r>
        <w:rPr>
          <w:rFonts w:ascii="宋体" w:hAnsi="宋体"/>
          <w:color w:val="000000"/>
          <w:highlight w:val="none"/>
        </w:rPr>
        <w:t xml:space="preserve">3.5.1 </w:t>
      </w:r>
      <w:r>
        <w:rPr>
          <w:rFonts w:hint="eastAsia" w:ascii="宋体" w:hAnsi="宋体"/>
          <w:color w:val="000000"/>
          <w:highlight w:val="none"/>
        </w:rPr>
        <w:t>分包的一般约定</w:t>
      </w:r>
    </w:p>
    <w:p w14:paraId="4D00579F">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禁止分包的工程包括：</w:t>
      </w:r>
      <w:r>
        <w:rPr>
          <w:rFonts w:hint="eastAsia" w:ascii="宋体" w:hAnsi="宋体"/>
          <w:color w:val="000000"/>
          <w:highlight w:val="none"/>
          <w:u w:val="single"/>
        </w:rPr>
        <w:t>本工程不允许分包、转包</w:t>
      </w:r>
      <w:r>
        <w:rPr>
          <w:rFonts w:hint="eastAsia" w:ascii="宋体" w:hAnsi="宋体"/>
          <w:color w:val="000000"/>
          <w:highlight w:val="none"/>
        </w:rPr>
        <w:t>。</w:t>
      </w:r>
    </w:p>
    <w:p w14:paraId="57E28909">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主体结构、关键性工作的范围：</w:t>
      </w:r>
      <w:r>
        <w:rPr>
          <w:rFonts w:hint="eastAsia" w:ascii="宋体" w:hAnsi="宋体"/>
          <w:color w:val="000000"/>
          <w:highlight w:val="none"/>
          <w:u w:val="single"/>
        </w:rPr>
        <w:t xml:space="preserve">      /         </w:t>
      </w:r>
      <w:r>
        <w:rPr>
          <w:rFonts w:hint="eastAsia" w:ascii="宋体" w:hAnsi="宋体"/>
          <w:color w:val="000000"/>
          <w:highlight w:val="none"/>
        </w:rPr>
        <w:t>。</w:t>
      </w:r>
    </w:p>
    <w:p w14:paraId="48DC1668">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3.5.2 </w:t>
      </w:r>
      <w:r>
        <w:rPr>
          <w:rFonts w:hint="eastAsia" w:ascii="宋体" w:hAnsi="宋体"/>
          <w:color w:val="000000"/>
          <w:highlight w:val="none"/>
        </w:rPr>
        <w:t>分包的确定</w:t>
      </w:r>
    </w:p>
    <w:p w14:paraId="1B81B3DF">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允许分包的专业工程包括：</w:t>
      </w:r>
      <w:r>
        <w:rPr>
          <w:rFonts w:hint="eastAsia" w:ascii="宋体" w:hAnsi="宋体"/>
          <w:color w:val="000000"/>
          <w:highlight w:val="none"/>
          <w:u w:val="single"/>
        </w:rPr>
        <w:t>无</w:t>
      </w:r>
      <w:r>
        <w:rPr>
          <w:rFonts w:hint="eastAsia" w:ascii="宋体" w:hAnsi="宋体"/>
          <w:color w:val="000000"/>
          <w:highlight w:val="none"/>
        </w:rPr>
        <w:t>。</w:t>
      </w:r>
    </w:p>
    <w:p w14:paraId="468FBF17">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其他关于分包的约定：</w:t>
      </w:r>
      <w:r>
        <w:rPr>
          <w:rFonts w:hint="eastAsia" w:ascii="宋体" w:hAnsi="宋体"/>
          <w:color w:val="000000"/>
          <w:highlight w:val="none"/>
          <w:u w:val="single"/>
        </w:rPr>
        <w:t xml:space="preserve">   /     </w:t>
      </w:r>
    </w:p>
    <w:p w14:paraId="3D709C42">
      <w:pPr>
        <w:spacing w:line="360" w:lineRule="auto"/>
        <w:ind w:firstLine="420" w:firstLineChars="200"/>
        <w:rPr>
          <w:rFonts w:ascii="宋体" w:hAnsi="宋体"/>
          <w:color w:val="000000"/>
          <w:highlight w:val="none"/>
        </w:rPr>
      </w:pPr>
      <w:r>
        <w:rPr>
          <w:rFonts w:ascii="宋体" w:hAnsi="宋体"/>
          <w:color w:val="000000"/>
          <w:highlight w:val="none"/>
        </w:rPr>
        <w:t xml:space="preserve">3.5.4 </w:t>
      </w:r>
      <w:r>
        <w:rPr>
          <w:rFonts w:hint="eastAsia" w:ascii="宋体" w:hAnsi="宋体"/>
          <w:color w:val="000000"/>
          <w:highlight w:val="none"/>
        </w:rPr>
        <w:t>分包合同价款</w:t>
      </w:r>
    </w:p>
    <w:p w14:paraId="66E5A33F">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关于分包合同价款支付的约定：</w:t>
      </w:r>
      <w:r>
        <w:rPr>
          <w:rFonts w:hint="eastAsia" w:ascii="宋体" w:hAnsi="宋体"/>
          <w:color w:val="000000"/>
          <w:highlight w:val="none"/>
          <w:u w:val="single"/>
        </w:rPr>
        <w:t>无。</w:t>
      </w:r>
    </w:p>
    <w:p w14:paraId="6751AD4A">
      <w:pPr>
        <w:pStyle w:val="12"/>
        <w:spacing w:before="0" w:after="60"/>
        <w:rPr>
          <w:rFonts w:ascii="宋体" w:hAnsi="宋体"/>
          <w:color w:val="000000"/>
          <w:highlight w:val="none"/>
        </w:rPr>
      </w:pPr>
      <w:bookmarkStart w:id="419" w:name="_Toc108539790"/>
      <w:bookmarkStart w:id="420" w:name="_Toc22032"/>
      <w:bookmarkStart w:id="421" w:name="_Toc487632710"/>
      <w:bookmarkStart w:id="422" w:name="_Toc407135213"/>
      <w:r>
        <w:rPr>
          <w:rFonts w:ascii="宋体" w:hAnsi="宋体"/>
          <w:color w:val="000000"/>
          <w:highlight w:val="none"/>
        </w:rPr>
        <w:t xml:space="preserve">3.6 </w:t>
      </w:r>
      <w:r>
        <w:rPr>
          <w:rFonts w:hint="eastAsia" w:ascii="宋体" w:hAnsi="宋体"/>
          <w:color w:val="000000"/>
          <w:highlight w:val="none"/>
        </w:rPr>
        <w:t>工程照管与成品、半成品保护</w:t>
      </w:r>
      <w:bookmarkEnd w:id="419"/>
      <w:bookmarkEnd w:id="420"/>
      <w:bookmarkEnd w:id="421"/>
      <w:bookmarkEnd w:id="422"/>
    </w:p>
    <w:p w14:paraId="63A9FF5F">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承包人负责照管工程及工程相关的材料、工程设备的起始时间：</w:t>
      </w:r>
      <w:r>
        <w:rPr>
          <w:rFonts w:hint="eastAsia" w:ascii="宋体" w:hAnsi="宋体"/>
          <w:color w:val="000000"/>
          <w:kern w:val="0"/>
          <w:highlight w:val="none"/>
          <w:u w:val="single"/>
        </w:rPr>
        <w:t>从合同签订之日起至竣工验收合格并移交使用方接管之日止，期间所发生的半成品、成品损坏一切责任由承包人负责修复至设计要求</w:t>
      </w:r>
      <w:r>
        <w:rPr>
          <w:rFonts w:hint="eastAsia" w:ascii="宋体" w:hAnsi="宋体"/>
          <w:color w:val="000000"/>
          <w:kern w:val="0"/>
          <w:highlight w:val="none"/>
        </w:rPr>
        <w:t>。</w:t>
      </w:r>
    </w:p>
    <w:p w14:paraId="289DD31D">
      <w:pPr>
        <w:pStyle w:val="12"/>
        <w:spacing w:before="0" w:after="60"/>
        <w:rPr>
          <w:rFonts w:ascii="宋体" w:hAnsi="宋体"/>
          <w:color w:val="000000"/>
          <w:highlight w:val="none"/>
        </w:rPr>
      </w:pPr>
      <w:bookmarkStart w:id="423" w:name="_Toc373478359"/>
      <w:bookmarkStart w:id="424" w:name="_Toc389065278"/>
      <w:bookmarkStart w:id="425" w:name="_Toc373227712"/>
      <w:bookmarkStart w:id="426" w:name="_Toc26415"/>
      <w:bookmarkStart w:id="427" w:name="_Toc108539791"/>
      <w:bookmarkStart w:id="428" w:name="_Toc487632711"/>
      <w:bookmarkStart w:id="429" w:name="_Toc407135214"/>
      <w:r>
        <w:rPr>
          <w:rFonts w:ascii="宋体" w:hAnsi="宋体"/>
          <w:color w:val="000000"/>
          <w:highlight w:val="none"/>
        </w:rPr>
        <w:t xml:space="preserve">3.7 </w:t>
      </w:r>
      <w:r>
        <w:rPr>
          <w:rFonts w:hint="eastAsia" w:ascii="宋体" w:hAnsi="宋体"/>
          <w:color w:val="000000"/>
          <w:highlight w:val="none"/>
        </w:rPr>
        <w:t>履约</w:t>
      </w:r>
      <w:bookmarkEnd w:id="423"/>
      <w:bookmarkEnd w:id="424"/>
      <w:bookmarkEnd w:id="425"/>
      <w:r>
        <w:rPr>
          <w:rFonts w:hint="eastAsia" w:ascii="宋体" w:hAnsi="宋体"/>
          <w:color w:val="000000"/>
          <w:highlight w:val="none"/>
        </w:rPr>
        <w:t>保证金</w:t>
      </w:r>
      <w:bookmarkEnd w:id="426"/>
      <w:bookmarkEnd w:id="427"/>
      <w:bookmarkEnd w:id="428"/>
      <w:bookmarkEnd w:id="429"/>
    </w:p>
    <w:p w14:paraId="2DD4C4B5">
      <w:pPr>
        <w:spacing w:line="360" w:lineRule="auto"/>
        <w:ind w:firstLine="420" w:firstLineChars="200"/>
        <w:jc w:val="left"/>
        <w:rPr>
          <w:rFonts w:hint="eastAsia" w:hAnsi="宋体"/>
          <w:color w:val="000000"/>
          <w:highlight w:val="none"/>
        </w:rPr>
      </w:pPr>
      <w:r>
        <w:rPr>
          <w:rFonts w:hint="eastAsia" w:hAnsi="宋体"/>
          <w:color w:val="000000"/>
          <w:highlight w:val="none"/>
        </w:rPr>
        <w:t>承包人提供履约担保的形式、金额及期限的：</w:t>
      </w:r>
      <w:r>
        <w:rPr>
          <w:rFonts w:hint="eastAsia" w:hAnsi="宋体"/>
          <w:color w:val="000000"/>
          <w:highlight w:val="none"/>
          <w:u w:val="single"/>
        </w:rPr>
        <w:t>承包人在收到中标通知书后，须在</w:t>
      </w:r>
      <w:r>
        <w:rPr>
          <w:rFonts w:hint="eastAsia"/>
          <w:color w:val="000000"/>
          <w:highlight w:val="none"/>
          <w:u w:val="single"/>
        </w:rPr>
        <w:t>10</w:t>
      </w:r>
      <w:r>
        <w:rPr>
          <w:rFonts w:hint="eastAsia" w:hAnsi="宋体"/>
          <w:color w:val="000000"/>
          <w:highlight w:val="none"/>
          <w:u w:val="single"/>
        </w:rPr>
        <w:t>日内向发包人提交合同价款扣除发包人材料设备价款、暂估专业工程、暂列金额后的2</w:t>
      </w:r>
      <w:r>
        <w:rPr>
          <w:color w:val="000000"/>
          <w:highlight w:val="none"/>
          <w:u w:val="single"/>
        </w:rPr>
        <w:t>%</w:t>
      </w:r>
      <w:r>
        <w:rPr>
          <w:rFonts w:hint="eastAsia" w:hAnsi="宋体"/>
          <w:color w:val="000000"/>
          <w:highlight w:val="none"/>
          <w:u w:val="single"/>
        </w:rPr>
        <w:t>的履约担保（格式见合同附件7）。履约担保的有效期应当自本合同生效之日起至发包人签认并由监理人向承包人出具</w:t>
      </w:r>
      <w:r>
        <w:rPr>
          <w:rFonts w:hint="eastAsia"/>
          <w:color w:val="000000"/>
          <w:highlight w:val="none"/>
          <w:u w:val="single"/>
        </w:rPr>
        <w:t>竣工报告</w:t>
      </w:r>
      <w:r>
        <w:rPr>
          <w:rFonts w:hint="eastAsia" w:hAnsi="宋体"/>
          <w:color w:val="000000"/>
          <w:highlight w:val="none"/>
          <w:u w:val="single"/>
        </w:rPr>
        <w:t>（竣工证明材料名称）之日止。如果承包人无法获得一份不带具体截止日期的担保，履约担保中应当有</w:t>
      </w:r>
      <w:r>
        <w:rPr>
          <w:color w:val="000000"/>
          <w:highlight w:val="none"/>
          <w:u w:val="single"/>
        </w:rPr>
        <w:t>“</w:t>
      </w:r>
      <w:r>
        <w:rPr>
          <w:rFonts w:hint="eastAsia" w:hAnsi="宋体"/>
          <w:color w:val="000000"/>
          <w:highlight w:val="none"/>
          <w:u w:val="single"/>
        </w:rPr>
        <w:t>变更工程竣工日期的，保证期间按照变更后的竣工日期做相应调整</w:t>
      </w:r>
      <w:r>
        <w:rPr>
          <w:color w:val="000000"/>
          <w:highlight w:val="none"/>
          <w:u w:val="single"/>
        </w:rPr>
        <w:t>”</w:t>
      </w:r>
      <w:r>
        <w:rPr>
          <w:rFonts w:hint="eastAsia" w:hAnsi="宋体"/>
          <w:color w:val="000000"/>
          <w:highlight w:val="none"/>
          <w:u w:val="single"/>
        </w:rPr>
        <w:t>或类似约定的条款。</w:t>
      </w:r>
    </w:p>
    <w:p w14:paraId="0204D06D">
      <w:pPr>
        <w:spacing w:line="360" w:lineRule="auto"/>
        <w:ind w:firstLine="420" w:firstLineChars="200"/>
        <w:jc w:val="left"/>
        <w:rPr>
          <w:rFonts w:hint="eastAsia" w:hAnsi="宋体"/>
          <w:color w:val="000000"/>
          <w:highlight w:val="none"/>
          <w:lang w:eastAsia="zh-CN"/>
        </w:rPr>
      </w:pPr>
      <w:r>
        <w:rPr>
          <w:rFonts w:hint="eastAsia" w:hAnsi="宋体"/>
          <w:color w:val="000000"/>
          <w:highlight w:val="none"/>
          <w:lang w:eastAsia="zh-CN"/>
        </w:rPr>
        <w:t>承包人</w:t>
      </w:r>
      <w:r>
        <w:rPr>
          <w:rFonts w:hint="eastAsia" w:hAnsi="宋体"/>
          <w:color w:val="000000"/>
          <w:highlight w:val="none"/>
        </w:rPr>
        <w:t>提供</w:t>
      </w:r>
      <w:r>
        <w:rPr>
          <w:rFonts w:hint="eastAsia" w:hAnsi="宋体"/>
          <w:color w:val="000000"/>
          <w:highlight w:val="none"/>
          <w:lang w:eastAsia="zh-CN"/>
        </w:rPr>
        <w:t>履约</w:t>
      </w:r>
      <w:r>
        <w:rPr>
          <w:rFonts w:hint="eastAsia" w:hAnsi="宋体"/>
          <w:color w:val="000000"/>
          <w:highlight w:val="none"/>
        </w:rPr>
        <w:t>担保的形式：</w:t>
      </w:r>
      <w:r>
        <w:rPr>
          <w:rFonts w:hint="eastAsia"/>
          <w:color w:val="000000"/>
          <w:highlight w:val="none"/>
          <w:u w:val="single"/>
          <w:lang w:eastAsia="zh-CN"/>
        </w:rPr>
        <w:t>可以是</w:t>
      </w:r>
      <w:r>
        <w:rPr>
          <w:rFonts w:hint="eastAsia" w:hAnsi="宋体"/>
          <w:color w:val="000000"/>
          <w:highlight w:val="none"/>
        </w:rPr>
        <w:t>银行转账、电汇或网上支付、保函（银行保函、电子</w:t>
      </w:r>
      <w:r>
        <w:rPr>
          <w:rFonts w:hAnsi="宋体"/>
          <w:color w:val="000000"/>
          <w:highlight w:val="none"/>
        </w:rPr>
        <w:t>保函</w:t>
      </w:r>
      <w:r>
        <w:rPr>
          <w:rFonts w:hint="eastAsia" w:hAnsi="宋体"/>
          <w:color w:val="000000"/>
          <w:highlight w:val="none"/>
        </w:rPr>
        <w:t>、保证保险保函、工程担保保函）等形式</w:t>
      </w:r>
      <w:r>
        <w:rPr>
          <w:rFonts w:hint="eastAsia" w:hAnsi="宋体"/>
          <w:color w:val="000000"/>
          <w:highlight w:val="none"/>
          <w:lang w:eastAsia="zh-CN"/>
        </w:rPr>
        <w:t>，具体担保形式以双方商定为准</w:t>
      </w:r>
      <w:r>
        <w:rPr>
          <w:rFonts w:hint="eastAsia" w:hAnsi="宋体"/>
          <w:color w:val="000000"/>
          <w:highlight w:val="none"/>
        </w:rPr>
        <w:t>。</w:t>
      </w:r>
      <w:r>
        <w:rPr>
          <w:rFonts w:hint="eastAsia" w:hAnsi="宋体"/>
          <w:color w:val="000000"/>
          <w:highlight w:val="none"/>
          <w:u w:val="single"/>
        </w:rPr>
        <w:t>工程担保保证人应将出具的保函相关信息录入“广西建筑市场监管云”平台（http://gxjzsc.caihcloud.com），以实现保函查询及验真功能</w:t>
      </w:r>
      <w:r>
        <w:rPr>
          <w:rFonts w:hint="eastAsia" w:hAnsi="宋体"/>
          <w:color w:val="000000"/>
          <w:highlight w:val="none"/>
          <w:u w:val="single"/>
          <w:lang w:eastAsia="zh-CN"/>
        </w:rPr>
        <w:t>。</w:t>
      </w:r>
    </w:p>
    <w:p w14:paraId="5BB90E57">
      <w:pPr>
        <w:pStyle w:val="35"/>
        <w:ind w:firstLine="420" w:firstLineChars="200"/>
        <w:rPr>
          <w:rFonts w:hint="eastAsia" w:hAnsi="宋体"/>
          <w:color w:val="000000"/>
          <w:highlight w:val="none"/>
          <w:u w:val="single"/>
        </w:rPr>
      </w:pPr>
      <w:r>
        <w:rPr>
          <w:rFonts w:hint="eastAsia" w:hAnsi="宋体"/>
          <w:color w:val="000000"/>
          <w:highlight w:val="none"/>
          <w:u w:val="single"/>
        </w:rPr>
        <w:t>工程竣工验收合格并对验收发现的问题完成整改后的</w:t>
      </w:r>
      <w:r>
        <w:rPr>
          <w:color w:val="000000"/>
          <w:highlight w:val="none"/>
          <w:u w:val="single"/>
        </w:rPr>
        <w:t>7</w:t>
      </w:r>
      <w:r>
        <w:rPr>
          <w:rFonts w:hint="eastAsia" w:hAnsi="宋体"/>
          <w:color w:val="000000"/>
          <w:highlight w:val="none"/>
          <w:u w:val="single"/>
        </w:rPr>
        <w:t>个日历天内，发包人支付履约保证金的</w:t>
      </w:r>
      <w:r>
        <w:rPr>
          <w:color w:val="000000"/>
          <w:highlight w:val="none"/>
          <w:u w:val="single"/>
        </w:rPr>
        <w:t>50%</w:t>
      </w:r>
      <w:r>
        <w:rPr>
          <w:rFonts w:hint="eastAsia" w:hAnsi="宋体"/>
          <w:color w:val="000000"/>
          <w:highlight w:val="none"/>
          <w:u w:val="single"/>
        </w:rPr>
        <w:t>；承包人向发包人完成（施工）竣工资料移交手续后，可向发包人申请退还剩余履约保证金，发包人应在收到申请之日起</w:t>
      </w:r>
      <w:r>
        <w:rPr>
          <w:color w:val="000000"/>
          <w:highlight w:val="none"/>
          <w:u w:val="single"/>
        </w:rPr>
        <w:t>28</w:t>
      </w:r>
      <w:r>
        <w:rPr>
          <w:rFonts w:hint="eastAsia" w:hAnsi="宋体"/>
          <w:color w:val="000000"/>
          <w:highlight w:val="none"/>
          <w:u w:val="single"/>
        </w:rPr>
        <w:t>个日历天内扣减承包人赔偿金和其他应从承包人扣回的款项后，将履约保证金的余额退还给承包人。</w:t>
      </w:r>
    </w:p>
    <w:p w14:paraId="66F7E30A">
      <w:pPr>
        <w:pStyle w:val="11"/>
        <w:rPr>
          <w:rFonts w:ascii="宋体" w:hAnsi="宋体" w:eastAsia="宋体"/>
          <w:color w:val="000000"/>
          <w:highlight w:val="none"/>
        </w:rPr>
      </w:pPr>
      <w:r>
        <w:rPr>
          <w:rFonts w:ascii="宋体" w:hAnsi="宋体" w:eastAsia="宋体"/>
          <w:color w:val="000000"/>
          <w:highlight w:val="none"/>
        </w:rPr>
        <w:t>4</w:t>
      </w:r>
      <w:bookmarkStart w:id="430" w:name="_Toc296890990"/>
      <w:bookmarkStart w:id="431" w:name="_Toc296347161"/>
      <w:bookmarkStart w:id="432" w:name="_Toc296346663"/>
      <w:bookmarkStart w:id="433" w:name="_Toc296503162"/>
      <w:bookmarkStart w:id="434" w:name="_Toc297120462"/>
      <w:bookmarkStart w:id="435" w:name="_Toc296891202"/>
      <w:bookmarkStart w:id="436" w:name="_Toc297048348"/>
      <w:bookmarkStart w:id="437" w:name="_Toc267251413"/>
      <w:bookmarkStart w:id="438" w:name="_Toc292559871"/>
      <w:bookmarkStart w:id="439" w:name="_Toc296944501"/>
      <w:bookmarkStart w:id="440" w:name="_Toc292559366"/>
      <w:r>
        <w:rPr>
          <w:rFonts w:ascii="宋体" w:hAnsi="宋体" w:eastAsia="宋体"/>
          <w:color w:val="000000"/>
          <w:highlight w:val="none"/>
        </w:rPr>
        <w:t xml:space="preserve">. </w:t>
      </w:r>
      <w:r>
        <w:rPr>
          <w:rFonts w:hint="eastAsia" w:ascii="宋体" w:hAnsi="宋体" w:eastAsia="宋体"/>
          <w:color w:val="000000"/>
          <w:highlight w:val="none"/>
        </w:rPr>
        <w:t>监</w:t>
      </w:r>
      <w:bookmarkEnd w:id="430"/>
      <w:bookmarkEnd w:id="431"/>
      <w:bookmarkEnd w:id="432"/>
      <w:bookmarkEnd w:id="433"/>
      <w:bookmarkEnd w:id="434"/>
      <w:bookmarkEnd w:id="435"/>
      <w:bookmarkEnd w:id="436"/>
      <w:bookmarkEnd w:id="437"/>
      <w:bookmarkEnd w:id="438"/>
      <w:bookmarkEnd w:id="439"/>
      <w:bookmarkEnd w:id="440"/>
      <w:r>
        <w:rPr>
          <w:rFonts w:hint="eastAsia" w:ascii="宋体" w:hAnsi="宋体" w:eastAsia="宋体"/>
          <w:color w:val="000000"/>
          <w:highlight w:val="none"/>
        </w:rPr>
        <w:t>理人</w:t>
      </w:r>
    </w:p>
    <w:p w14:paraId="407F68F2">
      <w:pPr>
        <w:pStyle w:val="12"/>
        <w:spacing w:before="0" w:after="60"/>
        <w:rPr>
          <w:rFonts w:ascii="宋体" w:hAnsi="宋体"/>
          <w:color w:val="000000"/>
          <w:highlight w:val="none"/>
        </w:rPr>
      </w:pPr>
      <w:bookmarkStart w:id="441" w:name="_Toc389065280"/>
      <w:bookmarkStart w:id="442" w:name="_Toc407135216"/>
      <w:bookmarkStart w:id="443" w:name="_Toc108539793"/>
      <w:bookmarkStart w:id="444" w:name="_Toc487632713"/>
      <w:bookmarkStart w:id="445" w:name="_Toc373227714"/>
      <w:bookmarkStart w:id="446" w:name="_Toc7736"/>
      <w:bookmarkStart w:id="447" w:name="_Toc373478361"/>
      <w:r>
        <w:rPr>
          <w:rFonts w:ascii="宋体" w:hAnsi="宋体"/>
          <w:color w:val="000000"/>
          <w:highlight w:val="none"/>
        </w:rPr>
        <w:t xml:space="preserve">4.1 </w:t>
      </w:r>
      <w:r>
        <w:rPr>
          <w:rFonts w:hint="eastAsia" w:ascii="宋体" w:hAnsi="宋体"/>
          <w:color w:val="000000"/>
          <w:highlight w:val="none"/>
        </w:rPr>
        <w:t>监理人的一般规定</w:t>
      </w:r>
      <w:bookmarkEnd w:id="441"/>
      <w:bookmarkEnd w:id="442"/>
      <w:bookmarkEnd w:id="443"/>
      <w:bookmarkEnd w:id="444"/>
      <w:bookmarkEnd w:id="445"/>
      <w:bookmarkEnd w:id="446"/>
      <w:bookmarkEnd w:id="447"/>
    </w:p>
    <w:p w14:paraId="1735BF89">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关于监理人的监理内容：</w:t>
      </w:r>
      <w:r>
        <w:rPr>
          <w:rFonts w:hint="eastAsia" w:ascii="宋体" w:hAnsi="宋体"/>
          <w:color w:val="000000"/>
          <w:highlight w:val="none"/>
          <w:u w:val="single"/>
        </w:rPr>
        <w:t>图纸或工程量清单范围内的全部内容（包括设计变更）</w:t>
      </w:r>
      <w:r>
        <w:rPr>
          <w:rFonts w:hint="eastAsia" w:ascii="宋体" w:hAnsi="宋体"/>
          <w:color w:val="000000"/>
          <w:highlight w:val="none"/>
        </w:rPr>
        <w:t>。</w:t>
      </w:r>
    </w:p>
    <w:p w14:paraId="14DDCE57">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关于监理人的监理权限：</w:t>
      </w:r>
      <w:r>
        <w:rPr>
          <w:rFonts w:hint="eastAsia" w:ascii="宋体" w:hAnsi="宋体"/>
          <w:color w:val="000000"/>
          <w:highlight w:val="none"/>
          <w:u w:val="single"/>
        </w:rPr>
        <w:t>按监理合同约定</w:t>
      </w:r>
      <w:r>
        <w:rPr>
          <w:rFonts w:hint="eastAsia" w:ascii="宋体" w:hAnsi="宋体"/>
          <w:color w:val="000000"/>
          <w:highlight w:val="none"/>
        </w:rPr>
        <w:t>。</w:t>
      </w:r>
    </w:p>
    <w:p w14:paraId="0B047C95">
      <w:pPr>
        <w:spacing w:line="360" w:lineRule="auto"/>
        <w:ind w:firstLine="420" w:firstLineChars="200"/>
        <w:rPr>
          <w:rFonts w:hint="eastAsia" w:ascii="宋体" w:hAnsi="宋体"/>
          <w:color w:val="000000"/>
          <w:highlight w:val="none"/>
        </w:rPr>
      </w:pPr>
      <w:r>
        <w:rPr>
          <w:rFonts w:hint="eastAsia" w:ascii="宋体" w:hAnsi="宋体"/>
          <w:color w:val="000000"/>
          <w:highlight w:val="none"/>
        </w:rPr>
        <w:t>关于监理人在施工现场的办公场所、生活场所的提供和费用承担的约定：</w:t>
      </w:r>
      <w:r>
        <w:rPr>
          <w:rFonts w:hint="eastAsia" w:ascii="宋体" w:hAnsi="宋体"/>
          <w:color w:val="000000"/>
          <w:highlight w:val="none"/>
          <w:u w:val="single"/>
        </w:rPr>
        <w:t>由承包人承担，承包人磋商报价时综合考虑此项费用</w:t>
      </w:r>
      <w:r>
        <w:rPr>
          <w:rFonts w:hint="eastAsia" w:ascii="宋体" w:hAnsi="宋体"/>
          <w:color w:val="000000"/>
          <w:highlight w:val="none"/>
        </w:rPr>
        <w:t>。</w:t>
      </w:r>
    </w:p>
    <w:p w14:paraId="5E4ECD08">
      <w:pPr>
        <w:pStyle w:val="12"/>
        <w:spacing w:before="0" w:after="60"/>
        <w:rPr>
          <w:rFonts w:ascii="宋体" w:hAnsi="宋体"/>
          <w:color w:val="000000"/>
          <w:highlight w:val="none"/>
        </w:rPr>
      </w:pPr>
      <w:bookmarkStart w:id="448" w:name="_Toc15621"/>
      <w:bookmarkStart w:id="449" w:name="_Toc108539794"/>
      <w:r>
        <w:rPr>
          <w:rFonts w:ascii="宋体" w:hAnsi="宋体"/>
          <w:color w:val="000000"/>
          <w:highlight w:val="none"/>
        </w:rPr>
        <w:t xml:space="preserve">4.2 </w:t>
      </w:r>
      <w:r>
        <w:rPr>
          <w:rFonts w:hint="eastAsia" w:ascii="宋体" w:hAnsi="宋体"/>
          <w:color w:val="000000"/>
          <w:highlight w:val="none"/>
        </w:rPr>
        <w:t>监理人员</w:t>
      </w:r>
      <w:bookmarkEnd w:id="448"/>
      <w:bookmarkEnd w:id="449"/>
    </w:p>
    <w:p w14:paraId="7050D3FA">
      <w:pPr>
        <w:spacing w:line="360" w:lineRule="auto"/>
        <w:ind w:firstLine="420" w:firstLineChars="200"/>
        <w:rPr>
          <w:rFonts w:hint="eastAsia" w:ascii="宋体" w:hAnsi="宋体"/>
          <w:color w:val="000000"/>
          <w:highlight w:val="none"/>
        </w:rPr>
      </w:pPr>
      <w:r>
        <w:rPr>
          <w:rFonts w:hint="eastAsia" w:ascii="宋体" w:hAnsi="宋体"/>
          <w:color w:val="000000"/>
          <w:highlight w:val="none"/>
        </w:rPr>
        <w:t>总监理工程师：</w:t>
      </w:r>
    </w:p>
    <w:p w14:paraId="74D838A0">
      <w:pPr>
        <w:spacing w:line="360" w:lineRule="auto"/>
        <w:ind w:firstLine="420" w:firstLineChars="200"/>
        <w:rPr>
          <w:rFonts w:ascii="宋体" w:hAnsi="宋体"/>
          <w:color w:val="000000"/>
          <w:highlight w:val="none"/>
        </w:rPr>
      </w:pPr>
      <w:r>
        <w:rPr>
          <w:rFonts w:ascii="宋体" w:hAnsi="宋体"/>
          <w:color w:val="000000"/>
          <w:highlight w:val="none"/>
        </w:rPr>
        <w:t>姓</w:t>
      </w:r>
      <w:r>
        <w:rPr>
          <w:rFonts w:hint="eastAsia" w:ascii="宋体" w:hAnsi="宋体"/>
          <w:color w:val="000000"/>
          <w:highlight w:val="none"/>
          <w:lang w:val="en-US" w:eastAsia="zh-CN"/>
        </w:rPr>
        <w:t xml:space="preserve">    </w:t>
      </w:r>
      <w:r>
        <w:rPr>
          <w:rFonts w:ascii="宋体" w:hAnsi="宋体"/>
          <w:color w:val="000000"/>
          <w:highlight w:val="none"/>
        </w:rPr>
        <w:t>名：</w:t>
      </w:r>
      <w:r>
        <w:rPr>
          <w:rFonts w:hint="eastAsia" w:ascii="宋体" w:hAnsi="宋体"/>
          <w:color w:val="000000"/>
          <w:highlight w:val="none"/>
          <w:u w:val="single"/>
        </w:rPr>
        <w:t></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w:t>
      </w:r>
      <w:r>
        <w:rPr>
          <w:rFonts w:ascii="宋体" w:hAnsi="宋体"/>
          <w:color w:val="000000"/>
          <w:highlight w:val="none"/>
        </w:rPr>
        <w:t>；</w:t>
      </w:r>
    </w:p>
    <w:p w14:paraId="759CFCC7">
      <w:pPr>
        <w:spacing w:line="360" w:lineRule="auto"/>
        <w:ind w:firstLine="420" w:firstLineChars="200"/>
        <w:rPr>
          <w:rFonts w:ascii="宋体" w:hAnsi="宋体"/>
          <w:color w:val="000000"/>
          <w:highlight w:val="none"/>
        </w:rPr>
      </w:pPr>
      <w:r>
        <w:rPr>
          <w:rFonts w:ascii="宋体" w:hAnsi="宋体"/>
          <w:color w:val="000000"/>
          <w:highlight w:val="none"/>
        </w:rPr>
        <w:t>职</w:t>
      </w:r>
      <w:r>
        <w:rPr>
          <w:rFonts w:hint="eastAsia" w:ascii="宋体" w:hAnsi="宋体"/>
          <w:color w:val="000000"/>
          <w:highlight w:val="none"/>
          <w:lang w:val="en-US" w:eastAsia="zh-CN"/>
        </w:rPr>
        <w:t xml:space="preserve">    </w:t>
      </w:r>
      <w:r>
        <w:rPr>
          <w:rFonts w:ascii="宋体" w:hAnsi="宋体"/>
          <w:color w:val="000000"/>
          <w:highlight w:val="none"/>
        </w:rPr>
        <w:t>务：</w:t>
      </w:r>
      <w:r>
        <w:rPr>
          <w:rFonts w:hint="eastAsia" w:ascii="宋体" w:hAnsi="宋体"/>
          <w:color w:val="000000"/>
          <w:highlight w:val="none"/>
          <w:u w:val="single"/>
        </w:rPr>
        <w:t></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w:t>
      </w:r>
      <w:r>
        <w:rPr>
          <w:rFonts w:ascii="宋体" w:hAnsi="宋体"/>
          <w:color w:val="000000"/>
          <w:highlight w:val="none"/>
        </w:rPr>
        <w:t>；</w:t>
      </w:r>
    </w:p>
    <w:p w14:paraId="36D69A5C">
      <w:pPr>
        <w:spacing w:line="360" w:lineRule="auto"/>
        <w:ind w:firstLine="420" w:firstLineChars="200"/>
        <w:rPr>
          <w:rFonts w:ascii="宋体" w:hAnsi="宋体"/>
          <w:color w:val="000000"/>
          <w:highlight w:val="none"/>
        </w:rPr>
      </w:pPr>
      <w:r>
        <w:rPr>
          <w:rFonts w:ascii="宋体" w:hAnsi="宋体"/>
          <w:color w:val="000000"/>
          <w:highlight w:val="none"/>
        </w:rPr>
        <w:t>监理工程师执业资格证书号：</w:t>
      </w:r>
      <w:r>
        <w:rPr>
          <w:rFonts w:hint="eastAsia" w:ascii="宋体" w:hAnsi="宋体"/>
          <w:color w:val="000000"/>
          <w:highlight w:val="none"/>
          <w:u w:val="single"/>
        </w:rPr>
        <w:t></w:t>
      </w:r>
      <w:r>
        <w:rPr>
          <w:rFonts w:ascii="宋体" w:hAnsi="宋体"/>
          <w:color w:val="000000"/>
          <w:highlight w:val="none"/>
        </w:rPr>
        <w:t>；</w:t>
      </w:r>
    </w:p>
    <w:p w14:paraId="220574F6">
      <w:pPr>
        <w:spacing w:line="360" w:lineRule="auto"/>
        <w:ind w:firstLine="420" w:firstLineChars="200"/>
        <w:rPr>
          <w:rFonts w:ascii="宋体" w:hAnsi="宋体"/>
          <w:color w:val="000000"/>
          <w:highlight w:val="none"/>
        </w:rPr>
      </w:pPr>
      <w:r>
        <w:rPr>
          <w:rFonts w:ascii="宋体" w:hAnsi="宋体"/>
          <w:color w:val="000000"/>
          <w:highlight w:val="none"/>
        </w:rPr>
        <w:t>联系电话：</w:t>
      </w:r>
      <w:r>
        <w:rPr>
          <w:rFonts w:hint="eastAsia" w:ascii="宋体" w:hAnsi="宋体"/>
          <w:color w:val="000000"/>
          <w:highlight w:val="none"/>
          <w:u w:val="single"/>
        </w:rPr>
        <w:t></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w:t>
      </w:r>
      <w:r>
        <w:rPr>
          <w:rFonts w:ascii="宋体" w:hAnsi="宋体"/>
          <w:color w:val="000000"/>
          <w:highlight w:val="none"/>
        </w:rPr>
        <w:t>；</w:t>
      </w:r>
    </w:p>
    <w:p w14:paraId="66ACB95E">
      <w:pPr>
        <w:spacing w:line="360" w:lineRule="auto"/>
        <w:ind w:firstLine="420" w:firstLineChars="200"/>
        <w:rPr>
          <w:rFonts w:ascii="宋体" w:hAnsi="宋体"/>
          <w:color w:val="000000"/>
          <w:highlight w:val="none"/>
        </w:rPr>
      </w:pPr>
      <w:r>
        <w:rPr>
          <w:rFonts w:ascii="宋体" w:hAnsi="宋体"/>
          <w:color w:val="000000"/>
          <w:highlight w:val="none"/>
        </w:rPr>
        <w:t>电子信箱：</w:t>
      </w:r>
      <w:r>
        <w:rPr>
          <w:rFonts w:hint="eastAsia" w:ascii="宋体" w:hAnsi="宋体"/>
          <w:color w:val="000000"/>
          <w:highlight w:val="none"/>
          <w:u w:val="single"/>
        </w:rPr>
        <w:t></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w:t>
      </w:r>
      <w:r>
        <w:rPr>
          <w:rFonts w:ascii="宋体" w:hAnsi="宋体"/>
          <w:color w:val="000000"/>
          <w:highlight w:val="none"/>
        </w:rPr>
        <w:t>；</w:t>
      </w:r>
    </w:p>
    <w:p w14:paraId="7C293451">
      <w:pPr>
        <w:spacing w:line="360" w:lineRule="auto"/>
        <w:ind w:firstLine="420" w:firstLineChars="200"/>
        <w:rPr>
          <w:rFonts w:ascii="宋体" w:hAnsi="宋体"/>
          <w:color w:val="000000"/>
          <w:highlight w:val="none"/>
        </w:rPr>
      </w:pPr>
      <w:r>
        <w:rPr>
          <w:rFonts w:ascii="宋体" w:hAnsi="宋体"/>
          <w:color w:val="000000"/>
          <w:highlight w:val="none"/>
        </w:rPr>
        <w:t>通信地址：</w:t>
      </w:r>
      <w:r>
        <w:rPr>
          <w:rFonts w:hint="eastAsia" w:ascii="宋体" w:hAnsi="宋体"/>
          <w:color w:val="000000"/>
          <w:highlight w:val="none"/>
          <w:u w:val="single"/>
        </w:rPr>
        <w:t></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w:t>
      </w:r>
      <w:r>
        <w:rPr>
          <w:rFonts w:ascii="宋体" w:hAnsi="宋体"/>
          <w:color w:val="000000"/>
          <w:highlight w:val="none"/>
        </w:rPr>
        <w:t>；</w:t>
      </w:r>
    </w:p>
    <w:p w14:paraId="58235407">
      <w:pPr>
        <w:spacing w:line="360" w:lineRule="auto"/>
        <w:ind w:firstLine="420" w:firstLineChars="200"/>
        <w:rPr>
          <w:rFonts w:ascii="宋体" w:hAnsi="宋体"/>
          <w:color w:val="000000"/>
          <w:highlight w:val="none"/>
        </w:rPr>
      </w:pPr>
      <w:r>
        <w:rPr>
          <w:rFonts w:ascii="宋体" w:hAnsi="宋体"/>
          <w:color w:val="000000"/>
          <w:highlight w:val="none"/>
        </w:rPr>
        <w:t>关于监理人的其他约定：</w:t>
      </w:r>
      <w:r>
        <w:rPr>
          <w:rFonts w:hint="eastAsia" w:ascii="宋体" w:hAnsi="宋体"/>
          <w:color w:val="000000"/>
          <w:highlight w:val="none"/>
          <w:u w:val="single"/>
        </w:rPr>
        <w:t>协助发包人做好施工现场的协调工作</w:t>
      </w:r>
      <w:r>
        <w:rPr>
          <w:rFonts w:ascii="宋体" w:hAnsi="宋体"/>
          <w:color w:val="000000"/>
          <w:highlight w:val="none"/>
        </w:rPr>
        <w:t>。</w:t>
      </w:r>
    </w:p>
    <w:p w14:paraId="6E242649">
      <w:pPr>
        <w:pStyle w:val="12"/>
        <w:spacing w:before="0" w:after="60"/>
        <w:rPr>
          <w:rFonts w:ascii="宋体" w:hAnsi="宋体"/>
          <w:color w:val="000000"/>
          <w:highlight w:val="none"/>
        </w:rPr>
      </w:pPr>
      <w:bookmarkStart w:id="450" w:name="_Toc373478363"/>
      <w:bookmarkStart w:id="451" w:name="_Toc389065282"/>
      <w:bookmarkStart w:id="452" w:name="_Toc407135218"/>
      <w:bookmarkStart w:id="453" w:name="_Toc487632715"/>
      <w:bookmarkStart w:id="454" w:name="_Toc373227716"/>
      <w:bookmarkStart w:id="455" w:name="_Toc108539795"/>
      <w:bookmarkStart w:id="456" w:name="_Toc6623"/>
      <w:r>
        <w:rPr>
          <w:rFonts w:ascii="宋体" w:hAnsi="宋体"/>
          <w:color w:val="000000"/>
          <w:highlight w:val="none"/>
        </w:rPr>
        <w:t xml:space="preserve">4.4 </w:t>
      </w:r>
      <w:r>
        <w:rPr>
          <w:rFonts w:hint="eastAsia" w:ascii="宋体" w:hAnsi="宋体"/>
          <w:color w:val="000000"/>
          <w:highlight w:val="none"/>
        </w:rPr>
        <w:t>商定或确定</w:t>
      </w:r>
      <w:bookmarkEnd w:id="450"/>
      <w:bookmarkEnd w:id="451"/>
      <w:bookmarkEnd w:id="452"/>
      <w:bookmarkEnd w:id="453"/>
      <w:bookmarkEnd w:id="454"/>
      <w:bookmarkEnd w:id="455"/>
      <w:bookmarkEnd w:id="456"/>
    </w:p>
    <w:p w14:paraId="30B2CE43">
      <w:pPr>
        <w:spacing w:line="360" w:lineRule="auto"/>
        <w:ind w:firstLine="420" w:firstLineChars="200"/>
        <w:rPr>
          <w:rFonts w:hint="eastAsia" w:ascii="宋体" w:hAnsi="宋体"/>
          <w:color w:val="000000"/>
          <w:highlight w:val="none"/>
        </w:rPr>
      </w:pPr>
      <w:r>
        <w:rPr>
          <w:rFonts w:hint="eastAsia" w:ascii="宋体" w:hAnsi="宋体"/>
          <w:color w:val="000000"/>
          <w:highlight w:val="none"/>
        </w:rPr>
        <w:t>在发包人和承包人不能通过协商达成一致意见时，发包人授权监理人对以下事项进行确定：</w:t>
      </w:r>
    </w:p>
    <w:p w14:paraId="125F6EA9">
      <w:pPr>
        <w:snapToGrid w:val="0"/>
        <w:spacing w:line="420" w:lineRule="exact"/>
        <w:ind w:firstLine="420" w:firstLineChars="200"/>
        <w:jc w:val="left"/>
        <w:rPr>
          <w:rFonts w:hint="eastAsia" w:ascii="宋体" w:hAnsi="宋体"/>
          <w:color w:val="000000"/>
          <w:highlight w:val="none"/>
        </w:rPr>
      </w:pPr>
      <w:r>
        <w:rPr>
          <w:rFonts w:hint="eastAsia" w:ascii="宋体" w:hAnsi="宋体"/>
          <w:color w:val="000000"/>
          <w:highlight w:val="none"/>
        </w:rPr>
        <w:t>（1）</w:t>
      </w:r>
      <w:r>
        <w:rPr>
          <w:rFonts w:hint="eastAsia" w:ascii="宋体" w:hAnsi="宋体"/>
          <w:color w:val="000000"/>
          <w:highlight w:val="none"/>
          <w:u w:val="single"/>
        </w:rPr>
        <w:t></w:t>
      </w:r>
      <w:r>
        <w:rPr>
          <w:rFonts w:hint="eastAsia" w:ascii="宋体" w:hAnsi="宋体"/>
          <w:color w:val="000000"/>
          <w:highlight w:val="none"/>
        </w:rPr>
        <w:t>；</w:t>
      </w:r>
    </w:p>
    <w:p w14:paraId="23667465">
      <w:pPr>
        <w:snapToGrid w:val="0"/>
        <w:spacing w:line="420" w:lineRule="exact"/>
        <w:ind w:firstLine="420" w:firstLineChars="200"/>
        <w:jc w:val="left"/>
        <w:rPr>
          <w:rFonts w:hint="eastAsia" w:ascii="宋体" w:hAnsi="宋体"/>
          <w:color w:val="000000"/>
          <w:highlight w:val="none"/>
        </w:rPr>
      </w:pPr>
      <w:r>
        <w:rPr>
          <w:rFonts w:hint="eastAsia" w:ascii="宋体" w:hAnsi="宋体"/>
          <w:color w:val="000000"/>
          <w:highlight w:val="none"/>
        </w:rPr>
        <w:t>（2）</w:t>
      </w:r>
      <w:r>
        <w:rPr>
          <w:rFonts w:hint="eastAsia" w:ascii="宋体" w:hAnsi="宋体"/>
          <w:color w:val="000000"/>
          <w:highlight w:val="none"/>
          <w:u w:val="single"/>
        </w:rPr>
        <w:t></w:t>
      </w:r>
      <w:r>
        <w:rPr>
          <w:rFonts w:hint="eastAsia" w:ascii="宋体" w:hAnsi="宋体"/>
          <w:color w:val="000000"/>
          <w:highlight w:val="none"/>
        </w:rPr>
        <w:t>；</w:t>
      </w:r>
    </w:p>
    <w:p w14:paraId="5E4E9C5E">
      <w:pPr>
        <w:snapToGrid w:val="0"/>
        <w:spacing w:line="420" w:lineRule="exact"/>
        <w:ind w:firstLine="420" w:firstLineChars="200"/>
        <w:jc w:val="left"/>
        <w:rPr>
          <w:rFonts w:hint="eastAsia" w:ascii="宋体" w:hAnsi="宋体"/>
          <w:color w:val="000000"/>
          <w:highlight w:val="none"/>
        </w:rPr>
      </w:pPr>
      <w:r>
        <w:rPr>
          <w:rFonts w:hint="eastAsia" w:ascii="宋体" w:hAnsi="宋体"/>
          <w:color w:val="000000"/>
          <w:highlight w:val="none"/>
        </w:rPr>
        <w:t>（3）</w:t>
      </w:r>
      <w:r>
        <w:rPr>
          <w:rFonts w:hint="eastAsia" w:ascii="宋体" w:hAnsi="宋体"/>
          <w:color w:val="000000"/>
          <w:highlight w:val="none"/>
          <w:u w:val="single"/>
        </w:rPr>
        <w:t></w:t>
      </w:r>
      <w:r>
        <w:rPr>
          <w:rFonts w:hint="eastAsia" w:ascii="宋体" w:hAnsi="宋体"/>
          <w:color w:val="000000"/>
          <w:highlight w:val="none"/>
        </w:rPr>
        <w:t>。</w:t>
      </w:r>
    </w:p>
    <w:p w14:paraId="3C81709E">
      <w:pPr>
        <w:pStyle w:val="11"/>
        <w:rPr>
          <w:rFonts w:ascii="宋体" w:hAnsi="宋体" w:eastAsia="宋体"/>
          <w:color w:val="000000"/>
          <w:highlight w:val="none"/>
        </w:rPr>
      </w:pPr>
      <w:bookmarkStart w:id="457" w:name="_Toc7683"/>
      <w:bookmarkStart w:id="458" w:name="_Toc108539796"/>
      <w:r>
        <w:rPr>
          <w:rFonts w:ascii="宋体" w:hAnsi="宋体" w:eastAsia="宋体"/>
          <w:color w:val="000000"/>
          <w:highlight w:val="none"/>
        </w:rPr>
        <w:t xml:space="preserve">5. </w:t>
      </w:r>
      <w:r>
        <w:rPr>
          <w:rFonts w:hint="eastAsia" w:ascii="宋体" w:hAnsi="宋体" w:eastAsia="宋体"/>
          <w:color w:val="000000"/>
          <w:highlight w:val="none"/>
        </w:rPr>
        <w:t>工程质量</w:t>
      </w:r>
      <w:bookmarkEnd w:id="457"/>
      <w:bookmarkEnd w:id="458"/>
    </w:p>
    <w:p w14:paraId="7E2B1ECB">
      <w:pPr>
        <w:pStyle w:val="12"/>
        <w:spacing w:before="0" w:after="60"/>
        <w:rPr>
          <w:rFonts w:ascii="宋体" w:hAnsi="宋体"/>
          <w:color w:val="000000"/>
          <w:highlight w:val="none"/>
        </w:rPr>
      </w:pPr>
      <w:bookmarkStart w:id="459" w:name="_Toc389065284"/>
      <w:bookmarkStart w:id="460" w:name="_Toc487632717"/>
      <w:bookmarkStart w:id="461" w:name="_Toc11820"/>
      <w:bookmarkStart w:id="462" w:name="_Toc407135220"/>
      <w:bookmarkStart w:id="463" w:name="_Toc373227718"/>
      <w:bookmarkStart w:id="464" w:name="_Toc108539797"/>
      <w:bookmarkStart w:id="465" w:name="_Toc373478365"/>
      <w:r>
        <w:rPr>
          <w:rFonts w:ascii="宋体" w:hAnsi="宋体"/>
          <w:color w:val="000000"/>
          <w:highlight w:val="none"/>
        </w:rPr>
        <w:t xml:space="preserve">5.1 </w:t>
      </w:r>
      <w:r>
        <w:rPr>
          <w:rFonts w:hint="eastAsia" w:ascii="宋体" w:hAnsi="宋体"/>
          <w:color w:val="000000"/>
          <w:highlight w:val="none"/>
        </w:rPr>
        <w:t>质量要求</w:t>
      </w:r>
      <w:bookmarkEnd w:id="459"/>
      <w:bookmarkEnd w:id="460"/>
      <w:bookmarkEnd w:id="461"/>
      <w:bookmarkEnd w:id="462"/>
      <w:bookmarkEnd w:id="463"/>
      <w:bookmarkEnd w:id="464"/>
      <w:bookmarkEnd w:id="465"/>
    </w:p>
    <w:p w14:paraId="60343041">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5.1.1 </w:t>
      </w:r>
      <w:r>
        <w:rPr>
          <w:rFonts w:hint="eastAsia" w:ascii="宋体" w:hAnsi="宋体"/>
          <w:color w:val="000000"/>
          <w:highlight w:val="none"/>
        </w:rPr>
        <w:t>特殊质量标准和要求</w:t>
      </w:r>
      <w:r>
        <w:rPr>
          <w:rFonts w:hint="eastAsia" w:ascii="宋体" w:hAnsi="宋体"/>
          <w:color w:val="000000"/>
          <w:highlight w:val="none"/>
          <w:u w:val="single"/>
        </w:rPr>
        <w:t>：规范达标、绿色可靠、文档齐全、零缺陷作为质量总体目标。满足国家、行业、质量标准、控制标准和验收规范，在质量管理过程中达到或超过质量标准，杜绝重大设备一般及以上质量事故，确保工程无永久性缺陷。通过各级验收合格并完成启动。工程实体量化评价达到合格等级。</w:t>
      </w:r>
    </w:p>
    <w:p w14:paraId="187207D4">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关于工程奖项的约定：</w:t>
      </w:r>
      <w:r>
        <w:rPr>
          <w:rFonts w:hint="eastAsia" w:ascii="宋体" w:hAnsi="宋体"/>
          <w:color w:val="000000"/>
          <w:highlight w:val="none"/>
          <w:u w:val="single"/>
        </w:rPr>
        <w:t>无。</w:t>
      </w:r>
    </w:p>
    <w:p w14:paraId="374A385C">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5.3 </w:t>
      </w:r>
      <w:r>
        <w:rPr>
          <w:rFonts w:hint="eastAsia" w:ascii="宋体" w:hAnsi="宋体"/>
          <w:color w:val="000000"/>
          <w:highlight w:val="none"/>
        </w:rPr>
        <w:t>隐蔽工程检查</w:t>
      </w:r>
    </w:p>
    <w:p w14:paraId="66B8A2D4">
      <w:pPr>
        <w:spacing w:line="360" w:lineRule="auto"/>
        <w:ind w:firstLine="420" w:firstLineChars="200"/>
        <w:jc w:val="left"/>
        <w:rPr>
          <w:rFonts w:ascii="宋体" w:hAnsi="宋体"/>
          <w:color w:val="000000"/>
          <w:highlight w:val="none"/>
        </w:rPr>
      </w:pPr>
      <w:r>
        <w:rPr>
          <w:rFonts w:ascii="宋体" w:hAnsi="宋体"/>
          <w:color w:val="000000"/>
          <w:highlight w:val="none"/>
        </w:rPr>
        <w:t>5.3.2</w:t>
      </w:r>
      <w:r>
        <w:rPr>
          <w:rFonts w:hint="eastAsia" w:ascii="宋体" w:hAnsi="宋体"/>
          <w:color w:val="000000"/>
          <w:highlight w:val="none"/>
        </w:rPr>
        <w:t>承包人提前通知监理人隐蔽工程检查的期限的约定：</w:t>
      </w:r>
      <w:r>
        <w:rPr>
          <w:rFonts w:hint="eastAsia" w:ascii="宋体" w:hAnsi="宋体"/>
          <w:color w:val="000000"/>
          <w:highlight w:val="none"/>
          <w:u w:val="single"/>
        </w:rPr>
        <w:t>工程隐蔽或中间验收前</w:t>
      </w:r>
      <w:r>
        <w:rPr>
          <w:rFonts w:ascii="宋体" w:hAnsi="宋体"/>
          <w:color w:val="000000"/>
          <w:highlight w:val="none"/>
          <w:u w:val="single"/>
        </w:rPr>
        <w:t>12</w:t>
      </w:r>
      <w:r>
        <w:rPr>
          <w:rFonts w:hint="eastAsia" w:ascii="宋体" w:hAnsi="宋体"/>
          <w:color w:val="000000"/>
          <w:highlight w:val="none"/>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47251AB">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监理人不能按时进行检查时，应提前</w:t>
      </w:r>
      <w:r>
        <w:rPr>
          <w:rFonts w:hint="eastAsia" w:ascii="宋体" w:hAnsi="宋体"/>
          <w:color w:val="000000"/>
          <w:highlight w:val="none"/>
          <w:u w:val="single"/>
        </w:rPr>
        <w:t>24</w:t>
      </w:r>
      <w:r>
        <w:rPr>
          <w:rFonts w:hint="eastAsia" w:ascii="宋体" w:hAnsi="宋体"/>
          <w:color w:val="000000"/>
          <w:highlight w:val="none"/>
        </w:rPr>
        <w:t>小时提交书面延期要求。</w:t>
      </w:r>
    </w:p>
    <w:p w14:paraId="148F5FBF">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关于延期最长不得超过：</w:t>
      </w:r>
      <w:r>
        <w:rPr>
          <w:rFonts w:hint="eastAsia" w:ascii="宋体" w:hAnsi="宋体"/>
          <w:color w:val="000000"/>
          <w:highlight w:val="none"/>
          <w:u w:val="single"/>
        </w:rPr>
        <w:t>48</w:t>
      </w:r>
      <w:r>
        <w:rPr>
          <w:rFonts w:hint="eastAsia" w:ascii="宋体" w:hAnsi="宋体"/>
          <w:color w:val="000000"/>
          <w:highlight w:val="none"/>
        </w:rPr>
        <w:t>小时。</w:t>
      </w:r>
    </w:p>
    <w:p w14:paraId="1623F817">
      <w:pPr>
        <w:pStyle w:val="11"/>
        <w:rPr>
          <w:rFonts w:ascii="宋体" w:hAnsi="宋体" w:eastAsia="宋体"/>
          <w:color w:val="000000"/>
          <w:highlight w:val="none"/>
        </w:rPr>
      </w:pPr>
      <w:bookmarkStart w:id="466" w:name="_Toc373478366"/>
      <w:bookmarkStart w:id="467" w:name="_Toc8673"/>
      <w:bookmarkStart w:id="468" w:name="_Toc351203638"/>
      <w:bookmarkStart w:id="469" w:name="_Toc407135221"/>
      <w:bookmarkStart w:id="470" w:name="_Toc108539798"/>
      <w:bookmarkStart w:id="471" w:name="_Toc487632718"/>
      <w:bookmarkStart w:id="472" w:name="_Toc389065285"/>
      <w:bookmarkStart w:id="473" w:name="_Toc373227719"/>
      <w:r>
        <w:rPr>
          <w:rFonts w:ascii="宋体" w:hAnsi="宋体" w:eastAsia="宋体"/>
          <w:color w:val="000000"/>
          <w:highlight w:val="none"/>
        </w:rPr>
        <w:t xml:space="preserve">6. </w:t>
      </w:r>
      <w:r>
        <w:rPr>
          <w:rFonts w:hint="eastAsia" w:ascii="宋体" w:hAnsi="宋体" w:eastAsia="宋体"/>
          <w:color w:val="000000"/>
          <w:highlight w:val="none"/>
        </w:rPr>
        <w:t>安全文明施工与环境保护</w:t>
      </w:r>
      <w:bookmarkEnd w:id="466"/>
      <w:bookmarkEnd w:id="467"/>
      <w:bookmarkEnd w:id="468"/>
      <w:bookmarkEnd w:id="469"/>
      <w:bookmarkEnd w:id="470"/>
      <w:bookmarkEnd w:id="471"/>
      <w:bookmarkEnd w:id="472"/>
      <w:bookmarkEnd w:id="473"/>
    </w:p>
    <w:p w14:paraId="492458ED">
      <w:pPr>
        <w:pStyle w:val="12"/>
        <w:spacing w:before="0" w:after="60"/>
        <w:rPr>
          <w:rFonts w:ascii="宋体" w:hAnsi="宋体"/>
          <w:color w:val="000000"/>
          <w:highlight w:val="none"/>
        </w:rPr>
      </w:pPr>
      <w:bookmarkStart w:id="474" w:name="_Toc373478367"/>
      <w:bookmarkStart w:id="475" w:name="_Toc407135222"/>
      <w:bookmarkStart w:id="476" w:name="_Toc108539799"/>
      <w:bookmarkStart w:id="477" w:name="_Toc389065286"/>
      <w:bookmarkStart w:id="478" w:name="_Toc487632719"/>
      <w:bookmarkStart w:id="479" w:name="_Toc11367"/>
      <w:bookmarkStart w:id="480" w:name="_Toc373227720"/>
      <w:r>
        <w:rPr>
          <w:rFonts w:ascii="宋体" w:hAnsi="宋体"/>
          <w:color w:val="000000"/>
          <w:highlight w:val="none"/>
        </w:rPr>
        <w:t xml:space="preserve">6.1 </w:t>
      </w:r>
      <w:r>
        <w:rPr>
          <w:rFonts w:hint="eastAsia" w:ascii="宋体" w:hAnsi="宋体"/>
          <w:color w:val="000000"/>
          <w:highlight w:val="none"/>
        </w:rPr>
        <w:t>安全文明施工</w:t>
      </w:r>
      <w:bookmarkEnd w:id="474"/>
      <w:bookmarkEnd w:id="475"/>
      <w:bookmarkEnd w:id="476"/>
      <w:bookmarkEnd w:id="477"/>
      <w:bookmarkEnd w:id="478"/>
      <w:bookmarkEnd w:id="479"/>
      <w:bookmarkEnd w:id="480"/>
    </w:p>
    <w:p w14:paraId="605BCF38">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6.1.1 </w:t>
      </w:r>
      <w:r>
        <w:rPr>
          <w:rFonts w:hint="eastAsia" w:ascii="宋体" w:hAnsi="宋体"/>
          <w:color w:val="000000"/>
          <w:highlight w:val="none"/>
        </w:rPr>
        <w:t>项目安全生产的达标目标及相应事项的约定：</w:t>
      </w:r>
      <w:r>
        <w:rPr>
          <w:rFonts w:hint="eastAsia" w:ascii="宋体" w:hAnsi="宋体"/>
          <w:color w:val="000000"/>
          <w:highlight w:val="none"/>
          <w:u w:val="single"/>
        </w:rPr>
        <w:t>符合安全文明施工工地标准，配备消防设备（符合消防安全规定），防止火灾发生，费用由承包人承担。承包人承担一切由于自身安全措施不力而造成的安全事故责任及因此而发生的费用</w:t>
      </w:r>
      <w:r>
        <w:rPr>
          <w:rFonts w:hint="eastAsia" w:ascii="宋体" w:hAnsi="宋体"/>
          <w:color w:val="000000"/>
          <w:highlight w:val="none"/>
        </w:rPr>
        <w:t>。</w:t>
      </w:r>
    </w:p>
    <w:p w14:paraId="729F436C">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关于安全文明施工奖项的约定：</w:t>
      </w:r>
      <w:r>
        <w:rPr>
          <w:rFonts w:hint="eastAsia" w:ascii="宋体" w:hAnsi="宋体"/>
          <w:color w:val="000000"/>
          <w:highlight w:val="none"/>
          <w:u w:val="single"/>
        </w:rPr>
        <w:t>无</w:t>
      </w:r>
      <w:r>
        <w:rPr>
          <w:rFonts w:hint="eastAsia" w:ascii="宋体" w:hAnsi="宋体"/>
          <w:color w:val="000000"/>
          <w:highlight w:val="none"/>
        </w:rPr>
        <w:t>。</w:t>
      </w:r>
    </w:p>
    <w:p w14:paraId="15C14D3F">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6.1.4 </w:t>
      </w:r>
      <w:r>
        <w:rPr>
          <w:rFonts w:hint="eastAsia" w:ascii="宋体" w:hAnsi="宋体"/>
          <w:color w:val="000000"/>
          <w:highlight w:val="none"/>
        </w:rPr>
        <w:t>关于治安保卫的特别约定：</w:t>
      </w:r>
      <w:r>
        <w:rPr>
          <w:rFonts w:hint="eastAsia" w:ascii="宋体" w:hAnsi="宋体"/>
          <w:color w:val="000000"/>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2194DBD">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关于编制施工场地治安管理计划的约定：</w:t>
      </w:r>
      <w:r>
        <w:rPr>
          <w:rFonts w:hint="eastAsia" w:ascii="宋体" w:hAnsi="宋体"/>
          <w:color w:val="000000"/>
          <w:highlight w:val="none"/>
          <w:u w:val="single"/>
        </w:rPr>
        <w:t>由承包人负责编制和办理报批手续</w:t>
      </w:r>
      <w:r>
        <w:rPr>
          <w:rFonts w:hint="eastAsia" w:ascii="宋体" w:hAnsi="宋体"/>
          <w:color w:val="000000"/>
          <w:highlight w:val="none"/>
        </w:rPr>
        <w:t>。</w:t>
      </w:r>
    </w:p>
    <w:p w14:paraId="001E139F">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6.1.5 </w:t>
      </w:r>
      <w:r>
        <w:rPr>
          <w:rFonts w:hint="eastAsia" w:ascii="宋体" w:hAnsi="宋体"/>
          <w:color w:val="000000"/>
          <w:highlight w:val="none"/>
        </w:rPr>
        <w:t>文明施工</w:t>
      </w:r>
    </w:p>
    <w:p w14:paraId="10A2EA71">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合同当事人对文明施工的要求：</w:t>
      </w:r>
      <w:r>
        <w:rPr>
          <w:rFonts w:hint="eastAsia" w:ascii="宋体" w:hAnsi="宋体"/>
          <w:color w:val="000000"/>
          <w:highlight w:val="none"/>
          <w:u w:val="single"/>
        </w:rPr>
        <w:t>1、承包人在施工过程中，应遵守有关环境保护的法律，履行合同约定的环境保护义务，并对违反法律和合同约定义务所造成的环境破坏、人身伤害和财产损失负责。</w:t>
      </w:r>
    </w:p>
    <w:p w14:paraId="523EA6A1">
      <w:pPr>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2、承包人应编制施工环保措施计划，报送监理人审批，其中所编制施工环保措施的实施标准不得低于承包人响应文件中相应措施的计划标准。</w:t>
      </w:r>
    </w:p>
    <w:p w14:paraId="51877415">
      <w:pPr>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FD2C2AA">
      <w:pPr>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4、承包人应加强对噪声、粉尘、废气、废水和废油的控制，努力降低噪声，控制粉尘和废气浓度，做好废水和废油的治理和排放。因承包人原因造成的处罚由承包人负责</w:t>
      </w:r>
      <w:r>
        <w:rPr>
          <w:rFonts w:hint="eastAsia" w:ascii="宋体" w:hAnsi="宋体"/>
          <w:color w:val="000000"/>
          <w:highlight w:val="none"/>
        </w:rPr>
        <w:t>。</w:t>
      </w:r>
    </w:p>
    <w:p w14:paraId="597A6188">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6.1.6 </w:t>
      </w:r>
      <w:r>
        <w:rPr>
          <w:rFonts w:hint="eastAsia" w:ascii="宋体" w:hAnsi="宋体"/>
          <w:color w:val="000000"/>
          <w:highlight w:val="none"/>
        </w:rPr>
        <w:t>关于安全文明施工费支付比例和支付期限的约定：</w:t>
      </w:r>
    </w:p>
    <w:p w14:paraId="4E930103">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1</w:t>
      </w:r>
      <w:r>
        <w:rPr>
          <w:rFonts w:hint="eastAsia" w:ascii="宋体" w:hAnsi="宋体"/>
          <w:color w:val="000000"/>
          <w:kern w:val="0"/>
          <w:highlight w:val="none"/>
        </w:rPr>
        <w:t>）本合同价款已包含安全文明施工费元。</w:t>
      </w:r>
    </w:p>
    <w:p w14:paraId="08294E24">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）使用要求：专款专用。具体按</w:t>
      </w:r>
      <w:r>
        <w:rPr>
          <w:rFonts w:hint="eastAsia" w:ascii="宋体" w:hAnsi="宋体"/>
          <w:color w:val="000000"/>
          <w:kern w:val="0"/>
          <w:highlight w:val="none"/>
          <w:u w:val="single"/>
        </w:rPr>
        <w:t>《广西壮族自治区建设工程安全文明施工费使用管理细则》（桂建质〔</w:t>
      </w:r>
      <w:r>
        <w:rPr>
          <w:rFonts w:ascii="宋体" w:hAnsi="宋体"/>
          <w:color w:val="000000"/>
          <w:kern w:val="0"/>
          <w:highlight w:val="none"/>
          <w:u w:val="single"/>
        </w:rPr>
        <w:t>2015</w:t>
      </w:r>
      <w:r>
        <w:rPr>
          <w:rFonts w:hint="eastAsia" w:ascii="宋体" w:hAnsi="宋体"/>
          <w:color w:val="000000"/>
          <w:kern w:val="0"/>
          <w:highlight w:val="none"/>
          <w:u w:val="single"/>
        </w:rPr>
        <w:t>〕</w:t>
      </w:r>
      <w:r>
        <w:rPr>
          <w:rFonts w:ascii="宋体" w:hAnsi="宋体"/>
          <w:color w:val="000000"/>
          <w:kern w:val="0"/>
          <w:highlight w:val="none"/>
          <w:u w:val="single"/>
        </w:rPr>
        <w:t>16</w:t>
      </w:r>
      <w:r>
        <w:rPr>
          <w:rFonts w:hint="eastAsia" w:ascii="宋体" w:hAnsi="宋体"/>
          <w:color w:val="000000"/>
          <w:kern w:val="0"/>
          <w:highlight w:val="none"/>
          <w:u w:val="single"/>
        </w:rPr>
        <w:t>号）</w:t>
      </w:r>
      <w:r>
        <w:rPr>
          <w:rFonts w:hint="eastAsia" w:ascii="宋体" w:hAnsi="宋体"/>
          <w:color w:val="000000"/>
          <w:kern w:val="0"/>
          <w:highlight w:val="none"/>
        </w:rPr>
        <w:t>和</w:t>
      </w:r>
      <w:r>
        <w:rPr>
          <w:rFonts w:hint="eastAsia" w:ascii="宋体" w:hAnsi="宋体"/>
          <w:color w:val="000000"/>
          <w:kern w:val="0"/>
          <w:highlight w:val="none"/>
          <w:u w:val="single"/>
        </w:rPr>
        <w:t>梧州</w:t>
      </w:r>
      <w:r>
        <w:rPr>
          <w:rFonts w:hint="eastAsia" w:ascii="宋体" w:hAnsi="宋体"/>
          <w:color w:val="000000"/>
          <w:kern w:val="0"/>
          <w:highlight w:val="none"/>
        </w:rPr>
        <w:t>市相关规定执行。</w:t>
      </w:r>
    </w:p>
    <w:p w14:paraId="68F61885">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3</w:t>
      </w:r>
      <w:r>
        <w:rPr>
          <w:rFonts w:hint="eastAsia" w:ascii="宋体" w:hAnsi="宋体"/>
          <w:color w:val="000000"/>
          <w:kern w:val="0"/>
          <w:highlight w:val="none"/>
        </w:rPr>
        <w:t>）支付约定：</w:t>
      </w:r>
      <w:r>
        <w:rPr>
          <w:rFonts w:hint="eastAsia" w:ascii="宋体" w:hAnsi="宋体"/>
          <w:color w:val="000000"/>
          <w:kern w:val="0"/>
          <w:highlight w:val="none"/>
          <w:u w:val="single"/>
        </w:rPr>
        <w:t>与进度款同期支付。</w:t>
      </w:r>
    </w:p>
    <w:p w14:paraId="140DC415">
      <w:pPr>
        <w:pStyle w:val="12"/>
        <w:spacing w:before="0" w:after="60"/>
        <w:rPr>
          <w:rFonts w:ascii="宋体" w:hAnsi="宋体"/>
          <w:color w:val="000000"/>
          <w:highlight w:val="none"/>
        </w:rPr>
      </w:pPr>
      <w:bookmarkStart w:id="481" w:name="_Toc373478368"/>
      <w:bookmarkStart w:id="482" w:name="_Toc389065287"/>
      <w:bookmarkStart w:id="483" w:name="_Toc407135223"/>
      <w:bookmarkStart w:id="484" w:name="_Toc108539800"/>
      <w:bookmarkStart w:id="485" w:name="_Toc373227721"/>
      <w:bookmarkStart w:id="486" w:name="_Toc487632720"/>
      <w:bookmarkStart w:id="487" w:name="_Toc9561"/>
      <w:r>
        <w:rPr>
          <w:rFonts w:ascii="宋体" w:hAnsi="宋体"/>
          <w:color w:val="000000"/>
          <w:highlight w:val="none"/>
        </w:rPr>
        <w:t xml:space="preserve">6.3 </w:t>
      </w:r>
      <w:r>
        <w:rPr>
          <w:rFonts w:hint="eastAsia" w:ascii="宋体" w:hAnsi="宋体"/>
          <w:color w:val="000000"/>
          <w:highlight w:val="none"/>
        </w:rPr>
        <w:t>环境保护</w:t>
      </w:r>
      <w:bookmarkEnd w:id="481"/>
      <w:bookmarkEnd w:id="482"/>
      <w:bookmarkEnd w:id="483"/>
      <w:bookmarkEnd w:id="484"/>
      <w:bookmarkEnd w:id="485"/>
      <w:bookmarkEnd w:id="486"/>
      <w:bookmarkEnd w:id="487"/>
    </w:p>
    <w:p w14:paraId="601316DF">
      <w:pPr>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因施工需要，经发包人批准，由承包人办理有关施工场地交通、环卫和施工噪音管理等手续，费用由承包人负责。</w:t>
      </w:r>
    </w:p>
    <w:p w14:paraId="62135035">
      <w:pPr>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经过城市道路的施工车辆，必须按交警、城管、运输等部门相关规定执行。由于施工车辆造成的道路、环境等污染，其责任和费用均由承包人承担。</w:t>
      </w:r>
    </w:p>
    <w:p w14:paraId="6560A8DA">
      <w:pPr>
        <w:pStyle w:val="11"/>
        <w:spacing w:line="520" w:lineRule="exact"/>
        <w:rPr>
          <w:rFonts w:ascii="宋体" w:hAnsi="宋体" w:eastAsia="宋体"/>
          <w:color w:val="000000"/>
          <w:highlight w:val="none"/>
        </w:rPr>
      </w:pPr>
      <w:bookmarkStart w:id="488" w:name="_Toc21666"/>
      <w:bookmarkStart w:id="489" w:name="_Toc373227722"/>
      <w:bookmarkStart w:id="490" w:name="_Toc351203639"/>
      <w:bookmarkStart w:id="491" w:name="_Toc407135224"/>
      <w:bookmarkStart w:id="492" w:name="_Toc487632721"/>
      <w:bookmarkStart w:id="493" w:name="_Toc108539801"/>
      <w:bookmarkStart w:id="494" w:name="_Toc373478369"/>
      <w:bookmarkStart w:id="495" w:name="_Toc389065288"/>
      <w:r>
        <w:rPr>
          <w:rFonts w:ascii="宋体" w:hAnsi="宋体" w:eastAsia="宋体"/>
          <w:color w:val="000000"/>
          <w:highlight w:val="none"/>
        </w:rPr>
        <w:t xml:space="preserve">7. </w:t>
      </w:r>
      <w:r>
        <w:rPr>
          <w:rFonts w:hint="eastAsia" w:ascii="宋体" w:hAnsi="宋体" w:eastAsia="宋体"/>
          <w:color w:val="000000"/>
          <w:highlight w:val="none"/>
        </w:rPr>
        <w:t>工期和进度</w:t>
      </w:r>
      <w:bookmarkEnd w:id="488"/>
      <w:bookmarkEnd w:id="489"/>
      <w:bookmarkEnd w:id="490"/>
      <w:bookmarkEnd w:id="491"/>
      <w:bookmarkEnd w:id="492"/>
      <w:bookmarkEnd w:id="493"/>
      <w:bookmarkEnd w:id="494"/>
      <w:bookmarkEnd w:id="495"/>
    </w:p>
    <w:p w14:paraId="10DCB785">
      <w:pPr>
        <w:pStyle w:val="12"/>
        <w:spacing w:before="0" w:after="60" w:line="520" w:lineRule="exact"/>
        <w:rPr>
          <w:rFonts w:ascii="宋体" w:hAnsi="宋体"/>
          <w:color w:val="000000"/>
          <w:highlight w:val="none"/>
        </w:rPr>
      </w:pPr>
      <w:bookmarkStart w:id="496" w:name="_Toc389065289"/>
      <w:bookmarkStart w:id="497" w:name="_Toc487632722"/>
      <w:bookmarkStart w:id="498" w:name="_Toc3415"/>
      <w:bookmarkStart w:id="499" w:name="_Toc373478370"/>
      <w:bookmarkStart w:id="500" w:name="_Toc407135225"/>
      <w:bookmarkStart w:id="501" w:name="_Toc108539802"/>
      <w:bookmarkStart w:id="502" w:name="_Toc373227723"/>
      <w:r>
        <w:rPr>
          <w:rFonts w:ascii="宋体" w:hAnsi="宋体"/>
          <w:color w:val="000000"/>
          <w:highlight w:val="none"/>
        </w:rPr>
        <w:t xml:space="preserve">7.1 </w:t>
      </w:r>
      <w:r>
        <w:rPr>
          <w:rFonts w:hint="eastAsia" w:ascii="宋体" w:hAnsi="宋体"/>
          <w:color w:val="000000"/>
          <w:highlight w:val="none"/>
        </w:rPr>
        <w:t>施工组织设计</w:t>
      </w:r>
      <w:bookmarkEnd w:id="496"/>
      <w:bookmarkEnd w:id="497"/>
      <w:bookmarkEnd w:id="498"/>
      <w:bookmarkEnd w:id="499"/>
      <w:bookmarkEnd w:id="500"/>
      <w:bookmarkEnd w:id="501"/>
      <w:bookmarkEnd w:id="502"/>
    </w:p>
    <w:p w14:paraId="5D313ADD">
      <w:pPr>
        <w:autoSpaceDE w:val="0"/>
        <w:autoSpaceDN w:val="0"/>
        <w:spacing w:line="520" w:lineRule="exact"/>
        <w:ind w:firstLine="420" w:firstLineChars="200"/>
        <w:jc w:val="left"/>
        <w:rPr>
          <w:rFonts w:ascii="宋体" w:hAnsi="宋体"/>
          <w:color w:val="000000"/>
          <w:highlight w:val="none"/>
        </w:rPr>
      </w:pPr>
      <w:r>
        <w:rPr>
          <w:rFonts w:ascii="宋体" w:hAnsi="宋体"/>
          <w:color w:val="000000"/>
          <w:highlight w:val="none"/>
        </w:rPr>
        <w:t xml:space="preserve">7.1.1 </w:t>
      </w:r>
      <w:r>
        <w:rPr>
          <w:rFonts w:hint="eastAsia" w:ascii="宋体" w:hAnsi="宋体"/>
          <w:color w:val="000000"/>
          <w:highlight w:val="none"/>
        </w:rPr>
        <w:t>合</w:t>
      </w:r>
      <w:r>
        <w:rPr>
          <w:rFonts w:hint="eastAsia" w:ascii="宋体" w:hAnsi="宋体"/>
          <w:color w:val="000000"/>
          <w:kern w:val="0"/>
          <w:highlight w:val="none"/>
        </w:rPr>
        <w:t>同当事人约定的施工组织设计应包括的其他内容：</w:t>
      </w:r>
      <w:r>
        <w:rPr>
          <w:rFonts w:hint="eastAsia" w:ascii="宋体" w:hAnsi="宋体"/>
          <w:color w:val="000000"/>
          <w:highlight w:val="none"/>
          <w:u w:val="single"/>
        </w:rPr>
        <w:t>施工现场施工过程不能影响本楼宇办公，如需对施工时间进行调整，乙方应服从甲方安排</w:t>
      </w:r>
      <w:r>
        <w:rPr>
          <w:rFonts w:hint="eastAsia" w:ascii="宋体" w:hAnsi="宋体"/>
          <w:color w:val="000000"/>
          <w:highlight w:val="none"/>
        </w:rPr>
        <w:t>。</w:t>
      </w:r>
    </w:p>
    <w:p w14:paraId="2BF0419C">
      <w:pPr>
        <w:autoSpaceDE w:val="0"/>
        <w:autoSpaceDN w:val="0"/>
        <w:spacing w:line="520" w:lineRule="exact"/>
        <w:ind w:firstLine="420" w:firstLineChars="200"/>
        <w:jc w:val="left"/>
        <w:rPr>
          <w:rFonts w:ascii="宋体" w:hAnsi="宋体"/>
          <w:color w:val="000000"/>
          <w:highlight w:val="none"/>
        </w:rPr>
      </w:pPr>
      <w:r>
        <w:rPr>
          <w:rFonts w:ascii="宋体" w:hAnsi="宋体"/>
          <w:color w:val="000000"/>
          <w:highlight w:val="none"/>
        </w:rPr>
        <w:t xml:space="preserve">7.1.2 </w:t>
      </w:r>
      <w:r>
        <w:rPr>
          <w:rFonts w:hint="eastAsia" w:ascii="宋体" w:hAnsi="宋体"/>
          <w:color w:val="000000"/>
          <w:kern w:val="0"/>
          <w:highlight w:val="none"/>
        </w:rPr>
        <w:t>施工组织设计的提交和修改</w:t>
      </w:r>
    </w:p>
    <w:p w14:paraId="39006427">
      <w:pPr>
        <w:autoSpaceDE w:val="0"/>
        <w:autoSpaceDN w:val="0"/>
        <w:spacing w:line="520" w:lineRule="exact"/>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承包人提交详细施工组织设计的期限的约定：</w:t>
      </w:r>
      <w:r>
        <w:rPr>
          <w:rFonts w:hint="eastAsia" w:ascii="宋体" w:hAnsi="宋体"/>
          <w:color w:val="000000"/>
          <w:highlight w:val="none"/>
          <w:u w:val="single"/>
        </w:rPr>
        <w:t>承包人应在响应文件施工组织设计的基础上，编制工程详细施工组织设计，要求后者的各项实施标准不得降低前者对应项目所计划的标准。承包人应在合同签订后14天内，但最迟不得晚于开工通知载明的开工日期前7天，向监理人提交详细的施工组织设计，并由监理人报送发包人</w:t>
      </w:r>
      <w:r>
        <w:rPr>
          <w:rFonts w:hint="eastAsia" w:ascii="宋体" w:hAnsi="宋体"/>
          <w:color w:val="000000"/>
          <w:highlight w:val="none"/>
        </w:rPr>
        <w:t>。</w:t>
      </w:r>
    </w:p>
    <w:p w14:paraId="5FFA0691">
      <w:pPr>
        <w:spacing w:line="520" w:lineRule="exact"/>
        <w:ind w:firstLine="420" w:firstLineChars="200"/>
        <w:jc w:val="left"/>
        <w:rPr>
          <w:rFonts w:hint="eastAsia" w:ascii="宋体" w:hAnsi="宋体"/>
          <w:color w:val="000000"/>
          <w:highlight w:val="none"/>
        </w:rPr>
      </w:pPr>
      <w:r>
        <w:rPr>
          <w:rFonts w:hint="eastAsia" w:ascii="宋体" w:hAnsi="宋体"/>
          <w:color w:val="000000"/>
          <w:highlight w:val="none"/>
        </w:rPr>
        <w:t>发包人和监理人在收到详细的施工组织设计后确认或提出修改意见的期限：</w:t>
      </w:r>
      <w:r>
        <w:rPr>
          <w:rFonts w:hint="eastAsia" w:ascii="宋体" w:hAnsi="宋体"/>
          <w:color w:val="000000"/>
          <w:highlight w:val="none"/>
          <w:u w:val="single"/>
        </w:rPr>
        <w:t>收到后7天内</w:t>
      </w:r>
      <w:r>
        <w:rPr>
          <w:rFonts w:hint="eastAsia" w:ascii="宋体" w:hAnsi="宋体"/>
          <w:color w:val="000000"/>
          <w:highlight w:val="none"/>
        </w:rPr>
        <w:t>。</w:t>
      </w:r>
    </w:p>
    <w:p w14:paraId="28E308D7">
      <w:pPr>
        <w:pStyle w:val="12"/>
        <w:spacing w:before="0" w:after="60" w:line="520" w:lineRule="exact"/>
        <w:rPr>
          <w:rFonts w:ascii="宋体" w:hAnsi="宋体"/>
          <w:color w:val="000000"/>
          <w:highlight w:val="none"/>
        </w:rPr>
      </w:pPr>
      <w:bookmarkStart w:id="503" w:name="_Toc4283"/>
      <w:bookmarkStart w:id="504" w:name="_Toc108539803"/>
      <w:r>
        <w:rPr>
          <w:rFonts w:ascii="宋体" w:hAnsi="宋体"/>
          <w:color w:val="000000"/>
          <w:highlight w:val="none"/>
        </w:rPr>
        <w:t xml:space="preserve">7.2 </w:t>
      </w:r>
      <w:r>
        <w:rPr>
          <w:rFonts w:hint="eastAsia" w:ascii="宋体" w:hAnsi="宋体"/>
          <w:color w:val="000000"/>
          <w:highlight w:val="none"/>
        </w:rPr>
        <w:t>施工进度计划</w:t>
      </w:r>
      <w:bookmarkEnd w:id="503"/>
      <w:bookmarkEnd w:id="504"/>
    </w:p>
    <w:p w14:paraId="4F118178">
      <w:pPr>
        <w:spacing w:line="520" w:lineRule="exact"/>
        <w:ind w:firstLine="420" w:firstLineChars="200"/>
        <w:jc w:val="left"/>
        <w:rPr>
          <w:rFonts w:ascii="宋体" w:hAnsi="宋体"/>
          <w:color w:val="000000"/>
          <w:highlight w:val="none"/>
        </w:rPr>
      </w:pPr>
      <w:r>
        <w:rPr>
          <w:rFonts w:ascii="宋体" w:hAnsi="宋体"/>
          <w:color w:val="000000"/>
          <w:highlight w:val="none"/>
        </w:rPr>
        <w:t xml:space="preserve">7.2.2 </w:t>
      </w:r>
      <w:r>
        <w:rPr>
          <w:rFonts w:hint="eastAsia" w:ascii="宋体" w:hAnsi="宋体"/>
          <w:color w:val="000000"/>
          <w:highlight w:val="none"/>
        </w:rPr>
        <w:t>施工进度计划的修订</w:t>
      </w:r>
    </w:p>
    <w:p w14:paraId="2FEF0E0F">
      <w:pPr>
        <w:spacing w:line="520" w:lineRule="exact"/>
        <w:ind w:firstLine="210" w:firstLineChars="100"/>
        <w:jc w:val="left"/>
        <w:rPr>
          <w:rFonts w:hint="eastAsia" w:ascii="宋体" w:hAnsi="宋体"/>
          <w:color w:val="000000"/>
          <w:highlight w:val="none"/>
        </w:rPr>
      </w:pPr>
      <w:r>
        <w:rPr>
          <w:rFonts w:hint="eastAsia" w:ascii="宋体" w:hAnsi="宋体"/>
          <w:color w:val="000000"/>
          <w:highlight w:val="none"/>
        </w:rPr>
        <w:t>发包人和监理人在收到修订的施工进度计划后确认或提出修改意见的期限：</w:t>
      </w:r>
      <w:r>
        <w:rPr>
          <w:rFonts w:hint="eastAsia" w:ascii="宋体" w:hAnsi="宋体"/>
          <w:color w:val="000000"/>
          <w:highlight w:val="none"/>
          <w:u w:val="single"/>
        </w:rPr>
        <w:t>收到后7天内</w:t>
      </w:r>
      <w:r>
        <w:rPr>
          <w:rFonts w:hint="eastAsia" w:ascii="宋体" w:hAnsi="宋体"/>
          <w:color w:val="000000"/>
          <w:highlight w:val="none"/>
        </w:rPr>
        <w:t>。</w:t>
      </w:r>
    </w:p>
    <w:p w14:paraId="5E88EC9D">
      <w:pPr>
        <w:pStyle w:val="12"/>
        <w:spacing w:before="0" w:after="60" w:line="520" w:lineRule="exact"/>
        <w:rPr>
          <w:rFonts w:ascii="宋体" w:hAnsi="宋体"/>
          <w:color w:val="000000"/>
          <w:highlight w:val="none"/>
        </w:rPr>
      </w:pPr>
      <w:bookmarkStart w:id="505" w:name="_Toc407135227"/>
      <w:bookmarkStart w:id="506" w:name="_Toc108539804"/>
      <w:bookmarkStart w:id="507" w:name="_Toc373227725"/>
      <w:bookmarkStart w:id="508" w:name="_Toc487632724"/>
      <w:bookmarkStart w:id="509" w:name="_Toc373478372"/>
      <w:bookmarkStart w:id="510" w:name="_Toc14962"/>
      <w:bookmarkStart w:id="511" w:name="_Toc389065291"/>
      <w:r>
        <w:rPr>
          <w:rFonts w:ascii="宋体" w:hAnsi="宋体"/>
          <w:color w:val="000000"/>
          <w:highlight w:val="none"/>
        </w:rPr>
        <w:t xml:space="preserve">7.3 </w:t>
      </w:r>
      <w:r>
        <w:rPr>
          <w:rFonts w:hint="eastAsia" w:ascii="宋体" w:hAnsi="宋体"/>
          <w:color w:val="000000"/>
          <w:highlight w:val="none"/>
        </w:rPr>
        <w:t>开工</w:t>
      </w:r>
      <w:bookmarkEnd w:id="505"/>
      <w:bookmarkEnd w:id="506"/>
      <w:bookmarkEnd w:id="507"/>
      <w:bookmarkEnd w:id="508"/>
      <w:bookmarkEnd w:id="509"/>
      <w:bookmarkEnd w:id="510"/>
      <w:bookmarkEnd w:id="511"/>
    </w:p>
    <w:p w14:paraId="4B8FA1B1">
      <w:pPr>
        <w:spacing w:line="520" w:lineRule="exact"/>
        <w:ind w:firstLine="420" w:firstLineChars="200"/>
        <w:jc w:val="left"/>
        <w:rPr>
          <w:rFonts w:ascii="宋体" w:hAnsi="宋体"/>
          <w:color w:val="000000"/>
          <w:highlight w:val="none"/>
        </w:rPr>
      </w:pPr>
      <w:r>
        <w:rPr>
          <w:rFonts w:ascii="宋体" w:hAnsi="宋体"/>
          <w:color w:val="000000"/>
          <w:highlight w:val="none"/>
        </w:rPr>
        <w:t xml:space="preserve">7.3.1 </w:t>
      </w:r>
      <w:r>
        <w:rPr>
          <w:rFonts w:hint="eastAsia" w:ascii="宋体" w:hAnsi="宋体"/>
          <w:color w:val="000000"/>
          <w:highlight w:val="none"/>
        </w:rPr>
        <w:t>开工准备</w:t>
      </w:r>
    </w:p>
    <w:p w14:paraId="558806AF">
      <w:pPr>
        <w:spacing w:line="520" w:lineRule="exact"/>
        <w:ind w:firstLine="426"/>
        <w:jc w:val="left"/>
        <w:rPr>
          <w:rFonts w:hint="eastAsia" w:ascii="宋体" w:hAnsi="宋体"/>
          <w:color w:val="000000"/>
          <w:highlight w:val="none"/>
        </w:rPr>
      </w:pPr>
      <w:r>
        <w:rPr>
          <w:rFonts w:hint="eastAsia" w:ascii="宋体" w:hAnsi="宋体"/>
          <w:color w:val="000000"/>
          <w:highlight w:val="none"/>
        </w:rPr>
        <w:t>关于承包人提交</w:t>
      </w:r>
      <w:r>
        <w:rPr>
          <w:rFonts w:hint="eastAsia" w:ascii="宋体" w:hAnsi="宋体"/>
          <w:color w:val="000000"/>
          <w:kern w:val="0"/>
          <w:highlight w:val="none"/>
        </w:rPr>
        <w:t>工程开工报审表的期限：</w:t>
      </w:r>
      <w:r>
        <w:rPr>
          <w:rFonts w:hint="eastAsia" w:ascii="宋体" w:hAnsi="宋体"/>
          <w:color w:val="000000"/>
          <w:highlight w:val="none"/>
          <w:u w:val="single"/>
        </w:rPr>
        <w:t>开工前3天</w:t>
      </w:r>
      <w:r>
        <w:rPr>
          <w:rFonts w:hint="eastAsia" w:ascii="宋体" w:hAnsi="宋体"/>
          <w:color w:val="000000"/>
          <w:highlight w:val="none"/>
        </w:rPr>
        <w:t>。</w:t>
      </w:r>
    </w:p>
    <w:p w14:paraId="56CED496">
      <w:pPr>
        <w:spacing w:line="520" w:lineRule="exact"/>
        <w:ind w:firstLine="426"/>
        <w:jc w:val="left"/>
        <w:rPr>
          <w:rFonts w:hint="eastAsia" w:ascii="宋体" w:hAnsi="宋体"/>
          <w:color w:val="000000"/>
          <w:highlight w:val="none"/>
        </w:rPr>
      </w:pPr>
      <w:r>
        <w:rPr>
          <w:rFonts w:hint="eastAsia" w:ascii="宋体" w:hAnsi="宋体"/>
          <w:color w:val="000000"/>
          <w:highlight w:val="none"/>
        </w:rPr>
        <w:t>关于发包人应完成的其他开工准备工作及期限：</w:t>
      </w:r>
      <w:r>
        <w:rPr>
          <w:rFonts w:hint="eastAsia" w:ascii="宋体" w:hAnsi="宋体"/>
          <w:color w:val="000000"/>
          <w:highlight w:val="none"/>
          <w:u w:val="single"/>
        </w:rPr>
        <w:t>开工前7天</w:t>
      </w:r>
      <w:r>
        <w:rPr>
          <w:rFonts w:hint="eastAsia" w:ascii="宋体" w:hAnsi="宋体"/>
          <w:color w:val="000000"/>
          <w:highlight w:val="none"/>
        </w:rPr>
        <w:t>。</w:t>
      </w:r>
    </w:p>
    <w:p w14:paraId="68E92BE2">
      <w:pPr>
        <w:spacing w:line="520" w:lineRule="exact"/>
        <w:ind w:firstLine="420" w:firstLineChars="200"/>
        <w:jc w:val="left"/>
        <w:rPr>
          <w:rFonts w:hint="eastAsia" w:ascii="宋体" w:hAnsi="宋体"/>
          <w:color w:val="000000"/>
          <w:highlight w:val="none"/>
        </w:rPr>
      </w:pPr>
      <w:r>
        <w:rPr>
          <w:rFonts w:hint="eastAsia" w:ascii="宋体" w:hAnsi="宋体"/>
          <w:color w:val="000000"/>
          <w:highlight w:val="none"/>
        </w:rPr>
        <w:t>关于承包人应完成的其他开工准备工作及期限：</w:t>
      </w:r>
      <w:r>
        <w:rPr>
          <w:rFonts w:hint="eastAsia" w:ascii="宋体" w:hAnsi="宋体"/>
          <w:color w:val="000000"/>
          <w:highlight w:val="none"/>
          <w:u w:val="single"/>
        </w:rPr>
        <w:t>开工前7天</w:t>
      </w:r>
      <w:r>
        <w:rPr>
          <w:rFonts w:hint="eastAsia" w:ascii="宋体" w:hAnsi="宋体"/>
          <w:color w:val="000000"/>
          <w:highlight w:val="none"/>
        </w:rPr>
        <w:t>。</w:t>
      </w:r>
    </w:p>
    <w:p w14:paraId="7339480F">
      <w:pPr>
        <w:spacing w:line="520" w:lineRule="exact"/>
        <w:ind w:firstLine="420" w:firstLineChars="200"/>
        <w:jc w:val="left"/>
        <w:rPr>
          <w:rFonts w:ascii="宋体" w:hAnsi="宋体"/>
          <w:color w:val="000000"/>
          <w:highlight w:val="none"/>
        </w:rPr>
      </w:pPr>
      <w:r>
        <w:rPr>
          <w:rFonts w:ascii="宋体" w:hAnsi="宋体"/>
          <w:color w:val="000000"/>
          <w:highlight w:val="none"/>
        </w:rPr>
        <w:t xml:space="preserve">7.3.2 </w:t>
      </w:r>
      <w:r>
        <w:rPr>
          <w:rFonts w:hint="eastAsia" w:ascii="宋体" w:hAnsi="宋体"/>
          <w:color w:val="000000"/>
          <w:highlight w:val="none"/>
        </w:rPr>
        <w:t>开工通知</w:t>
      </w:r>
    </w:p>
    <w:p w14:paraId="45C0DC7D">
      <w:pPr>
        <w:spacing w:line="520" w:lineRule="exact"/>
        <w:ind w:firstLine="420" w:firstLineChars="200"/>
        <w:jc w:val="left"/>
        <w:rPr>
          <w:rFonts w:hint="eastAsia" w:ascii="宋体" w:hAnsi="宋体"/>
          <w:color w:val="000000"/>
          <w:highlight w:val="none"/>
        </w:rPr>
      </w:pPr>
      <w:r>
        <w:rPr>
          <w:rFonts w:hint="eastAsia" w:ascii="宋体" w:hAnsi="宋体"/>
          <w:color w:val="000000"/>
          <w:highlight w:val="none"/>
        </w:rPr>
        <w:t>因发包人原因造成监理人未能在计划开工日期之日起</w:t>
      </w:r>
      <w:r>
        <w:rPr>
          <w:rFonts w:hint="eastAsia" w:ascii="宋体" w:hAnsi="宋体"/>
          <w:color w:val="000000"/>
          <w:highlight w:val="none"/>
          <w:u w:val="single"/>
        </w:rPr>
        <w:t>5</w:t>
      </w:r>
      <w:r>
        <w:rPr>
          <w:rFonts w:hint="eastAsia" w:ascii="宋体" w:hAnsi="宋体"/>
          <w:color w:val="000000"/>
          <w:highlight w:val="none"/>
        </w:rPr>
        <w:t>天内发出开工通知的，承包人有权提出价格调整要求，或者解除合同。</w:t>
      </w:r>
    </w:p>
    <w:p w14:paraId="108B53C8">
      <w:pPr>
        <w:pStyle w:val="12"/>
        <w:spacing w:before="0" w:after="60" w:line="520" w:lineRule="exact"/>
        <w:rPr>
          <w:rFonts w:ascii="宋体" w:hAnsi="宋体"/>
          <w:color w:val="000000"/>
          <w:highlight w:val="none"/>
        </w:rPr>
      </w:pPr>
      <w:bookmarkStart w:id="512" w:name="_Toc487632725"/>
      <w:bookmarkStart w:id="513" w:name="_Toc407135228"/>
      <w:bookmarkStart w:id="514" w:name="_Toc11348"/>
      <w:bookmarkStart w:id="515" w:name="_Toc373478373"/>
      <w:bookmarkStart w:id="516" w:name="_Toc389065292"/>
      <w:bookmarkStart w:id="517" w:name="_Toc373227726"/>
      <w:bookmarkStart w:id="518" w:name="_Toc108539805"/>
      <w:r>
        <w:rPr>
          <w:rFonts w:ascii="宋体" w:hAnsi="宋体"/>
          <w:color w:val="000000"/>
          <w:highlight w:val="none"/>
        </w:rPr>
        <w:t xml:space="preserve">7.4 </w:t>
      </w:r>
      <w:r>
        <w:rPr>
          <w:rFonts w:hint="eastAsia" w:ascii="宋体" w:hAnsi="宋体"/>
          <w:color w:val="000000"/>
          <w:highlight w:val="none"/>
        </w:rPr>
        <w:t>测量放线</w:t>
      </w:r>
      <w:bookmarkEnd w:id="512"/>
      <w:bookmarkEnd w:id="513"/>
      <w:bookmarkEnd w:id="514"/>
      <w:bookmarkEnd w:id="515"/>
      <w:bookmarkEnd w:id="516"/>
      <w:bookmarkEnd w:id="517"/>
      <w:bookmarkEnd w:id="518"/>
    </w:p>
    <w:p w14:paraId="3CB464F9">
      <w:pPr>
        <w:spacing w:line="520" w:lineRule="exact"/>
        <w:ind w:firstLine="420" w:firstLineChars="200"/>
        <w:jc w:val="left"/>
        <w:rPr>
          <w:rFonts w:ascii="宋体" w:hAnsi="宋体"/>
          <w:color w:val="000000"/>
          <w:highlight w:val="none"/>
        </w:rPr>
      </w:pPr>
      <w:r>
        <w:rPr>
          <w:rFonts w:ascii="宋体" w:hAnsi="宋体"/>
          <w:color w:val="000000"/>
          <w:highlight w:val="none"/>
        </w:rPr>
        <w:t>7.4.1</w:t>
      </w:r>
      <w:r>
        <w:rPr>
          <w:rFonts w:hint="eastAsia" w:ascii="宋体" w:hAnsi="宋体"/>
          <w:color w:val="000000"/>
          <w:highlight w:val="none"/>
        </w:rPr>
        <w:t>发包人通过监理人向承包人提供测量基准点、基准线和水准点及其书面资料的期限：</w:t>
      </w:r>
      <w:r>
        <w:rPr>
          <w:rFonts w:hint="eastAsia" w:ascii="宋体" w:hAnsi="宋体"/>
          <w:color w:val="000000"/>
          <w:highlight w:val="none"/>
          <w:u w:val="single"/>
        </w:rPr>
        <w:t>开工通知载明的开工日期前7天</w:t>
      </w:r>
      <w:r>
        <w:rPr>
          <w:rFonts w:hint="eastAsia" w:ascii="宋体" w:hAnsi="宋体"/>
          <w:color w:val="000000"/>
          <w:highlight w:val="none"/>
        </w:rPr>
        <w:t>。</w:t>
      </w:r>
    </w:p>
    <w:p w14:paraId="28630FE4">
      <w:pPr>
        <w:pStyle w:val="12"/>
        <w:spacing w:before="0" w:after="60" w:line="520" w:lineRule="exact"/>
        <w:rPr>
          <w:rFonts w:ascii="宋体" w:hAnsi="宋体"/>
          <w:color w:val="000000"/>
          <w:highlight w:val="none"/>
        </w:rPr>
      </w:pPr>
      <w:bookmarkStart w:id="519" w:name="_Toc373227727"/>
      <w:bookmarkStart w:id="520" w:name="_Toc108539806"/>
      <w:bookmarkStart w:id="521" w:name="_Toc407135229"/>
      <w:bookmarkStart w:id="522" w:name="_Toc389065293"/>
      <w:bookmarkStart w:id="523" w:name="_Toc487632726"/>
      <w:bookmarkStart w:id="524" w:name="_Toc373478374"/>
      <w:bookmarkStart w:id="525" w:name="_Toc10634"/>
      <w:r>
        <w:rPr>
          <w:rFonts w:ascii="宋体" w:hAnsi="宋体"/>
          <w:color w:val="000000"/>
          <w:highlight w:val="none"/>
        </w:rPr>
        <w:t xml:space="preserve">7.5 </w:t>
      </w:r>
      <w:r>
        <w:rPr>
          <w:rFonts w:hint="eastAsia" w:ascii="宋体" w:hAnsi="宋体"/>
          <w:color w:val="000000"/>
          <w:highlight w:val="none"/>
        </w:rPr>
        <w:t>工期延误</w:t>
      </w:r>
      <w:bookmarkEnd w:id="519"/>
      <w:bookmarkEnd w:id="520"/>
      <w:bookmarkEnd w:id="521"/>
      <w:bookmarkEnd w:id="522"/>
      <w:bookmarkEnd w:id="523"/>
      <w:bookmarkEnd w:id="524"/>
      <w:bookmarkEnd w:id="525"/>
    </w:p>
    <w:p w14:paraId="0872D21E">
      <w:pPr>
        <w:spacing w:line="520" w:lineRule="exact"/>
        <w:ind w:firstLine="420" w:firstLineChars="200"/>
        <w:jc w:val="left"/>
        <w:rPr>
          <w:rFonts w:ascii="宋体" w:hAnsi="宋体"/>
          <w:color w:val="000000"/>
          <w:highlight w:val="none"/>
        </w:rPr>
      </w:pPr>
      <w:r>
        <w:rPr>
          <w:rFonts w:ascii="宋体" w:hAnsi="宋体"/>
          <w:color w:val="000000"/>
          <w:highlight w:val="none"/>
        </w:rPr>
        <w:t xml:space="preserve">7.5.1 </w:t>
      </w:r>
      <w:r>
        <w:rPr>
          <w:rFonts w:hint="eastAsia" w:ascii="宋体" w:hAnsi="宋体"/>
          <w:color w:val="000000"/>
          <w:highlight w:val="none"/>
        </w:rPr>
        <w:t>因发包人原因导致工期延误</w:t>
      </w:r>
    </w:p>
    <w:p w14:paraId="1BD47BDF">
      <w:pPr>
        <w:spacing w:line="520" w:lineRule="exact"/>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7</w:t>
      </w:r>
      <w:r>
        <w:rPr>
          <w:rFonts w:hint="eastAsia" w:ascii="宋体" w:hAnsi="宋体"/>
          <w:color w:val="000000"/>
          <w:highlight w:val="none"/>
        </w:rPr>
        <w:t>）因发包人原因导致工期延误的其他情形：</w:t>
      </w:r>
      <w:r>
        <w:rPr>
          <w:rFonts w:hint="eastAsia" w:ascii="宋体" w:hAnsi="宋体"/>
          <w:color w:val="000000"/>
          <w:highlight w:val="none"/>
          <w:u w:val="single"/>
        </w:rPr>
        <w:t>①重大图纸变更影响关健线路工序施工；②施工期间如因停电、停水连续</w:t>
      </w:r>
      <w:r>
        <w:rPr>
          <w:rFonts w:ascii="宋体" w:hAnsi="宋体"/>
          <w:color w:val="000000"/>
          <w:highlight w:val="none"/>
          <w:u w:val="single"/>
        </w:rPr>
        <w:t>8</w:t>
      </w:r>
      <w:r>
        <w:rPr>
          <w:rFonts w:hint="eastAsia" w:ascii="宋体" w:hAnsi="宋体"/>
          <w:color w:val="000000"/>
          <w:highlight w:val="none"/>
          <w:u w:val="single"/>
        </w:rPr>
        <w:t>小时以上或一周内间歇性停水、停电累计</w:t>
      </w:r>
      <w:r>
        <w:rPr>
          <w:rFonts w:ascii="宋体" w:hAnsi="宋体"/>
          <w:color w:val="000000"/>
          <w:highlight w:val="none"/>
          <w:u w:val="single"/>
        </w:rPr>
        <w:t>8</w:t>
      </w:r>
      <w:r>
        <w:rPr>
          <w:rFonts w:hint="eastAsia" w:ascii="宋体" w:hAnsi="宋体"/>
          <w:color w:val="000000"/>
          <w:highlight w:val="none"/>
          <w:u w:val="single"/>
        </w:rPr>
        <w:t>小时（含</w:t>
      </w:r>
      <w:r>
        <w:rPr>
          <w:rFonts w:ascii="宋体" w:hAnsi="宋体"/>
          <w:color w:val="000000"/>
          <w:highlight w:val="none"/>
          <w:u w:val="single"/>
        </w:rPr>
        <w:t>8</w:t>
      </w:r>
      <w:r>
        <w:rPr>
          <w:rFonts w:hint="eastAsia" w:ascii="宋体" w:hAnsi="宋体"/>
          <w:color w:val="000000"/>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olor w:val="000000"/>
          <w:highlight w:val="none"/>
        </w:rPr>
        <w:t>。</w:t>
      </w:r>
    </w:p>
    <w:p w14:paraId="7A609C35">
      <w:pPr>
        <w:spacing w:line="520" w:lineRule="exact"/>
        <w:ind w:firstLine="420" w:firstLineChars="200"/>
        <w:jc w:val="left"/>
        <w:rPr>
          <w:rFonts w:ascii="宋体" w:hAnsi="宋体"/>
          <w:color w:val="000000"/>
          <w:highlight w:val="none"/>
        </w:rPr>
      </w:pPr>
      <w:r>
        <w:rPr>
          <w:rFonts w:ascii="宋体" w:hAnsi="宋体"/>
          <w:color w:val="000000"/>
          <w:highlight w:val="none"/>
        </w:rPr>
        <w:t xml:space="preserve">7.5.2 </w:t>
      </w:r>
      <w:r>
        <w:rPr>
          <w:rFonts w:hint="eastAsia" w:ascii="宋体" w:hAnsi="宋体"/>
          <w:color w:val="000000"/>
          <w:highlight w:val="none"/>
        </w:rPr>
        <w:t>因承包人原因导致工期延误</w:t>
      </w:r>
    </w:p>
    <w:p w14:paraId="33DE0C18">
      <w:pPr>
        <w:spacing w:line="520" w:lineRule="exact"/>
        <w:ind w:firstLine="420" w:firstLineChars="200"/>
        <w:jc w:val="left"/>
        <w:rPr>
          <w:rFonts w:hint="eastAsia" w:ascii="宋体" w:hAnsi="宋体"/>
          <w:color w:val="000000"/>
          <w:highlight w:val="none"/>
        </w:rPr>
      </w:pPr>
      <w:r>
        <w:rPr>
          <w:rFonts w:hint="eastAsia" w:ascii="宋体" w:hAnsi="宋体"/>
          <w:color w:val="000000"/>
          <w:highlight w:val="none"/>
        </w:rPr>
        <w:t>双方约定经监理工程师确认，工期相应顺延的情况：</w:t>
      </w:r>
      <w:r>
        <w:rPr>
          <w:rFonts w:hint="eastAsia" w:ascii="宋体" w:hAnsi="宋体"/>
          <w:color w:val="000000"/>
          <w:highlight w:val="none"/>
          <w:u w:val="single"/>
        </w:rPr>
        <w:t>按</w:t>
      </w:r>
      <w:r>
        <w:rPr>
          <w:rFonts w:ascii="宋体" w:hAnsi="宋体"/>
          <w:color w:val="000000"/>
          <w:highlight w:val="none"/>
          <w:u w:val="single"/>
        </w:rPr>
        <w:t>通用合同条款</w:t>
      </w:r>
      <w:r>
        <w:rPr>
          <w:rFonts w:hint="eastAsia" w:ascii="宋体" w:hAnsi="宋体"/>
          <w:color w:val="000000"/>
          <w:highlight w:val="none"/>
        </w:rPr>
        <w:t>。</w:t>
      </w:r>
    </w:p>
    <w:p w14:paraId="3CC668D9">
      <w:pPr>
        <w:spacing w:line="520" w:lineRule="exact"/>
        <w:ind w:firstLine="420" w:firstLineChars="200"/>
        <w:jc w:val="left"/>
        <w:rPr>
          <w:rFonts w:hint="eastAsia" w:ascii="宋体" w:hAnsi="宋体"/>
          <w:color w:val="000000"/>
          <w:highlight w:val="none"/>
        </w:rPr>
      </w:pPr>
      <w:r>
        <w:rPr>
          <w:rFonts w:hint="eastAsia" w:ascii="宋体" w:hAnsi="宋体"/>
          <w:color w:val="000000"/>
          <w:highlight w:val="none"/>
        </w:rPr>
        <w:t>因承包人原因造成工期延误，逾期竣工违约金的计算方法为：</w:t>
      </w:r>
      <w:r>
        <w:rPr>
          <w:rFonts w:hint="eastAsia" w:ascii="宋体" w:hAnsi="宋体"/>
          <w:color w:val="000000"/>
          <w:highlight w:val="none"/>
          <w:u w:val="single"/>
        </w:rPr>
        <w:t>按逾期竣工的单项工程计算违约金，每延误一天</w:t>
      </w:r>
      <w:r>
        <w:rPr>
          <w:rFonts w:ascii="宋体" w:hAnsi="宋体"/>
          <w:color w:val="000000"/>
          <w:highlight w:val="none"/>
          <w:u w:val="single"/>
        </w:rPr>
        <w:t>,</w:t>
      </w:r>
      <w:r>
        <w:rPr>
          <w:rFonts w:hint="eastAsia" w:ascii="宋体" w:hAnsi="宋体"/>
          <w:color w:val="000000"/>
          <w:highlight w:val="none"/>
          <w:u w:val="single"/>
        </w:rPr>
        <w:t>按单项工程应支付给承包人的结算造价的</w:t>
      </w:r>
      <w:r>
        <w:rPr>
          <w:rFonts w:hint="eastAsia" w:ascii="宋体" w:hAnsi="宋体"/>
          <w:b/>
          <w:bCs/>
          <w:color w:val="000000"/>
          <w:highlight w:val="none"/>
          <w:u w:val="single"/>
        </w:rPr>
        <w:t>万分之五</w:t>
      </w:r>
      <w:r>
        <w:rPr>
          <w:rFonts w:hint="eastAsia" w:ascii="宋体" w:hAnsi="宋体"/>
          <w:color w:val="000000"/>
          <w:highlight w:val="none"/>
          <w:u w:val="single"/>
        </w:rPr>
        <w:t>计算违约金</w:t>
      </w:r>
      <w:r>
        <w:rPr>
          <w:rFonts w:ascii="宋体" w:hAnsi="宋体"/>
          <w:color w:val="000000"/>
          <w:highlight w:val="none"/>
          <w:u w:val="single"/>
        </w:rPr>
        <w:t>,</w:t>
      </w:r>
      <w:r>
        <w:rPr>
          <w:rFonts w:hint="eastAsia" w:ascii="宋体" w:hAnsi="宋体"/>
          <w:color w:val="000000"/>
          <w:highlight w:val="none"/>
          <w:u w:val="single"/>
        </w:rPr>
        <w:t>违约金直接从结算款中扣除。误期时间从规定竣工日期起直到实际竣工日期的天数（扣除发包人批准顺延的工期）。</w:t>
      </w:r>
      <w:r>
        <w:rPr>
          <w:rFonts w:hint="eastAsia" w:ascii="宋体" w:hAnsi="宋体"/>
          <w:color w:val="000000"/>
          <w:highlight w:val="none"/>
        </w:rPr>
        <w:t>因承包人原因造成工期延误，逾期竣工违约金的上限：</w:t>
      </w:r>
      <w:r>
        <w:rPr>
          <w:rFonts w:hint="eastAsia" w:ascii="宋体" w:hAnsi="宋体"/>
          <w:color w:val="000000"/>
          <w:highlight w:val="none"/>
          <w:u w:val="single"/>
        </w:rPr>
        <w:t>逾期竣工的单项工程结算造价的5</w:t>
      </w:r>
      <w:r>
        <w:rPr>
          <w:rFonts w:ascii="宋体" w:hAnsi="宋体"/>
          <w:color w:val="000000"/>
          <w:highlight w:val="none"/>
          <w:u w:val="single"/>
        </w:rPr>
        <w:t>%</w:t>
      </w:r>
      <w:r>
        <w:rPr>
          <w:rFonts w:hint="eastAsia" w:ascii="宋体" w:hAnsi="宋体"/>
          <w:color w:val="000000"/>
          <w:highlight w:val="none"/>
        </w:rPr>
        <w:t>。</w:t>
      </w:r>
    </w:p>
    <w:p w14:paraId="6FB050C4">
      <w:pPr>
        <w:pStyle w:val="12"/>
        <w:spacing w:before="0" w:after="60" w:line="520" w:lineRule="exact"/>
        <w:rPr>
          <w:rFonts w:ascii="宋体" w:hAnsi="宋体"/>
          <w:color w:val="000000"/>
          <w:highlight w:val="none"/>
        </w:rPr>
      </w:pPr>
      <w:bookmarkStart w:id="526" w:name="_Toc108539807"/>
      <w:bookmarkStart w:id="527" w:name="_Toc6537"/>
      <w:r>
        <w:rPr>
          <w:rFonts w:ascii="宋体" w:hAnsi="宋体"/>
          <w:color w:val="000000"/>
          <w:highlight w:val="none"/>
        </w:rPr>
        <w:t>7</w:t>
      </w:r>
      <w:bookmarkStart w:id="528" w:name="_Toc304295549"/>
      <w:bookmarkStart w:id="529" w:name="_Toc300934971"/>
      <w:bookmarkStart w:id="530" w:name="_Toc312678015"/>
      <w:bookmarkStart w:id="531" w:name="_Toc303539128"/>
      <w:bookmarkStart w:id="532" w:name="_Toc297123519"/>
      <w:bookmarkStart w:id="533" w:name="_Toc297216178"/>
      <w:r>
        <w:rPr>
          <w:rFonts w:ascii="宋体" w:hAnsi="宋体"/>
          <w:color w:val="000000"/>
          <w:highlight w:val="none"/>
        </w:rPr>
        <w:t xml:space="preserve">.6 </w:t>
      </w:r>
      <w:r>
        <w:rPr>
          <w:rFonts w:hint="eastAsia" w:ascii="宋体" w:hAnsi="宋体"/>
          <w:color w:val="000000"/>
          <w:highlight w:val="none"/>
        </w:rPr>
        <w:t>不</w:t>
      </w:r>
      <w:bookmarkEnd w:id="528"/>
      <w:bookmarkEnd w:id="529"/>
      <w:bookmarkEnd w:id="530"/>
      <w:bookmarkEnd w:id="531"/>
      <w:bookmarkEnd w:id="532"/>
      <w:bookmarkEnd w:id="533"/>
      <w:r>
        <w:rPr>
          <w:rFonts w:hint="eastAsia" w:ascii="宋体" w:hAnsi="宋体"/>
          <w:color w:val="000000"/>
          <w:highlight w:val="none"/>
        </w:rPr>
        <w:t>利物质条件</w:t>
      </w:r>
      <w:bookmarkEnd w:id="526"/>
      <w:bookmarkEnd w:id="527"/>
    </w:p>
    <w:p w14:paraId="1A4A4217">
      <w:pPr>
        <w:spacing w:line="540" w:lineRule="exact"/>
        <w:ind w:firstLine="420" w:firstLineChars="200"/>
        <w:jc w:val="left"/>
        <w:rPr>
          <w:rFonts w:hint="eastAsia" w:ascii="宋体" w:hAnsi="宋体"/>
          <w:color w:val="000000"/>
          <w:highlight w:val="none"/>
        </w:rPr>
      </w:pPr>
      <w:r>
        <w:rPr>
          <w:rFonts w:hint="eastAsia" w:ascii="宋体" w:hAnsi="宋体"/>
          <w:color w:val="000000"/>
          <w:highlight w:val="none"/>
        </w:rPr>
        <w:t>不利物质条件的其他情形和有关约定</w:t>
      </w:r>
      <w:r>
        <w:rPr>
          <w:rFonts w:hint="eastAsia" w:ascii="宋体" w:hAnsi="宋体"/>
          <w:color w:val="000000"/>
          <w:highlight w:val="none"/>
          <w:u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无</w:t>
      </w:r>
      <w:r>
        <w:rPr>
          <w:rFonts w:hint="eastAsia" w:ascii="宋体" w:hAnsi="宋体"/>
          <w:color w:val="000000"/>
          <w:highlight w:val="none"/>
          <w:u w:val="single"/>
          <w:lang w:val="en-US" w:eastAsia="zh-CN"/>
        </w:rPr>
        <w:t xml:space="preserve">  </w:t>
      </w:r>
      <w:r>
        <w:rPr>
          <w:rFonts w:hint="eastAsia" w:ascii="宋体" w:hAnsi="宋体"/>
          <w:color w:val="000000"/>
          <w:highlight w:val="none"/>
        </w:rPr>
        <w:t>。</w:t>
      </w:r>
    </w:p>
    <w:p w14:paraId="49A1B3E8">
      <w:pPr>
        <w:pStyle w:val="12"/>
        <w:spacing w:before="0" w:after="60" w:line="520" w:lineRule="exact"/>
        <w:rPr>
          <w:rFonts w:ascii="宋体" w:hAnsi="宋体"/>
          <w:color w:val="000000"/>
          <w:highlight w:val="none"/>
        </w:rPr>
      </w:pPr>
      <w:bookmarkStart w:id="534" w:name="_Toc12823"/>
      <w:bookmarkStart w:id="535" w:name="_Toc407135231"/>
      <w:bookmarkStart w:id="536" w:name="_Toc373227729"/>
      <w:bookmarkStart w:id="537" w:name="_Toc373478376"/>
      <w:bookmarkStart w:id="538" w:name="_Toc389065295"/>
      <w:bookmarkStart w:id="539" w:name="_Toc108539808"/>
      <w:bookmarkStart w:id="540" w:name="_Toc487632728"/>
      <w:r>
        <w:rPr>
          <w:rFonts w:ascii="宋体" w:hAnsi="宋体"/>
          <w:color w:val="000000"/>
          <w:highlight w:val="none"/>
        </w:rPr>
        <w:t xml:space="preserve">7.7 </w:t>
      </w:r>
      <w:r>
        <w:rPr>
          <w:rFonts w:hint="eastAsia" w:ascii="宋体" w:hAnsi="宋体"/>
          <w:color w:val="000000"/>
          <w:highlight w:val="none"/>
        </w:rPr>
        <w:t>异常恶劣的气候条件</w:t>
      </w:r>
      <w:bookmarkEnd w:id="534"/>
      <w:bookmarkEnd w:id="535"/>
      <w:bookmarkEnd w:id="536"/>
      <w:bookmarkEnd w:id="537"/>
      <w:bookmarkEnd w:id="538"/>
      <w:bookmarkEnd w:id="539"/>
      <w:bookmarkEnd w:id="540"/>
    </w:p>
    <w:p w14:paraId="275DCE50">
      <w:pPr>
        <w:spacing w:line="520" w:lineRule="exact"/>
        <w:ind w:firstLine="420" w:firstLineChars="200"/>
        <w:jc w:val="left"/>
        <w:rPr>
          <w:rFonts w:hint="eastAsia" w:ascii="宋体" w:hAnsi="宋体"/>
          <w:color w:val="000000"/>
          <w:highlight w:val="none"/>
        </w:rPr>
      </w:pPr>
      <w:r>
        <w:rPr>
          <w:rFonts w:hint="eastAsia" w:ascii="宋体" w:hAnsi="宋体"/>
          <w:color w:val="000000"/>
          <w:highlight w:val="none"/>
        </w:rPr>
        <w:t>发包人和承包人同意以下情形视为异常恶劣的气候条件：</w:t>
      </w:r>
    </w:p>
    <w:p w14:paraId="0A02C6F2">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（1）日降雨量大于 150 ㎜的雨日超过1天；</w:t>
      </w:r>
    </w:p>
    <w:p w14:paraId="3DDDD0ED">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（2） 10 级以上的持续1日的大风（以气象部门鉴定为准））</w:t>
      </w:r>
    </w:p>
    <w:p w14:paraId="07B867D0">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（3）日气温超过 38 ℃的高温大于 2 天；</w:t>
      </w:r>
    </w:p>
    <w:p w14:paraId="3DB44D7F">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（4）日气温低于 -10 ℃的严寒大于 2 天。</w:t>
      </w:r>
    </w:p>
    <w:p w14:paraId="562511C2">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（5）造成工程损坏的冰雹和大雪灾害；</w:t>
      </w:r>
    </w:p>
    <w:p w14:paraId="37724715">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（6） 6 级以上的地震；</w:t>
      </w:r>
    </w:p>
    <w:p w14:paraId="67A8F05B">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（7） 50 年一遇及以上的洪水；</w:t>
      </w:r>
    </w:p>
    <w:p w14:paraId="5392E3BA">
      <w:pPr>
        <w:spacing w:line="52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（8）其他异常恶劣气候灾害。</w:t>
      </w:r>
    </w:p>
    <w:p w14:paraId="3B9CE8F9">
      <w:pPr>
        <w:pStyle w:val="12"/>
        <w:spacing w:before="0" w:after="60" w:line="520" w:lineRule="exact"/>
        <w:rPr>
          <w:rFonts w:ascii="宋体" w:hAnsi="宋体"/>
          <w:color w:val="000000"/>
          <w:highlight w:val="none"/>
        </w:rPr>
      </w:pPr>
      <w:bookmarkStart w:id="541" w:name="_Toc373478377"/>
      <w:bookmarkStart w:id="542" w:name="_Toc108539809"/>
      <w:bookmarkStart w:id="543" w:name="_Toc487632729"/>
      <w:bookmarkStart w:id="544" w:name="_Toc373227730"/>
      <w:bookmarkStart w:id="545" w:name="_Toc389065296"/>
      <w:bookmarkStart w:id="546" w:name="_Toc4215"/>
      <w:bookmarkStart w:id="547" w:name="_Toc407135232"/>
      <w:r>
        <w:rPr>
          <w:rFonts w:ascii="宋体" w:hAnsi="宋体"/>
          <w:color w:val="000000"/>
          <w:highlight w:val="none"/>
        </w:rPr>
        <w:t xml:space="preserve">7.9 </w:t>
      </w:r>
      <w:r>
        <w:rPr>
          <w:rFonts w:hint="eastAsia" w:ascii="宋体" w:hAnsi="宋体"/>
          <w:color w:val="000000"/>
          <w:highlight w:val="none"/>
        </w:rPr>
        <w:t>提前竣工</w:t>
      </w:r>
      <w:bookmarkEnd w:id="541"/>
      <w:bookmarkEnd w:id="542"/>
      <w:bookmarkEnd w:id="543"/>
      <w:bookmarkEnd w:id="544"/>
      <w:bookmarkEnd w:id="545"/>
      <w:bookmarkEnd w:id="546"/>
      <w:bookmarkEnd w:id="547"/>
    </w:p>
    <w:p w14:paraId="2D277698">
      <w:pPr>
        <w:spacing w:line="520" w:lineRule="exact"/>
        <w:ind w:firstLine="420" w:firstLineChars="200"/>
        <w:jc w:val="left"/>
        <w:rPr>
          <w:rFonts w:ascii="宋体" w:hAnsi="宋体"/>
          <w:color w:val="000000"/>
          <w:highlight w:val="none"/>
        </w:rPr>
      </w:pPr>
      <w:r>
        <w:rPr>
          <w:rFonts w:ascii="宋体" w:hAnsi="宋体"/>
          <w:color w:val="000000"/>
          <w:highlight w:val="none"/>
        </w:rPr>
        <w:t>7.9.2</w:t>
      </w:r>
      <w:r>
        <w:rPr>
          <w:rFonts w:hint="eastAsia" w:ascii="宋体" w:hAnsi="宋体"/>
          <w:color w:val="000000"/>
          <w:highlight w:val="none"/>
        </w:rPr>
        <w:t>提前竣工（赶工）增加费的计算方法：</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无</w:t>
      </w:r>
      <w:r>
        <w:rPr>
          <w:rFonts w:hint="eastAsia" w:ascii="宋体" w:hAnsi="宋体"/>
          <w:color w:val="000000"/>
          <w:highlight w:val="none"/>
          <w:u w:val="single"/>
          <w:lang w:val="en-US" w:eastAsia="zh-CN"/>
        </w:rPr>
        <w:t xml:space="preserve">  </w:t>
      </w:r>
      <w:r>
        <w:rPr>
          <w:rFonts w:hint="eastAsia" w:ascii="宋体" w:hAnsi="宋体"/>
          <w:color w:val="000000"/>
          <w:highlight w:val="none"/>
        </w:rPr>
        <w:t>。</w:t>
      </w:r>
    </w:p>
    <w:p w14:paraId="11513AE3">
      <w:pPr>
        <w:pStyle w:val="11"/>
        <w:spacing w:line="520" w:lineRule="exact"/>
        <w:rPr>
          <w:rFonts w:ascii="宋体" w:hAnsi="宋体" w:eastAsia="宋体"/>
          <w:color w:val="000000"/>
          <w:highlight w:val="none"/>
        </w:rPr>
      </w:pPr>
      <w:bookmarkStart w:id="548" w:name="_Toc373478378"/>
      <w:bookmarkStart w:id="549" w:name="_Toc6186"/>
      <w:bookmarkStart w:id="550" w:name="_Toc389065297"/>
      <w:bookmarkStart w:id="551" w:name="_Toc487632730"/>
      <w:bookmarkStart w:id="552" w:name="_Toc351203640"/>
      <w:bookmarkStart w:id="553" w:name="_Toc407135233"/>
      <w:bookmarkStart w:id="554" w:name="_Toc373227731"/>
      <w:bookmarkStart w:id="555" w:name="_Toc108539810"/>
      <w:r>
        <w:rPr>
          <w:rFonts w:ascii="宋体" w:hAnsi="宋体" w:eastAsia="宋体"/>
          <w:color w:val="000000"/>
          <w:highlight w:val="none"/>
        </w:rPr>
        <w:t xml:space="preserve">8. </w:t>
      </w:r>
      <w:r>
        <w:rPr>
          <w:rFonts w:hint="eastAsia" w:ascii="宋体" w:hAnsi="宋体" w:eastAsia="宋体"/>
          <w:color w:val="000000"/>
          <w:highlight w:val="none"/>
        </w:rPr>
        <w:t>材料与设备</w:t>
      </w:r>
      <w:bookmarkEnd w:id="548"/>
      <w:bookmarkEnd w:id="549"/>
      <w:bookmarkEnd w:id="550"/>
      <w:bookmarkEnd w:id="551"/>
      <w:bookmarkEnd w:id="552"/>
      <w:bookmarkEnd w:id="553"/>
      <w:bookmarkEnd w:id="554"/>
      <w:bookmarkEnd w:id="555"/>
    </w:p>
    <w:p w14:paraId="7CFAD71E">
      <w:pPr>
        <w:pStyle w:val="12"/>
        <w:spacing w:before="0" w:after="60" w:line="520" w:lineRule="exact"/>
        <w:rPr>
          <w:rFonts w:ascii="宋体" w:hAnsi="宋体"/>
          <w:color w:val="000000"/>
          <w:highlight w:val="none"/>
        </w:rPr>
      </w:pPr>
      <w:bookmarkStart w:id="556" w:name="_Toc1994"/>
      <w:bookmarkStart w:id="557" w:name="_Toc389065298"/>
      <w:bookmarkStart w:id="558" w:name="_Toc487632731"/>
      <w:bookmarkStart w:id="559" w:name="_Toc108539811"/>
      <w:bookmarkStart w:id="560" w:name="_Toc373478379"/>
      <w:bookmarkStart w:id="561" w:name="_Toc373227732"/>
      <w:bookmarkStart w:id="562" w:name="_Toc407135234"/>
      <w:r>
        <w:rPr>
          <w:rFonts w:ascii="宋体" w:hAnsi="宋体"/>
          <w:color w:val="000000"/>
          <w:highlight w:val="none"/>
        </w:rPr>
        <w:t xml:space="preserve">8.2 </w:t>
      </w:r>
      <w:r>
        <w:rPr>
          <w:rFonts w:hint="eastAsia" w:ascii="宋体" w:hAnsi="宋体"/>
          <w:color w:val="000000"/>
          <w:highlight w:val="none"/>
        </w:rPr>
        <w:t>承包人采购材料与工程设备</w:t>
      </w:r>
      <w:bookmarkEnd w:id="556"/>
      <w:bookmarkEnd w:id="557"/>
      <w:bookmarkEnd w:id="558"/>
      <w:bookmarkEnd w:id="559"/>
      <w:bookmarkEnd w:id="560"/>
      <w:bookmarkEnd w:id="561"/>
      <w:bookmarkEnd w:id="562"/>
    </w:p>
    <w:p w14:paraId="289256BF">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除已标价工程量清单《发包人提供主要材料和及价格表》（表</w:t>
      </w:r>
      <w:r>
        <w:rPr>
          <w:rFonts w:ascii="宋体" w:hAnsi="宋体"/>
          <w:color w:val="000000"/>
          <w:kern w:val="0"/>
          <w:highlight w:val="none"/>
        </w:rPr>
        <w:t>-21</w:t>
      </w:r>
      <w:r>
        <w:rPr>
          <w:rFonts w:hint="eastAsia" w:ascii="宋体" w:hAnsi="宋体"/>
          <w:color w:val="000000"/>
          <w:kern w:val="0"/>
          <w:highlight w:val="none"/>
        </w:rPr>
        <w:t>）（如有）中明确的材料、工程设备外，由承包人负责材料和工程设备的采购、运输和保管。《</w:t>
      </w:r>
      <w:r>
        <w:rPr>
          <w:rFonts w:hint="eastAsia" w:ascii="宋体" w:hAnsi="宋体"/>
          <w:color w:val="000000"/>
          <w:highlight w:val="none"/>
        </w:rPr>
        <w:t>承包人提供</w:t>
      </w:r>
      <w:r>
        <w:rPr>
          <w:rFonts w:hint="eastAsia" w:ascii="宋体" w:hAnsi="宋体"/>
          <w:color w:val="000000"/>
          <w:kern w:val="0"/>
          <w:highlight w:val="none"/>
        </w:rPr>
        <w:t>主要材料和及价格表</w:t>
      </w:r>
      <w:r>
        <w:rPr>
          <w:rFonts w:hint="eastAsia" w:ascii="宋体" w:hAnsi="宋体"/>
          <w:color w:val="000000"/>
          <w:highlight w:val="none"/>
        </w:rPr>
        <w:t>》</w:t>
      </w:r>
      <w:r>
        <w:rPr>
          <w:rFonts w:hint="eastAsia" w:ascii="宋体" w:hAnsi="宋体"/>
          <w:color w:val="000000"/>
          <w:kern w:val="0"/>
          <w:highlight w:val="none"/>
        </w:rPr>
        <w:t>（表</w:t>
      </w:r>
      <w:r>
        <w:rPr>
          <w:rFonts w:ascii="宋体" w:hAnsi="宋体"/>
          <w:color w:val="000000"/>
          <w:kern w:val="0"/>
          <w:highlight w:val="none"/>
        </w:rPr>
        <w:t>-22</w:t>
      </w:r>
      <w:r>
        <w:rPr>
          <w:rFonts w:hint="eastAsia" w:ascii="宋体" w:hAnsi="宋体"/>
          <w:color w:val="000000"/>
          <w:kern w:val="0"/>
          <w:highlight w:val="none"/>
        </w:rPr>
        <w:t>）（如有）见已标价工程量清单。</w:t>
      </w:r>
    </w:p>
    <w:p w14:paraId="34D30C72">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对发包人在招标时有“参照或相当于</w:t>
      </w:r>
      <w:r>
        <w:rPr>
          <w:rFonts w:ascii="宋体" w:hAnsi="宋体"/>
          <w:color w:val="000000"/>
          <w:highlight w:val="none"/>
        </w:rPr>
        <w:t>**</w:t>
      </w:r>
      <w:r>
        <w:rPr>
          <w:rFonts w:hint="eastAsia" w:ascii="宋体" w:hAnsi="宋体"/>
          <w:color w:val="000000"/>
          <w:highlight w:val="none"/>
        </w:rPr>
        <w:t>品牌、级别”约定的材料或设备，承包人采购时必须按类似于或优于所约定品牌、等级进行采购，施工期间该部分材料或设备如未超过招标约定的风险幅度的，结算时按磋商单价支付，不得调整。</w:t>
      </w:r>
    </w:p>
    <w:p w14:paraId="30322D0C">
      <w:pPr>
        <w:pStyle w:val="12"/>
        <w:spacing w:before="0" w:after="60"/>
        <w:rPr>
          <w:rFonts w:ascii="宋体" w:hAnsi="宋体"/>
          <w:color w:val="000000"/>
          <w:highlight w:val="none"/>
        </w:rPr>
      </w:pPr>
      <w:bookmarkStart w:id="563" w:name="_Toc108539812"/>
      <w:bookmarkStart w:id="564" w:name="_Toc407135235"/>
      <w:bookmarkStart w:id="565" w:name="_Toc487632732"/>
      <w:bookmarkStart w:id="566" w:name="_Toc5933"/>
      <w:r>
        <w:rPr>
          <w:rFonts w:ascii="宋体" w:hAnsi="宋体"/>
          <w:color w:val="000000"/>
          <w:highlight w:val="none"/>
        </w:rPr>
        <w:t xml:space="preserve">8.4 </w:t>
      </w:r>
      <w:r>
        <w:rPr>
          <w:rFonts w:hint="eastAsia" w:ascii="宋体" w:hAnsi="宋体"/>
          <w:color w:val="000000"/>
          <w:highlight w:val="none"/>
        </w:rPr>
        <w:t>材料与工程设备的保管与使用</w:t>
      </w:r>
      <w:bookmarkEnd w:id="563"/>
      <w:bookmarkEnd w:id="564"/>
      <w:bookmarkEnd w:id="565"/>
      <w:bookmarkEnd w:id="566"/>
    </w:p>
    <w:p w14:paraId="65DB3D5D">
      <w:pPr>
        <w:spacing w:line="360" w:lineRule="auto"/>
        <w:ind w:firstLine="420" w:firstLineChars="200"/>
        <w:jc w:val="left"/>
        <w:rPr>
          <w:rFonts w:ascii="宋体" w:hAnsi="宋体"/>
          <w:color w:val="000000"/>
          <w:highlight w:val="none"/>
        </w:rPr>
      </w:pPr>
      <w:r>
        <w:rPr>
          <w:rFonts w:ascii="宋体" w:hAnsi="宋体"/>
          <w:color w:val="000000"/>
          <w:highlight w:val="none"/>
        </w:rPr>
        <w:t>8.4.1</w:t>
      </w:r>
      <w:r>
        <w:rPr>
          <w:rFonts w:hint="eastAsia" w:ascii="宋体" w:hAnsi="宋体"/>
          <w:color w:val="000000"/>
          <w:highlight w:val="none"/>
        </w:rPr>
        <w:t>发包人供应的材料设备的保管费用的承担：</w:t>
      </w:r>
      <w:r>
        <w:rPr>
          <w:rFonts w:hint="eastAsia" w:ascii="宋体" w:hAnsi="宋体"/>
          <w:color w:val="000000"/>
          <w:highlight w:val="none"/>
          <w:u w:val="single"/>
        </w:rPr>
        <w:t>由承包人承担</w:t>
      </w:r>
      <w:r>
        <w:rPr>
          <w:rFonts w:hint="eastAsia" w:ascii="宋体" w:hAnsi="宋体"/>
          <w:color w:val="000000"/>
          <w:highlight w:val="none"/>
        </w:rPr>
        <w:t>。</w:t>
      </w:r>
    </w:p>
    <w:p w14:paraId="3EAC8D60">
      <w:pPr>
        <w:pStyle w:val="12"/>
        <w:spacing w:before="0" w:after="60"/>
        <w:rPr>
          <w:rFonts w:ascii="宋体" w:hAnsi="宋体"/>
          <w:color w:val="000000"/>
          <w:highlight w:val="none"/>
        </w:rPr>
      </w:pPr>
      <w:bookmarkStart w:id="567" w:name="_Toc407135236"/>
      <w:bookmarkStart w:id="568" w:name="_Toc14062"/>
      <w:bookmarkStart w:id="569" w:name="_Toc373478381"/>
      <w:bookmarkStart w:id="570" w:name="_Toc487632733"/>
      <w:bookmarkStart w:id="571" w:name="_Toc373227734"/>
      <w:bookmarkStart w:id="572" w:name="_Toc108539813"/>
      <w:bookmarkStart w:id="573" w:name="_Toc389065300"/>
      <w:r>
        <w:rPr>
          <w:rFonts w:ascii="宋体" w:hAnsi="宋体"/>
          <w:color w:val="000000"/>
          <w:highlight w:val="none"/>
        </w:rPr>
        <w:t xml:space="preserve">8.6 </w:t>
      </w:r>
      <w:r>
        <w:rPr>
          <w:rFonts w:hint="eastAsia" w:ascii="宋体" w:hAnsi="宋体"/>
          <w:color w:val="000000"/>
          <w:highlight w:val="none"/>
        </w:rPr>
        <w:t>样品</w:t>
      </w:r>
      <w:bookmarkEnd w:id="567"/>
      <w:bookmarkEnd w:id="568"/>
      <w:bookmarkEnd w:id="569"/>
      <w:bookmarkEnd w:id="570"/>
      <w:bookmarkEnd w:id="571"/>
      <w:bookmarkEnd w:id="572"/>
      <w:bookmarkEnd w:id="573"/>
    </w:p>
    <w:p w14:paraId="7A48E653">
      <w:pPr>
        <w:autoSpaceDE w:val="0"/>
        <w:autoSpaceDN w:val="0"/>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8.6.1 </w:t>
      </w:r>
      <w:r>
        <w:rPr>
          <w:rFonts w:hint="eastAsia" w:ascii="宋体" w:hAnsi="宋体"/>
          <w:color w:val="000000"/>
          <w:kern w:val="0"/>
          <w:highlight w:val="none"/>
        </w:rPr>
        <w:t>样品的报送与封存</w:t>
      </w:r>
    </w:p>
    <w:p w14:paraId="4967A6C8">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需要承包人报送样品的材料或工程设备，样品的种类、名称、规格、数量要求：</w:t>
      </w:r>
      <w:r>
        <w:rPr>
          <w:rFonts w:hint="eastAsia" w:ascii="宋体" w:hAnsi="宋体"/>
          <w:color w:val="000000"/>
          <w:highlight w:val="none"/>
          <w:u w:val="single"/>
        </w:rPr>
        <w:t>主要材料涉及品种、款式、颜色等方面内容的，承包人应提交准备合格的材料样品送发包人选定。</w:t>
      </w:r>
    </w:p>
    <w:p w14:paraId="1BF8385E">
      <w:pPr>
        <w:pStyle w:val="12"/>
        <w:spacing w:before="0" w:after="60"/>
        <w:rPr>
          <w:rFonts w:ascii="宋体" w:hAnsi="宋体"/>
          <w:color w:val="000000"/>
          <w:highlight w:val="none"/>
        </w:rPr>
      </w:pPr>
      <w:bookmarkStart w:id="574" w:name="_Toc389065301"/>
      <w:bookmarkStart w:id="575" w:name="_Toc487632734"/>
      <w:bookmarkStart w:id="576" w:name="_Toc373227735"/>
      <w:bookmarkStart w:id="577" w:name="_Toc407135237"/>
      <w:bookmarkStart w:id="578" w:name="_Toc373478382"/>
      <w:bookmarkStart w:id="579" w:name="_Toc29664"/>
      <w:bookmarkStart w:id="580" w:name="_Toc108539814"/>
      <w:r>
        <w:rPr>
          <w:rFonts w:ascii="宋体" w:hAnsi="宋体"/>
          <w:color w:val="000000"/>
          <w:highlight w:val="none"/>
        </w:rPr>
        <w:t xml:space="preserve">8.8 </w:t>
      </w:r>
      <w:r>
        <w:rPr>
          <w:rFonts w:hint="eastAsia" w:ascii="宋体" w:hAnsi="宋体"/>
          <w:color w:val="000000"/>
          <w:highlight w:val="none"/>
        </w:rPr>
        <w:t>施工设备和临时设施</w:t>
      </w:r>
      <w:bookmarkEnd w:id="574"/>
      <w:bookmarkEnd w:id="575"/>
      <w:bookmarkEnd w:id="576"/>
      <w:bookmarkEnd w:id="577"/>
      <w:bookmarkEnd w:id="578"/>
      <w:bookmarkEnd w:id="579"/>
      <w:bookmarkEnd w:id="580"/>
    </w:p>
    <w:p w14:paraId="16109921">
      <w:pPr>
        <w:autoSpaceDE w:val="0"/>
        <w:autoSpaceDN w:val="0"/>
        <w:spacing w:line="360" w:lineRule="auto"/>
        <w:ind w:firstLine="420" w:firstLineChars="200"/>
        <w:jc w:val="left"/>
        <w:rPr>
          <w:rFonts w:ascii="宋体" w:hAnsi="宋体"/>
          <w:color w:val="000000"/>
          <w:highlight w:val="none"/>
        </w:rPr>
      </w:pPr>
      <w:r>
        <w:rPr>
          <w:rFonts w:ascii="宋体" w:hAnsi="宋体"/>
          <w:color w:val="000000"/>
          <w:highlight w:val="none"/>
        </w:rPr>
        <w:t xml:space="preserve">8.8.1 </w:t>
      </w:r>
      <w:r>
        <w:rPr>
          <w:rFonts w:hint="eastAsia" w:ascii="宋体" w:hAnsi="宋体"/>
          <w:color w:val="000000"/>
          <w:highlight w:val="none"/>
        </w:rPr>
        <w:t>承包人提供的施工设备和临时设施</w:t>
      </w:r>
    </w:p>
    <w:p w14:paraId="03C58A96">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E61C0C6">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关于修建临时设施费用承担的约定：</w:t>
      </w:r>
    </w:p>
    <w:p w14:paraId="744150E4">
      <w:pPr>
        <w:autoSpaceDE w:val="0"/>
        <w:autoSpaceDN w:val="0"/>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①承包人的临时用地（含项目部驻地等）租用费（含拆迁补偿）、临时用地的环保、恢复、临时用地的青苗补偿及地面附着物拆除等费用均由承包人负责，以上费用在磋商报价中综合考虑。</w:t>
      </w:r>
    </w:p>
    <w:p w14:paraId="567CB3E9">
      <w:pPr>
        <w:autoSpaceDE w:val="0"/>
        <w:autoSpaceDN w:val="0"/>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②承包人负责合同实施期间其合同段内临时交通道路（含场内外连接公共交通道路）和交通设施的修建、维修、养护和交通管理工作，并承担一切费用。</w:t>
      </w:r>
    </w:p>
    <w:p w14:paraId="4A36E8B9">
      <w:pPr>
        <w:autoSpaceDE w:val="0"/>
        <w:autoSpaceDN w:val="0"/>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08C2970">
      <w:pPr>
        <w:autoSpaceDE w:val="0"/>
        <w:autoSpaceDN w:val="0"/>
        <w:spacing w:line="360" w:lineRule="auto"/>
        <w:ind w:firstLine="420" w:firstLineChars="200"/>
        <w:jc w:val="left"/>
        <w:rPr>
          <w:rFonts w:ascii="宋体" w:hAnsi="宋体"/>
          <w:color w:val="000000"/>
          <w:highlight w:val="none"/>
        </w:rPr>
      </w:pPr>
      <w:r>
        <w:rPr>
          <w:rFonts w:ascii="宋体" w:hAnsi="宋体"/>
          <w:color w:val="000000"/>
          <w:highlight w:val="none"/>
        </w:rPr>
        <w:t xml:space="preserve">8.8.2 </w:t>
      </w:r>
      <w:r>
        <w:rPr>
          <w:rFonts w:hint="eastAsia" w:ascii="宋体" w:hAnsi="宋体"/>
          <w:color w:val="000000"/>
          <w:highlight w:val="none"/>
        </w:rPr>
        <w:t>发包人提供的施工设备和临时设施</w:t>
      </w:r>
    </w:p>
    <w:p w14:paraId="4A4DAE2B">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发包人提供的施工设备和临时设施：</w:t>
      </w:r>
      <w:r>
        <w:rPr>
          <w:rFonts w:hint="eastAsia" w:ascii="宋体" w:hAnsi="宋体"/>
          <w:color w:val="000000"/>
          <w:highlight w:val="none"/>
          <w:u w:val="single"/>
        </w:rPr>
        <w:t>发包人不提供任何施工设备和临时设施，临时设施的修建及施工所需的水、电管线的铺设等均由承包人自行解决，发包人予以协助</w:t>
      </w:r>
      <w:r>
        <w:rPr>
          <w:rFonts w:hint="eastAsia" w:ascii="宋体" w:hAnsi="宋体"/>
          <w:color w:val="000000"/>
          <w:highlight w:val="none"/>
        </w:rPr>
        <w:t>。</w:t>
      </w:r>
    </w:p>
    <w:p w14:paraId="69F0EF48">
      <w:pPr>
        <w:autoSpaceDE w:val="0"/>
        <w:autoSpaceDN w:val="0"/>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发包人提供的施工设备和临时设施的运行、维护、拆除、清运费用的承担人：</w:t>
      </w:r>
      <w:r>
        <w:rPr>
          <w:rFonts w:hint="eastAsia" w:ascii="宋体" w:hAnsi="宋体"/>
          <w:color w:val="000000"/>
          <w:highlight w:val="none"/>
          <w:u w:val="single"/>
        </w:rPr>
        <w:t>无</w:t>
      </w:r>
      <w:r>
        <w:rPr>
          <w:rFonts w:hint="eastAsia" w:ascii="宋体" w:hAnsi="宋体"/>
          <w:color w:val="000000"/>
          <w:highlight w:val="none"/>
        </w:rPr>
        <w:t>。</w:t>
      </w:r>
    </w:p>
    <w:p w14:paraId="259E238B">
      <w:pPr>
        <w:pStyle w:val="11"/>
        <w:rPr>
          <w:rFonts w:ascii="宋体" w:hAnsi="宋体" w:eastAsia="宋体"/>
          <w:color w:val="000000"/>
          <w:highlight w:val="none"/>
        </w:rPr>
      </w:pPr>
      <w:bookmarkStart w:id="581" w:name="_Toc5784"/>
      <w:bookmarkStart w:id="582" w:name="_Toc351203641"/>
      <w:bookmarkStart w:id="583" w:name="_Toc108539815"/>
      <w:bookmarkStart w:id="584" w:name="_Toc487632735"/>
      <w:bookmarkStart w:id="585" w:name="_Toc373227736"/>
      <w:bookmarkStart w:id="586" w:name="_Toc373478383"/>
      <w:bookmarkStart w:id="587" w:name="_Toc407135238"/>
      <w:bookmarkStart w:id="588" w:name="_Toc389065302"/>
      <w:r>
        <w:rPr>
          <w:rFonts w:ascii="宋体" w:hAnsi="宋体" w:eastAsia="宋体"/>
          <w:color w:val="000000"/>
          <w:highlight w:val="none"/>
        </w:rPr>
        <w:t xml:space="preserve">9. </w:t>
      </w:r>
      <w:r>
        <w:rPr>
          <w:rFonts w:hint="eastAsia" w:ascii="宋体" w:hAnsi="宋体" w:eastAsia="宋体"/>
          <w:color w:val="000000"/>
          <w:highlight w:val="none"/>
        </w:rPr>
        <w:t>试验与检验</w:t>
      </w:r>
      <w:bookmarkEnd w:id="581"/>
      <w:bookmarkEnd w:id="582"/>
      <w:bookmarkEnd w:id="583"/>
      <w:bookmarkEnd w:id="584"/>
      <w:bookmarkEnd w:id="585"/>
      <w:bookmarkEnd w:id="586"/>
      <w:bookmarkEnd w:id="587"/>
      <w:bookmarkEnd w:id="588"/>
    </w:p>
    <w:p w14:paraId="6FD2A303">
      <w:pPr>
        <w:pStyle w:val="12"/>
        <w:spacing w:before="0" w:after="60"/>
        <w:rPr>
          <w:rFonts w:ascii="宋体" w:hAnsi="宋体"/>
          <w:color w:val="000000"/>
          <w:highlight w:val="none"/>
        </w:rPr>
      </w:pPr>
      <w:bookmarkStart w:id="589" w:name="_Toc373478384"/>
      <w:bookmarkStart w:id="590" w:name="_Toc108539816"/>
      <w:bookmarkStart w:id="591" w:name="_Toc487632736"/>
      <w:bookmarkStart w:id="592" w:name="_Toc22326"/>
      <w:bookmarkStart w:id="593" w:name="_Toc373227737"/>
      <w:bookmarkStart w:id="594" w:name="_Toc389065303"/>
      <w:bookmarkStart w:id="595" w:name="_Toc407135239"/>
      <w:r>
        <w:rPr>
          <w:rFonts w:ascii="宋体" w:hAnsi="宋体"/>
          <w:color w:val="000000"/>
          <w:highlight w:val="none"/>
        </w:rPr>
        <w:t xml:space="preserve">9.1 </w:t>
      </w:r>
      <w:r>
        <w:rPr>
          <w:rFonts w:hint="eastAsia" w:ascii="宋体" w:hAnsi="宋体"/>
          <w:color w:val="000000"/>
          <w:highlight w:val="none"/>
        </w:rPr>
        <w:t>试验设备与试验人员</w:t>
      </w:r>
      <w:bookmarkEnd w:id="589"/>
      <w:bookmarkEnd w:id="590"/>
      <w:bookmarkEnd w:id="591"/>
      <w:bookmarkEnd w:id="592"/>
      <w:bookmarkEnd w:id="593"/>
      <w:bookmarkEnd w:id="594"/>
      <w:bookmarkEnd w:id="595"/>
    </w:p>
    <w:p w14:paraId="62083048">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9.1.2 </w:t>
      </w:r>
      <w:r>
        <w:rPr>
          <w:rFonts w:hint="eastAsia" w:ascii="宋体" w:hAnsi="宋体"/>
          <w:color w:val="000000"/>
          <w:highlight w:val="none"/>
        </w:rPr>
        <w:t>试验设备</w:t>
      </w:r>
    </w:p>
    <w:p w14:paraId="536FCF36">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施工现场需要配置的试验场所：</w:t>
      </w:r>
      <w:r>
        <w:rPr>
          <w:rFonts w:hint="eastAsia" w:ascii="宋体" w:hAnsi="宋体"/>
          <w:color w:val="000000"/>
          <w:highlight w:val="none"/>
          <w:u w:val="single"/>
        </w:rPr>
        <w:t>按有关规定和监理人要求执行</w:t>
      </w:r>
      <w:r>
        <w:rPr>
          <w:rFonts w:hint="eastAsia" w:ascii="宋体" w:hAnsi="宋体"/>
          <w:color w:val="000000"/>
          <w:highlight w:val="none"/>
        </w:rPr>
        <w:t>。</w:t>
      </w:r>
    </w:p>
    <w:p w14:paraId="603E24FA">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施工现场需要配备的试验设备：</w:t>
      </w:r>
      <w:r>
        <w:rPr>
          <w:rFonts w:hint="eastAsia" w:ascii="宋体" w:hAnsi="宋体"/>
          <w:color w:val="000000"/>
          <w:highlight w:val="none"/>
          <w:u w:val="single"/>
        </w:rPr>
        <w:t>按有关规定和监理人要求执行</w:t>
      </w:r>
      <w:r>
        <w:rPr>
          <w:rFonts w:hint="eastAsia" w:ascii="宋体" w:hAnsi="宋体"/>
          <w:color w:val="000000"/>
          <w:highlight w:val="none"/>
        </w:rPr>
        <w:t>。</w:t>
      </w:r>
    </w:p>
    <w:p w14:paraId="31A6066B">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施工现场需要具备的其他试验条件：</w:t>
      </w:r>
      <w:r>
        <w:rPr>
          <w:rFonts w:hint="eastAsia" w:ascii="宋体" w:hAnsi="宋体"/>
          <w:color w:val="000000"/>
          <w:highlight w:val="none"/>
          <w:u w:val="single"/>
        </w:rPr>
        <w:t>按有关规定和监理人要求执行</w:t>
      </w:r>
      <w:r>
        <w:rPr>
          <w:rFonts w:hint="eastAsia" w:ascii="宋体" w:hAnsi="宋体"/>
          <w:color w:val="000000"/>
          <w:highlight w:val="none"/>
        </w:rPr>
        <w:t>。</w:t>
      </w:r>
    </w:p>
    <w:p w14:paraId="1405F0E7">
      <w:pPr>
        <w:pStyle w:val="12"/>
        <w:spacing w:before="0" w:after="60"/>
        <w:rPr>
          <w:rFonts w:ascii="宋体" w:hAnsi="宋体"/>
          <w:color w:val="000000"/>
          <w:highlight w:val="none"/>
        </w:rPr>
      </w:pPr>
      <w:bookmarkStart w:id="596" w:name="_Toc15038"/>
      <w:bookmarkStart w:id="597" w:name="_Toc108539817"/>
      <w:r>
        <w:rPr>
          <w:rFonts w:ascii="宋体" w:hAnsi="宋体"/>
          <w:color w:val="000000"/>
          <w:highlight w:val="none"/>
        </w:rPr>
        <w:t xml:space="preserve">9.4 </w:t>
      </w:r>
      <w:r>
        <w:rPr>
          <w:rFonts w:hint="eastAsia" w:ascii="宋体" w:hAnsi="宋体"/>
          <w:color w:val="000000"/>
          <w:highlight w:val="none"/>
        </w:rPr>
        <w:t>现场工艺试验</w:t>
      </w:r>
      <w:bookmarkEnd w:id="596"/>
      <w:bookmarkEnd w:id="597"/>
    </w:p>
    <w:p w14:paraId="033E936C">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现场工艺试验的有关约定：</w:t>
      </w:r>
      <w:r>
        <w:rPr>
          <w:rFonts w:hint="eastAsia" w:ascii="宋体" w:hAnsi="宋体"/>
          <w:color w:val="000000"/>
          <w:highlight w:val="none"/>
          <w:u w:val="single"/>
        </w:rPr>
        <w:t>按规范要求执行</w:t>
      </w:r>
      <w:r>
        <w:rPr>
          <w:rFonts w:hint="eastAsia" w:ascii="宋体" w:hAnsi="宋体"/>
          <w:color w:val="000000"/>
          <w:highlight w:val="none"/>
        </w:rPr>
        <w:t>。</w:t>
      </w:r>
    </w:p>
    <w:p w14:paraId="7ACDE6A9">
      <w:pPr>
        <w:pStyle w:val="12"/>
        <w:spacing w:before="0" w:after="60"/>
        <w:rPr>
          <w:rFonts w:ascii="宋体" w:hAnsi="宋体"/>
          <w:color w:val="000000"/>
          <w:highlight w:val="none"/>
        </w:rPr>
      </w:pPr>
      <w:bookmarkStart w:id="598" w:name="_Toc108539818"/>
      <w:bookmarkStart w:id="599" w:name="_Toc407135241"/>
      <w:bookmarkStart w:id="600" w:name="_Toc487632738"/>
      <w:bookmarkStart w:id="601" w:name="_Toc237"/>
      <w:r>
        <w:rPr>
          <w:rFonts w:ascii="宋体" w:hAnsi="宋体"/>
          <w:color w:val="000000"/>
          <w:highlight w:val="none"/>
        </w:rPr>
        <w:t xml:space="preserve">9.5 </w:t>
      </w:r>
      <w:r>
        <w:rPr>
          <w:rFonts w:hint="eastAsia" w:ascii="宋体" w:hAnsi="宋体"/>
          <w:color w:val="000000"/>
          <w:highlight w:val="none"/>
        </w:rPr>
        <w:t>检验费用</w:t>
      </w:r>
      <w:bookmarkEnd w:id="598"/>
      <w:bookmarkEnd w:id="599"/>
      <w:bookmarkEnd w:id="600"/>
      <w:bookmarkEnd w:id="601"/>
    </w:p>
    <w:p w14:paraId="187C668B">
      <w:pPr>
        <w:spacing w:line="360" w:lineRule="auto"/>
        <w:ind w:firstLine="411" w:firstLineChars="196"/>
        <w:rPr>
          <w:rFonts w:hint="eastAsia" w:ascii="宋体" w:hAnsi="宋体"/>
          <w:color w:val="000000"/>
          <w:highlight w:val="none"/>
        </w:rPr>
      </w:pPr>
      <w:r>
        <w:rPr>
          <w:rFonts w:hint="eastAsia" w:ascii="宋体" w:hAnsi="宋体"/>
          <w:color w:val="000000"/>
          <w:highlight w:val="none"/>
        </w:rPr>
        <w:t>根据《建设工程质量检测管理办法》（建设部令第</w:t>
      </w:r>
      <w:r>
        <w:rPr>
          <w:rFonts w:ascii="宋体" w:hAnsi="宋体"/>
          <w:color w:val="000000"/>
          <w:highlight w:val="none"/>
        </w:rPr>
        <w:t>141</w:t>
      </w:r>
      <w:r>
        <w:rPr>
          <w:rFonts w:hint="eastAsia" w:ascii="宋体" w:hAnsi="宋体"/>
          <w:color w:val="000000"/>
          <w:highlight w:val="none"/>
        </w:rPr>
        <w:t>号）以及《广西壮族自治区建设工程质量检测管理规定》（桂建管〔</w:t>
      </w:r>
      <w:r>
        <w:rPr>
          <w:rFonts w:ascii="宋体" w:hAnsi="宋体"/>
          <w:color w:val="000000"/>
          <w:highlight w:val="none"/>
        </w:rPr>
        <w:t>2013</w:t>
      </w:r>
      <w:r>
        <w:rPr>
          <w:rFonts w:hint="eastAsia" w:ascii="宋体" w:hAnsi="宋体"/>
          <w:color w:val="000000"/>
          <w:highlight w:val="none"/>
        </w:rPr>
        <w:t>〕</w:t>
      </w:r>
      <w:r>
        <w:rPr>
          <w:rFonts w:ascii="宋体" w:hAnsi="宋体"/>
          <w:color w:val="000000"/>
          <w:highlight w:val="none"/>
        </w:rPr>
        <w:t>11</w:t>
      </w:r>
      <w:r>
        <w:rPr>
          <w:rFonts w:hint="eastAsia" w:ascii="宋体" w:hAnsi="宋体"/>
          <w:color w:val="000000"/>
          <w:highlight w:val="none"/>
        </w:rPr>
        <w:t>号）规定，工程质量检测业务由发包人委托有相应资质的检测机构检测。费用从发包人的项目建设经费中支出并直接支付给检测机构，不计入合同价款内。</w:t>
      </w:r>
    </w:p>
    <w:p w14:paraId="2F97C0A1">
      <w:pPr>
        <w:pStyle w:val="11"/>
        <w:rPr>
          <w:rFonts w:ascii="宋体" w:hAnsi="宋体" w:eastAsia="宋体"/>
          <w:color w:val="000000"/>
          <w:highlight w:val="none"/>
        </w:rPr>
      </w:pPr>
      <w:bookmarkStart w:id="602" w:name="_Toc389065305"/>
      <w:bookmarkStart w:id="603" w:name="_Toc407135242"/>
      <w:bookmarkStart w:id="604" w:name="_Toc373478386"/>
      <w:bookmarkStart w:id="605" w:name="_Toc351203642"/>
      <w:bookmarkStart w:id="606" w:name="_Toc373227739"/>
      <w:bookmarkStart w:id="607" w:name="_Toc108539819"/>
      <w:bookmarkStart w:id="608" w:name="_Toc31039"/>
      <w:bookmarkStart w:id="609" w:name="_Toc487632739"/>
      <w:r>
        <w:rPr>
          <w:rFonts w:ascii="宋体" w:hAnsi="宋体" w:eastAsia="宋体"/>
          <w:color w:val="000000"/>
          <w:highlight w:val="none"/>
        </w:rPr>
        <w:t>1</w:t>
      </w:r>
      <w:bookmarkStart w:id="610" w:name="_Toc303539146"/>
      <w:bookmarkStart w:id="611" w:name="_Toc296346694"/>
      <w:bookmarkStart w:id="612" w:name="_Toc296891021"/>
      <w:bookmarkStart w:id="613" w:name="_Toc300934989"/>
      <w:bookmarkStart w:id="614" w:name="_Toc297048379"/>
      <w:bookmarkStart w:id="615" w:name="_Toc297120493"/>
      <w:bookmarkStart w:id="616" w:name="_Toc296347192"/>
      <w:bookmarkStart w:id="617" w:name="_Toc296944532"/>
      <w:bookmarkStart w:id="618" w:name="_Toc304295566"/>
      <w:bookmarkStart w:id="619" w:name="_Toc297123540"/>
      <w:bookmarkStart w:id="620" w:name="_Toc296503193"/>
      <w:bookmarkStart w:id="621" w:name="_Toc296891233"/>
      <w:bookmarkStart w:id="622" w:name="_Toc297216199"/>
      <w:bookmarkStart w:id="623" w:name="_Toc292559398"/>
      <w:bookmarkStart w:id="624" w:name="_Toc292559903"/>
      <w:r>
        <w:rPr>
          <w:rFonts w:ascii="宋体" w:hAnsi="宋体" w:eastAsia="宋体"/>
          <w:color w:val="000000"/>
          <w:highlight w:val="none"/>
        </w:rPr>
        <w:t xml:space="preserve">0. </w:t>
      </w:r>
      <w:r>
        <w:rPr>
          <w:rFonts w:hint="eastAsia" w:ascii="宋体" w:hAnsi="宋体" w:eastAsia="宋体"/>
          <w:color w:val="000000"/>
          <w:highlight w:val="none"/>
        </w:rPr>
        <w:t>变更</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98EA4BA">
      <w:pPr>
        <w:pStyle w:val="12"/>
        <w:spacing w:before="0" w:after="60"/>
        <w:rPr>
          <w:rFonts w:ascii="宋体" w:hAnsi="宋体"/>
          <w:color w:val="000000"/>
          <w:highlight w:val="none"/>
        </w:rPr>
      </w:pPr>
      <w:bookmarkStart w:id="625" w:name="_Toc373227740"/>
      <w:bookmarkStart w:id="626" w:name="_Toc6171"/>
      <w:bookmarkStart w:id="627" w:name="_Toc373478387"/>
      <w:bookmarkStart w:id="628" w:name="_Toc389065306"/>
      <w:bookmarkStart w:id="629" w:name="_Toc407135243"/>
      <w:bookmarkStart w:id="630" w:name="_Toc108539820"/>
      <w:bookmarkStart w:id="631" w:name="_Toc487632740"/>
      <w:r>
        <w:rPr>
          <w:rFonts w:ascii="宋体" w:hAnsi="宋体"/>
          <w:color w:val="000000"/>
          <w:highlight w:val="none"/>
        </w:rPr>
        <w:t xml:space="preserve">10.1 </w:t>
      </w:r>
      <w:r>
        <w:rPr>
          <w:rFonts w:hint="eastAsia" w:ascii="宋体" w:hAnsi="宋体"/>
          <w:color w:val="000000"/>
          <w:highlight w:val="none"/>
        </w:rPr>
        <w:t>变更的范围</w:t>
      </w:r>
      <w:bookmarkEnd w:id="625"/>
      <w:bookmarkEnd w:id="626"/>
      <w:bookmarkEnd w:id="627"/>
      <w:bookmarkEnd w:id="628"/>
      <w:bookmarkEnd w:id="629"/>
      <w:bookmarkEnd w:id="630"/>
      <w:bookmarkEnd w:id="631"/>
    </w:p>
    <w:p w14:paraId="24A9E99E">
      <w:pPr>
        <w:spacing w:line="360" w:lineRule="auto"/>
        <w:ind w:firstLine="426"/>
        <w:jc w:val="left"/>
        <w:rPr>
          <w:rFonts w:hint="eastAsia" w:ascii="宋体" w:hAnsi="宋体"/>
          <w:color w:val="000000"/>
          <w:highlight w:val="none"/>
        </w:rPr>
      </w:pPr>
      <w:r>
        <w:rPr>
          <w:rFonts w:hint="eastAsia" w:ascii="宋体" w:hAnsi="宋体"/>
          <w:color w:val="000000"/>
          <w:highlight w:val="none"/>
        </w:rPr>
        <w:t>关于变更的范围的约定：</w:t>
      </w:r>
      <w:r>
        <w:rPr>
          <w:rFonts w:hint="eastAsia" w:ascii="宋体" w:hAnsi="宋体"/>
          <w:color w:val="000000"/>
          <w:highlight w:val="none"/>
          <w:u w:val="single"/>
        </w:rPr>
        <w:t>超出招标图纸和工程量清单的子目。</w:t>
      </w:r>
    </w:p>
    <w:p w14:paraId="46E2814C">
      <w:pPr>
        <w:pStyle w:val="12"/>
        <w:spacing w:before="0" w:after="60"/>
        <w:rPr>
          <w:rFonts w:ascii="宋体" w:hAnsi="宋体"/>
          <w:color w:val="000000"/>
          <w:highlight w:val="none"/>
        </w:rPr>
      </w:pPr>
      <w:bookmarkStart w:id="632" w:name="_Toc389065307"/>
      <w:bookmarkStart w:id="633" w:name="_Toc108539821"/>
      <w:bookmarkStart w:id="634" w:name="_Toc407135244"/>
      <w:bookmarkStart w:id="635" w:name="_Toc10946"/>
      <w:bookmarkStart w:id="636" w:name="_Toc373227741"/>
      <w:bookmarkStart w:id="637" w:name="_Toc487632741"/>
      <w:bookmarkStart w:id="638" w:name="_Toc373478388"/>
      <w:r>
        <w:rPr>
          <w:rFonts w:ascii="宋体" w:hAnsi="宋体"/>
          <w:color w:val="000000"/>
          <w:highlight w:val="none"/>
        </w:rPr>
        <w:t xml:space="preserve">10.3 </w:t>
      </w:r>
      <w:r>
        <w:rPr>
          <w:rFonts w:hint="eastAsia" w:ascii="宋体" w:hAnsi="宋体"/>
          <w:color w:val="000000"/>
          <w:highlight w:val="none"/>
        </w:rPr>
        <w:t>变更程序</w:t>
      </w:r>
      <w:bookmarkEnd w:id="632"/>
      <w:bookmarkEnd w:id="633"/>
      <w:bookmarkEnd w:id="634"/>
      <w:bookmarkEnd w:id="635"/>
      <w:bookmarkEnd w:id="636"/>
      <w:bookmarkEnd w:id="637"/>
      <w:bookmarkEnd w:id="638"/>
    </w:p>
    <w:p w14:paraId="0F25A647">
      <w:pPr>
        <w:pStyle w:val="44"/>
        <w:spacing w:line="360" w:lineRule="auto"/>
        <w:ind w:firstLine="441" w:firstLineChars="210"/>
        <w:rPr>
          <w:rFonts w:hAnsi="宋体"/>
          <w:color w:val="000000"/>
          <w:highlight w:val="none"/>
        </w:rPr>
      </w:pPr>
      <w:r>
        <w:rPr>
          <w:rFonts w:hAnsi="宋体"/>
          <w:color w:val="000000"/>
          <w:highlight w:val="none"/>
        </w:rPr>
        <w:t>10.3.1国有投资项目：</w:t>
      </w:r>
    </w:p>
    <w:p w14:paraId="68CCBC7E">
      <w:pPr>
        <w:pStyle w:val="44"/>
        <w:spacing w:line="360" w:lineRule="auto"/>
        <w:ind w:firstLine="441" w:firstLineChars="210"/>
        <w:rPr>
          <w:rFonts w:hAnsi="宋体"/>
          <w:bCs/>
          <w:color w:val="000000"/>
          <w:highlight w:val="none"/>
        </w:rPr>
      </w:pPr>
      <w:r>
        <w:rPr>
          <w:rFonts w:hAnsi="宋体"/>
          <w:bCs/>
          <w:color w:val="000000"/>
          <w:highlight w:val="none"/>
        </w:rPr>
        <w:t>⑴设计变更和工程签证，按各市政府或相关部门的规定办理。属不可抗力（自然灾害、突发事件等）造成变更的，按特事特办原则予以办理。</w:t>
      </w:r>
    </w:p>
    <w:p w14:paraId="4CC805B2">
      <w:pPr>
        <w:pStyle w:val="44"/>
        <w:spacing w:line="360" w:lineRule="auto"/>
        <w:ind w:firstLine="441" w:firstLineChars="210"/>
        <w:rPr>
          <w:rFonts w:hAnsi="宋体"/>
          <w:bCs/>
          <w:color w:val="000000"/>
          <w:highlight w:val="none"/>
        </w:rPr>
      </w:pPr>
      <w:r>
        <w:rPr>
          <w:rFonts w:hAnsi="宋体"/>
          <w:bCs/>
          <w:color w:val="000000"/>
          <w:highlight w:val="none"/>
        </w:rPr>
        <w:t>⑵建设单位在实施项目过程中，若发生单价变动，由建设单位、监理单位、施工单位及其他相关单位共同商定并签字确认。</w:t>
      </w:r>
    </w:p>
    <w:p w14:paraId="4D1D7922">
      <w:pPr>
        <w:pStyle w:val="44"/>
        <w:spacing w:line="360" w:lineRule="auto"/>
        <w:ind w:firstLine="441" w:firstLineChars="210"/>
        <w:rPr>
          <w:rFonts w:hAnsi="宋体"/>
          <w:bCs/>
          <w:color w:val="000000"/>
          <w:highlight w:val="none"/>
        </w:rPr>
      </w:pPr>
      <w:r>
        <w:rPr>
          <w:rFonts w:hAnsi="宋体"/>
          <w:bCs/>
          <w:color w:val="000000"/>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704051ED">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10.3.2 </w:t>
      </w:r>
      <w:r>
        <w:rPr>
          <w:rFonts w:hint="eastAsia" w:ascii="宋体" w:hAnsi="宋体"/>
          <w:color w:val="000000"/>
          <w:highlight w:val="none"/>
        </w:rPr>
        <w:t>非国有投资项目：</w:t>
      </w:r>
      <w:r>
        <w:rPr>
          <w:rFonts w:hint="eastAsia" w:ascii="宋体" w:hAnsi="宋体"/>
          <w:color w:val="000000"/>
          <w:highlight w:val="none"/>
          <w:u w:val="single"/>
        </w:rPr>
        <w:t xml:space="preserve">        /                             </w:t>
      </w:r>
      <w:r>
        <w:rPr>
          <w:rFonts w:hint="eastAsia" w:ascii="宋体" w:hAnsi="宋体"/>
          <w:color w:val="000000"/>
          <w:highlight w:val="none"/>
        </w:rPr>
        <w:t>。</w:t>
      </w:r>
    </w:p>
    <w:p w14:paraId="22F3C70C">
      <w:pPr>
        <w:pStyle w:val="12"/>
        <w:spacing w:before="0" w:after="60"/>
        <w:rPr>
          <w:rFonts w:ascii="宋体" w:hAnsi="宋体"/>
          <w:color w:val="000000"/>
          <w:highlight w:val="none"/>
        </w:rPr>
      </w:pPr>
      <w:bookmarkStart w:id="639" w:name="_Toc373227742"/>
      <w:bookmarkStart w:id="640" w:name="_Toc108539822"/>
      <w:bookmarkStart w:id="641" w:name="_Toc389065308"/>
      <w:bookmarkStart w:id="642" w:name="_Toc20750"/>
      <w:bookmarkStart w:id="643" w:name="_Toc487632742"/>
      <w:bookmarkStart w:id="644" w:name="_Toc373478389"/>
      <w:bookmarkStart w:id="645" w:name="_Toc407135245"/>
      <w:r>
        <w:rPr>
          <w:rFonts w:ascii="宋体" w:hAnsi="宋体"/>
          <w:color w:val="000000"/>
          <w:highlight w:val="none"/>
        </w:rPr>
        <w:t xml:space="preserve">10.4 </w:t>
      </w:r>
      <w:r>
        <w:rPr>
          <w:rFonts w:hint="eastAsia" w:ascii="宋体" w:hAnsi="宋体"/>
          <w:color w:val="000000"/>
          <w:highlight w:val="none"/>
        </w:rPr>
        <w:t>变更估价</w:t>
      </w:r>
      <w:bookmarkEnd w:id="639"/>
      <w:bookmarkEnd w:id="640"/>
      <w:bookmarkEnd w:id="641"/>
      <w:bookmarkEnd w:id="642"/>
      <w:bookmarkEnd w:id="643"/>
      <w:bookmarkEnd w:id="644"/>
      <w:bookmarkEnd w:id="645"/>
    </w:p>
    <w:p w14:paraId="07FD16BD">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10.4.1 </w:t>
      </w:r>
      <w:r>
        <w:rPr>
          <w:rFonts w:hint="eastAsia" w:ascii="宋体" w:hAnsi="宋体"/>
          <w:color w:val="000000"/>
          <w:highlight w:val="none"/>
        </w:rPr>
        <w:t>变更估价原则</w:t>
      </w:r>
    </w:p>
    <w:p w14:paraId="247AE5B5">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关于变更估价的约定</w:t>
      </w:r>
      <w:r>
        <w:rPr>
          <w:rFonts w:ascii="宋体" w:hAnsi="宋体"/>
          <w:color w:val="000000"/>
          <w:highlight w:val="none"/>
        </w:rPr>
        <w:t xml:space="preserve">: </w:t>
      </w:r>
      <w:bookmarkStart w:id="646" w:name="_Toc251051742"/>
      <w:r>
        <w:rPr>
          <w:rFonts w:hint="eastAsia" w:ascii="宋体" w:hAnsi="宋体"/>
          <w:color w:val="000000"/>
          <w:highlight w:val="none"/>
          <w:u w:val="single"/>
        </w:rPr>
        <w:t>工程变更合同价款按下列方法进行：（</w:t>
      </w:r>
      <w:r>
        <w:rPr>
          <w:rFonts w:ascii="宋体" w:hAnsi="宋体"/>
          <w:color w:val="000000"/>
          <w:highlight w:val="none"/>
          <w:u w:val="single"/>
        </w:rPr>
        <w:t>1</w:t>
      </w:r>
      <w:r>
        <w:rPr>
          <w:rFonts w:hint="eastAsia" w:ascii="宋体" w:hAnsi="宋体"/>
          <w:color w:val="000000"/>
          <w:highlight w:val="none"/>
          <w:u w:val="single"/>
        </w:rPr>
        <w:t>）合同中已有相同清单项目的，按合同该清单项目价格进行计算；（</w:t>
      </w:r>
      <w:r>
        <w:rPr>
          <w:rFonts w:ascii="宋体" w:hAnsi="宋体"/>
          <w:color w:val="000000"/>
          <w:highlight w:val="none"/>
          <w:u w:val="single"/>
        </w:rPr>
        <w:t>2</w:t>
      </w:r>
      <w:r>
        <w:rPr>
          <w:rFonts w:hint="eastAsia" w:ascii="宋体" w:hAnsi="宋体"/>
          <w:color w:val="000000"/>
          <w:highlight w:val="none"/>
          <w:u w:val="single"/>
        </w:rPr>
        <w:t>）合同中只有类似清单项目的，参照该类似清单项目价格进行计算；（</w:t>
      </w:r>
      <w:r>
        <w:rPr>
          <w:rFonts w:ascii="宋体" w:hAnsi="宋体"/>
          <w:color w:val="000000"/>
          <w:highlight w:val="none"/>
          <w:u w:val="single"/>
        </w:rPr>
        <w:t>3</w:t>
      </w:r>
      <w:r>
        <w:rPr>
          <w:rFonts w:hint="eastAsia" w:ascii="宋体" w:hAnsi="宋体"/>
          <w:color w:val="000000"/>
          <w:highlight w:val="none"/>
          <w:u w:val="single"/>
        </w:rPr>
        <w:t>）合同中没有适用或类似清单项目的价格计算方法：有定额的套定额计算，</w:t>
      </w:r>
      <w:r>
        <w:rPr>
          <w:rFonts w:hint="eastAsia" w:ascii="宋体" w:hAnsi="宋体"/>
          <w:bCs/>
          <w:color w:val="000000"/>
          <w:szCs w:val="21"/>
          <w:highlight w:val="none"/>
          <w:u w:val="single"/>
        </w:rPr>
        <w:t>并乘以下浮系数（成交价/最高磋商限价（如无最高磋商限价，则按预算价））</w:t>
      </w:r>
      <w:r>
        <w:rPr>
          <w:rFonts w:hint="eastAsia" w:ascii="宋体" w:hAnsi="宋体"/>
          <w:color w:val="000000"/>
          <w:highlight w:val="none"/>
          <w:u w:val="single"/>
        </w:rPr>
        <w:t>计算，其中材料价格按施工期间的《梧州市建设工程造价信息》相应价格信息进行计算；《梧州市建设工程造价信息》</w:t>
      </w:r>
      <w:bookmarkEnd w:id="646"/>
      <w:r>
        <w:rPr>
          <w:rFonts w:hint="eastAsia" w:ascii="宋体" w:hAnsi="宋体"/>
          <w:color w:val="000000"/>
          <w:highlight w:val="none"/>
          <w:u w:val="single"/>
        </w:rPr>
        <w:t>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color w:val="000000"/>
          <w:highlight w:val="none"/>
        </w:rPr>
        <w:t>。以上约定同时适用于招标工程量清单缺项以及工程量清单项目特征与图纸不符时的价款确定。</w:t>
      </w:r>
    </w:p>
    <w:p w14:paraId="5318C460">
      <w:pPr>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工程变更导致实际完成的变更工程量与已标价清单或预算书中列明的该项目工程量有偏差时，其综合单价的确定按专用条款“</w:t>
      </w:r>
      <w:r>
        <w:rPr>
          <w:rFonts w:ascii="宋体" w:hAnsi="宋体"/>
          <w:color w:val="000000"/>
          <w:highlight w:val="none"/>
          <w:u w:val="single"/>
        </w:rPr>
        <w:t>1.13</w:t>
      </w:r>
      <w:r>
        <w:rPr>
          <w:rFonts w:hint="eastAsia" w:ascii="宋体" w:hAnsi="宋体"/>
          <w:color w:val="000000"/>
          <w:highlight w:val="none"/>
          <w:u w:val="single"/>
        </w:rPr>
        <w:t>工程量清单错误的修正”执行。</w:t>
      </w:r>
    </w:p>
    <w:p w14:paraId="5772F5D6">
      <w:pPr>
        <w:pStyle w:val="12"/>
        <w:spacing w:before="0" w:after="60"/>
        <w:rPr>
          <w:rFonts w:ascii="宋体" w:hAnsi="宋体"/>
          <w:color w:val="000000"/>
          <w:highlight w:val="none"/>
        </w:rPr>
      </w:pPr>
      <w:bookmarkStart w:id="647" w:name="_Toc108539823"/>
      <w:bookmarkStart w:id="648" w:name="_Toc389065309"/>
      <w:bookmarkStart w:id="649" w:name="_Toc32662"/>
      <w:bookmarkStart w:id="650" w:name="_Toc487632743"/>
      <w:bookmarkStart w:id="651" w:name="_Toc373478390"/>
      <w:bookmarkStart w:id="652" w:name="_Toc407135246"/>
      <w:bookmarkStart w:id="653" w:name="_Toc373227743"/>
      <w:r>
        <w:rPr>
          <w:rFonts w:ascii="宋体" w:hAnsi="宋体"/>
          <w:color w:val="000000"/>
          <w:highlight w:val="none"/>
        </w:rPr>
        <w:t>1</w:t>
      </w:r>
      <w:bookmarkStart w:id="654" w:name="_Toc296891237"/>
      <w:bookmarkStart w:id="655" w:name="_Toc297048383"/>
      <w:bookmarkStart w:id="656" w:name="_Toc303539150"/>
      <w:bookmarkStart w:id="657" w:name="_Toc296944536"/>
      <w:bookmarkStart w:id="658" w:name="_Toc296346698"/>
      <w:bookmarkStart w:id="659" w:name="_Toc297123544"/>
      <w:bookmarkStart w:id="660" w:name="_Toc296891025"/>
      <w:bookmarkStart w:id="661" w:name="_Toc292559907"/>
      <w:bookmarkStart w:id="662" w:name="_Toc297216203"/>
      <w:bookmarkStart w:id="663" w:name="_Toc292559402"/>
      <w:bookmarkStart w:id="664" w:name="_Toc296347196"/>
      <w:bookmarkStart w:id="665" w:name="_Toc296503197"/>
      <w:bookmarkStart w:id="666" w:name="_Toc300934993"/>
      <w:bookmarkStart w:id="667" w:name="_Toc297120497"/>
      <w:r>
        <w:rPr>
          <w:rFonts w:ascii="宋体" w:hAnsi="宋体"/>
          <w:color w:val="000000"/>
          <w:highlight w:val="none"/>
        </w:rPr>
        <w:t xml:space="preserve">0.5 </w:t>
      </w:r>
      <w:r>
        <w:rPr>
          <w:rFonts w:hint="eastAsia" w:ascii="宋体" w:hAnsi="宋体"/>
          <w:color w:val="000000"/>
          <w:highlight w:val="none"/>
        </w:rPr>
        <w:t>承</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hint="eastAsia" w:ascii="宋体" w:hAnsi="宋体"/>
          <w:color w:val="000000"/>
          <w:highlight w:val="none"/>
        </w:rPr>
        <w:t>包人的合理化建议</w:t>
      </w:r>
      <w:bookmarkEnd w:id="647"/>
      <w:bookmarkEnd w:id="648"/>
      <w:bookmarkEnd w:id="649"/>
      <w:bookmarkEnd w:id="650"/>
      <w:bookmarkEnd w:id="651"/>
      <w:bookmarkEnd w:id="652"/>
      <w:bookmarkEnd w:id="653"/>
    </w:p>
    <w:p w14:paraId="62DAA581">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监理人审查承包人合理化建议的期限：</w:t>
      </w:r>
      <w:r>
        <w:rPr>
          <w:rFonts w:hint="eastAsia" w:ascii="宋体" w:hAnsi="宋体"/>
          <w:color w:val="000000"/>
          <w:highlight w:val="none"/>
          <w:u w:val="single"/>
        </w:rPr>
        <w:t>按通用条款执行</w:t>
      </w:r>
      <w:r>
        <w:rPr>
          <w:rFonts w:hint="eastAsia" w:ascii="宋体" w:hAnsi="宋体"/>
          <w:color w:val="000000"/>
          <w:highlight w:val="none"/>
        </w:rPr>
        <w:t>。</w:t>
      </w:r>
    </w:p>
    <w:p w14:paraId="4233D7C0">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发包人审批承包人合理化建议的期限：</w:t>
      </w:r>
      <w:r>
        <w:rPr>
          <w:rFonts w:hint="eastAsia" w:ascii="宋体" w:hAnsi="宋体"/>
          <w:color w:val="000000"/>
          <w:highlight w:val="none"/>
          <w:u w:val="single"/>
        </w:rPr>
        <w:t>按通用条款执行</w:t>
      </w:r>
      <w:r>
        <w:rPr>
          <w:rFonts w:hint="eastAsia" w:ascii="宋体" w:hAnsi="宋体"/>
          <w:color w:val="000000"/>
          <w:highlight w:val="none"/>
        </w:rPr>
        <w:t>。</w:t>
      </w:r>
    </w:p>
    <w:p w14:paraId="396933C9">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承包人提出的合理化建议降低了合同价格或者提高了工程经济效益的奖励的方法和金额为：</w:t>
      </w:r>
      <w:r>
        <w:rPr>
          <w:rFonts w:hint="eastAsia" w:ascii="宋体" w:hAnsi="宋体"/>
          <w:color w:val="000000"/>
          <w:highlight w:val="none"/>
          <w:u w:val="single"/>
        </w:rPr>
        <w:t>双方另行协商</w:t>
      </w:r>
      <w:r>
        <w:rPr>
          <w:rFonts w:hint="eastAsia" w:ascii="宋体" w:hAnsi="宋体"/>
          <w:color w:val="000000"/>
          <w:highlight w:val="none"/>
        </w:rPr>
        <w:t>。</w:t>
      </w:r>
    </w:p>
    <w:p w14:paraId="5B65B5BC">
      <w:pPr>
        <w:pStyle w:val="12"/>
        <w:spacing w:before="0" w:after="60"/>
        <w:rPr>
          <w:rFonts w:ascii="宋体" w:hAnsi="宋体"/>
          <w:color w:val="000000"/>
          <w:highlight w:val="none"/>
        </w:rPr>
      </w:pPr>
      <w:bookmarkStart w:id="668" w:name="_Toc108539824"/>
      <w:bookmarkStart w:id="669" w:name="_Toc6952"/>
      <w:r>
        <w:rPr>
          <w:rFonts w:ascii="宋体" w:hAnsi="宋体"/>
          <w:color w:val="000000"/>
          <w:highlight w:val="none"/>
        </w:rPr>
        <w:t xml:space="preserve">10.7 </w:t>
      </w:r>
      <w:r>
        <w:rPr>
          <w:rFonts w:hint="eastAsia" w:ascii="宋体" w:hAnsi="宋体"/>
          <w:color w:val="000000"/>
          <w:highlight w:val="none"/>
        </w:rPr>
        <w:t>暂估价</w:t>
      </w:r>
      <w:bookmarkEnd w:id="668"/>
      <w:bookmarkEnd w:id="669"/>
    </w:p>
    <w:p w14:paraId="2647C0C9">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暂估价材料和工程设备的明细详见已标价工程量清单《</w:t>
      </w:r>
      <w:r>
        <w:rPr>
          <w:rFonts w:hint="eastAsia" w:ascii="宋体" w:hAnsi="宋体"/>
          <w:color w:val="000000"/>
          <w:highlight w:val="none"/>
        </w:rPr>
        <w:t>材料（工程设备）暂估价格及调整表》</w:t>
      </w:r>
      <w:r>
        <w:rPr>
          <w:rFonts w:hint="eastAsia" w:ascii="宋体" w:hAnsi="宋体"/>
          <w:color w:val="000000"/>
          <w:kern w:val="0"/>
          <w:highlight w:val="none"/>
        </w:rPr>
        <w:t>（表</w:t>
      </w:r>
      <w:r>
        <w:rPr>
          <w:rFonts w:ascii="宋体" w:hAnsi="宋体"/>
          <w:color w:val="000000"/>
          <w:kern w:val="0"/>
          <w:highlight w:val="none"/>
        </w:rPr>
        <w:t>12-2</w:t>
      </w:r>
      <w:r>
        <w:rPr>
          <w:rFonts w:hint="eastAsia" w:ascii="宋体" w:hAnsi="宋体"/>
          <w:color w:val="000000"/>
          <w:kern w:val="0"/>
          <w:highlight w:val="none"/>
        </w:rPr>
        <w:t>）和《</w:t>
      </w:r>
      <w:r>
        <w:rPr>
          <w:rFonts w:hint="eastAsia" w:ascii="宋体" w:hAnsi="宋体"/>
          <w:color w:val="000000"/>
          <w:highlight w:val="none"/>
        </w:rPr>
        <w:t>专业工程暂估价表》（</w:t>
      </w:r>
      <w:r>
        <w:rPr>
          <w:rFonts w:hint="eastAsia" w:ascii="宋体" w:hAnsi="宋体"/>
          <w:color w:val="000000"/>
          <w:kern w:val="0"/>
          <w:highlight w:val="none"/>
        </w:rPr>
        <w:t>表</w:t>
      </w:r>
      <w:r>
        <w:rPr>
          <w:rFonts w:ascii="宋体" w:hAnsi="宋体"/>
          <w:color w:val="000000"/>
          <w:kern w:val="0"/>
          <w:highlight w:val="none"/>
        </w:rPr>
        <w:t>12-3</w:t>
      </w:r>
      <w:r>
        <w:rPr>
          <w:rFonts w:hint="eastAsia" w:ascii="宋体" w:hAnsi="宋体"/>
          <w:color w:val="000000"/>
          <w:kern w:val="0"/>
          <w:highlight w:val="none"/>
        </w:rPr>
        <w:t>）。</w:t>
      </w:r>
    </w:p>
    <w:p w14:paraId="7029FBA9">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10.7.1 </w:t>
      </w:r>
      <w:r>
        <w:rPr>
          <w:rFonts w:hint="eastAsia" w:ascii="宋体" w:hAnsi="宋体"/>
          <w:color w:val="000000"/>
          <w:highlight w:val="none"/>
        </w:rPr>
        <w:t>依法必须招标的暂估价项目</w:t>
      </w:r>
    </w:p>
    <w:p w14:paraId="431D82B7">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对于依法必须招标的暂估价项目的确认和批准采取第</w:t>
      </w:r>
      <w:r>
        <w:rPr>
          <w:rFonts w:hint="eastAsia" w:ascii="宋体" w:hAnsi="宋体"/>
          <w:color w:val="000000"/>
          <w:highlight w:val="none"/>
          <w:u w:val="single"/>
        </w:rPr>
        <w:t xml:space="preserve">/ </w:t>
      </w:r>
      <w:r>
        <w:rPr>
          <w:rFonts w:hint="eastAsia" w:ascii="宋体" w:hAnsi="宋体"/>
          <w:color w:val="000000"/>
          <w:highlight w:val="none"/>
        </w:rPr>
        <w:t>种方式确定。</w:t>
      </w:r>
    </w:p>
    <w:p w14:paraId="7AA5EDE5">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10.7.2 </w:t>
      </w:r>
      <w:r>
        <w:rPr>
          <w:rFonts w:hint="eastAsia" w:ascii="宋体" w:hAnsi="宋体"/>
          <w:color w:val="000000"/>
          <w:highlight w:val="none"/>
        </w:rPr>
        <w:t>不属于依法必须招标的暂估价项目</w:t>
      </w:r>
    </w:p>
    <w:p w14:paraId="0662A529">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对于不属于依法必须招标的暂估价项目的确认和批准采取第</w:t>
      </w:r>
      <w:r>
        <w:rPr>
          <w:rFonts w:hint="eastAsia" w:ascii="宋体" w:hAnsi="宋体"/>
          <w:color w:val="000000"/>
          <w:highlight w:val="none"/>
          <w:u w:val="single"/>
        </w:rPr>
        <w:t xml:space="preserve">/ </w:t>
      </w:r>
      <w:r>
        <w:rPr>
          <w:rFonts w:hint="eastAsia" w:ascii="宋体" w:hAnsi="宋体"/>
          <w:color w:val="000000"/>
          <w:highlight w:val="none"/>
        </w:rPr>
        <w:t>种方式确定。</w:t>
      </w:r>
    </w:p>
    <w:p w14:paraId="09B87736">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第</w:t>
      </w:r>
      <w:r>
        <w:rPr>
          <w:rFonts w:ascii="宋体" w:hAnsi="宋体"/>
          <w:color w:val="000000"/>
          <w:highlight w:val="none"/>
        </w:rPr>
        <w:t>3</w:t>
      </w:r>
      <w:r>
        <w:rPr>
          <w:rFonts w:hint="eastAsia" w:ascii="宋体" w:hAnsi="宋体"/>
          <w:color w:val="000000"/>
          <w:highlight w:val="none"/>
        </w:rPr>
        <w:t>种方式：</w:t>
      </w:r>
      <w:r>
        <w:rPr>
          <w:rFonts w:hint="eastAsia" w:ascii="宋体" w:hAnsi="宋体"/>
          <w:color w:val="000000"/>
          <w:kern w:val="0"/>
          <w:highlight w:val="none"/>
        </w:rPr>
        <w:t>承包人直接实施的暂估价项目</w:t>
      </w:r>
    </w:p>
    <w:p w14:paraId="4A6DB9AE">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承包人直接实施的暂估价项目的约定：</w:t>
      </w:r>
      <w:r>
        <w:rPr>
          <w:rFonts w:hint="eastAsia" w:ascii="宋体" w:hAnsi="宋体"/>
          <w:color w:val="000000"/>
          <w:highlight w:val="none"/>
          <w:u w:val="single"/>
          <w:lang w:val="en-US" w:eastAsia="zh-CN"/>
        </w:rPr>
        <w:t xml:space="preserve"> 按发承包双方认可的 </w:t>
      </w:r>
      <w:r>
        <w:rPr>
          <w:rFonts w:hint="eastAsia" w:ascii="宋体" w:hAnsi="宋体"/>
          <w:color w:val="000000"/>
          <w:highlight w:val="none"/>
        </w:rPr>
        <w:t>。</w:t>
      </w:r>
    </w:p>
    <w:p w14:paraId="53AF72C4">
      <w:pPr>
        <w:pStyle w:val="12"/>
        <w:spacing w:before="0" w:after="60"/>
        <w:rPr>
          <w:rFonts w:ascii="宋体" w:hAnsi="宋体"/>
          <w:color w:val="000000"/>
          <w:highlight w:val="none"/>
        </w:rPr>
      </w:pPr>
      <w:bookmarkStart w:id="670" w:name="_Toc389065311"/>
      <w:bookmarkStart w:id="671" w:name="_Toc487632745"/>
      <w:bookmarkStart w:id="672" w:name="_Toc407135248"/>
      <w:bookmarkStart w:id="673" w:name="_Toc373478392"/>
      <w:bookmarkStart w:id="674" w:name="_Toc28832"/>
      <w:bookmarkStart w:id="675" w:name="_Toc373227745"/>
      <w:bookmarkStart w:id="676" w:name="_Toc108539825"/>
      <w:r>
        <w:rPr>
          <w:rFonts w:ascii="宋体" w:hAnsi="宋体"/>
          <w:color w:val="000000"/>
          <w:highlight w:val="none"/>
        </w:rPr>
        <w:t xml:space="preserve">10.8 </w:t>
      </w:r>
      <w:r>
        <w:rPr>
          <w:rFonts w:hint="eastAsia" w:ascii="宋体" w:hAnsi="宋体"/>
          <w:color w:val="000000"/>
          <w:highlight w:val="none"/>
        </w:rPr>
        <w:t>暂列金额</w:t>
      </w:r>
      <w:bookmarkEnd w:id="670"/>
      <w:bookmarkEnd w:id="671"/>
      <w:bookmarkEnd w:id="672"/>
      <w:bookmarkEnd w:id="673"/>
      <w:bookmarkEnd w:id="674"/>
      <w:bookmarkEnd w:id="675"/>
      <w:bookmarkEnd w:id="676"/>
    </w:p>
    <w:p w14:paraId="11440975">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合同当事人关于暂列金额使用的约定暂列金是指发包人为可能发生工程变更而暂列的金额，包括因发包人提供的工程量清单漏项、清单有误引起的工程数量增加和施工过程中设计变更引起新的清单项目或工程数量增加等需要增加的金额。暂列金不计入工程款付款的基数。暂列金是发包人自行确定设立的，承包人无权使用此笔费用。此费用按实际发生经发包人签证后确定全部使用、部分使用或不使用。发包人委托具有建设行政主管部门颁发资质的造价咨询机构审定后，按照审定造价支付部分暂列金。</w:t>
      </w:r>
    </w:p>
    <w:p w14:paraId="29E02E6D">
      <w:pPr>
        <w:pStyle w:val="11"/>
        <w:numPr>
          <w:ilvl w:val="0"/>
          <w:numId w:val="6"/>
        </w:numPr>
        <w:rPr>
          <w:rFonts w:hint="eastAsia" w:ascii="宋体" w:hAnsi="宋体" w:eastAsia="宋体"/>
          <w:color w:val="000000"/>
          <w:highlight w:val="none"/>
        </w:rPr>
      </w:pPr>
      <w:bookmarkStart w:id="677" w:name="_Toc108539826"/>
      <w:bookmarkStart w:id="678" w:name="_Toc373478393"/>
      <w:bookmarkStart w:id="679" w:name="_Toc373227746"/>
      <w:bookmarkStart w:id="680" w:name="_Toc487632746"/>
      <w:bookmarkStart w:id="681" w:name="_Toc351203643"/>
      <w:bookmarkStart w:id="682" w:name="_Toc24226"/>
      <w:bookmarkStart w:id="683" w:name="_Toc389065312"/>
      <w:bookmarkStart w:id="684" w:name="_Toc407135249"/>
      <w:r>
        <w:rPr>
          <w:rFonts w:hint="eastAsia" w:ascii="宋体" w:hAnsi="宋体" w:eastAsia="宋体"/>
          <w:color w:val="000000"/>
          <w:highlight w:val="none"/>
        </w:rPr>
        <w:t>价格调整</w:t>
      </w:r>
      <w:bookmarkEnd w:id="677"/>
      <w:bookmarkEnd w:id="678"/>
      <w:bookmarkEnd w:id="679"/>
      <w:bookmarkEnd w:id="680"/>
      <w:bookmarkEnd w:id="681"/>
      <w:bookmarkEnd w:id="682"/>
      <w:bookmarkEnd w:id="683"/>
      <w:bookmarkEnd w:id="684"/>
    </w:p>
    <w:p w14:paraId="56CC1C68">
      <w:pPr>
        <w:spacing w:after="60"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①法律变化引起的调整；</w:t>
      </w:r>
    </w:p>
    <w:p w14:paraId="75DA0022">
      <w:pPr>
        <w:spacing w:after="60"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②工程变更、项目特征不符、工程量清单缺项、工程量偏差引起的调整；</w:t>
      </w:r>
    </w:p>
    <w:p w14:paraId="6BA04203">
      <w:pPr>
        <w:spacing w:after="60"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③计日工引起的调整。</w:t>
      </w:r>
    </w:p>
    <w:p w14:paraId="74C9D27C">
      <w:pPr>
        <w:pStyle w:val="12"/>
        <w:spacing w:before="0" w:after="60"/>
        <w:rPr>
          <w:rFonts w:ascii="宋体" w:hAnsi="宋体"/>
          <w:color w:val="000000"/>
          <w:highlight w:val="none"/>
        </w:rPr>
      </w:pPr>
      <w:bookmarkStart w:id="685" w:name="_Toc389065313"/>
      <w:bookmarkStart w:id="686" w:name="_Toc373478394"/>
      <w:bookmarkStart w:id="687" w:name="_Toc108539827"/>
      <w:bookmarkStart w:id="688" w:name="_Toc21648"/>
      <w:bookmarkStart w:id="689" w:name="_Toc407135250"/>
      <w:bookmarkStart w:id="690" w:name="_Toc373227747"/>
      <w:bookmarkStart w:id="691" w:name="_Toc487632747"/>
      <w:r>
        <w:rPr>
          <w:rFonts w:ascii="宋体" w:hAnsi="宋体"/>
          <w:color w:val="000000"/>
          <w:highlight w:val="none"/>
        </w:rPr>
        <w:t xml:space="preserve">11.1 </w:t>
      </w:r>
      <w:r>
        <w:rPr>
          <w:rFonts w:hint="eastAsia" w:ascii="宋体" w:hAnsi="宋体"/>
          <w:color w:val="000000"/>
          <w:highlight w:val="none"/>
        </w:rPr>
        <w:t>市场价格波动引起的调整</w:t>
      </w:r>
      <w:bookmarkEnd w:id="685"/>
      <w:bookmarkEnd w:id="686"/>
      <w:bookmarkEnd w:id="687"/>
      <w:bookmarkEnd w:id="688"/>
      <w:bookmarkEnd w:id="689"/>
      <w:bookmarkEnd w:id="690"/>
      <w:bookmarkEnd w:id="691"/>
    </w:p>
    <w:p w14:paraId="011DA9B0">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市场价格波动是否调整合同价格的约定：</w:t>
      </w:r>
      <w:r>
        <w:rPr>
          <w:rFonts w:hint="eastAsia" w:ascii="宋体" w:hAnsi="宋体"/>
          <w:color w:val="000000"/>
          <w:highlight w:val="none"/>
          <w:u w:val="single"/>
        </w:rPr>
        <w:t>不作调整</w:t>
      </w:r>
      <w:r>
        <w:rPr>
          <w:rFonts w:hint="eastAsia" w:ascii="宋体" w:hAnsi="宋体"/>
          <w:color w:val="000000"/>
          <w:highlight w:val="none"/>
        </w:rPr>
        <w:t>。</w:t>
      </w:r>
    </w:p>
    <w:p w14:paraId="24D3C0FC">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因市场价格波动调整合同价格，采用以下第种方式对合同价格进行调整：</w:t>
      </w:r>
    </w:p>
    <w:p w14:paraId="1D46FD4B">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第</w:t>
      </w:r>
      <w:r>
        <w:rPr>
          <w:rFonts w:ascii="宋体" w:hAnsi="宋体"/>
          <w:color w:val="000000"/>
          <w:highlight w:val="none"/>
        </w:rPr>
        <w:t>1</w:t>
      </w:r>
      <w:r>
        <w:rPr>
          <w:rFonts w:hint="eastAsia" w:ascii="宋体" w:hAnsi="宋体"/>
          <w:color w:val="000000"/>
          <w:highlight w:val="none"/>
        </w:rPr>
        <w:t>种方式：采用价格指数进行价格调整。</w:t>
      </w:r>
    </w:p>
    <w:p w14:paraId="7DA30D53">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关于各可调因子、定值和变值权重，以及基本价格指数及其来源的约定：；</w:t>
      </w:r>
    </w:p>
    <w:p w14:paraId="476A6696">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第</w:t>
      </w:r>
      <w:r>
        <w:rPr>
          <w:rFonts w:ascii="宋体" w:hAnsi="宋体"/>
          <w:color w:val="000000"/>
          <w:highlight w:val="none"/>
        </w:rPr>
        <w:t>2</w:t>
      </w:r>
      <w:r>
        <w:rPr>
          <w:rFonts w:hint="eastAsia" w:ascii="宋体" w:hAnsi="宋体"/>
          <w:color w:val="000000"/>
          <w:highlight w:val="none"/>
        </w:rPr>
        <w:t>种方式：采用造价信息进行价格调整。</w:t>
      </w:r>
    </w:p>
    <w:p w14:paraId="34BED6BE">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）允许调整的主要材料和设备、基期价格、风险系数、磋商报价：详见《承包人提供主要材料和设备一览表》</w:t>
      </w:r>
      <w:r>
        <w:rPr>
          <w:rFonts w:hint="eastAsia" w:ascii="宋体" w:hAnsi="宋体"/>
          <w:color w:val="000000"/>
          <w:kern w:val="0"/>
          <w:highlight w:val="none"/>
        </w:rPr>
        <w:t>（如有）</w:t>
      </w:r>
      <w:r>
        <w:rPr>
          <w:rFonts w:hint="eastAsia" w:ascii="宋体" w:hAnsi="宋体"/>
          <w:color w:val="000000"/>
          <w:highlight w:val="none"/>
        </w:rPr>
        <w:t>。</w:t>
      </w:r>
    </w:p>
    <w:p w14:paraId="190231DF">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）主要材料和设备确认价：</w:t>
      </w:r>
    </w:p>
    <w:p w14:paraId="15E5DC4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按施工期间《梧州市建设工程造价信息》加权平均计算，信息价没有的按通用条款规定确定。</w:t>
      </w:r>
    </w:p>
    <w:p w14:paraId="187596C1">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）价差计算方法：</w:t>
      </w:r>
    </w:p>
    <w:p w14:paraId="13EC42FC">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①《承包人提供主要材料和设备一览表》</w:t>
      </w:r>
      <w:r>
        <w:rPr>
          <w:rFonts w:hint="eastAsia" w:ascii="宋体" w:hAnsi="宋体"/>
          <w:color w:val="000000"/>
          <w:kern w:val="0"/>
          <w:highlight w:val="none"/>
        </w:rPr>
        <w:t>（如有）</w:t>
      </w:r>
      <w:r>
        <w:rPr>
          <w:rFonts w:hint="eastAsia" w:ascii="宋体" w:hAnsi="宋体"/>
          <w:color w:val="000000"/>
          <w:highlight w:val="none"/>
        </w:rPr>
        <w:t>中载明的材料和设备磋商报价低于基准价格的：合同履行期间材料和设备单价涨幅以基准价格为基础超过约定的风险范围时，或材料和设备单价跌幅以磋商报价为基础超过约定的风险范围时，其超过部分据实调整。</w:t>
      </w:r>
    </w:p>
    <w:p w14:paraId="08278BAD">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②承包人在《承包人提供主要材料和设备一览表》</w:t>
      </w:r>
      <w:r>
        <w:rPr>
          <w:rFonts w:hint="eastAsia" w:ascii="宋体" w:hAnsi="宋体"/>
          <w:color w:val="000000"/>
          <w:kern w:val="0"/>
          <w:highlight w:val="none"/>
        </w:rPr>
        <w:t>（如有）</w:t>
      </w:r>
      <w:r>
        <w:rPr>
          <w:rFonts w:hint="eastAsia" w:ascii="宋体" w:hAnsi="宋体"/>
          <w:color w:val="000000"/>
          <w:highlight w:val="none"/>
        </w:rPr>
        <w:t>中载明的材料和设备磋商报价高于基准价格的：专用合同条款合同履行期间材料和设备单价跌幅以基准价格为基础超过约定的风险范围时，材料和设备单价涨幅以磋商报价为基础超过约定的风险范围时，其超过部分据实调整。</w:t>
      </w:r>
    </w:p>
    <w:p w14:paraId="1949C3BF">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③承包人在《承包人提供主要材料和设备一览表》</w:t>
      </w:r>
      <w:r>
        <w:rPr>
          <w:rFonts w:hint="eastAsia" w:ascii="宋体" w:hAnsi="宋体"/>
          <w:color w:val="000000"/>
          <w:kern w:val="0"/>
          <w:highlight w:val="none"/>
        </w:rPr>
        <w:t>（如有）</w:t>
      </w:r>
      <w:r>
        <w:rPr>
          <w:rFonts w:hint="eastAsia" w:ascii="宋体" w:hAnsi="宋体"/>
          <w:color w:val="000000"/>
          <w:highlight w:val="none"/>
        </w:rPr>
        <w:t>中载明的材料和设备单价等于基准单价的：合同履行期间材料和设备单价涨跌幅以基准单价为基础超过约定的风险范围时，其超过部分据实调整。</w:t>
      </w:r>
    </w:p>
    <w:p w14:paraId="112B8A80">
      <w:pPr>
        <w:spacing w:line="360" w:lineRule="auto"/>
        <w:ind w:firstLine="645"/>
        <w:jc w:val="left"/>
        <w:rPr>
          <w:rFonts w:hint="eastAsia" w:ascii="宋体" w:hAnsi="宋体"/>
          <w:color w:val="000000"/>
          <w:highlight w:val="none"/>
        </w:rPr>
      </w:pPr>
      <w:r>
        <w:rPr>
          <w:rFonts w:hint="eastAsia" w:ascii="宋体" w:hAnsi="宋体"/>
          <w:color w:val="000000"/>
          <w:highlight w:val="none"/>
        </w:rPr>
        <w:t>第</w:t>
      </w:r>
      <w:r>
        <w:rPr>
          <w:rFonts w:ascii="宋体" w:hAnsi="宋体"/>
          <w:color w:val="000000"/>
          <w:highlight w:val="none"/>
        </w:rPr>
        <w:t>3</w:t>
      </w:r>
      <w:r>
        <w:rPr>
          <w:rFonts w:hint="eastAsia" w:ascii="宋体" w:hAnsi="宋体"/>
          <w:color w:val="000000"/>
          <w:highlight w:val="none"/>
        </w:rPr>
        <w:t>种方式：</w:t>
      </w:r>
      <w:r>
        <w:rPr>
          <w:rFonts w:hint="eastAsia" w:ascii="宋体" w:hAnsi="宋体"/>
          <w:color w:val="000000"/>
          <w:highlight w:val="none"/>
          <w:u w:val="single"/>
        </w:rPr>
        <w:t xml:space="preserve">      /      </w:t>
      </w:r>
      <w:r>
        <w:rPr>
          <w:rFonts w:hint="eastAsia" w:ascii="宋体" w:hAnsi="宋体"/>
          <w:color w:val="000000"/>
          <w:highlight w:val="none"/>
        </w:rPr>
        <w:t>。</w:t>
      </w:r>
    </w:p>
    <w:p w14:paraId="00D87864">
      <w:pPr>
        <w:pStyle w:val="11"/>
        <w:rPr>
          <w:rFonts w:ascii="宋体" w:hAnsi="宋体" w:eastAsia="宋体"/>
          <w:color w:val="000000"/>
          <w:highlight w:val="none"/>
        </w:rPr>
      </w:pPr>
      <w:bookmarkStart w:id="692" w:name="_Toc292559410"/>
      <w:bookmarkStart w:id="693" w:name="_Toc296891033"/>
      <w:bookmarkStart w:id="694" w:name="_Toc297120505"/>
      <w:bookmarkStart w:id="695" w:name="_Toc296944544"/>
      <w:bookmarkStart w:id="696" w:name="_Toc297048391"/>
      <w:bookmarkStart w:id="697" w:name="_Toc292559915"/>
      <w:bookmarkStart w:id="698" w:name="_Toc296347204"/>
      <w:bookmarkStart w:id="699" w:name="_Toc296503205"/>
      <w:bookmarkStart w:id="700" w:name="_Toc296891245"/>
      <w:bookmarkStart w:id="701" w:name="_Toc296346706"/>
      <w:bookmarkStart w:id="702" w:name="_Toc20824"/>
      <w:bookmarkStart w:id="703" w:name="_Toc373227748"/>
      <w:bookmarkStart w:id="704" w:name="_Toc407135251"/>
      <w:bookmarkStart w:id="705" w:name="_Toc373478395"/>
      <w:bookmarkStart w:id="706" w:name="_Toc487632748"/>
      <w:bookmarkStart w:id="707" w:name="_Toc108539828"/>
      <w:bookmarkStart w:id="708" w:name="_Toc351203644"/>
      <w:r>
        <w:rPr>
          <w:rFonts w:ascii="宋体" w:hAnsi="宋体" w:eastAsia="宋体"/>
          <w:color w:val="000000"/>
          <w:highlight w:val="none"/>
        </w:rPr>
        <w:t xml:space="preserve">12. </w:t>
      </w:r>
      <w:bookmarkEnd w:id="692"/>
      <w:bookmarkEnd w:id="693"/>
      <w:bookmarkEnd w:id="694"/>
      <w:bookmarkEnd w:id="695"/>
      <w:bookmarkEnd w:id="696"/>
      <w:bookmarkEnd w:id="697"/>
      <w:bookmarkEnd w:id="698"/>
      <w:bookmarkEnd w:id="699"/>
      <w:bookmarkEnd w:id="700"/>
      <w:bookmarkEnd w:id="701"/>
      <w:r>
        <w:rPr>
          <w:rFonts w:hint="eastAsia" w:ascii="宋体" w:hAnsi="宋体" w:eastAsia="宋体"/>
          <w:color w:val="000000"/>
          <w:highlight w:val="none"/>
        </w:rPr>
        <w:t>合同价格、计量与支付</w:t>
      </w:r>
      <w:bookmarkEnd w:id="702"/>
      <w:bookmarkEnd w:id="703"/>
      <w:bookmarkEnd w:id="704"/>
      <w:bookmarkEnd w:id="705"/>
      <w:bookmarkEnd w:id="706"/>
      <w:bookmarkEnd w:id="707"/>
      <w:bookmarkEnd w:id="708"/>
    </w:p>
    <w:p w14:paraId="5440E999">
      <w:pPr>
        <w:pStyle w:val="12"/>
        <w:spacing w:before="0" w:after="60"/>
        <w:rPr>
          <w:rFonts w:ascii="宋体" w:hAnsi="宋体"/>
          <w:color w:val="000000"/>
          <w:highlight w:val="none"/>
        </w:rPr>
      </w:pPr>
      <w:bookmarkStart w:id="709" w:name="_Toc292559916"/>
      <w:bookmarkStart w:id="710" w:name="_Toc292559411"/>
      <w:bookmarkStart w:id="711" w:name="_Toc267251461"/>
      <w:bookmarkStart w:id="712" w:name="_Toc296347205"/>
      <w:bookmarkStart w:id="713" w:name="_Toc296346707"/>
      <w:bookmarkStart w:id="714" w:name="_Toc296891034"/>
      <w:bookmarkStart w:id="715" w:name="_Toc296944545"/>
      <w:bookmarkStart w:id="716" w:name="_Toc297120506"/>
      <w:bookmarkStart w:id="717" w:name="_Toc297048392"/>
      <w:bookmarkStart w:id="718" w:name="_Toc296891246"/>
      <w:bookmarkStart w:id="719" w:name="_Toc296503206"/>
      <w:bookmarkStart w:id="720" w:name="_Toc487632749"/>
      <w:bookmarkStart w:id="721" w:name="_Toc373227749"/>
      <w:bookmarkStart w:id="722" w:name="_Toc373478396"/>
      <w:bookmarkStart w:id="723" w:name="_Toc389065314"/>
      <w:bookmarkStart w:id="724" w:name="_Toc407135252"/>
      <w:bookmarkStart w:id="725" w:name="_Toc9211"/>
      <w:bookmarkStart w:id="726" w:name="_Toc108539829"/>
      <w:r>
        <w:rPr>
          <w:rFonts w:ascii="宋体" w:hAnsi="宋体"/>
          <w:color w:val="000000"/>
          <w:highlight w:val="none"/>
        </w:rPr>
        <w:t xml:space="preserve">12.1 </w:t>
      </w:r>
      <w:r>
        <w:rPr>
          <w:rFonts w:hint="eastAsia" w:ascii="宋体" w:hAnsi="宋体"/>
          <w:color w:val="000000"/>
          <w:highlight w:val="none"/>
        </w:rPr>
        <w:t>合</w:t>
      </w:r>
      <w:bookmarkEnd w:id="709"/>
      <w:bookmarkEnd w:id="710"/>
      <w:bookmarkEnd w:id="711"/>
      <w:r>
        <w:rPr>
          <w:rFonts w:hint="eastAsia" w:ascii="宋体" w:hAnsi="宋体"/>
          <w:color w:val="000000"/>
          <w:highlight w:val="none"/>
        </w:rPr>
        <w:t>同价</w:t>
      </w:r>
      <w:bookmarkEnd w:id="712"/>
      <w:bookmarkEnd w:id="713"/>
      <w:bookmarkEnd w:id="714"/>
      <w:bookmarkEnd w:id="715"/>
      <w:bookmarkEnd w:id="716"/>
      <w:bookmarkEnd w:id="717"/>
      <w:bookmarkEnd w:id="718"/>
      <w:bookmarkEnd w:id="719"/>
      <w:r>
        <w:rPr>
          <w:rFonts w:hint="eastAsia" w:ascii="宋体" w:hAnsi="宋体"/>
          <w:color w:val="000000"/>
          <w:highlight w:val="none"/>
        </w:rPr>
        <w:t>格形式</w:t>
      </w:r>
      <w:bookmarkEnd w:id="720"/>
      <w:bookmarkEnd w:id="721"/>
      <w:bookmarkEnd w:id="722"/>
      <w:bookmarkEnd w:id="723"/>
      <w:bookmarkEnd w:id="724"/>
      <w:bookmarkEnd w:id="725"/>
      <w:bookmarkEnd w:id="726"/>
    </w:p>
    <w:p w14:paraId="05B75957">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本工程采用</w:t>
      </w:r>
      <w:r>
        <w:rPr>
          <w:rFonts w:hint="eastAsia" w:ascii="宋体" w:hAnsi="宋体"/>
          <w:color w:val="000000"/>
          <w:highlight w:val="none"/>
          <w:u w:val="single"/>
          <w:lang w:val="en-US" w:eastAsia="zh-CN"/>
        </w:rPr>
        <w:t xml:space="preserve"> 总价  </w:t>
      </w:r>
      <w:r>
        <w:rPr>
          <w:rFonts w:hint="eastAsia" w:ascii="宋体" w:hAnsi="宋体"/>
          <w:color w:val="000000"/>
          <w:highlight w:val="none"/>
        </w:rPr>
        <w:t>合同价格形式。</w:t>
      </w:r>
    </w:p>
    <w:p w14:paraId="7D82D7E4">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）单价合同。</w:t>
      </w:r>
    </w:p>
    <w:p w14:paraId="186D306A">
      <w:pPr>
        <w:spacing w:line="360" w:lineRule="exact"/>
        <w:ind w:firstLine="420" w:firstLineChars="200"/>
        <w:jc w:val="left"/>
        <w:rPr>
          <w:rFonts w:hint="eastAsia" w:ascii="宋体" w:hAnsi="宋体"/>
          <w:color w:val="000000"/>
          <w:highlight w:val="none"/>
        </w:rPr>
      </w:pPr>
      <w:r>
        <w:rPr>
          <w:rFonts w:hint="eastAsia" w:ascii="宋体" w:hAnsi="宋体"/>
          <w:color w:val="000000"/>
          <w:highlight w:val="none"/>
        </w:rPr>
        <w:t>采用综合单价合同方式时，工程量按建设单位、监理单位、施工单位三方确认的竣工图结算。</w:t>
      </w:r>
    </w:p>
    <w:p w14:paraId="4A75B2FE">
      <w:pPr>
        <w:spacing w:line="360" w:lineRule="exact"/>
        <w:ind w:firstLine="420" w:firstLineChars="200"/>
        <w:jc w:val="left"/>
        <w:rPr>
          <w:rFonts w:hint="eastAsia" w:ascii="宋体" w:hAnsi="宋体"/>
          <w:color w:val="000000"/>
          <w:highlight w:val="none"/>
        </w:rPr>
      </w:pPr>
      <w:r>
        <w:rPr>
          <w:rFonts w:hint="eastAsia" w:ascii="宋体" w:hAnsi="宋体"/>
          <w:color w:val="000000"/>
          <w:highlight w:val="none"/>
        </w:rPr>
        <w:t>综合单价包含的风险范围：除工程变更、项目特征不符、工程量清单缺项、工程量偏差、政策性调整、市场价格波动。</w:t>
      </w:r>
    </w:p>
    <w:p w14:paraId="6076E55C">
      <w:pPr>
        <w:spacing w:line="360" w:lineRule="exact"/>
        <w:ind w:firstLine="420" w:firstLineChars="200"/>
        <w:jc w:val="left"/>
        <w:rPr>
          <w:rFonts w:hint="eastAsia" w:ascii="宋体" w:hAnsi="宋体"/>
          <w:color w:val="000000"/>
          <w:highlight w:val="none"/>
        </w:rPr>
      </w:pPr>
      <w:r>
        <w:rPr>
          <w:rFonts w:hint="eastAsia" w:ascii="宋体" w:hAnsi="宋体"/>
          <w:color w:val="000000"/>
          <w:highlight w:val="none"/>
        </w:rPr>
        <w:t>风险范围以外合同价格的调整方法：</w:t>
      </w:r>
    </w:p>
    <w:p w14:paraId="7D11A31A">
      <w:pPr>
        <w:spacing w:line="360" w:lineRule="exact"/>
        <w:ind w:firstLine="420" w:firstLineChars="200"/>
        <w:jc w:val="left"/>
        <w:rPr>
          <w:rFonts w:hint="eastAsia" w:ascii="宋体" w:hAnsi="宋体"/>
          <w:color w:val="000000"/>
          <w:highlight w:val="none"/>
        </w:rPr>
      </w:pPr>
      <w:r>
        <w:rPr>
          <w:rFonts w:hint="eastAsia" w:ascii="宋体" w:hAnsi="宋体"/>
          <w:color w:val="000000"/>
          <w:highlight w:val="none"/>
        </w:rPr>
        <w:t>①工程变更、项目特征不符、工程量清单缺项：按10.4.1变更估价原则的约定调整。</w:t>
      </w:r>
    </w:p>
    <w:p w14:paraId="6D28FAC8">
      <w:pPr>
        <w:spacing w:line="360" w:lineRule="exact"/>
        <w:ind w:firstLine="420" w:firstLineChars="200"/>
        <w:jc w:val="left"/>
        <w:rPr>
          <w:rFonts w:hint="eastAsia" w:ascii="宋体" w:hAnsi="宋体"/>
          <w:color w:val="000000"/>
          <w:highlight w:val="none"/>
        </w:rPr>
      </w:pPr>
      <w:r>
        <w:rPr>
          <w:rFonts w:hint="eastAsia" w:ascii="宋体" w:hAnsi="宋体"/>
          <w:color w:val="000000"/>
          <w:highlight w:val="none"/>
        </w:rPr>
        <w:t>②工程量偏差：按1.13工程量清单错误修正的约定调整。</w:t>
      </w:r>
    </w:p>
    <w:p w14:paraId="6231A15C">
      <w:pPr>
        <w:spacing w:line="360" w:lineRule="exact"/>
        <w:ind w:firstLine="420" w:firstLineChars="200"/>
        <w:jc w:val="left"/>
        <w:rPr>
          <w:rFonts w:hint="eastAsia" w:ascii="宋体" w:hAnsi="宋体"/>
          <w:color w:val="000000"/>
          <w:highlight w:val="none"/>
        </w:rPr>
      </w:pPr>
      <w:r>
        <w:rPr>
          <w:rFonts w:hint="eastAsia" w:ascii="宋体" w:hAnsi="宋体"/>
          <w:color w:val="000000"/>
          <w:highlight w:val="none"/>
        </w:rPr>
        <w:t>③政策性调整：按国家、自治区住房城乡建设厅或工程所在地市级住房城乡建设主管部门颁布的文件执行。</w:t>
      </w:r>
    </w:p>
    <w:p w14:paraId="0ABA143C">
      <w:pPr>
        <w:spacing w:line="360" w:lineRule="exact"/>
        <w:ind w:firstLine="420" w:firstLineChars="200"/>
        <w:jc w:val="left"/>
        <w:rPr>
          <w:rFonts w:hint="eastAsia" w:ascii="宋体" w:hAnsi="宋体"/>
          <w:color w:val="000000"/>
          <w:highlight w:val="none"/>
        </w:rPr>
      </w:pPr>
      <w:r>
        <w:rPr>
          <w:rFonts w:hint="eastAsia" w:ascii="宋体" w:hAnsi="宋体"/>
          <w:color w:val="000000"/>
          <w:highlight w:val="none"/>
        </w:rPr>
        <w:t>④市场波动引起的调整：按11.1的约定调整。</w:t>
      </w:r>
    </w:p>
    <w:p w14:paraId="7398FA07">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 xml:space="preserve">⑤其它：                   </w:t>
      </w:r>
    </w:p>
    <w:p w14:paraId="338F40B3">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）总价合同。</w:t>
      </w:r>
    </w:p>
    <w:p w14:paraId="2C7DB809">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总价包含的风险范围：</w:t>
      </w:r>
      <w:r>
        <w:rPr>
          <w:rFonts w:hint="eastAsia" w:ascii="宋体" w:hAnsi="宋体"/>
          <w:color w:val="000000"/>
          <w:highlight w:val="none"/>
          <w:u w:val="single"/>
        </w:rPr>
        <w:t xml:space="preserve">  包含除工程变更、政策性调整、市场价格波动。除工程变更外，结算时不再对招标工程量清单对应的工程量重新计量  </w:t>
      </w:r>
      <w:r>
        <w:rPr>
          <w:rFonts w:hint="eastAsia" w:ascii="宋体" w:hAnsi="宋体"/>
          <w:color w:val="000000"/>
          <w:highlight w:val="none"/>
        </w:rPr>
        <w:t>。</w:t>
      </w:r>
    </w:p>
    <w:p w14:paraId="43A132E5">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风险范围以外合同价格的调整方法：</w:t>
      </w:r>
      <w:r>
        <w:rPr>
          <w:rFonts w:hint="eastAsia" w:ascii="宋体" w:hAnsi="宋体"/>
          <w:color w:val="000000"/>
          <w:highlight w:val="none"/>
          <w:u w:val="single"/>
        </w:rPr>
        <w:t xml:space="preserve">  /       </w:t>
      </w:r>
      <w:r>
        <w:rPr>
          <w:rFonts w:hint="eastAsia" w:ascii="宋体" w:hAnsi="宋体"/>
          <w:color w:val="000000"/>
          <w:highlight w:val="none"/>
        </w:rPr>
        <w:t>。</w:t>
      </w:r>
    </w:p>
    <w:p w14:paraId="1C9BDCBE">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）其他价格方式：</w:t>
      </w:r>
      <w:r>
        <w:rPr>
          <w:rFonts w:hint="eastAsia" w:ascii="宋体" w:hAnsi="宋体"/>
          <w:color w:val="000000"/>
          <w:highlight w:val="none"/>
          <w:u w:val="single"/>
        </w:rPr>
        <w:t xml:space="preserve">        /        </w:t>
      </w:r>
      <w:r>
        <w:rPr>
          <w:rFonts w:hint="eastAsia" w:ascii="宋体" w:hAnsi="宋体"/>
          <w:color w:val="000000"/>
          <w:highlight w:val="none"/>
        </w:rPr>
        <w:t>。</w:t>
      </w:r>
    </w:p>
    <w:p w14:paraId="737ED1CB">
      <w:pPr>
        <w:pStyle w:val="12"/>
        <w:spacing w:before="0" w:after="60"/>
        <w:rPr>
          <w:rFonts w:ascii="宋体" w:hAnsi="宋体"/>
          <w:color w:val="000000"/>
          <w:highlight w:val="none"/>
        </w:rPr>
      </w:pPr>
      <w:bookmarkStart w:id="727" w:name="_Toc108539830"/>
      <w:bookmarkStart w:id="728" w:name="_Toc487632750"/>
      <w:bookmarkStart w:id="729" w:name="_Toc25358"/>
      <w:bookmarkStart w:id="730" w:name="_Toc407135253"/>
      <w:r>
        <w:rPr>
          <w:rFonts w:ascii="宋体" w:hAnsi="宋体"/>
          <w:color w:val="000000"/>
          <w:highlight w:val="none"/>
        </w:rPr>
        <w:t xml:space="preserve">12.2 </w:t>
      </w:r>
      <w:r>
        <w:rPr>
          <w:rFonts w:hint="eastAsia" w:ascii="宋体" w:hAnsi="宋体"/>
          <w:color w:val="000000"/>
          <w:highlight w:val="none"/>
        </w:rPr>
        <w:t>预付款</w:t>
      </w:r>
      <w:bookmarkEnd w:id="727"/>
      <w:bookmarkEnd w:id="728"/>
      <w:bookmarkEnd w:id="729"/>
      <w:bookmarkEnd w:id="730"/>
    </w:p>
    <w:p w14:paraId="465F1EFF">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12.2.1 </w:t>
      </w:r>
      <w:r>
        <w:rPr>
          <w:rFonts w:hint="eastAsia" w:ascii="宋体" w:hAnsi="宋体"/>
          <w:color w:val="000000"/>
          <w:highlight w:val="none"/>
        </w:rPr>
        <w:t>预付款的支付</w:t>
      </w:r>
    </w:p>
    <w:p w14:paraId="37FC1197">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预付款支付比例或金额：</w:t>
      </w:r>
      <w:r>
        <w:rPr>
          <w:rFonts w:ascii="宋体" w:hAnsi="宋体"/>
          <w:color w:val="000000"/>
          <w:highlight w:val="none"/>
          <w:u w:val="single"/>
        </w:rPr>
        <w:t xml:space="preserve"> </w:t>
      </w:r>
      <w:r>
        <w:rPr>
          <w:rFonts w:hint="eastAsia" w:ascii="宋体" w:hAnsi="宋体"/>
          <w:color w:val="000000"/>
          <w:highlight w:val="none"/>
          <w:u w:val="single"/>
        </w:rPr>
        <w:t xml:space="preserve"> 按照签约合同价（扣除暂列金额、安全文明施工费）的</w:t>
      </w:r>
      <w:r>
        <w:rPr>
          <w:rFonts w:hint="eastAsia" w:ascii="宋体" w:hAnsi="宋体"/>
          <w:color w:val="000000"/>
          <w:highlight w:val="none"/>
          <w:u w:val="single"/>
          <w:lang w:val="en-US" w:eastAsia="zh-CN"/>
        </w:rPr>
        <w:t>10</w:t>
      </w:r>
      <w:r>
        <w:rPr>
          <w:rFonts w:hint="eastAsia" w:ascii="宋体" w:hAnsi="宋体"/>
          <w:color w:val="000000"/>
          <w:highlight w:val="none"/>
          <w:u w:val="single"/>
        </w:rPr>
        <w:t xml:space="preserve"> % </w:t>
      </w:r>
      <w:r>
        <w:rPr>
          <w:rFonts w:ascii="宋体" w:hAnsi="宋体"/>
          <w:color w:val="000000"/>
          <w:highlight w:val="none"/>
          <w:u w:val="single"/>
        </w:rPr>
        <w:t xml:space="preserve"> </w:t>
      </w:r>
      <w:r>
        <w:rPr>
          <w:rFonts w:hint="eastAsia" w:ascii="宋体" w:hAnsi="宋体"/>
          <w:color w:val="000000"/>
          <w:highlight w:val="none"/>
        </w:rPr>
        <w:t>。</w:t>
      </w:r>
    </w:p>
    <w:p w14:paraId="165E3A46">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预付款支付期限：</w:t>
      </w:r>
      <w:r>
        <w:rPr>
          <w:rFonts w:ascii="宋体" w:hAnsi="宋体"/>
          <w:color w:val="000000"/>
          <w:highlight w:val="none"/>
          <w:u w:val="single"/>
        </w:rPr>
        <w:t xml:space="preserve">  </w:t>
      </w:r>
      <w:r>
        <w:rPr>
          <w:rFonts w:hint="eastAsia" w:ascii="宋体" w:hAnsi="宋体"/>
          <w:color w:val="000000"/>
          <w:highlight w:val="none"/>
          <w:u w:val="single"/>
        </w:rPr>
        <w:t>签订合同并项目开工后</w:t>
      </w:r>
      <w:r>
        <w:rPr>
          <w:rFonts w:ascii="宋体" w:hAnsi="宋体"/>
          <w:color w:val="000000"/>
          <w:highlight w:val="none"/>
          <w:u w:val="single"/>
        </w:rPr>
        <w:t>10</w:t>
      </w:r>
      <w:r>
        <w:rPr>
          <w:rFonts w:hint="eastAsia" w:ascii="宋体" w:hAnsi="宋体"/>
          <w:color w:val="000000"/>
          <w:highlight w:val="none"/>
          <w:u w:val="single"/>
        </w:rPr>
        <w:t>个工作日之内，支付前须收到承包人递交的等额预付款保函</w:t>
      </w:r>
      <w:r>
        <w:rPr>
          <w:rFonts w:hint="eastAsia" w:ascii="宋体" w:hAnsi="宋体"/>
          <w:color w:val="000000"/>
          <w:highlight w:val="none"/>
        </w:rPr>
        <w:t>。</w:t>
      </w:r>
    </w:p>
    <w:p w14:paraId="7E313161">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预付款扣回的方式：</w:t>
      </w:r>
      <w:r>
        <w:rPr>
          <w:rFonts w:hint="eastAsia" w:ascii="宋体" w:hAnsi="宋体"/>
          <w:color w:val="000000"/>
          <w:highlight w:val="none"/>
          <w:u w:val="single"/>
          <w:lang w:eastAsia="zh-CN"/>
        </w:rPr>
        <w:t>支付第一次进度款时在进度款中扣回预付款的</w:t>
      </w:r>
      <w:r>
        <w:rPr>
          <w:rFonts w:hint="eastAsia" w:ascii="宋体" w:hAnsi="宋体"/>
          <w:color w:val="000000"/>
          <w:highlight w:val="none"/>
          <w:u w:val="single"/>
          <w:lang w:val="en-US" w:eastAsia="zh-CN"/>
        </w:rPr>
        <w:t>50%，支付第二次进度款时在进度款中扣回剩余50%的预付款。</w:t>
      </w:r>
    </w:p>
    <w:p w14:paraId="0D3766E8">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12.2.2 </w:t>
      </w:r>
      <w:r>
        <w:rPr>
          <w:rFonts w:hint="eastAsia" w:ascii="宋体" w:hAnsi="宋体"/>
          <w:color w:val="000000"/>
          <w:highlight w:val="none"/>
        </w:rPr>
        <w:t>预付款担保</w:t>
      </w:r>
    </w:p>
    <w:p w14:paraId="3E66E5FB">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承包人提交预付款担保的期限：</w:t>
      </w:r>
      <w:r>
        <w:rPr>
          <w:rFonts w:hint="eastAsia" w:ascii="宋体" w:hAnsi="宋体"/>
          <w:color w:val="000000"/>
          <w:highlight w:val="none"/>
          <w:u w:val="single"/>
        </w:rPr>
        <w:t>签订合同并项目开工后10个工作日之内</w:t>
      </w:r>
      <w:r>
        <w:rPr>
          <w:rFonts w:hint="eastAsia" w:ascii="宋体" w:hAnsi="宋体"/>
          <w:color w:val="000000"/>
          <w:highlight w:val="none"/>
        </w:rPr>
        <w:t>。</w:t>
      </w:r>
    </w:p>
    <w:p w14:paraId="3B7E8637">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预付款担保的形式为：</w:t>
      </w:r>
      <w:r>
        <w:rPr>
          <w:rFonts w:ascii="宋体" w:hAnsi="宋体"/>
          <w:color w:val="000000"/>
          <w:highlight w:val="none"/>
          <w:u w:val="single"/>
        </w:rPr>
        <w:t xml:space="preserve"> </w:t>
      </w:r>
      <w:r>
        <w:rPr>
          <w:rFonts w:hint="eastAsia" w:ascii="宋体" w:hAnsi="宋体"/>
          <w:color w:val="000000"/>
          <w:highlight w:val="none"/>
          <w:u w:val="single"/>
        </w:rPr>
        <w:t>可以是银行转账、电汇或网上支付、保函（银行保函、电子保函、保证保险保函、工程担保保函）等形式</w:t>
      </w:r>
      <w:r>
        <w:rPr>
          <w:rFonts w:ascii="宋体" w:hAnsi="宋体"/>
          <w:color w:val="000000"/>
          <w:highlight w:val="none"/>
          <w:u w:val="single"/>
        </w:rPr>
        <w:t xml:space="preserve"> </w:t>
      </w:r>
      <w:r>
        <w:rPr>
          <w:rFonts w:hint="eastAsia" w:ascii="宋体" w:hAnsi="宋体"/>
          <w:color w:val="000000"/>
          <w:highlight w:val="none"/>
          <w:u w:val="single"/>
          <w:lang w:eastAsia="zh-CN"/>
        </w:rPr>
        <w:t>，具体担保形式以双方商定为准</w:t>
      </w:r>
      <w:r>
        <w:rPr>
          <w:rFonts w:hint="eastAsia" w:ascii="宋体" w:hAnsi="宋体"/>
          <w:color w:val="000000"/>
          <w:highlight w:val="none"/>
        </w:rPr>
        <w:t>。</w:t>
      </w:r>
    </w:p>
    <w:p w14:paraId="0F2AA4E6">
      <w:pPr>
        <w:pStyle w:val="12"/>
        <w:spacing w:before="0" w:after="60"/>
        <w:rPr>
          <w:rFonts w:ascii="宋体" w:hAnsi="宋体"/>
          <w:color w:val="000000"/>
          <w:highlight w:val="none"/>
        </w:rPr>
      </w:pPr>
      <w:bookmarkStart w:id="731" w:name="_Toc373227751"/>
      <w:bookmarkStart w:id="732" w:name="_Toc407135254"/>
      <w:bookmarkStart w:id="733" w:name="_Toc2830"/>
      <w:bookmarkStart w:id="734" w:name="_Toc389065316"/>
      <w:bookmarkStart w:id="735" w:name="_Toc487632751"/>
      <w:bookmarkStart w:id="736" w:name="_Toc108539831"/>
      <w:bookmarkStart w:id="737" w:name="_Toc373478398"/>
      <w:r>
        <w:rPr>
          <w:rFonts w:ascii="宋体" w:hAnsi="宋体"/>
          <w:color w:val="000000"/>
          <w:highlight w:val="none"/>
        </w:rPr>
        <w:t xml:space="preserve">12.3 </w:t>
      </w:r>
      <w:r>
        <w:rPr>
          <w:rFonts w:hint="eastAsia" w:ascii="宋体" w:hAnsi="宋体"/>
          <w:color w:val="000000"/>
          <w:highlight w:val="none"/>
        </w:rPr>
        <w:t>计量</w:t>
      </w:r>
      <w:bookmarkEnd w:id="731"/>
      <w:bookmarkEnd w:id="732"/>
      <w:bookmarkEnd w:id="733"/>
      <w:bookmarkEnd w:id="734"/>
      <w:bookmarkEnd w:id="735"/>
      <w:bookmarkEnd w:id="736"/>
      <w:bookmarkEnd w:id="737"/>
    </w:p>
    <w:p w14:paraId="302A0D2A">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12.3.1 </w:t>
      </w:r>
      <w:r>
        <w:rPr>
          <w:rFonts w:hint="eastAsia" w:ascii="宋体" w:hAnsi="宋体"/>
          <w:color w:val="000000"/>
          <w:highlight w:val="none"/>
        </w:rPr>
        <w:t>计量原则</w:t>
      </w:r>
    </w:p>
    <w:p w14:paraId="6A34D3BE">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工程量计算规则：</w:t>
      </w:r>
      <w:r>
        <w:rPr>
          <w:rFonts w:hint="eastAsia" w:ascii="宋体" w:hAnsi="宋体"/>
          <w:color w:val="000000"/>
          <w:highlight w:val="none"/>
          <w:u w:val="single"/>
        </w:rPr>
        <w:t>工程的计量均以《建设工程工程量清单计价规范》（</w:t>
      </w:r>
      <w:r>
        <w:rPr>
          <w:rFonts w:ascii="宋体" w:hAnsi="宋体"/>
          <w:color w:val="000000"/>
          <w:highlight w:val="none"/>
          <w:u w:val="single"/>
        </w:rPr>
        <w:t>GB50500</w:t>
      </w:r>
      <w:r>
        <w:rPr>
          <w:rFonts w:hint="eastAsia" w:ascii="宋体" w:hAnsi="宋体"/>
          <w:color w:val="000000"/>
          <w:highlight w:val="none"/>
          <w:u w:val="single"/>
        </w:rPr>
        <w:t>－</w:t>
      </w:r>
      <w:r>
        <w:rPr>
          <w:rFonts w:ascii="宋体" w:hAnsi="宋体"/>
          <w:color w:val="000000"/>
          <w:highlight w:val="none"/>
          <w:u w:val="single"/>
        </w:rPr>
        <w:t>2013</w:t>
      </w:r>
      <w:r>
        <w:rPr>
          <w:rFonts w:hint="eastAsia" w:ascii="宋体" w:hAnsi="宋体"/>
          <w:color w:val="000000"/>
          <w:highlight w:val="none"/>
          <w:u w:val="single"/>
        </w:rPr>
        <w:t>）和及其广西壮族自治区实施细则、《建设工程工程量清单计算规范》（</w:t>
      </w:r>
      <w:r>
        <w:rPr>
          <w:rFonts w:ascii="宋体" w:hAnsi="宋体"/>
          <w:color w:val="000000"/>
          <w:highlight w:val="none"/>
          <w:u w:val="single"/>
        </w:rPr>
        <w:t>GB50854~50862</w:t>
      </w:r>
      <w:r>
        <w:rPr>
          <w:rFonts w:hint="eastAsia" w:ascii="宋体" w:hAnsi="宋体"/>
          <w:color w:val="000000"/>
          <w:highlight w:val="none"/>
          <w:u w:val="single"/>
        </w:rPr>
        <w:t>－</w:t>
      </w:r>
      <w:r>
        <w:rPr>
          <w:rFonts w:ascii="宋体" w:hAnsi="宋体"/>
          <w:color w:val="000000"/>
          <w:highlight w:val="none"/>
          <w:u w:val="single"/>
        </w:rPr>
        <w:t>2013</w:t>
      </w:r>
      <w:r>
        <w:rPr>
          <w:rFonts w:hint="eastAsia" w:ascii="宋体" w:hAnsi="宋体"/>
          <w:color w:val="000000"/>
          <w:highlight w:val="none"/>
          <w:u w:val="single"/>
        </w:rPr>
        <w:t>）、桂建标字[2019]10号《自治区住房城乡建设厅关于调整建设工程计价增值税税率的通知》及其广西实施细则、本工程补充项目清单为准。</w:t>
      </w:r>
    </w:p>
    <w:p w14:paraId="5BF744A7">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12.3.2 </w:t>
      </w:r>
      <w:r>
        <w:rPr>
          <w:rFonts w:hint="eastAsia" w:ascii="宋体" w:hAnsi="宋体"/>
          <w:color w:val="000000"/>
          <w:highlight w:val="none"/>
        </w:rPr>
        <w:t>计量周期</w:t>
      </w:r>
    </w:p>
    <w:p w14:paraId="772AE873">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关于计量周期的约定：</w:t>
      </w:r>
      <w:r>
        <w:rPr>
          <w:rFonts w:hint="eastAsia" w:ascii="宋体" w:hAnsi="宋体"/>
          <w:color w:val="000000"/>
          <w:highlight w:val="none"/>
          <w:u w:val="single"/>
        </w:rPr>
        <w:t>每月</w:t>
      </w:r>
      <w:r>
        <w:rPr>
          <w:rFonts w:ascii="宋体" w:hAnsi="宋体"/>
          <w:color w:val="000000"/>
          <w:highlight w:val="none"/>
          <w:u w:val="single"/>
        </w:rPr>
        <w:t>25</w:t>
      </w:r>
      <w:r>
        <w:rPr>
          <w:rFonts w:hint="eastAsia" w:ascii="宋体" w:hAnsi="宋体"/>
          <w:color w:val="000000"/>
          <w:highlight w:val="none"/>
          <w:u w:val="single"/>
        </w:rPr>
        <w:t>日前</w:t>
      </w:r>
      <w:r>
        <w:rPr>
          <w:rFonts w:hint="eastAsia" w:ascii="宋体" w:hAnsi="宋体"/>
          <w:color w:val="000000"/>
          <w:highlight w:val="none"/>
        </w:rPr>
        <w:t>。</w:t>
      </w:r>
    </w:p>
    <w:p w14:paraId="551CB8CF">
      <w:pPr>
        <w:spacing w:line="360" w:lineRule="auto"/>
        <w:ind w:firstLine="420" w:firstLineChars="200"/>
        <w:jc w:val="left"/>
        <w:outlineLvl w:val="0"/>
        <w:rPr>
          <w:rFonts w:ascii="宋体" w:hAnsi="宋体"/>
          <w:color w:val="000000"/>
          <w:highlight w:val="none"/>
        </w:rPr>
      </w:pPr>
      <w:bookmarkStart w:id="738" w:name="_Toc108539832"/>
      <w:bookmarkStart w:id="739" w:name="_Toc1235"/>
      <w:bookmarkStart w:id="740" w:name="_Toc22735"/>
      <w:r>
        <w:rPr>
          <w:rFonts w:ascii="宋体" w:hAnsi="宋体"/>
          <w:color w:val="000000"/>
          <w:highlight w:val="none"/>
        </w:rPr>
        <w:t xml:space="preserve">12.3.3 </w:t>
      </w:r>
      <w:r>
        <w:rPr>
          <w:rFonts w:hint="eastAsia" w:ascii="宋体" w:hAnsi="宋体"/>
          <w:color w:val="000000"/>
          <w:highlight w:val="none"/>
        </w:rPr>
        <w:t>单价合同的计量</w:t>
      </w:r>
      <w:bookmarkEnd w:id="738"/>
      <w:bookmarkEnd w:id="739"/>
      <w:bookmarkEnd w:id="740"/>
    </w:p>
    <w:p w14:paraId="77AB8BBE">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关于单价合同计量的约定：</w:t>
      </w:r>
    </w:p>
    <w:p w14:paraId="5CD18262">
      <w:pPr>
        <w:spacing w:line="360" w:lineRule="auto"/>
        <w:ind w:firstLine="441" w:firstLineChars="210"/>
        <w:rPr>
          <w:rFonts w:ascii="宋体" w:hAnsi="宋体"/>
          <w:color w:val="000000"/>
          <w:highlight w:val="none"/>
        </w:rPr>
      </w:pPr>
      <w:r>
        <w:rPr>
          <w:rFonts w:ascii="宋体" w:hAnsi="宋体"/>
          <w:color w:val="000000"/>
          <w:highlight w:val="none"/>
        </w:rPr>
        <w:t xml:space="preserve">(1) </w:t>
      </w:r>
      <w:r>
        <w:rPr>
          <w:rFonts w:hint="eastAsia" w:ascii="宋体" w:hAnsi="宋体"/>
          <w:color w:val="000000"/>
          <w:highlight w:val="none"/>
        </w:rPr>
        <w:t>工程量清单所列的工程量，不能作为承包人按合同履行其责任依据，实际施工中发生的工程量增加或减少并不影响承包人履行合同的责任，工程结算以完成的实际工程量为准。</w:t>
      </w:r>
    </w:p>
    <w:p w14:paraId="72BBA6AA">
      <w:pPr>
        <w:spacing w:line="360" w:lineRule="auto"/>
        <w:ind w:firstLine="441" w:firstLineChars="210"/>
        <w:rPr>
          <w:rFonts w:ascii="宋体" w:hAnsi="宋体"/>
          <w:color w:val="000000"/>
          <w:highlight w:val="none"/>
        </w:rPr>
      </w:pPr>
      <w:r>
        <w:rPr>
          <w:rFonts w:ascii="宋体" w:hAnsi="宋体"/>
          <w:color w:val="000000"/>
          <w:highlight w:val="none"/>
        </w:rPr>
        <w:t xml:space="preserve">(2) </w:t>
      </w:r>
      <w:r>
        <w:rPr>
          <w:rFonts w:hint="eastAsia" w:ascii="宋体" w:hAnsi="宋体"/>
          <w:color w:val="000000"/>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7E10D900">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12.3.4 </w:t>
      </w:r>
      <w:r>
        <w:rPr>
          <w:rFonts w:hint="eastAsia" w:ascii="宋体" w:hAnsi="宋体"/>
          <w:color w:val="000000"/>
          <w:highlight w:val="none"/>
        </w:rPr>
        <w:t>总价合同的计量</w:t>
      </w:r>
    </w:p>
    <w:p w14:paraId="5927FC61">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关于总价合同计量的约定：除工程变更外，原图纸范围内的工程量不得按实计量。进度款按支付分解表支付，按通用条款第</w:t>
      </w:r>
      <w:r>
        <w:rPr>
          <w:rFonts w:ascii="宋体" w:hAnsi="宋体"/>
          <w:color w:val="000000"/>
          <w:kern w:val="0"/>
          <w:highlight w:val="none"/>
        </w:rPr>
        <w:t>12.3.4</w:t>
      </w:r>
      <w:r>
        <w:rPr>
          <w:rFonts w:hint="eastAsia" w:ascii="宋体" w:hAnsi="宋体"/>
          <w:color w:val="000000"/>
          <w:highlight w:val="none"/>
        </w:rPr>
        <w:t>项</w:t>
      </w:r>
      <w:r>
        <w:rPr>
          <w:rFonts w:hint="eastAsia" w:ascii="宋体" w:hAnsi="宋体"/>
          <w:color w:val="000000"/>
          <w:kern w:val="0"/>
          <w:highlight w:val="none"/>
        </w:rPr>
        <w:t>〔总价合同的计量〕</w:t>
      </w:r>
      <w:r>
        <w:rPr>
          <w:rFonts w:hint="eastAsia" w:ascii="宋体" w:hAnsi="宋体"/>
          <w:color w:val="000000"/>
          <w:highlight w:val="none"/>
        </w:rPr>
        <w:t>约定进行计量，但</w:t>
      </w:r>
      <w:r>
        <w:rPr>
          <w:rFonts w:hint="eastAsia" w:ascii="宋体" w:hAnsi="宋体"/>
          <w:color w:val="000000"/>
          <w:kern w:val="0"/>
          <w:highlight w:val="none"/>
        </w:rPr>
        <w:t>合同价款按照支付分解表进行支付。</w:t>
      </w:r>
    </w:p>
    <w:p w14:paraId="202A294D">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12.3.6 </w:t>
      </w:r>
      <w:r>
        <w:rPr>
          <w:rFonts w:hint="eastAsia" w:ascii="宋体" w:hAnsi="宋体"/>
          <w:color w:val="000000"/>
          <w:highlight w:val="none"/>
        </w:rPr>
        <w:t>其他价格形式合同的计量</w:t>
      </w:r>
    </w:p>
    <w:p w14:paraId="73D0CE3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其他价格形式的计量方式和程序：</w:t>
      </w:r>
      <w:r>
        <w:rPr>
          <w:rFonts w:hint="eastAsia" w:ascii="宋体" w:hAnsi="宋体"/>
          <w:color w:val="000000"/>
          <w:highlight w:val="none"/>
          <w:u w:val="single"/>
        </w:rPr>
        <w:t xml:space="preserve">   /  。</w:t>
      </w:r>
    </w:p>
    <w:p w14:paraId="4F385215">
      <w:pPr>
        <w:pStyle w:val="12"/>
        <w:spacing w:after="60"/>
        <w:rPr>
          <w:rFonts w:ascii="宋体" w:hAnsi="宋体"/>
          <w:color w:val="000000"/>
          <w:highlight w:val="none"/>
        </w:rPr>
      </w:pPr>
      <w:bookmarkStart w:id="741" w:name="_Toc407135255"/>
      <w:bookmarkStart w:id="742" w:name="_Toc487632752"/>
      <w:bookmarkStart w:id="743" w:name="_Toc7658"/>
      <w:bookmarkStart w:id="744" w:name="_Toc108539833"/>
      <w:bookmarkStart w:id="745" w:name="_Toc373478399"/>
      <w:bookmarkStart w:id="746" w:name="_Toc373227752"/>
      <w:bookmarkStart w:id="747" w:name="_Toc389065317"/>
      <w:r>
        <w:rPr>
          <w:rFonts w:ascii="宋体" w:hAnsi="宋体"/>
          <w:color w:val="000000"/>
          <w:highlight w:val="none"/>
        </w:rPr>
        <w:t xml:space="preserve">12.4 </w:t>
      </w:r>
      <w:r>
        <w:rPr>
          <w:rFonts w:hint="eastAsia" w:ascii="宋体" w:hAnsi="宋体"/>
          <w:color w:val="000000"/>
          <w:highlight w:val="none"/>
        </w:rPr>
        <w:t>工程进度款支付</w:t>
      </w:r>
      <w:bookmarkEnd w:id="741"/>
      <w:bookmarkEnd w:id="742"/>
      <w:bookmarkEnd w:id="743"/>
      <w:bookmarkEnd w:id="744"/>
      <w:bookmarkEnd w:id="745"/>
      <w:bookmarkEnd w:id="746"/>
      <w:bookmarkEnd w:id="747"/>
    </w:p>
    <w:p w14:paraId="1AFD6112">
      <w:pPr>
        <w:spacing w:after="60" w:line="360" w:lineRule="auto"/>
        <w:ind w:firstLine="420" w:firstLineChars="200"/>
        <w:jc w:val="left"/>
        <w:rPr>
          <w:rFonts w:ascii="宋体" w:hAnsi="宋体"/>
          <w:color w:val="000000"/>
          <w:highlight w:val="none"/>
        </w:rPr>
      </w:pPr>
      <w:r>
        <w:rPr>
          <w:rFonts w:ascii="宋体" w:hAnsi="宋体"/>
          <w:color w:val="000000"/>
          <w:highlight w:val="none"/>
        </w:rPr>
        <w:t xml:space="preserve">12.4.1 </w:t>
      </w:r>
      <w:r>
        <w:rPr>
          <w:rFonts w:hint="eastAsia" w:ascii="宋体" w:hAnsi="宋体"/>
          <w:color w:val="000000"/>
          <w:highlight w:val="none"/>
        </w:rPr>
        <w:t>付款周期</w:t>
      </w:r>
    </w:p>
    <w:p w14:paraId="421018ED">
      <w:pPr>
        <w:spacing w:line="360" w:lineRule="auto"/>
        <w:ind w:firstLine="420" w:firstLineChars="200"/>
        <w:rPr>
          <w:rFonts w:ascii="宋体" w:hAnsi="宋体"/>
          <w:color w:val="000000"/>
          <w:kern w:val="1"/>
          <w:highlight w:val="none"/>
        </w:rPr>
      </w:pPr>
      <w:r>
        <w:rPr>
          <w:rFonts w:ascii="宋体" w:hAnsi="宋体"/>
          <w:color w:val="000000"/>
          <w:kern w:val="1"/>
          <w:highlight w:val="none"/>
        </w:rPr>
        <w:t>关于付款周期的约定：</w:t>
      </w:r>
      <w:r>
        <w:rPr>
          <w:rFonts w:hint="eastAsia" w:ascii="宋体" w:hAnsi="宋体"/>
          <w:color w:val="000000"/>
          <w:kern w:val="1"/>
          <w:highlight w:val="none"/>
        </w:rPr>
        <w:t>进度款原则上按月支付，按工程进度造价的80%支付工程进度款，工程完工并通过各方验收合格由建设单位按相关要求委托第三方造价单位评审审定结算价后30天内支付至结算总价的97%，余下3%的工程款待缺陷责任期满项目不存在质量问题、承包人不存在任何违约情形之日起30日内不计息付清。缺陷责任期内，如工程出现质量问题，致使发包人受损的，发包人有权从余下工程款中扣除并要求承包人承担赔偿责任。</w:t>
      </w:r>
    </w:p>
    <w:p w14:paraId="7E6BB2D1">
      <w:pPr>
        <w:spacing w:line="360" w:lineRule="auto"/>
        <w:ind w:firstLine="420" w:firstLineChars="200"/>
        <w:rPr>
          <w:rFonts w:hint="eastAsia" w:ascii="宋体" w:hAnsi="宋体"/>
          <w:color w:val="000000"/>
          <w:highlight w:val="none"/>
        </w:rPr>
      </w:pPr>
      <w:r>
        <w:rPr>
          <w:rFonts w:hint="eastAsia" w:ascii="宋体" w:hAnsi="宋体"/>
          <w:color w:val="000000"/>
          <w:highlight w:val="none"/>
        </w:rPr>
        <w:t>在支付预付款前，承包人应（1.缴纳工程款的2％作为农民工工资保障金到人社局劳动监察大队；2.购买项目意外险，要有对应发票。）</w:t>
      </w:r>
    </w:p>
    <w:p w14:paraId="642E96AE">
      <w:pPr>
        <w:pStyle w:val="44"/>
        <w:spacing w:line="360" w:lineRule="auto"/>
        <w:ind w:firstLine="420" w:firstLineChars="200"/>
        <w:rPr>
          <w:rFonts w:hAnsi="宋体"/>
          <w:color w:val="000000"/>
          <w:highlight w:val="none"/>
        </w:rPr>
      </w:pPr>
      <w:r>
        <w:rPr>
          <w:rFonts w:hAnsi="宋体"/>
          <w:color w:val="000000"/>
          <w:highlight w:val="none"/>
        </w:rPr>
        <w:t>在申请支付工程款时，承包人必须提供增值税发票，如本市以外的承包人，还须提供加盖有项目所在地税务机关业务专用章并注明增值税发票和交款书号码的《增值税预缴税款表》。</w:t>
      </w:r>
    </w:p>
    <w:p w14:paraId="65AA1902">
      <w:pPr>
        <w:pStyle w:val="44"/>
        <w:spacing w:line="360" w:lineRule="auto"/>
        <w:ind w:firstLine="420" w:firstLineChars="200"/>
        <w:rPr>
          <w:rFonts w:hAnsi="宋体"/>
          <w:color w:val="000000"/>
          <w:highlight w:val="none"/>
        </w:rPr>
      </w:pPr>
      <w:r>
        <w:rPr>
          <w:rFonts w:hAnsi="宋体"/>
          <w:color w:val="000000"/>
          <w:highlight w:val="none"/>
        </w:rPr>
        <w:t>12.4.2 进度付款申请单的编制</w:t>
      </w:r>
    </w:p>
    <w:p w14:paraId="0D743473">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关于进度付款申请单编制的约定：</w:t>
      </w:r>
      <w:r>
        <w:rPr>
          <w:rFonts w:hint="eastAsia" w:ascii="宋体" w:hAnsi="宋体"/>
          <w:color w:val="000000"/>
          <w:highlight w:val="none"/>
          <w:u w:val="single"/>
        </w:rPr>
        <w:t>按通用条款执行</w:t>
      </w:r>
      <w:r>
        <w:rPr>
          <w:rFonts w:hint="eastAsia" w:ascii="宋体" w:hAnsi="宋体"/>
          <w:color w:val="000000"/>
          <w:highlight w:val="none"/>
        </w:rPr>
        <w:t>。</w:t>
      </w:r>
    </w:p>
    <w:p w14:paraId="0117B2BA">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12.4.3 </w:t>
      </w:r>
      <w:r>
        <w:rPr>
          <w:rFonts w:hint="eastAsia" w:ascii="宋体" w:hAnsi="宋体"/>
          <w:color w:val="000000"/>
          <w:highlight w:val="none"/>
        </w:rPr>
        <w:t>进度付款申请单的提交</w:t>
      </w:r>
    </w:p>
    <w:p w14:paraId="4C4453B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）单价合同进度付款申请单提交的约定：</w:t>
      </w:r>
      <w:r>
        <w:rPr>
          <w:rFonts w:hint="eastAsia" w:ascii="宋体" w:hAnsi="宋体"/>
          <w:color w:val="000000"/>
          <w:highlight w:val="none"/>
          <w:u w:val="single"/>
        </w:rPr>
        <w:t>按通用条款执行</w:t>
      </w:r>
      <w:r>
        <w:rPr>
          <w:rFonts w:hint="eastAsia" w:ascii="宋体" w:hAnsi="宋体"/>
          <w:color w:val="000000"/>
          <w:highlight w:val="none"/>
        </w:rPr>
        <w:t>。</w:t>
      </w:r>
    </w:p>
    <w:p w14:paraId="58FEC9D2">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）总价合同进度付款申请单提交的约定：</w:t>
      </w:r>
      <w:r>
        <w:rPr>
          <w:rFonts w:hint="eastAsia" w:ascii="宋体" w:hAnsi="宋体"/>
          <w:color w:val="000000"/>
          <w:highlight w:val="none"/>
          <w:u w:val="single"/>
        </w:rPr>
        <w:t xml:space="preserve">       /            </w:t>
      </w:r>
      <w:r>
        <w:rPr>
          <w:rFonts w:hint="eastAsia" w:ascii="宋体" w:hAnsi="宋体"/>
          <w:color w:val="000000"/>
          <w:highlight w:val="none"/>
        </w:rPr>
        <w:t>。</w:t>
      </w:r>
    </w:p>
    <w:p w14:paraId="2EF8B29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）其他价格形式合同进度付款申请单提交的约定：</w:t>
      </w:r>
      <w:r>
        <w:rPr>
          <w:rFonts w:hint="eastAsia" w:ascii="宋体" w:hAnsi="宋体"/>
          <w:color w:val="000000"/>
          <w:highlight w:val="none"/>
          <w:u w:val="single"/>
        </w:rPr>
        <w:t xml:space="preserve">      /           </w:t>
      </w:r>
      <w:r>
        <w:rPr>
          <w:rFonts w:hint="eastAsia" w:ascii="宋体" w:hAnsi="宋体"/>
          <w:color w:val="000000"/>
          <w:highlight w:val="none"/>
        </w:rPr>
        <w:t>。</w:t>
      </w:r>
    </w:p>
    <w:p w14:paraId="1C3327C6">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12.4.4 </w:t>
      </w:r>
      <w:r>
        <w:rPr>
          <w:rFonts w:hint="eastAsia" w:ascii="宋体" w:hAnsi="宋体"/>
          <w:color w:val="000000"/>
          <w:highlight w:val="none"/>
        </w:rPr>
        <w:t>进度款审核和支付</w:t>
      </w:r>
    </w:p>
    <w:p w14:paraId="78BFCC4B">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）监理人审查并报送发包人的期限：</w:t>
      </w:r>
      <w:r>
        <w:rPr>
          <w:rFonts w:hint="eastAsia" w:ascii="宋体" w:hAnsi="宋体"/>
          <w:color w:val="000000"/>
          <w:highlight w:val="none"/>
          <w:u w:val="single"/>
        </w:rPr>
        <w:t>收到申请单后7天内</w:t>
      </w:r>
      <w:r>
        <w:rPr>
          <w:rFonts w:hint="eastAsia" w:ascii="宋体" w:hAnsi="宋体"/>
          <w:color w:val="000000"/>
          <w:highlight w:val="none"/>
        </w:rPr>
        <w:t>。</w:t>
      </w:r>
    </w:p>
    <w:p w14:paraId="1523502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发包人完成审批并签发进度款支付证书的期限：</w:t>
      </w:r>
      <w:r>
        <w:rPr>
          <w:rFonts w:hint="eastAsia" w:ascii="宋体" w:hAnsi="宋体"/>
          <w:color w:val="000000"/>
          <w:highlight w:val="none"/>
          <w:u w:val="single"/>
        </w:rPr>
        <w:t>收到监理人的审核单后15个工作日内审批完毕，呈政府职能部门审定（如有）。收到政府部门的审定意见书后签发进度款支付证书</w:t>
      </w:r>
      <w:r>
        <w:rPr>
          <w:rFonts w:hint="eastAsia" w:ascii="宋体" w:hAnsi="宋体"/>
          <w:color w:val="000000"/>
          <w:highlight w:val="none"/>
        </w:rPr>
        <w:t>。</w:t>
      </w:r>
    </w:p>
    <w:p w14:paraId="2F448FA7">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）发包人支付进度款：</w:t>
      </w:r>
      <w:r>
        <w:rPr>
          <w:rFonts w:hint="eastAsia" w:ascii="宋体" w:hAnsi="宋体"/>
          <w:color w:val="000000"/>
          <w:highlight w:val="none"/>
          <w:u w:val="single"/>
        </w:rPr>
        <w:t>承包人提交发票后</w:t>
      </w:r>
      <w:r>
        <w:rPr>
          <w:rFonts w:hint="eastAsia" w:ascii="宋体" w:hAnsi="宋体"/>
          <w:color w:val="000000"/>
          <w:highlight w:val="none"/>
        </w:rPr>
        <w:t>。</w:t>
      </w:r>
    </w:p>
    <w:p w14:paraId="28B65352">
      <w:pPr>
        <w:spacing w:line="360" w:lineRule="auto"/>
        <w:ind w:firstLine="525" w:firstLineChars="250"/>
        <w:jc w:val="left"/>
        <w:rPr>
          <w:rFonts w:hint="eastAsia" w:ascii="宋体" w:hAnsi="宋体"/>
          <w:color w:val="000000"/>
          <w:highlight w:val="none"/>
        </w:rPr>
      </w:pPr>
      <w:r>
        <w:rPr>
          <w:rFonts w:hint="eastAsia" w:ascii="宋体" w:hAnsi="宋体"/>
          <w:color w:val="000000"/>
          <w:highlight w:val="none"/>
        </w:rPr>
        <w:t>发包人逾期支付进度款的违约金的计算方式：</w:t>
      </w:r>
      <w:r>
        <w:rPr>
          <w:rFonts w:hint="eastAsia" w:ascii="宋体" w:hAnsi="宋体"/>
          <w:color w:val="000000"/>
          <w:highlight w:val="none"/>
          <w:u w:val="single"/>
        </w:rPr>
        <w:t>按逾期应付工程款进度款计算违约金，每延误一天</w:t>
      </w:r>
      <w:r>
        <w:rPr>
          <w:rFonts w:ascii="宋体" w:hAnsi="宋体"/>
          <w:color w:val="000000"/>
          <w:highlight w:val="none"/>
          <w:u w:val="single"/>
        </w:rPr>
        <w:t>,</w:t>
      </w:r>
      <w:r>
        <w:rPr>
          <w:rFonts w:hint="eastAsia" w:ascii="宋体" w:hAnsi="宋体"/>
          <w:color w:val="000000"/>
          <w:highlight w:val="none"/>
          <w:u w:val="single"/>
        </w:rPr>
        <w:t>按逾期应付工程款进度款的</w:t>
      </w:r>
      <w:r>
        <w:rPr>
          <w:rFonts w:hint="eastAsia" w:ascii="宋体" w:hAnsi="宋体"/>
          <w:b/>
          <w:color w:val="000000"/>
          <w:highlight w:val="none"/>
          <w:u w:val="single"/>
        </w:rPr>
        <w:t>万</w:t>
      </w:r>
      <w:r>
        <w:rPr>
          <w:rFonts w:hint="eastAsia" w:ascii="宋体" w:hAnsi="宋体"/>
          <w:b/>
          <w:bCs/>
          <w:color w:val="000000"/>
          <w:highlight w:val="none"/>
          <w:u w:val="single"/>
        </w:rPr>
        <w:t>分之五</w:t>
      </w:r>
      <w:r>
        <w:rPr>
          <w:rFonts w:hint="eastAsia" w:ascii="宋体" w:hAnsi="宋体"/>
          <w:color w:val="000000"/>
          <w:highlight w:val="none"/>
          <w:u w:val="single"/>
        </w:rPr>
        <w:t>计算违约金</w:t>
      </w:r>
      <w:r>
        <w:rPr>
          <w:rFonts w:ascii="宋体" w:hAnsi="宋体"/>
          <w:color w:val="000000"/>
          <w:highlight w:val="none"/>
          <w:u w:val="single"/>
        </w:rPr>
        <w:t>,</w:t>
      </w:r>
      <w:r>
        <w:rPr>
          <w:rFonts w:hint="eastAsia" w:ascii="宋体" w:hAnsi="宋体"/>
          <w:color w:val="000000"/>
          <w:highlight w:val="none"/>
          <w:u w:val="single"/>
        </w:rPr>
        <w:t>违约金累计最高不超过总结算造价的5%</w:t>
      </w:r>
      <w:r>
        <w:rPr>
          <w:rFonts w:hint="eastAsia" w:ascii="宋体" w:hAnsi="宋体"/>
          <w:color w:val="000000"/>
          <w:highlight w:val="none"/>
        </w:rPr>
        <w:t>。</w:t>
      </w:r>
    </w:p>
    <w:p w14:paraId="0E3840B0">
      <w:pPr>
        <w:spacing w:line="360" w:lineRule="auto"/>
        <w:ind w:firstLine="525" w:firstLineChars="250"/>
        <w:jc w:val="left"/>
        <w:rPr>
          <w:rFonts w:hint="eastAsia" w:ascii="宋体" w:hAnsi="宋体"/>
          <w:color w:val="000000"/>
          <w:highlight w:val="none"/>
        </w:rPr>
      </w:pPr>
      <w:r>
        <w:rPr>
          <w:rFonts w:hint="eastAsia" w:ascii="宋体" w:hAnsi="宋体"/>
          <w:color w:val="000000"/>
          <w:highlight w:val="none"/>
        </w:rPr>
        <w:t>进度款支付方式：</w:t>
      </w:r>
      <w:r>
        <w:rPr>
          <w:rFonts w:hint="eastAsia" w:ascii="宋体" w:hAnsi="宋体"/>
          <w:color w:val="000000"/>
          <w:highlight w:val="none"/>
          <w:u w:val="single"/>
        </w:rPr>
        <w:t>银行转账</w:t>
      </w:r>
      <w:r>
        <w:rPr>
          <w:rFonts w:hint="eastAsia" w:ascii="宋体" w:hAnsi="宋体"/>
          <w:color w:val="000000"/>
          <w:highlight w:val="none"/>
        </w:rPr>
        <w:t>。</w:t>
      </w:r>
    </w:p>
    <w:p w14:paraId="3F8BC20C">
      <w:pPr>
        <w:spacing w:line="360" w:lineRule="auto"/>
        <w:ind w:firstLine="525" w:firstLineChars="250"/>
        <w:jc w:val="left"/>
        <w:rPr>
          <w:rFonts w:ascii="宋体" w:hAnsi="宋体"/>
          <w:color w:val="000000"/>
          <w:highlight w:val="none"/>
        </w:rPr>
      </w:pPr>
      <w:r>
        <w:rPr>
          <w:rFonts w:ascii="宋体" w:hAnsi="宋体"/>
          <w:color w:val="000000"/>
          <w:highlight w:val="none"/>
        </w:rPr>
        <w:t xml:space="preserve">12.4.6 </w:t>
      </w:r>
      <w:r>
        <w:rPr>
          <w:rFonts w:hint="eastAsia" w:ascii="宋体" w:hAnsi="宋体"/>
          <w:color w:val="000000"/>
          <w:highlight w:val="none"/>
        </w:rPr>
        <w:t>支付分解表的编制</w:t>
      </w:r>
    </w:p>
    <w:p w14:paraId="71E69E54">
      <w:pPr>
        <w:spacing w:line="360" w:lineRule="auto"/>
        <w:ind w:firstLine="525" w:firstLineChars="250"/>
        <w:jc w:val="left"/>
        <w:rPr>
          <w:rFonts w:ascii="宋体" w:hAnsi="宋体"/>
          <w:color w:val="000000"/>
          <w:highlight w:val="none"/>
        </w:rPr>
      </w:pPr>
      <w:r>
        <w:rPr>
          <w:rFonts w:ascii="宋体" w:hAnsi="宋体"/>
          <w:color w:val="000000"/>
          <w:highlight w:val="none"/>
        </w:rPr>
        <w:t xml:space="preserve">2. </w:t>
      </w:r>
      <w:r>
        <w:rPr>
          <w:rFonts w:hint="eastAsia" w:ascii="宋体" w:hAnsi="宋体"/>
          <w:color w:val="000000"/>
          <w:highlight w:val="none"/>
        </w:rPr>
        <w:t>总价合同支付分解表的编制与审批：。</w:t>
      </w:r>
    </w:p>
    <w:p w14:paraId="10EDB0DE">
      <w:pPr>
        <w:spacing w:after="60" w:line="360" w:lineRule="auto"/>
        <w:ind w:firstLine="525" w:firstLineChars="250"/>
        <w:jc w:val="left"/>
        <w:rPr>
          <w:rFonts w:ascii="宋体" w:hAnsi="宋体"/>
          <w:color w:val="000000"/>
          <w:highlight w:val="none"/>
        </w:rPr>
      </w:pPr>
      <w:r>
        <w:rPr>
          <w:rFonts w:ascii="宋体" w:hAnsi="宋体"/>
          <w:color w:val="000000"/>
          <w:highlight w:val="none"/>
        </w:rPr>
        <w:t xml:space="preserve">3. </w:t>
      </w:r>
      <w:r>
        <w:rPr>
          <w:rFonts w:hint="eastAsia" w:ascii="宋体" w:hAnsi="宋体"/>
          <w:color w:val="000000"/>
          <w:highlight w:val="none"/>
        </w:rPr>
        <w:t>单价合同的总价项目支付分解表的编制与审批：总价项目不采用支付分解表的方式计算，而按《建设工程工程量清单计价规范（</w:t>
      </w:r>
      <w:r>
        <w:rPr>
          <w:rFonts w:ascii="宋体" w:hAnsi="宋体"/>
          <w:color w:val="000000"/>
          <w:highlight w:val="none"/>
        </w:rPr>
        <w:t>GB50500-2013</w:t>
      </w:r>
      <w:r>
        <w:rPr>
          <w:rFonts w:hint="eastAsia" w:ascii="宋体" w:hAnsi="宋体"/>
          <w:color w:val="000000"/>
          <w:highlight w:val="none"/>
        </w:rPr>
        <w:t>）广西壮族自治区实施细则》的规定执行。</w:t>
      </w:r>
    </w:p>
    <w:p w14:paraId="282D6A2C">
      <w:pPr>
        <w:pStyle w:val="11"/>
        <w:spacing w:after="60"/>
        <w:rPr>
          <w:rFonts w:ascii="宋体" w:hAnsi="宋体" w:eastAsia="宋体"/>
          <w:color w:val="000000"/>
          <w:highlight w:val="none"/>
        </w:rPr>
      </w:pPr>
      <w:bookmarkStart w:id="748" w:name="_Toc108539834"/>
      <w:bookmarkStart w:id="749" w:name="_Toc27745"/>
      <w:r>
        <w:rPr>
          <w:rFonts w:ascii="宋体" w:hAnsi="宋体" w:eastAsia="宋体"/>
          <w:color w:val="000000"/>
          <w:highlight w:val="none"/>
        </w:rPr>
        <w:t xml:space="preserve">13. </w:t>
      </w:r>
      <w:r>
        <w:rPr>
          <w:rFonts w:hint="eastAsia" w:ascii="宋体" w:hAnsi="宋体" w:eastAsia="宋体"/>
          <w:color w:val="000000"/>
          <w:highlight w:val="none"/>
        </w:rPr>
        <w:t>验收和工程试车</w:t>
      </w:r>
      <w:bookmarkEnd w:id="748"/>
      <w:bookmarkEnd w:id="749"/>
    </w:p>
    <w:p w14:paraId="43C13951">
      <w:pPr>
        <w:pStyle w:val="12"/>
        <w:spacing w:before="0" w:after="60"/>
        <w:rPr>
          <w:rFonts w:ascii="宋体" w:hAnsi="宋体"/>
          <w:color w:val="000000"/>
          <w:highlight w:val="none"/>
        </w:rPr>
      </w:pPr>
      <w:bookmarkStart w:id="750" w:name="_Toc407135257"/>
      <w:bookmarkStart w:id="751" w:name="_Toc373227754"/>
      <w:bookmarkStart w:id="752" w:name="_Toc27895"/>
      <w:bookmarkStart w:id="753" w:name="_Toc108539835"/>
      <w:bookmarkStart w:id="754" w:name="_Toc389065319"/>
      <w:bookmarkStart w:id="755" w:name="_Toc373478401"/>
      <w:bookmarkStart w:id="756" w:name="_Toc487632754"/>
      <w:r>
        <w:rPr>
          <w:rFonts w:ascii="宋体" w:hAnsi="宋体"/>
          <w:color w:val="000000"/>
          <w:highlight w:val="none"/>
        </w:rPr>
        <w:t xml:space="preserve">13.1 </w:t>
      </w:r>
      <w:r>
        <w:rPr>
          <w:rFonts w:hint="eastAsia" w:ascii="宋体" w:hAnsi="宋体"/>
          <w:color w:val="000000"/>
          <w:highlight w:val="none"/>
        </w:rPr>
        <w:t>分部分项工程验收</w:t>
      </w:r>
      <w:bookmarkEnd w:id="750"/>
      <w:bookmarkEnd w:id="751"/>
      <w:bookmarkEnd w:id="752"/>
      <w:bookmarkEnd w:id="753"/>
      <w:bookmarkEnd w:id="754"/>
      <w:bookmarkEnd w:id="755"/>
      <w:bookmarkEnd w:id="756"/>
    </w:p>
    <w:p w14:paraId="71D13D42">
      <w:pPr>
        <w:spacing w:line="360" w:lineRule="auto"/>
        <w:ind w:firstLine="420" w:firstLineChars="200"/>
        <w:jc w:val="left"/>
        <w:rPr>
          <w:rFonts w:ascii="宋体" w:hAnsi="宋体"/>
          <w:color w:val="000000"/>
          <w:highlight w:val="none"/>
        </w:rPr>
      </w:pPr>
      <w:r>
        <w:rPr>
          <w:rFonts w:ascii="宋体" w:hAnsi="宋体"/>
          <w:color w:val="000000"/>
          <w:highlight w:val="none"/>
        </w:rPr>
        <w:t>13.1.2</w:t>
      </w:r>
      <w:r>
        <w:rPr>
          <w:rFonts w:hint="eastAsia" w:ascii="宋体" w:hAnsi="宋体"/>
          <w:color w:val="000000"/>
          <w:highlight w:val="none"/>
        </w:rPr>
        <w:t>监理人不能按时进行验收时，应提前</w:t>
      </w:r>
      <w:r>
        <w:rPr>
          <w:rFonts w:hint="eastAsia" w:ascii="宋体" w:hAnsi="宋体"/>
          <w:color w:val="000000"/>
          <w:highlight w:val="none"/>
          <w:u w:val="single"/>
        </w:rPr>
        <w:t>48</w:t>
      </w:r>
      <w:r>
        <w:rPr>
          <w:rFonts w:hint="eastAsia" w:ascii="宋体" w:hAnsi="宋体"/>
          <w:color w:val="000000"/>
          <w:highlight w:val="none"/>
        </w:rPr>
        <w:t>小时提交书面延期要求。</w:t>
      </w:r>
    </w:p>
    <w:p w14:paraId="26F23BA0">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关于延期最长不得超过：</w:t>
      </w:r>
      <w:r>
        <w:rPr>
          <w:rFonts w:hint="eastAsia" w:ascii="宋体" w:hAnsi="宋体"/>
          <w:color w:val="000000"/>
          <w:highlight w:val="none"/>
          <w:u w:val="single"/>
        </w:rPr>
        <w:t>48</w:t>
      </w:r>
      <w:r>
        <w:rPr>
          <w:rFonts w:hint="eastAsia" w:ascii="宋体" w:hAnsi="宋体"/>
          <w:color w:val="000000"/>
          <w:highlight w:val="none"/>
        </w:rPr>
        <w:t>小时。</w:t>
      </w:r>
    </w:p>
    <w:p w14:paraId="2F9FE00A">
      <w:pPr>
        <w:pStyle w:val="12"/>
        <w:spacing w:before="0" w:after="60"/>
        <w:rPr>
          <w:rFonts w:ascii="宋体" w:hAnsi="宋体"/>
          <w:color w:val="000000"/>
          <w:highlight w:val="none"/>
        </w:rPr>
      </w:pPr>
      <w:bookmarkStart w:id="757" w:name="_Toc407135258"/>
      <w:bookmarkStart w:id="758" w:name="_Toc373478402"/>
      <w:bookmarkStart w:id="759" w:name="_Toc487632755"/>
      <w:bookmarkStart w:id="760" w:name="_Toc373227755"/>
      <w:bookmarkStart w:id="761" w:name="_Toc389065320"/>
      <w:bookmarkStart w:id="762" w:name="_Toc15285"/>
      <w:bookmarkStart w:id="763" w:name="_Toc108539836"/>
      <w:r>
        <w:rPr>
          <w:rFonts w:ascii="宋体" w:hAnsi="宋体"/>
          <w:color w:val="000000"/>
          <w:highlight w:val="none"/>
        </w:rPr>
        <w:t xml:space="preserve">13.2 </w:t>
      </w:r>
      <w:r>
        <w:rPr>
          <w:rFonts w:hint="eastAsia" w:ascii="宋体" w:hAnsi="宋体"/>
          <w:color w:val="000000"/>
          <w:highlight w:val="none"/>
        </w:rPr>
        <w:t>竣工验收</w:t>
      </w:r>
      <w:bookmarkEnd w:id="757"/>
      <w:bookmarkEnd w:id="758"/>
      <w:bookmarkEnd w:id="759"/>
      <w:bookmarkEnd w:id="760"/>
      <w:bookmarkEnd w:id="761"/>
      <w:bookmarkEnd w:id="762"/>
      <w:bookmarkEnd w:id="763"/>
    </w:p>
    <w:p w14:paraId="4489A738">
      <w:pPr>
        <w:spacing w:line="360" w:lineRule="auto"/>
        <w:ind w:firstLine="420" w:firstLineChars="200"/>
        <w:jc w:val="left"/>
        <w:rPr>
          <w:rFonts w:ascii="宋体" w:hAnsi="宋体"/>
          <w:color w:val="000000"/>
          <w:highlight w:val="none"/>
        </w:rPr>
      </w:pPr>
      <w:r>
        <w:rPr>
          <w:rFonts w:ascii="宋体" w:hAnsi="宋体"/>
          <w:color w:val="000000"/>
          <w:highlight w:val="none"/>
        </w:rPr>
        <w:t>13.2.1</w:t>
      </w:r>
      <w:r>
        <w:rPr>
          <w:rFonts w:hint="eastAsia" w:ascii="宋体" w:hAnsi="宋体"/>
          <w:color w:val="000000"/>
          <w:highlight w:val="none"/>
        </w:rPr>
        <w:t>竣工验收条件</w:t>
      </w:r>
    </w:p>
    <w:p w14:paraId="252B208E">
      <w:pPr>
        <w:spacing w:line="360" w:lineRule="auto"/>
        <w:ind w:firstLine="420" w:firstLineChars="200"/>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）承包人负责整理和提交的竣工验收资料应当符合工程所在地建设行政主管部门和</w:t>
      </w:r>
      <w:r>
        <w:rPr>
          <w:rFonts w:ascii="宋体" w:hAnsi="宋体"/>
          <w:color w:val="000000"/>
          <w:highlight w:val="none"/>
        </w:rPr>
        <w:t>(</w:t>
      </w:r>
      <w:r>
        <w:rPr>
          <w:rFonts w:hint="eastAsia" w:ascii="宋体" w:hAnsi="宋体"/>
          <w:color w:val="000000"/>
          <w:highlight w:val="none"/>
        </w:rPr>
        <w:t>或</w:t>
      </w:r>
      <w:r>
        <w:rPr>
          <w:rFonts w:ascii="宋体" w:hAnsi="宋体"/>
          <w:color w:val="000000"/>
          <w:highlight w:val="none"/>
        </w:rPr>
        <w:t>)</w:t>
      </w:r>
      <w:r>
        <w:rPr>
          <w:rFonts w:hint="eastAsia" w:ascii="宋体" w:hAnsi="宋体"/>
          <w:color w:val="000000"/>
          <w:highlight w:val="none"/>
        </w:rPr>
        <w:t>城市建设档案管理机构有关施工资料的要求，具体内容包括：</w:t>
      </w:r>
      <w:r>
        <w:rPr>
          <w:rFonts w:hint="eastAsia" w:ascii="宋体" w:hAnsi="宋体"/>
          <w:color w:val="000000"/>
          <w:highlight w:val="none"/>
          <w:u w:val="single"/>
        </w:rPr>
        <w:t>按规定</w:t>
      </w:r>
      <w:r>
        <w:rPr>
          <w:rFonts w:hint="eastAsia" w:ascii="宋体" w:hAnsi="宋体"/>
          <w:color w:val="000000"/>
          <w:highlight w:val="none"/>
        </w:rPr>
        <w:t>。</w:t>
      </w:r>
    </w:p>
    <w:p w14:paraId="608CC604">
      <w:pPr>
        <w:spacing w:line="360" w:lineRule="auto"/>
        <w:ind w:firstLine="420" w:firstLineChars="200"/>
        <w:rPr>
          <w:rFonts w:hint="eastAsia" w:ascii="宋体" w:hAnsi="宋体"/>
          <w:color w:val="000000"/>
          <w:highlight w:val="none"/>
        </w:rPr>
      </w:pPr>
      <w:r>
        <w:rPr>
          <w:rFonts w:hint="eastAsia" w:ascii="宋体" w:hAnsi="宋体"/>
          <w:color w:val="000000"/>
          <w:highlight w:val="none"/>
        </w:rPr>
        <w:t>竣工验收资料的份数：</w:t>
      </w:r>
      <w:r>
        <w:rPr>
          <w:rFonts w:hint="eastAsia" w:ascii="宋体" w:hAnsi="宋体"/>
          <w:color w:val="000000"/>
          <w:highlight w:val="none"/>
          <w:u w:val="single"/>
        </w:rPr>
        <w:t>肆份</w:t>
      </w:r>
      <w:r>
        <w:rPr>
          <w:rFonts w:hint="eastAsia" w:ascii="宋体" w:hAnsi="宋体"/>
          <w:color w:val="000000"/>
          <w:highlight w:val="none"/>
        </w:rPr>
        <w:t>。</w:t>
      </w:r>
    </w:p>
    <w:p w14:paraId="71700B34">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承包人提供竣工图的约定：</w:t>
      </w:r>
      <w:r>
        <w:rPr>
          <w:rFonts w:hint="eastAsia" w:ascii="宋体" w:hAnsi="宋体"/>
          <w:color w:val="000000"/>
          <w:highlight w:val="none"/>
          <w:u w:val="single"/>
        </w:rPr>
        <w:t>竣工验收正式通过后</w:t>
      </w:r>
      <w:r>
        <w:rPr>
          <w:rFonts w:ascii="宋体" w:hAnsi="宋体"/>
          <w:color w:val="000000"/>
          <w:highlight w:val="none"/>
          <w:u w:val="single"/>
        </w:rPr>
        <w:t>5</w:t>
      </w:r>
      <w:r>
        <w:rPr>
          <w:rFonts w:hint="eastAsia" w:ascii="宋体" w:hAnsi="宋体"/>
          <w:color w:val="000000"/>
          <w:highlight w:val="none"/>
          <w:u w:val="single"/>
        </w:rPr>
        <w:t>天（工程造价在</w:t>
      </w:r>
      <w:r>
        <w:rPr>
          <w:rFonts w:ascii="宋体" w:hAnsi="宋体"/>
          <w:color w:val="000000"/>
          <w:highlight w:val="none"/>
          <w:u w:val="single"/>
        </w:rPr>
        <w:t>500</w:t>
      </w:r>
      <w:r>
        <w:rPr>
          <w:rFonts w:hint="eastAsia" w:ascii="宋体" w:hAnsi="宋体"/>
          <w:color w:val="000000"/>
          <w:highlight w:val="none"/>
          <w:u w:val="single"/>
        </w:rPr>
        <w:t>万元以下含</w:t>
      </w:r>
      <w:r>
        <w:rPr>
          <w:rFonts w:ascii="宋体" w:hAnsi="宋体"/>
          <w:color w:val="000000"/>
          <w:highlight w:val="none"/>
          <w:u w:val="single"/>
        </w:rPr>
        <w:t>500</w:t>
      </w:r>
      <w:r>
        <w:rPr>
          <w:rFonts w:hint="eastAsia" w:ascii="宋体" w:hAnsi="宋体"/>
          <w:color w:val="000000"/>
          <w:highlight w:val="none"/>
          <w:u w:val="single"/>
        </w:rPr>
        <w:t>万元）、</w:t>
      </w:r>
      <w:r>
        <w:rPr>
          <w:rFonts w:ascii="宋体" w:hAnsi="宋体"/>
          <w:color w:val="000000"/>
          <w:highlight w:val="none"/>
          <w:u w:val="single"/>
        </w:rPr>
        <w:t>10</w:t>
      </w:r>
      <w:r>
        <w:rPr>
          <w:rFonts w:hint="eastAsia" w:ascii="宋体" w:hAnsi="宋体"/>
          <w:color w:val="000000"/>
          <w:highlight w:val="none"/>
          <w:u w:val="single"/>
        </w:rPr>
        <w:t>天（工程造价在</w:t>
      </w:r>
      <w:r>
        <w:rPr>
          <w:rFonts w:ascii="宋体" w:hAnsi="宋体"/>
          <w:color w:val="000000"/>
          <w:highlight w:val="none"/>
          <w:u w:val="single"/>
        </w:rPr>
        <w:t>500</w:t>
      </w:r>
      <w:r>
        <w:rPr>
          <w:rFonts w:hint="eastAsia" w:ascii="宋体" w:hAnsi="宋体"/>
          <w:color w:val="000000"/>
          <w:highlight w:val="none"/>
          <w:u w:val="single"/>
        </w:rPr>
        <w:t>万元至</w:t>
      </w:r>
      <w:r>
        <w:rPr>
          <w:rFonts w:ascii="宋体" w:hAnsi="宋体"/>
          <w:color w:val="000000"/>
          <w:highlight w:val="none"/>
          <w:u w:val="single"/>
        </w:rPr>
        <w:t>1000</w:t>
      </w:r>
      <w:r>
        <w:rPr>
          <w:rFonts w:hint="eastAsia" w:ascii="宋体" w:hAnsi="宋体"/>
          <w:color w:val="000000"/>
          <w:highlight w:val="none"/>
          <w:u w:val="single"/>
        </w:rPr>
        <w:t>万元之间含</w:t>
      </w:r>
      <w:r>
        <w:rPr>
          <w:rFonts w:ascii="宋体" w:hAnsi="宋体"/>
          <w:color w:val="000000"/>
          <w:highlight w:val="none"/>
          <w:u w:val="single"/>
        </w:rPr>
        <w:t>1000</w:t>
      </w:r>
      <w:r>
        <w:rPr>
          <w:rFonts w:hint="eastAsia" w:ascii="宋体" w:hAnsi="宋体"/>
          <w:color w:val="000000"/>
          <w:highlight w:val="none"/>
          <w:u w:val="single"/>
        </w:rPr>
        <w:t>万元）、</w:t>
      </w:r>
      <w:r>
        <w:rPr>
          <w:rFonts w:ascii="宋体" w:hAnsi="宋体"/>
          <w:color w:val="000000"/>
          <w:highlight w:val="none"/>
          <w:u w:val="single"/>
        </w:rPr>
        <w:t>15</w:t>
      </w:r>
      <w:r>
        <w:rPr>
          <w:rFonts w:hint="eastAsia" w:ascii="宋体" w:hAnsi="宋体"/>
          <w:color w:val="000000"/>
          <w:highlight w:val="none"/>
          <w:u w:val="single"/>
        </w:rPr>
        <w:t>天（工程造价在</w:t>
      </w:r>
      <w:r>
        <w:rPr>
          <w:rFonts w:ascii="宋体" w:hAnsi="宋体"/>
          <w:color w:val="000000"/>
          <w:highlight w:val="none"/>
          <w:u w:val="single"/>
        </w:rPr>
        <w:t>1000</w:t>
      </w:r>
      <w:r>
        <w:rPr>
          <w:rFonts w:hint="eastAsia" w:ascii="宋体" w:hAnsi="宋体"/>
          <w:color w:val="000000"/>
          <w:highlight w:val="none"/>
          <w:u w:val="single"/>
        </w:rPr>
        <w:t>万元以上），提供竣工图的数量分别为</w:t>
      </w:r>
      <w:r>
        <w:rPr>
          <w:rFonts w:ascii="宋体" w:hAnsi="宋体"/>
          <w:color w:val="000000"/>
          <w:highlight w:val="none"/>
          <w:u w:val="single"/>
        </w:rPr>
        <w:t>2</w:t>
      </w:r>
      <w:r>
        <w:rPr>
          <w:rFonts w:hint="eastAsia" w:ascii="宋体" w:hAnsi="宋体"/>
          <w:color w:val="000000"/>
          <w:highlight w:val="none"/>
          <w:u w:val="single"/>
        </w:rPr>
        <w:t>套、</w:t>
      </w:r>
      <w:r>
        <w:rPr>
          <w:rFonts w:ascii="宋体" w:hAnsi="宋体"/>
          <w:color w:val="000000"/>
          <w:highlight w:val="none"/>
          <w:u w:val="single"/>
        </w:rPr>
        <w:t>4</w:t>
      </w:r>
      <w:r>
        <w:rPr>
          <w:rFonts w:hint="eastAsia" w:ascii="宋体" w:hAnsi="宋体"/>
          <w:color w:val="000000"/>
          <w:highlight w:val="none"/>
          <w:u w:val="single"/>
        </w:rPr>
        <w:t>套、</w:t>
      </w:r>
      <w:r>
        <w:rPr>
          <w:rFonts w:ascii="宋体" w:hAnsi="宋体"/>
          <w:color w:val="000000"/>
          <w:highlight w:val="none"/>
          <w:u w:val="single"/>
        </w:rPr>
        <w:t>6</w:t>
      </w:r>
      <w:r>
        <w:rPr>
          <w:rFonts w:hint="eastAsia" w:ascii="宋体" w:hAnsi="宋体"/>
          <w:color w:val="000000"/>
          <w:highlight w:val="none"/>
          <w:u w:val="single"/>
        </w:rPr>
        <w:t>套。</w:t>
      </w:r>
    </w:p>
    <w:p w14:paraId="5794E1F0">
      <w:pPr>
        <w:spacing w:line="360" w:lineRule="auto"/>
        <w:ind w:firstLine="420" w:firstLineChars="200"/>
        <w:jc w:val="left"/>
        <w:rPr>
          <w:rFonts w:ascii="宋体" w:hAnsi="宋体"/>
          <w:color w:val="000000"/>
          <w:highlight w:val="none"/>
        </w:rPr>
      </w:pPr>
      <w:r>
        <w:rPr>
          <w:rFonts w:ascii="宋体" w:hAnsi="宋体"/>
          <w:color w:val="000000"/>
          <w:highlight w:val="none"/>
        </w:rPr>
        <w:t>13.2.2</w:t>
      </w:r>
      <w:r>
        <w:rPr>
          <w:rFonts w:hint="eastAsia" w:ascii="宋体" w:hAnsi="宋体"/>
          <w:color w:val="000000"/>
          <w:highlight w:val="none"/>
        </w:rPr>
        <w:t>竣工验收程序</w:t>
      </w:r>
    </w:p>
    <w:p w14:paraId="4D723534">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关于竣工验收程序的约定：</w:t>
      </w:r>
      <w:r>
        <w:rPr>
          <w:rFonts w:hint="eastAsia" w:ascii="宋体" w:hAnsi="宋体"/>
          <w:color w:val="000000"/>
          <w:highlight w:val="none"/>
          <w:u w:val="single"/>
        </w:rPr>
        <w:t>承包人准备的竣工验收资料齐全，并编制了竣工图（附电子文档）后向监理人提出预验收申请，预验收合格监理人签署同意验收后发包人在30天内组织有关部门竣工验收</w:t>
      </w:r>
      <w:r>
        <w:rPr>
          <w:rFonts w:hint="eastAsia" w:ascii="宋体" w:hAnsi="宋体"/>
          <w:color w:val="000000"/>
          <w:highlight w:val="none"/>
        </w:rPr>
        <w:t>。</w:t>
      </w:r>
    </w:p>
    <w:p w14:paraId="14B26DBA">
      <w:pPr>
        <w:spacing w:line="360" w:lineRule="auto"/>
        <w:jc w:val="left"/>
        <w:rPr>
          <w:rFonts w:hint="eastAsia" w:ascii="宋体" w:hAnsi="宋体"/>
          <w:color w:val="000000"/>
          <w:kern w:val="0"/>
          <w:highlight w:val="none"/>
        </w:rPr>
      </w:pPr>
      <w:r>
        <w:rPr>
          <w:rFonts w:hint="eastAsia" w:ascii="宋体" w:hAnsi="宋体"/>
          <w:color w:val="000000"/>
          <w:kern w:val="0"/>
          <w:highlight w:val="none"/>
        </w:rPr>
        <w:t>发包人不按照本项约定组织竣工验收、颁发工程接收证书的违约金的计算方法：</w:t>
      </w:r>
      <w:r>
        <w:rPr>
          <w:rFonts w:hint="eastAsia" w:ascii="宋体" w:hAnsi="宋体"/>
          <w:color w:val="000000"/>
          <w:highlight w:val="none"/>
          <w:u w:val="single"/>
        </w:rPr>
        <w:t>按通用条款执行</w:t>
      </w:r>
      <w:r>
        <w:rPr>
          <w:rFonts w:hint="eastAsia" w:ascii="宋体" w:hAnsi="宋体"/>
          <w:color w:val="000000"/>
          <w:highlight w:val="none"/>
        </w:rPr>
        <w:t>。</w:t>
      </w:r>
    </w:p>
    <w:p w14:paraId="63598811">
      <w:pPr>
        <w:spacing w:line="360" w:lineRule="auto"/>
        <w:ind w:firstLine="420" w:firstLineChars="200"/>
        <w:jc w:val="left"/>
        <w:rPr>
          <w:rFonts w:ascii="宋体" w:hAnsi="宋体"/>
          <w:color w:val="000000"/>
          <w:highlight w:val="none"/>
        </w:rPr>
      </w:pPr>
      <w:r>
        <w:rPr>
          <w:rFonts w:ascii="宋体" w:hAnsi="宋体"/>
          <w:color w:val="000000"/>
          <w:highlight w:val="none"/>
        </w:rPr>
        <w:t>13.2.5</w:t>
      </w:r>
      <w:r>
        <w:rPr>
          <w:rFonts w:hint="eastAsia" w:ascii="宋体" w:hAnsi="宋体"/>
          <w:color w:val="000000"/>
          <w:highlight w:val="none"/>
        </w:rPr>
        <w:t>移交、接收全部与部分工程</w:t>
      </w:r>
    </w:p>
    <w:p w14:paraId="45D33A6C">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承包人向发包人移交工程的期限：</w:t>
      </w:r>
      <w:r>
        <w:rPr>
          <w:rFonts w:hint="eastAsia" w:ascii="宋体" w:hAnsi="宋体"/>
          <w:color w:val="000000"/>
          <w:highlight w:val="none"/>
          <w:u w:val="single"/>
        </w:rPr>
        <w:t>竣工验收合格后10天内（指全部工程）</w:t>
      </w:r>
      <w:r>
        <w:rPr>
          <w:rFonts w:hint="eastAsia" w:ascii="宋体" w:hAnsi="宋体"/>
          <w:color w:val="000000"/>
          <w:highlight w:val="none"/>
        </w:rPr>
        <w:t>。</w:t>
      </w:r>
    </w:p>
    <w:p w14:paraId="65FFE679">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发包人未按本合同约定接收全部或部分工程的，违约金的计算方法为：</w:t>
      </w:r>
      <w:r>
        <w:rPr>
          <w:rFonts w:hint="eastAsia" w:ascii="宋体" w:hAnsi="宋体"/>
          <w:color w:val="000000"/>
          <w:highlight w:val="none"/>
          <w:u w:val="single"/>
        </w:rPr>
        <w:t>无</w:t>
      </w:r>
      <w:r>
        <w:rPr>
          <w:rFonts w:hint="eastAsia" w:ascii="宋体" w:hAnsi="宋体"/>
          <w:color w:val="000000"/>
          <w:highlight w:val="none"/>
        </w:rPr>
        <w:t>。</w:t>
      </w:r>
    </w:p>
    <w:p w14:paraId="28ACBE22">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承包人未按时移交工程的，违约金的计算方法为：</w:t>
      </w:r>
      <w:r>
        <w:rPr>
          <w:rFonts w:hint="eastAsia" w:ascii="宋体" w:hAnsi="宋体"/>
          <w:color w:val="000000"/>
          <w:highlight w:val="none"/>
          <w:u w:val="single"/>
        </w:rPr>
        <w:t>按逾期应</w:t>
      </w:r>
      <w:r>
        <w:rPr>
          <w:rFonts w:hint="eastAsia" w:ascii="宋体" w:hAnsi="宋体"/>
          <w:color w:val="000000"/>
          <w:kern w:val="0"/>
          <w:highlight w:val="none"/>
        </w:rPr>
        <w:t>接收全部或部分工程的结算价</w:t>
      </w:r>
      <w:r>
        <w:rPr>
          <w:rFonts w:hint="eastAsia" w:ascii="宋体" w:hAnsi="宋体"/>
          <w:color w:val="000000"/>
          <w:highlight w:val="none"/>
          <w:u w:val="single"/>
        </w:rPr>
        <w:t>，每延误一天</w:t>
      </w:r>
      <w:r>
        <w:rPr>
          <w:rFonts w:ascii="宋体" w:hAnsi="宋体"/>
          <w:color w:val="000000"/>
          <w:highlight w:val="none"/>
          <w:u w:val="single"/>
        </w:rPr>
        <w:t>,</w:t>
      </w:r>
      <w:r>
        <w:rPr>
          <w:rFonts w:hint="eastAsia" w:ascii="宋体" w:hAnsi="宋体"/>
          <w:color w:val="000000"/>
          <w:highlight w:val="none"/>
          <w:u w:val="single"/>
        </w:rPr>
        <w:t>按逾期应</w:t>
      </w:r>
      <w:r>
        <w:rPr>
          <w:rFonts w:hint="eastAsia" w:ascii="宋体" w:hAnsi="宋体"/>
          <w:color w:val="000000"/>
          <w:kern w:val="0"/>
          <w:highlight w:val="none"/>
        </w:rPr>
        <w:t>接收工程的结算价</w:t>
      </w:r>
      <w:r>
        <w:rPr>
          <w:rFonts w:hint="eastAsia" w:ascii="宋体" w:hAnsi="宋体"/>
          <w:b/>
          <w:color w:val="000000"/>
          <w:highlight w:val="none"/>
          <w:u w:val="single"/>
        </w:rPr>
        <w:t>万</w:t>
      </w:r>
      <w:r>
        <w:rPr>
          <w:rFonts w:hint="eastAsia" w:ascii="宋体" w:hAnsi="宋体"/>
          <w:b/>
          <w:bCs/>
          <w:color w:val="000000"/>
          <w:highlight w:val="none"/>
          <w:u w:val="single"/>
        </w:rPr>
        <w:t>分之五</w:t>
      </w:r>
      <w:r>
        <w:rPr>
          <w:rFonts w:hint="eastAsia" w:ascii="宋体" w:hAnsi="宋体"/>
          <w:color w:val="000000"/>
          <w:highlight w:val="none"/>
          <w:u w:val="single"/>
        </w:rPr>
        <w:t>计算违约金</w:t>
      </w:r>
      <w:r>
        <w:rPr>
          <w:rFonts w:ascii="宋体" w:hAnsi="宋体"/>
          <w:color w:val="000000"/>
          <w:highlight w:val="none"/>
          <w:u w:val="single"/>
        </w:rPr>
        <w:t>,</w:t>
      </w:r>
      <w:r>
        <w:rPr>
          <w:rFonts w:hint="eastAsia" w:ascii="宋体" w:hAnsi="宋体"/>
          <w:color w:val="000000"/>
          <w:highlight w:val="none"/>
          <w:u w:val="single"/>
        </w:rPr>
        <w:t>违约金累计最高不超过总结算造价的5%</w:t>
      </w:r>
      <w:r>
        <w:rPr>
          <w:rFonts w:hint="eastAsia" w:ascii="宋体" w:hAnsi="宋体"/>
          <w:color w:val="000000"/>
          <w:highlight w:val="none"/>
        </w:rPr>
        <w:t>。</w:t>
      </w:r>
    </w:p>
    <w:p w14:paraId="349900DE">
      <w:pPr>
        <w:pStyle w:val="12"/>
        <w:spacing w:before="0" w:after="60"/>
        <w:rPr>
          <w:rFonts w:ascii="宋体" w:hAnsi="宋体"/>
          <w:color w:val="000000"/>
          <w:highlight w:val="none"/>
        </w:rPr>
      </w:pPr>
      <w:bookmarkStart w:id="764" w:name="_Toc373478403"/>
      <w:bookmarkStart w:id="765" w:name="_Toc389065321"/>
      <w:bookmarkStart w:id="766" w:name="_Toc24745"/>
      <w:bookmarkStart w:id="767" w:name="_Toc373227756"/>
      <w:bookmarkStart w:id="768" w:name="_Toc487632756"/>
      <w:bookmarkStart w:id="769" w:name="_Toc108539837"/>
      <w:bookmarkStart w:id="770" w:name="_Toc407135259"/>
      <w:r>
        <w:rPr>
          <w:rFonts w:ascii="宋体" w:hAnsi="宋体"/>
          <w:color w:val="000000"/>
          <w:highlight w:val="none"/>
        </w:rPr>
        <w:t xml:space="preserve">13.3 </w:t>
      </w:r>
      <w:r>
        <w:rPr>
          <w:rFonts w:hint="eastAsia" w:ascii="宋体" w:hAnsi="宋体"/>
          <w:color w:val="000000"/>
          <w:highlight w:val="none"/>
        </w:rPr>
        <w:t>工程试车</w:t>
      </w:r>
      <w:bookmarkEnd w:id="764"/>
      <w:bookmarkEnd w:id="765"/>
      <w:bookmarkEnd w:id="766"/>
      <w:bookmarkEnd w:id="767"/>
      <w:bookmarkEnd w:id="768"/>
      <w:bookmarkEnd w:id="769"/>
      <w:bookmarkEnd w:id="770"/>
    </w:p>
    <w:p w14:paraId="130CB8F5">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13.3.1 </w:t>
      </w:r>
      <w:r>
        <w:rPr>
          <w:rFonts w:hint="eastAsia" w:ascii="宋体" w:hAnsi="宋体"/>
          <w:color w:val="000000"/>
          <w:kern w:val="0"/>
          <w:highlight w:val="none"/>
        </w:rPr>
        <w:t>试车程序</w:t>
      </w:r>
    </w:p>
    <w:p w14:paraId="6C8B6076">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工程试车内容：</w:t>
      </w:r>
      <w:r>
        <w:rPr>
          <w:rFonts w:hint="eastAsia" w:ascii="宋体" w:hAnsi="宋体"/>
          <w:color w:val="000000"/>
          <w:szCs w:val="21"/>
          <w:highlight w:val="none"/>
          <w:u w:val="single"/>
        </w:rPr>
        <w:t>按《通用合同条款》条执行</w:t>
      </w:r>
      <w:r>
        <w:rPr>
          <w:rFonts w:hint="eastAsia" w:ascii="宋体" w:hAnsi="宋体"/>
          <w:color w:val="000000"/>
          <w:highlight w:val="none"/>
        </w:rPr>
        <w:t>。</w:t>
      </w:r>
    </w:p>
    <w:p w14:paraId="1B5415C5">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1</w:t>
      </w:r>
      <w:r>
        <w:rPr>
          <w:rFonts w:hint="eastAsia" w:ascii="宋体" w:hAnsi="宋体"/>
          <w:color w:val="000000"/>
          <w:kern w:val="0"/>
          <w:highlight w:val="none"/>
        </w:rPr>
        <w:t>）单机无负荷试车费用由</w:t>
      </w:r>
      <w:r>
        <w:rPr>
          <w:rFonts w:hint="eastAsia" w:ascii="宋体" w:hAnsi="宋体"/>
          <w:color w:val="000000"/>
          <w:szCs w:val="21"/>
          <w:highlight w:val="none"/>
          <w:u w:val="single"/>
        </w:rPr>
        <w:t>承包人</w:t>
      </w:r>
      <w:r>
        <w:rPr>
          <w:rFonts w:hint="eastAsia" w:ascii="宋体" w:hAnsi="宋体"/>
          <w:color w:val="000000"/>
          <w:kern w:val="0"/>
          <w:highlight w:val="none"/>
        </w:rPr>
        <w:t>承担；</w:t>
      </w:r>
    </w:p>
    <w:p w14:paraId="4BCF6E83">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）无负荷联动试车费用由</w:t>
      </w:r>
      <w:r>
        <w:rPr>
          <w:rFonts w:hint="eastAsia" w:ascii="宋体" w:hAnsi="宋体"/>
          <w:color w:val="000000"/>
          <w:szCs w:val="21"/>
          <w:highlight w:val="none"/>
          <w:u w:val="single"/>
        </w:rPr>
        <w:t>承包人</w:t>
      </w:r>
      <w:r>
        <w:rPr>
          <w:rFonts w:hint="eastAsia" w:ascii="宋体" w:hAnsi="宋体"/>
          <w:color w:val="000000"/>
          <w:kern w:val="0"/>
          <w:highlight w:val="none"/>
        </w:rPr>
        <w:t>承担。</w:t>
      </w:r>
    </w:p>
    <w:p w14:paraId="56479C06">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13.3.3 </w:t>
      </w:r>
      <w:r>
        <w:rPr>
          <w:rFonts w:hint="eastAsia" w:ascii="宋体" w:hAnsi="宋体"/>
          <w:color w:val="000000"/>
          <w:kern w:val="0"/>
          <w:highlight w:val="none"/>
        </w:rPr>
        <w:t>投料试车</w:t>
      </w:r>
    </w:p>
    <w:p w14:paraId="3409E36B">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关于投料试车相关事项的约定：</w:t>
      </w:r>
      <w:r>
        <w:rPr>
          <w:rFonts w:hint="eastAsia" w:ascii="宋体" w:hAnsi="宋体"/>
          <w:color w:val="000000"/>
          <w:szCs w:val="21"/>
          <w:highlight w:val="none"/>
          <w:u w:val="single"/>
        </w:rPr>
        <w:t>按《通用合同条款》条执行</w:t>
      </w:r>
      <w:r>
        <w:rPr>
          <w:rFonts w:hint="eastAsia" w:ascii="宋体" w:hAnsi="宋体"/>
          <w:color w:val="000000"/>
          <w:highlight w:val="none"/>
        </w:rPr>
        <w:t>。</w:t>
      </w:r>
    </w:p>
    <w:p w14:paraId="5E120824">
      <w:pPr>
        <w:pStyle w:val="12"/>
        <w:spacing w:before="0" w:after="60"/>
        <w:rPr>
          <w:rFonts w:ascii="宋体" w:hAnsi="宋体"/>
          <w:color w:val="000000"/>
          <w:highlight w:val="none"/>
        </w:rPr>
      </w:pPr>
      <w:bookmarkStart w:id="771" w:name="_Toc373478404"/>
      <w:bookmarkStart w:id="772" w:name="_Toc30260"/>
      <w:bookmarkStart w:id="773" w:name="_Toc407135260"/>
      <w:bookmarkStart w:id="774" w:name="_Toc373227757"/>
      <w:bookmarkStart w:id="775" w:name="_Toc389065322"/>
      <w:bookmarkStart w:id="776" w:name="_Toc487632757"/>
      <w:bookmarkStart w:id="777" w:name="_Toc108539838"/>
      <w:r>
        <w:rPr>
          <w:rFonts w:ascii="宋体" w:hAnsi="宋体"/>
          <w:color w:val="000000"/>
          <w:highlight w:val="none"/>
        </w:rPr>
        <w:t xml:space="preserve">13.6 </w:t>
      </w:r>
      <w:r>
        <w:rPr>
          <w:rFonts w:hint="eastAsia" w:ascii="宋体" w:hAnsi="宋体"/>
          <w:color w:val="000000"/>
          <w:highlight w:val="none"/>
        </w:rPr>
        <w:t>竣工退场</w:t>
      </w:r>
      <w:bookmarkEnd w:id="771"/>
      <w:bookmarkEnd w:id="772"/>
      <w:bookmarkEnd w:id="773"/>
      <w:bookmarkEnd w:id="774"/>
      <w:bookmarkEnd w:id="775"/>
      <w:bookmarkEnd w:id="776"/>
      <w:bookmarkEnd w:id="777"/>
    </w:p>
    <w:p w14:paraId="00184DF1">
      <w:pPr>
        <w:spacing w:line="360" w:lineRule="auto"/>
        <w:ind w:firstLine="420" w:firstLineChars="200"/>
        <w:jc w:val="left"/>
        <w:outlineLvl w:val="0"/>
        <w:rPr>
          <w:rFonts w:ascii="宋体" w:hAnsi="宋体"/>
          <w:color w:val="000000"/>
          <w:kern w:val="0"/>
          <w:highlight w:val="none"/>
        </w:rPr>
      </w:pPr>
      <w:bookmarkStart w:id="778" w:name="_Toc108539839"/>
      <w:bookmarkStart w:id="779" w:name="_Toc21315"/>
      <w:bookmarkStart w:id="780" w:name="_Toc16523"/>
      <w:r>
        <w:rPr>
          <w:rFonts w:ascii="宋体" w:hAnsi="宋体"/>
          <w:color w:val="000000"/>
          <w:kern w:val="0"/>
          <w:highlight w:val="none"/>
        </w:rPr>
        <w:t xml:space="preserve">13.6.1 </w:t>
      </w:r>
      <w:r>
        <w:rPr>
          <w:rFonts w:hint="eastAsia" w:ascii="宋体" w:hAnsi="宋体"/>
          <w:color w:val="000000"/>
          <w:kern w:val="0"/>
          <w:highlight w:val="none"/>
        </w:rPr>
        <w:t>竣工退场</w:t>
      </w:r>
      <w:bookmarkEnd w:id="778"/>
      <w:bookmarkEnd w:id="779"/>
      <w:bookmarkEnd w:id="780"/>
    </w:p>
    <w:p w14:paraId="5FA84768">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承包人完成竣工退场的期限：</w:t>
      </w:r>
      <w:r>
        <w:rPr>
          <w:rFonts w:hint="eastAsia" w:ascii="宋体" w:hAnsi="宋体"/>
          <w:color w:val="000000"/>
          <w:highlight w:val="none"/>
          <w:u w:val="single"/>
        </w:rPr>
        <w:t>竣工验收合格后30天内（但必须保留足够的后续管理人员进行保修期内管理）</w:t>
      </w:r>
      <w:r>
        <w:rPr>
          <w:rFonts w:hint="eastAsia" w:ascii="宋体" w:hAnsi="宋体"/>
          <w:color w:val="000000"/>
          <w:kern w:val="0"/>
          <w:highlight w:val="none"/>
        </w:rPr>
        <w:t>。</w:t>
      </w:r>
    </w:p>
    <w:p w14:paraId="6D68B695">
      <w:pPr>
        <w:pStyle w:val="11"/>
        <w:rPr>
          <w:rFonts w:ascii="宋体" w:hAnsi="宋体" w:eastAsia="宋体"/>
          <w:color w:val="000000"/>
          <w:highlight w:val="none"/>
        </w:rPr>
      </w:pPr>
      <w:bookmarkStart w:id="781" w:name="_Toc108539840"/>
      <w:bookmarkStart w:id="782" w:name="_Toc407135261"/>
      <w:bookmarkStart w:id="783" w:name="_Toc389065323"/>
      <w:bookmarkStart w:id="784" w:name="_Toc373478405"/>
      <w:bookmarkStart w:id="785" w:name="_Toc373227758"/>
      <w:bookmarkStart w:id="786" w:name="_Toc351203646"/>
      <w:bookmarkStart w:id="787" w:name="_Toc14353"/>
      <w:bookmarkStart w:id="788" w:name="_Toc487632758"/>
      <w:r>
        <w:rPr>
          <w:rFonts w:ascii="宋体" w:hAnsi="宋体" w:eastAsia="宋体"/>
          <w:color w:val="000000"/>
          <w:highlight w:val="none"/>
        </w:rPr>
        <w:t xml:space="preserve">14. </w:t>
      </w:r>
      <w:r>
        <w:rPr>
          <w:rFonts w:hint="eastAsia" w:ascii="宋体" w:hAnsi="宋体" w:eastAsia="宋体"/>
          <w:color w:val="000000"/>
          <w:highlight w:val="none"/>
        </w:rPr>
        <w:t>竣工结算</w:t>
      </w:r>
      <w:bookmarkEnd w:id="781"/>
      <w:bookmarkEnd w:id="782"/>
      <w:bookmarkEnd w:id="783"/>
      <w:bookmarkEnd w:id="784"/>
      <w:bookmarkEnd w:id="785"/>
      <w:bookmarkEnd w:id="786"/>
      <w:bookmarkEnd w:id="787"/>
      <w:bookmarkEnd w:id="788"/>
    </w:p>
    <w:p w14:paraId="729FA111">
      <w:pPr>
        <w:pStyle w:val="12"/>
        <w:spacing w:after="60"/>
        <w:rPr>
          <w:rFonts w:ascii="宋体" w:hAnsi="宋体"/>
          <w:color w:val="000000"/>
          <w:highlight w:val="none"/>
        </w:rPr>
      </w:pPr>
      <w:bookmarkStart w:id="789" w:name="_Toc407135262"/>
      <w:bookmarkStart w:id="790" w:name="_Toc373227759"/>
      <w:bookmarkStart w:id="791" w:name="_Toc373478406"/>
      <w:bookmarkStart w:id="792" w:name="_Toc487632759"/>
      <w:bookmarkStart w:id="793" w:name="_Toc389065324"/>
      <w:bookmarkStart w:id="794" w:name="_Toc10127"/>
      <w:bookmarkStart w:id="795" w:name="_Toc108539841"/>
      <w:r>
        <w:rPr>
          <w:rFonts w:ascii="宋体" w:hAnsi="宋体"/>
          <w:color w:val="000000"/>
          <w:highlight w:val="none"/>
        </w:rPr>
        <w:t xml:space="preserve">14.1 </w:t>
      </w:r>
      <w:r>
        <w:rPr>
          <w:rFonts w:hint="eastAsia" w:ascii="宋体" w:hAnsi="宋体"/>
          <w:color w:val="000000"/>
          <w:highlight w:val="none"/>
        </w:rPr>
        <w:t>竣工付款申请</w:t>
      </w:r>
      <w:bookmarkEnd w:id="789"/>
      <w:bookmarkEnd w:id="790"/>
      <w:bookmarkEnd w:id="791"/>
      <w:bookmarkEnd w:id="792"/>
      <w:bookmarkEnd w:id="793"/>
      <w:bookmarkEnd w:id="794"/>
      <w:bookmarkEnd w:id="795"/>
    </w:p>
    <w:p w14:paraId="3C8471D3">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承包人提交竣工付款申请单的期限：</w:t>
      </w:r>
      <w:r>
        <w:rPr>
          <w:rFonts w:hint="eastAsia" w:ascii="宋体" w:hAnsi="宋体"/>
          <w:color w:val="000000"/>
          <w:highlight w:val="none"/>
          <w:u w:val="single"/>
        </w:rPr>
        <w:t>承包人应在工程竣工验收合格后20天内向发包人和监理人提交竣工结算申请单，并提交完整的结算资料。竣工结算申请单及结算资料提交份数一式五份，其中纸质4份，电子文档1份</w:t>
      </w:r>
      <w:r>
        <w:rPr>
          <w:rFonts w:hint="eastAsia" w:ascii="宋体" w:hAnsi="宋体"/>
          <w:color w:val="000000"/>
          <w:highlight w:val="none"/>
        </w:rPr>
        <w:t>。</w:t>
      </w:r>
    </w:p>
    <w:p w14:paraId="501E121F">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竣工付款申请单应包括的内容：</w:t>
      </w:r>
      <w:r>
        <w:rPr>
          <w:rFonts w:hint="eastAsia" w:ascii="宋体" w:hAnsi="宋体"/>
          <w:color w:val="000000"/>
          <w:highlight w:val="none"/>
          <w:u w:val="single"/>
        </w:rPr>
        <w:t>结算书、签证资料、竣工图、会议纪要、施工组织设计、磋商文件、响应文件、施工合同、施工日记等，并应符合有关部门的要求</w:t>
      </w:r>
      <w:r>
        <w:rPr>
          <w:rFonts w:hint="eastAsia" w:ascii="宋体" w:hAnsi="宋体"/>
          <w:color w:val="000000"/>
          <w:highlight w:val="none"/>
        </w:rPr>
        <w:t>。</w:t>
      </w:r>
    </w:p>
    <w:p w14:paraId="10893090">
      <w:pPr>
        <w:pStyle w:val="12"/>
        <w:spacing w:after="60"/>
        <w:rPr>
          <w:rFonts w:ascii="宋体" w:hAnsi="宋体"/>
          <w:color w:val="000000"/>
          <w:highlight w:val="none"/>
        </w:rPr>
      </w:pPr>
      <w:bookmarkStart w:id="796" w:name="_Toc2517"/>
      <w:bookmarkStart w:id="797" w:name="_Toc108539842"/>
      <w:r>
        <w:rPr>
          <w:rFonts w:ascii="宋体" w:hAnsi="宋体"/>
          <w:color w:val="000000"/>
          <w:highlight w:val="none"/>
        </w:rPr>
        <w:t xml:space="preserve">14.2 </w:t>
      </w:r>
      <w:r>
        <w:rPr>
          <w:rFonts w:hint="eastAsia" w:ascii="宋体" w:hAnsi="宋体"/>
          <w:color w:val="000000"/>
          <w:highlight w:val="none"/>
        </w:rPr>
        <w:t>竣工结算审核</w:t>
      </w:r>
      <w:bookmarkEnd w:id="796"/>
      <w:bookmarkEnd w:id="797"/>
    </w:p>
    <w:p w14:paraId="2903C1D5">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发包人审批竣工付款申请单的期限：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B15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38064D">
            <w:pPr>
              <w:spacing w:line="360" w:lineRule="auto"/>
              <w:rPr>
                <w:rFonts w:ascii="宋体" w:hAnsi="宋体"/>
                <w:color w:val="000000"/>
                <w:highlight w:val="none"/>
              </w:rPr>
            </w:pPr>
          </w:p>
        </w:tc>
        <w:tc>
          <w:tcPr>
            <w:tcW w:w="2466" w:type="dxa"/>
            <w:vAlign w:val="center"/>
          </w:tcPr>
          <w:p w14:paraId="76755C35">
            <w:pPr>
              <w:spacing w:line="360" w:lineRule="auto"/>
              <w:ind w:firstLine="27" w:firstLineChars="13"/>
              <w:jc w:val="center"/>
              <w:rPr>
                <w:rFonts w:hint="eastAsia" w:ascii="宋体" w:hAnsi="宋体"/>
                <w:color w:val="000000"/>
                <w:highlight w:val="none"/>
              </w:rPr>
            </w:pPr>
            <w:r>
              <w:rPr>
                <w:rFonts w:hint="eastAsia" w:ascii="宋体" w:hAnsi="宋体"/>
                <w:color w:val="000000"/>
                <w:highlight w:val="none"/>
              </w:rPr>
              <w:t>工程竣工结算报告金额</w:t>
            </w:r>
          </w:p>
        </w:tc>
        <w:tc>
          <w:tcPr>
            <w:tcW w:w="5967" w:type="dxa"/>
            <w:vAlign w:val="center"/>
          </w:tcPr>
          <w:p w14:paraId="1CEEC462">
            <w:pPr>
              <w:spacing w:line="360" w:lineRule="auto"/>
              <w:ind w:firstLine="441" w:firstLineChars="210"/>
              <w:jc w:val="center"/>
              <w:rPr>
                <w:rFonts w:hint="eastAsia" w:ascii="宋体" w:hAnsi="宋体"/>
                <w:color w:val="000000"/>
                <w:highlight w:val="none"/>
              </w:rPr>
            </w:pPr>
            <w:r>
              <w:rPr>
                <w:rFonts w:hint="eastAsia" w:ascii="宋体" w:hAnsi="宋体"/>
                <w:color w:val="000000"/>
                <w:highlight w:val="none"/>
              </w:rPr>
              <w:t>发包人审查时间</w:t>
            </w:r>
          </w:p>
        </w:tc>
      </w:tr>
      <w:tr w14:paraId="7681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736BBE0">
            <w:pPr>
              <w:spacing w:line="360" w:lineRule="auto"/>
              <w:jc w:val="center"/>
              <w:rPr>
                <w:rFonts w:ascii="宋体" w:hAnsi="宋体"/>
                <w:color w:val="000000"/>
                <w:highlight w:val="none"/>
              </w:rPr>
            </w:pPr>
            <w:r>
              <w:rPr>
                <w:rFonts w:ascii="宋体" w:hAnsi="宋体"/>
                <w:color w:val="000000"/>
                <w:highlight w:val="none"/>
              </w:rPr>
              <w:t>1</w:t>
            </w:r>
          </w:p>
        </w:tc>
        <w:tc>
          <w:tcPr>
            <w:tcW w:w="2466" w:type="dxa"/>
            <w:vAlign w:val="center"/>
          </w:tcPr>
          <w:p w14:paraId="36030EFE">
            <w:pPr>
              <w:spacing w:line="360" w:lineRule="auto"/>
              <w:ind w:firstLine="27" w:firstLineChars="13"/>
              <w:jc w:val="center"/>
              <w:rPr>
                <w:rFonts w:ascii="宋体" w:hAnsi="宋体"/>
                <w:color w:val="000000"/>
                <w:highlight w:val="none"/>
              </w:rPr>
            </w:pPr>
            <w:r>
              <w:rPr>
                <w:rFonts w:ascii="宋体" w:hAnsi="宋体"/>
                <w:color w:val="000000"/>
                <w:highlight w:val="none"/>
              </w:rPr>
              <w:t>500</w:t>
            </w:r>
            <w:r>
              <w:rPr>
                <w:rFonts w:hint="eastAsia" w:ascii="宋体" w:hAnsi="宋体"/>
                <w:color w:val="000000"/>
                <w:highlight w:val="none"/>
              </w:rPr>
              <w:t>万元以下</w:t>
            </w:r>
          </w:p>
        </w:tc>
        <w:tc>
          <w:tcPr>
            <w:tcW w:w="5967" w:type="dxa"/>
            <w:vAlign w:val="center"/>
          </w:tcPr>
          <w:p w14:paraId="25D7A162">
            <w:pPr>
              <w:spacing w:line="360" w:lineRule="auto"/>
              <w:ind w:firstLine="441" w:firstLineChars="210"/>
              <w:jc w:val="center"/>
              <w:rPr>
                <w:rFonts w:hint="eastAsia" w:ascii="宋体" w:hAnsi="宋体"/>
                <w:color w:val="000000"/>
                <w:highlight w:val="none"/>
              </w:rPr>
            </w:pPr>
            <w:r>
              <w:rPr>
                <w:rFonts w:hint="eastAsia" w:ascii="宋体" w:hAnsi="宋体"/>
                <w:color w:val="000000"/>
                <w:highlight w:val="none"/>
              </w:rPr>
              <w:t>从接到竣工结算报告和完整的竣工结算资料之日起3</w:t>
            </w:r>
            <w:r>
              <w:rPr>
                <w:rFonts w:ascii="宋体" w:hAnsi="宋体"/>
                <w:color w:val="000000"/>
                <w:highlight w:val="none"/>
              </w:rPr>
              <w:t>0</w:t>
            </w:r>
            <w:r>
              <w:rPr>
                <w:rFonts w:hint="eastAsia" w:ascii="宋体" w:hAnsi="宋体"/>
                <w:color w:val="000000"/>
                <w:highlight w:val="none"/>
              </w:rPr>
              <w:t>天</w:t>
            </w:r>
          </w:p>
        </w:tc>
      </w:tr>
      <w:tr w14:paraId="1872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4950BDB">
            <w:pPr>
              <w:spacing w:line="360" w:lineRule="auto"/>
              <w:jc w:val="center"/>
              <w:rPr>
                <w:rFonts w:ascii="宋体" w:hAnsi="宋体"/>
                <w:color w:val="000000"/>
                <w:highlight w:val="none"/>
              </w:rPr>
            </w:pPr>
            <w:r>
              <w:rPr>
                <w:rFonts w:ascii="宋体" w:hAnsi="宋体"/>
                <w:color w:val="000000"/>
                <w:highlight w:val="none"/>
              </w:rPr>
              <w:t>2</w:t>
            </w:r>
          </w:p>
        </w:tc>
        <w:tc>
          <w:tcPr>
            <w:tcW w:w="2466" w:type="dxa"/>
            <w:vAlign w:val="center"/>
          </w:tcPr>
          <w:p w14:paraId="3AD596F3">
            <w:pPr>
              <w:spacing w:line="360" w:lineRule="auto"/>
              <w:ind w:firstLine="27" w:firstLineChars="13"/>
              <w:jc w:val="center"/>
              <w:rPr>
                <w:rFonts w:ascii="宋体" w:hAnsi="宋体"/>
                <w:color w:val="000000"/>
                <w:highlight w:val="none"/>
              </w:rPr>
            </w:pPr>
            <w:r>
              <w:rPr>
                <w:rFonts w:ascii="宋体" w:hAnsi="宋体"/>
                <w:color w:val="000000"/>
                <w:highlight w:val="none"/>
              </w:rPr>
              <w:t>500</w:t>
            </w:r>
            <w:r>
              <w:rPr>
                <w:rFonts w:hint="eastAsia" w:ascii="宋体" w:hAnsi="宋体"/>
                <w:color w:val="000000"/>
                <w:highlight w:val="none"/>
              </w:rPr>
              <w:t>万元</w:t>
            </w:r>
            <w:r>
              <w:rPr>
                <w:rFonts w:ascii="宋体" w:hAnsi="宋体"/>
                <w:color w:val="000000"/>
                <w:highlight w:val="none"/>
              </w:rPr>
              <w:t>-2000</w:t>
            </w:r>
            <w:r>
              <w:rPr>
                <w:rFonts w:hint="eastAsia" w:ascii="宋体" w:hAnsi="宋体"/>
                <w:color w:val="000000"/>
                <w:highlight w:val="none"/>
              </w:rPr>
              <w:t>万元</w:t>
            </w:r>
          </w:p>
        </w:tc>
        <w:tc>
          <w:tcPr>
            <w:tcW w:w="5967" w:type="dxa"/>
            <w:vAlign w:val="center"/>
          </w:tcPr>
          <w:p w14:paraId="58ABABA6">
            <w:pPr>
              <w:spacing w:line="360" w:lineRule="auto"/>
              <w:ind w:firstLine="441" w:firstLineChars="210"/>
              <w:jc w:val="center"/>
              <w:rPr>
                <w:rFonts w:hint="eastAsia" w:ascii="宋体" w:hAnsi="宋体"/>
                <w:color w:val="000000"/>
                <w:highlight w:val="none"/>
              </w:rPr>
            </w:pPr>
            <w:r>
              <w:rPr>
                <w:rFonts w:hint="eastAsia" w:ascii="宋体" w:hAnsi="宋体"/>
                <w:color w:val="000000"/>
                <w:highlight w:val="none"/>
              </w:rPr>
              <w:t>从接到竣工结算报告和完整的竣工结算资料之日起4</w:t>
            </w:r>
            <w:r>
              <w:rPr>
                <w:rFonts w:ascii="宋体" w:hAnsi="宋体"/>
                <w:color w:val="000000"/>
                <w:highlight w:val="none"/>
              </w:rPr>
              <w:t>0</w:t>
            </w:r>
            <w:r>
              <w:rPr>
                <w:rFonts w:hint="eastAsia" w:ascii="宋体" w:hAnsi="宋体"/>
                <w:color w:val="000000"/>
                <w:highlight w:val="none"/>
              </w:rPr>
              <w:t>天</w:t>
            </w:r>
          </w:p>
        </w:tc>
      </w:tr>
      <w:tr w14:paraId="2B69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D860B51">
            <w:pPr>
              <w:spacing w:line="360" w:lineRule="auto"/>
              <w:jc w:val="center"/>
              <w:rPr>
                <w:rFonts w:ascii="宋体" w:hAnsi="宋体"/>
                <w:color w:val="000000"/>
                <w:highlight w:val="none"/>
              </w:rPr>
            </w:pPr>
            <w:r>
              <w:rPr>
                <w:rFonts w:ascii="宋体" w:hAnsi="宋体"/>
                <w:color w:val="000000"/>
                <w:highlight w:val="none"/>
              </w:rPr>
              <w:t>3</w:t>
            </w:r>
          </w:p>
        </w:tc>
        <w:tc>
          <w:tcPr>
            <w:tcW w:w="2466" w:type="dxa"/>
            <w:vAlign w:val="center"/>
          </w:tcPr>
          <w:p w14:paraId="3932A6CB">
            <w:pPr>
              <w:spacing w:line="360" w:lineRule="auto"/>
              <w:ind w:firstLine="27" w:firstLineChars="13"/>
              <w:jc w:val="center"/>
              <w:rPr>
                <w:rFonts w:ascii="宋体" w:hAnsi="宋体"/>
                <w:color w:val="000000"/>
                <w:highlight w:val="none"/>
              </w:rPr>
            </w:pPr>
            <w:r>
              <w:rPr>
                <w:rFonts w:ascii="宋体" w:hAnsi="宋体"/>
                <w:color w:val="000000"/>
                <w:highlight w:val="none"/>
              </w:rPr>
              <w:t>2000</w:t>
            </w:r>
            <w:r>
              <w:rPr>
                <w:rFonts w:hint="eastAsia" w:ascii="宋体" w:hAnsi="宋体"/>
                <w:color w:val="000000"/>
                <w:highlight w:val="none"/>
              </w:rPr>
              <w:t>万元</w:t>
            </w:r>
            <w:r>
              <w:rPr>
                <w:rFonts w:ascii="宋体" w:hAnsi="宋体"/>
                <w:color w:val="000000"/>
                <w:highlight w:val="none"/>
              </w:rPr>
              <w:t>-5000</w:t>
            </w:r>
            <w:r>
              <w:rPr>
                <w:rFonts w:hint="eastAsia" w:ascii="宋体" w:hAnsi="宋体"/>
                <w:color w:val="000000"/>
                <w:highlight w:val="none"/>
              </w:rPr>
              <w:t>万元</w:t>
            </w:r>
          </w:p>
        </w:tc>
        <w:tc>
          <w:tcPr>
            <w:tcW w:w="5967" w:type="dxa"/>
            <w:vAlign w:val="center"/>
          </w:tcPr>
          <w:p w14:paraId="2DC91441">
            <w:pPr>
              <w:spacing w:line="360" w:lineRule="auto"/>
              <w:ind w:firstLine="441" w:firstLineChars="210"/>
              <w:jc w:val="center"/>
              <w:rPr>
                <w:rFonts w:hint="eastAsia" w:ascii="宋体" w:hAnsi="宋体"/>
                <w:color w:val="000000"/>
                <w:highlight w:val="none"/>
              </w:rPr>
            </w:pPr>
            <w:r>
              <w:rPr>
                <w:rFonts w:hint="eastAsia" w:ascii="宋体" w:hAnsi="宋体"/>
                <w:color w:val="000000"/>
                <w:highlight w:val="none"/>
              </w:rPr>
              <w:t>从接到竣工结算报告和完整的竣工结算资料之日起</w:t>
            </w:r>
            <w:r>
              <w:rPr>
                <w:rFonts w:ascii="宋体" w:hAnsi="宋体"/>
                <w:color w:val="000000"/>
                <w:highlight w:val="none"/>
              </w:rPr>
              <w:t>45</w:t>
            </w:r>
            <w:r>
              <w:rPr>
                <w:rFonts w:hint="eastAsia" w:ascii="宋体" w:hAnsi="宋体"/>
                <w:color w:val="000000"/>
                <w:highlight w:val="none"/>
              </w:rPr>
              <w:t>天</w:t>
            </w:r>
          </w:p>
        </w:tc>
      </w:tr>
      <w:tr w14:paraId="5F13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3AFCB8A">
            <w:pPr>
              <w:spacing w:line="360" w:lineRule="auto"/>
              <w:jc w:val="center"/>
              <w:rPr>
                <w:rFonts w:ascii="宋体" w:hAnsi="宋体"/>
                <w:color w:val="000000"/>
                <w:highlight w:val="none"/>
              </w:rPr>
            </w:pPr>
            <w:r>
              <w:rPr>
                <w:rFonts w:ascii="宋体" w:hAnsi="宋体"/>
                <w:color w:val="000000"/>
                <w:highlight w:val="none"/>
              </w:rPr>
              <w:t>4</w:t>
            </w:r>
          </w:p>
        </w:tc>
        <w:tc>
          <w:tcPr>
            <w:tcW w:w="2466" w:type="dxa"/>
            <w:vAlign w:val="center"/>
          </w:tcPr>
          <w:p w14:paraId="69AFDA2E">
            <w:pPr>
              <w:spacing w:line="360" w:lineRule="auto"/>
              <w:ind w:firstLine="27" w:firstLineChars="13"/>
              <w:jc w:val="center"/>
              <w:rPr>
                <w:rFonts w:ascii="宋体" w:hAnsi="宋体"/>
                <w:color w:val="000000"/>
                <w:highlight w:val="none"/>
              </w:rPr>
            </w:pPr>
            <w:r>
              <w:rPr>
                <w:rFonts w:ascii="宋体" w:hAnsi="宋体"/>
                <w:color w:val="000000"/>
                <w:highlight w:val="none"/>
              </w:rPr>
              <w:t>5000</w:t>
            </w:r>
            <w:r>
              <w:rPr>
                <w:rFonts w:hint="eastAsia" w:ascii="宋体" w:hAnsi="宋体"/>
                <w:color w:val="000000"/>
                <w:highlight w:val="none"/>
              </w:rPr>
              <w:t>万元以上</w:t>
            </w:r>
          </w:p>
        </w:tc>
        <w:tc>
          <w:tcPr>
            <w:tcW w:w="5967" w:type="dxa"/>
            <w:vAlign w:val="center"/>
          </w:tcPr>
          <w:p w14:paraId="66AD3383">
            <w:pPr>
              <w:spacing w:line="360" w:lineRule="auto"/>
              <w:ind w:firstLine="441" w:firstLineChars="210"/>
              <w:jc w:val="center"/>
              <w:rPr>
                <w:rFonts w:hint="eastAsia" w:ascii="宋体" w:hAnsi="宋体"/>
                <w:color w:val="000000"/>
                <w:highlight w:val="none"/>
              </w:rPr>
            </w:pPr>
            <w:r>
              <w:rPr>
                <w:rFonts w:hint="eastAsia" w:ascii="宋体" w:hAnsi="宋体"/>
                <w:color w:val="000000"/>
                <w:highlight w:val="none"/>
              </w:rPr>
              <w:t>从接到竣工结算报告和完整的竣工结算资料之日起</w:t>
            </w:r>
            <w:r>
              <w:rPr>
                <w:rFonts w:ascii="宋体" w:hAnsi="宋体"/>
                <w:color w:val="000000"/>
                <w:highlight w:val="none"/>
              </w:rPr>
              <w:t>60</w:t>
            </w:r>
            <w:r>
              <w:rPr>
                <w:rFonts w:hint="eastAsia" w:ascii="宋体" w:hAnsi="宋体"/>
                <w:color w:val="000000"/>
                <w:highlight w:val="none"/>
              </w:rPr>
              <w:t>天</w:t>
            </w:r>
          </w:p>
        </w:tc>
      </w:tr>
    </w:tbl>
    <w:p w14:paraId="5C5BC42D">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因承包人提供的结算资料不完整而需要补充或承包人不按时对账耽误时间时，审查时间应相应顺延。</w:t>
      </w:r>
    </w:p>
    <w:p w14:paraId="5D06187D">
      <w:pPr>
        <w:spacing w:line="400" w:lineRule="exact"/>
        <w:ind w:firstLine="411" w:firstLineChars="196"/>
        <w:rPr>
          <w:rFonts w:hint="eastAsia" w:ascii="宋体" w:hAnsi="宋体"/>
          <w:color w:val="000000"/>
          <w:highlight w:val="none"/>
        </w:rPr>
      </w:pPr>
      <w:r>
        <w:rPr>
          <w:rFonts w:hint="eastAsia" w:ascii="宋体" w:hAnsi="宋体"/>
          <w:color w:val="000000"/>
          <w:highlight w:val="none"/>
        </w:rPr>
        <w:t>结算审核约定：</w:t>
      </w:r>
    </w:p>
    <w:p w14:paraId="1877FFDC">
      <w:pPr>
        <w:spacing w:line="360" w:lineRule="auto"/>
        <w:ind w:firstLine="411" w:firstLineChars="196"/>
        <w:rPr>
          <w:rFonts w:hint="eastAsia" w:ascii="宋体" w:hAnsi="宋体"/>
          <w:color w:val="000000"/>
          <w:highlight w:val="none"/>
        </w:rPr>
      </w:pPr>
      <w:r>
        <w:rPr>
          <w:rFonts w:hint="eastAsia" w:ascii="宋体" w:hAnsi="宋体"/>
          <w:color w:val="000000"/>
          <w:highlight w:val="none"/>
        </w:rPr>
        <w:t>非国有投资项目：</w:t>
      </w:r>
      <w:r>
        <w:rPr>
          <w:rFonts w:ascii="宋体" w:hAnsi="宋体"/>
          <w:color w:val="000000"/>
          <w:highlight w:val="none"/>
          <w:u w:val="single"/>
        </w:rPr>
        <w:t>1</w:t>
      </w:r>
      <w:r>
        <w:rPr>
          <w:rFonts w:hint="eastAsia" w:ascii="宋体" w:hAnsi="宋体"/>
          <w:color w:val="000000"/>
          <w:highlight w:val="none"/>
          <w:u w:val="single"/>
        </w:rPr>
        <w:t>、工程竣工验收报告经发包人认可后，承包人向发包人递交竣工验收合格资料及完整的结算资料和报告，双方按照协议书约定的合同条款及专用条款约定的合同价调整内容，进行工程竣工结算。</w:t>
      </w:r>
      <w:r>
        <w:rPr>
          <w:rFonts w:ascii="宋体" w:hAnsi="宋体"/>
          <w:color w:val="000000"/>
          <w:highlight w:val="none"/>
          <w:u w:val="single"/>
        </w:rPr>
        <w:t>2</w:t>
      </w:r>
      <w:r>
        <w:rPr>
          <w:rFonts w:hint="eastAsia" w:ascii="宋体" w:hAnsi="宋体"/>
          <w:color w:val="000000"/>
          <w:highlight w:val="none"/>
          <w:u w:val="single"/>
        </w:rPr>
        <w:t>、发包人收到承包人递交的竣工结算报告及结算资料之日起进行审核，给予确认或者提出初审意见。发包人初审竣工结算完毕，交由第三方审定（承包人同意发包人可直接委托第三方审定）且经发包人确定后，按审定后的结算价款，向承包人支付工程竣工结算价款。承包人应根据发包人的需要随时将竣工工程交付发包人。</w:t>
      </w:r>
    </w:p>
    <w:p w14:paraId="4CB733E6">
      <w:pPr>
        <w:spacing w:line="360" w:lineRule="auto"/>
        <w:ind w:firstLine="420" w:firstLineChars="200"/>
        <w:jc w:val="left"/>
        <w:rPr>
          <w:rFonts w:hint="eastAsia" w:ascii="宋体" w:hAnsi="宋体"/>
          <w:color w:val="000000"/>
          <w:highlight w:val="none"/>
          <w:u w:val="single"/>
        </w:rPr>
      </w:pPr>
      <w:r>
        <w:rPr>
          <w:rFonts w:hint="eastAsia" w:ascii="宋体" w:hAnsi="宋体"/>
          <w:color w:val="000000"/>
          <w:highlight w:val="none"/>
          <w:u w:val="single"/>
        </w:rPr>
        <w:t>国有投资项目：（双方结合各地政府或有关部门出台的管理规定进行约定）</w:t>
      </w:r>
    </w:p>
    <w:p w14:paraId="66CFC575">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发包人完成竣工付款的期限：</w:t>
      </w:r>
      <w:r>
        <w:rPr>
          <w:rFonts w:hint="eastAsia" w:ascii="宋体" w:hAnsi="宋体"/>
          <w:color w:val="000000"/>
          <w:highlight w:val="none"/>
          <w:u w:val="single"/>
        </w:rPr>
        <w:t>第三方出具审计结论及收到财政结算确认通知，承包人提出支付申请后</w:t>
      </w:r>
      <w:r>
        <w:rPr>
          <w:rFonts w:hint="eastAsia" w:ascii="宋体" w:hAnsi="宋体"/>
          <w:color w:val="000000"/>
          <w:highlight w:val="none"/>
        </w:rPr>
        <w:t>。</w:t>
      </w:r>
    </w:p>
    <w:p w14:paraId="43232A9F">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关于竣工付款证书异议部分复核的方式和程序：。</w:t>
      </w:r>
    </w:p>
    <w:p w14:paraId="535A4BD5">
      <w:pPr>
        <w:pStyle w:val="12"/>
        <w:spacing w:before="0" w:after="60"/>
        <w:rPr>
          <w:rFonts w:ascii="宋体" w:hAnsi="宋体"/>
          <w:color w:val="000000"/>
          <w:highlight w:val="none"/>
        </w:rPr>
      </w:pPr>
      <w:bookmarkStart w:id="798" w:name="_Toc30708"/>
      <w:bookmarkStart w:id="799" w:name="_Toc108539843"/>
      <w:r>
        <w:rPr>
          <w:rFonts w:ascii="宋体" w:hAnsi="宋体"/>
          <w:color w:val="000000"/>
          <w:highlight w:val="none"/>
        </w:rPr>
        <w:t xml:space="preserve">14.4 </w:t>
      </w:r>
      <w:r>
        <w:rPr>
          <w:rFonts w:hint="eastAsia" w:ascii="宋体" w:hAnsi="宋体"/>
          <w:color w:val="000000"/>
          <w:highlight w:val="none"/>
        </w:rPr>
        <w:t>最终结清</w:t>
      </w:r>
      <w:bookmarkEnd w:id="798"/>
      <w:bookmarkEnd w:id="799"/>
    </w:p>
    <w:p w14:paraId="6A541826">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14.4.1 </w:t>
      </w:r>
      <w:r>
        <w:rPr>
          <w:rFonts w:hint="eastAsia" w:ascii="宋体" w:hAnsi="宋体"/>
          <w:color w:val="000000"/>
          <w:kern w:val="0"/>
          <w:highlight w:val="none"/>
        </w:rPr>
        <w:t>最终结清申请单</w:t>
      </w:r>
    </w:p>
    <w:p w14:paraId="7A6711BF">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承包人提交最终结清申请单的份数：</w:t>
      </w:r>
      <w:r>
        <w:rPr>
          <w:rFonts w:hint="eastAsia" w:ascii="宋体" w:hAnsi="宋体"/>
          <w:color w:val="000000"/>
          <w:highlight w:val="none"/>
          <w:u w:val="single"/>
        </w:rPr>
        <w:t>一式肆份</w:t>
      </w:r>
      <w:r>
        <w:rPr>
          <w:rFonts w:hint="eastAsia" w:ascii="宋体" w:hAnsi="宋体"/>
          <w:color w:val="000000"/>
          <w:highlight w:val="none"/>
        </w:rPr>
        <w:t>。</w:t>
      </w:r>
    </w:p>
    <w:p w14:paraId="75A4A91E">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承包人提交最终结算申请单的期限：</w:t>
      </w:r>
      <w:r>
        <w:rPr>
          <w:rFonts w:hint="eastAsia" w:ascii="宋体" w:hAnsi="宋体"/>
          <w:color w:val="000000"/>
          <w:highlight w:val="none"/>
          <w:u w:val="single"/>
        </w:rPr>
        <w:t>审计确认结算价款且保修期满并签发终止保修书后</w:t>
      </w:r>
      <w:r>
        <w:rPr>
          <w:rFonts w:hint="eastAsia" w:ascii="宋体" w:hAnsi="宋体"/>
          <w:color w:val="000000"/>
          <w:highlight w:val="none"/>
        </w:rPr>
        <w:t>。</w:t>
      </w:r>
    </w:p>
    <w:p w14:paraId="6B3E688B">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14.4.2 </w:t>
      </w:r>
      <w:r>
        <w:rPr>
          <w:rFonts w:hint="eastAsia" w:ascii="宋体" w:hAnsi="宋体"/>
          <w:color w:val="000000"/>
          <w:highlight w:val="none"/>
        </w:rPr>
        <w:t>最终结清证书和支付</w:t>
      </w:r>
    </w:p>
    <w:p w14:paraId="2CC5C5DD">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）发包人完成最终结清申请单的审批并颁发最终结清证书的期限：</w:t>
      </w:r>
      <w:r>
        <w:rPr>
          <w:rFonts w:hint="eastAsia" w:ascii="宋体" w:hAnsi="宋体"/>
          <w:color w:val="000000"/>
          <w:highlight w:val="none"/>
          <w:u w:val="single"/>
        </w:rPr>
        <w:t>应在收到承包人提交的最终结清申请单后</w:t>
      </w:r>
      <w:r>
        <w:rPr>
          <w:rFonts w:hint="eastAsia" w:ascii="宋体" w:hAnsi="宋体"/>
          <w:color w:val="000000"/>
          <w:highlight w:val="none"/>
        </w:rPr>
        <w:t>。</w:t>
      </w:r>
    </w:p>
    <w:p w14:paraId="56E4DA18">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）发包人完成支付的期限：</w:t>
      </w:r>
      <w:r>
        <w:rPr>
          <w:rFonts w:hint="eastAsia" w:ascii="宋体" w:hAnsi="宋体"/>
          <w:color w:val="000000"/>
          <w:highlight w:val="none"/>
          <w:u w:val="single"/>
        </w:rPr>
        <w:t>应在颁发最终结清证书后</w:t>
      </w:r>
      <w:r>
        <w:rPr>
          <w:rFonts w:hint="eastAsia" w:ascii="宋体" w:hAnsi="宋体"/>
          <w:color w:val="000000"/>
          <w:highlight w:val="none"/>
        </w:rPr>
        <w:t>。</w:t>
      </w:r>
    </w:p>
    <w:p w14:paraId="53478A0A">
      <w:pPr>
        <w:pStyle w:val="11"/>
        <w:rPr>
          <w:rFonts w:ascii="宋体" w:hAnsi="宋体" w:eastAsia="宋体"/>
          <w:color w:val="000000"/>
          <w:highlight w:val="none"/>
        </w:rPr>
      </w:pPr>
      <w:bookmarkStart w:id="800" w:name="_Toc389065327"/>
      <w:bookmarkStart w:id="801" w:name="_Toc14646"/>
      <w:bookmarkStart w:id="802" w:name="_Toc373227762"/>
      <w:bookmarkStart w:id="803" w:name="_Toc373478409"/>
      <w:bookmarkStart w:id="804" w:name="_Toc351203647"/>
      <w:bookmarkStart w:id="805" w:name="_Toc407135265"/>
      <w:bookmarkStart w:id="806" w:name="_Toc108539844"/>
      <w:bookmarkStart w:id="807" w:name="_Toc487632762"/>
      <w:r>
        <w:rPr>
          <w:rFonts w:ascii="宋体" w:hAnsi="宋体" w:eastAsia="宋体"/>
          <w:color w:val="000000"/>
          <w:highlight w:val="none"/>
        </w:rPr>
        <w:t xml:space="preserve">15. </w:t>
      </w:r>
      <w:r>
        <w:rPr>
          <w:rFonts w:hint="eastAsia" w:ascii="宋体" w:hAnsi="宋体" w:eastAsia="宋体"/>
          <w:color w:val="000000"/>
          <w:highlight w:val="none"/>
        </w:rPr>
        <w:t>缺陷责任期与保修</w:t>
      </w:r>
      <w:bookmarkEnd w:id="800"/>
      <w:bookmarkEnd w:id="801"/>
      <w:bookmarkEnd w:id="802"/>
      <w:bookmarkEnd w:id="803"/>
      <w:bookmarkEnd w:id="804"/>
      <w:bookmarkEnd w:id="805"/>
      <w:bookmarkEnd w:id="806"/>
      <w:bookmarkEnd w:id="807"/>
    </w:p>
    <w:p w14:paraId="23A9417D">
      <w:pPr>
        <w:pStyle w:val="12"/>
        <w:spacing w:after="60"/>
        <w:rPr>
          <w:rFonts w:ascii="宋体" w:hAnsi="宋体"/>
          <w:color w:val="000000"/>
          <w:highlight w:val="none"/>
        </w:rPr>
      </w:pPr>
      <w:bookmarkStart w:id="808" w:name="_Toc13120"/>
      <w:bookmarkStart w:id="809" w:name="_Toc108539845"/>
      <w:bookmarkStart w:id="810" w:name="_Toc487632763"/>
      <w:bookmarkStart w:id="811" w:name="_Toc389065328"/>
      <w:bookmarkStart w:id="812" w:name="_Toc373227763"/>
      <w:bookmarkStart w:id="813" w:name="_Toc373478410"/>
      <w:bookmarkStart w:id="814" w:name="_Toc407135266"/>
      <w:r>
        <w:rPr>
          <w:rFonts w:ascii="宋体" w:hAnsi="宋体"/>
          <w:color w:val="000000"/>
          <w:highlight w:val="none"/>
        </w:rPr>
        <w:t xml:space="preserve">15.2 </w:t>
      </w:r>
      <w:r>
        <w:rPr>
          <w:rFonts w:hint="eastAsia" w:ascii="宋体" w:hAnsi="宋体"/>
          <w:color w:val="000000"/>
          <w:highlight w:val="none"/>
        </w:rPr>
        <w:t>缺陷责任期</w:t>
      </w:r>
      <w:bookmarkEnd w:id="808"/>
      <w:bookmarkEnd w:id="809"/>
      <w:bookmarkEnd w:id="810"/>
      <w:bookmarkEnd w:id="811"/>
      <w:bookmarkEnd w:id="812"/>
      <w:bookmarkEnd w:id="813"/>
      <w:bookmarkEnd w:id="814"/>
    </w:p>
    <w:p w14:paraId="090D64B0">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缺陷责任期的具体期限：</w:t>
      </w:r>
      <w:r>
        <w:rPr>
          <w:rFonts w:hint="eastAsia" w:ascii="宋体" w:hAnsi="宋体"/>
          <w:b/>
          <w:color w:val="000000"/>
          <w:highlight w:val="none"/>
          <w:u w:val="single"/>
        </w:rPr>
        <w:t>12个月</w:t>
      </w:r>
      <w:r>
        <w:rPr>
          <w:rFonts w:hint="eastAsia" w:ascii="宋体" w:hAnsi="宋体"/>
          <w:color w:val="000000"/>
          <w:highlight w:val="none"/>
        </w:rPr>
        <w:t>。</w:t>
      </w:r>
    </w:p>
    <w:p w14:paraId="7E0D3884">
      <w:pPr>
        <w:pStyle w:val="12"/>
        <w:spacing w:after="60"/>
        <w:rPr>
          <w:rFonts w:ascii="宋体" w:hAnsi="宋体"/>
          <w:color w:val="000000"/>
          <w:highlight w:val="none"/>
        </w:rPr>
      </w:pPr>
      <w:bookmarkStart w:id="815" w:name="_Toc10660"/>
      <w:bookmarkStart w:id="816" w:name="_Toc407135267"/>
      <w:bookmarkStart w:id="817" w:name="_Toc373478411"/>
      <w:bookmarkStart w:id="818" w:name="_Toc389065329"/>
      <w:bookmarkStart w:id="819" w:name="_Toc487632764"/>
      <w:bookmarkStart w:id="820" w:name="_Toc373227764"/>
      <w:bookmarkStart w:id="821" w:name="_Toc108539846"/>
      <w:r>
        <w:rPr>
          <w:rFonts w:ascii="宋体" w:hAnsi="宋体"/>
          <w:color w:val="000000"/>
          <w:highlight w:val="none"/>
        </w:rPr>
        <w:t xml:space="preserve">15.3 </w:t>
      </w:r>
      <w:r>
        <w:rPr>
          <w:rFonts w:hint="eastAsia" w:ascii="宋体" w:hAnsi="宋体"/>
          <w:color w:val="000000"/>
          <w:highlight w:val="none"/>
        </w:rPr>
        <w:t>质量保证金</w:t>
      </w:r>
      <w:bookmarkEnd w:id="815"/>
      <w:bookmarkEnd w:id="816"/>
      <w:bookmarkEnd w:id="817"/>
      <w:bookmarkEnd w:id="818"/>
      <w:bookmarkEnd w:id="819"/>
      <w:bookmarkEnd w:id="820"/>
      <w:bookmarkEnd w:id="821"/>
    </w:p>
    <w:p w14:paraId="0C8AD960">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关于是否扣留质量保证金的约定：</w:t>
      </w:r>
      <w:r>
        <w:rPr>
          <w:color w:val="000000"/>
          <w:highlight w:val="none"/>
          <w:u w:val="single"/>
        </w:rPr>
        <w:t xml:space="preserve">  </w:t>
      </w:r>
      <w:r>
        <w:rPr>
          <w:rFonts w:ascii="宋体" w:hAnsi="宋体"/>
          <w:color w:val="000000"/>
          <w:kern w:val="0"/>
          <w:highlight w:val="none"/>
          <w:u w:val="single"/>
        </w:rPr>
        <w:t>/</w:t>
      </w:r>
      <w:r>
        <w:rPr>
          <w:color w:val="000000"/>
          <w:highlight w:val="none"/>
          <w:u w:val="single"/>
        </w:rPr>
        <w:t xml:space="preserve">   </w:t>
      </w:r>
      <w:r>
        <w:rPr>
          <w:rFonts w:hint="eastAsia" w:ascii="宋体" w:hAnsi="宋体"/>
          <w:color w:val="000000"/>
          <w:highlight w:val="none"/>
        </w:rPr>
        <w:t>。</w:t>
      </w:r>
    </w:p>
    <w:p w14:paraId="3A4EBB0C">
      <w:pPr>
        <w:spacing w:line="360" w:lineRule="auto"/>
        <w:ind w:firstLine="420" w:firstLineChars="200"/>
        <w:jc w:val="left"/>
        <w:outlineLvl w:val="0"/>
        <w:rPr>
          <w:rFonts w:ascii="宋体" w:hAnsi="宋体"/>
          <w:color w:val="000000"/>
          <w:highlight w:val="none"/>
        </w:rPr>
      </w:pPr>
      <w:bookmarkStart w:id="822" w:name="_Toc108539847"/>
      <w:bookmarkStart w:id="823" w:name="_Toc20065"/>
      <w:bookmarkStart w:id="824" w:name="_Toc32542"/>
      <w:r>
        <w:rPr>
          <w:rFonts w:ascii="宋体" w:hAnsi="宋体"/>
          <w:color w:val="000000"/>
          <w:highlight w:val="none"/>
        </w:rPr>
        <w:t xml:space="preserve">15.3.1 </w:t>
      </w:r>
      <w:r>
        <w:rPr>
          <w:rFonts w:hint="eastAsia" w:ascii="宋体" w:hAnsi="宋体"/>
          <w:color w:val="000000"/>
          <w:highlight w:val="none"/>
        </w:rPr>
        <w:t>承包人提供质量保证金的方式</w:t>
      </w:r>
      <w:bookmarkEnd w:id="822"/>
      <w:bookmarkEnd w:id="823"/>
      <w:bookmarkEnd w:id="824"/>
    </w:p>
    <w:p w14:paraId="35D04CE2">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质量保证金采用以下第</w:t>
      </w:r>
      <w:r>
        <w:rPr>
          <w:rFonts w:ascii="宋体" w:hAnsi="宋体"/>
          <w:color w:val="000000"/>
          <w:kern w:val="0"/>
          <w:highlight w:val="none"/>
          <w:u w:val="single"/>
        </w:rPr>
        <w:t xml:space="preserve"> </w:t>
      </w:r>
      <w:r>
        <w:rPr>
          <w:rFonts w:hint="eastAsia" w:ascii="宋体" w:hAnsi="宋体"/>
          <w:color w:val="000000"/>
          <w:kern w:val="0"/>
          <w:highlight w:val="none"/>
          <w:u w:val="single"/>
        </w:rPr>
        <w:t>（</w:t>
      </w:r>
      <w:r>
        <w:rPr>
          <w:rFonts w:ascii="宋体" w:hAnsi="宋体"/>
          <w:color w:val="000000"/>
          <w:kern w:val="0"/>
          <w:highlight w:val="none"/>
          <w:u w:val="single"/>
        </w:rPr>
        <w:t>2</w:t>
      </w:r>
      <w:r>
        <w:rPr>
          <w:rFonts w:hint="eastAsia" w:ascii="宋体" w:hAnsi="宋体"/>
          <w:color w:val="000000"/>
          <w:kern w:val="0"/>
          <w:highlight w:val="none"/>
          <w:u w:val="single"/>
        </w:rPr>
        <w:t>）</w:t>
      </w:r>
      <w:r>
        <w:rPr>
          <w:rFonts w:hint="eastAsia" w:ascii="宋体" w:hAnsi="宋体"/>
          <w:color w:val="000000"/>
          <w:kern w:val="0"/>
          <w:highlight w:val="none"/>
          <w:u w:val="single"/>
          <w:lang w:val="en-US" w:eastAsia="zh-CN"/>
        </w:rPr>
        <w:t xml:space="preserve"> </w:t>
      </w:r>
      <w:r>
        <w:rPr>
          <w:rFonts w:hint="eastAsia" w:ascii="宋体" w:hAnsi="宋体"/>
          <w:color w:val="000000"/>
          <w:highlight w:val="none"/>
        </w:rPr>
        <w:t>种方式：</w:t>
      </w:r>
    </w:p>
    <w:p w14:paraId="03D429F6">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1</w:t>
      </w:r>
      <w:r>
        <w:rPr>
          <w:rFonts w:hint="eastAsia" w:ascii="宋体" w:hAnsi="宋体"/>
          <w:color w:val="000000"/>
          <w:kern w:val="0"/>
          <w:highlight w:val="none"/>
        </w:rPr>
        <w:t>）质量保证金保函，保证金额为：</w:t>
      </w:r>
      <w:r>
        <w:rPr>
          <w:rFonts w:hint="eastAsia" w:ascii="宋体" w:hAnsi="宋体"/>
          <w:color w:val="000000"/>
          <w:kern w:val="0"/>
          <w:highlight w:val="none"/>
          <w:u w:val="single"/>
        </w:rPr>
        <w:t xml:space="preserve"> </w:t>
      </w:r>
      <w:r>
        <w:rPr>
          <w:rFonts w:ascii="宋体" w:hAnsi="宋体"/>
          <w:color w:val="000000"/>
          <w:kern w:val="0"/>
          <w:highlight w:val="none"/>
          <w:u w:val="single"/>
        </w:rPr>
        <w:t xml:space="preserve">  /  </w:t>
      </w:r>
      <w:r>
        <w:rPr>
          <w:rFonts w:hint="eastAsia" w:ascii="宋体" w:hAnsi="宋体"/>
          <w:color w:val="000000"/>
          <w:kern w:val="0"/>
          <w:highlight w:val="none"/>
        </w:rPr>
        <w:t>；</w:t>
      </w:r>
    </w:p>
    <w:p w14:paraId="6F72C594">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w:t>
      </w:r>
      <w:r>
        <w:rPr>
          <w:rFonts w:hint="eastAsia" w:ascii="宋体" w:hAnsi="宋体"/>
          <w:color w:val="000000"/>
          <w:highlight w:val="none"/>
        </w:rPr>
        <w:t>发包人按工程价款结算总额的</w:t>
      </w:r>
      <w:r>
        <w:rPr>
          <w:rFonts w:ascii="宋体" w:hAnsi="宋体"/>
          <w:color w:val="000000"/>
          <w:kern w:val="0"/>
          <w:highlight w:val="none"/>
          <w:u w:val="single"/>
        </w:rPr>
        <w:t xml:space="preserve"> </w:t>
      </w:r>
      <w:r>
        <w:rPr>
          <w:rFonts w:hint="eastAsia" w:ascii="宋体" w:hAnsi="宋体"/>
          <w:color w:val="000000"/>
          <w:kern w:val="0"/>
          <w:highlight w:val="none"/>
          <w:u w:val="single"/>
          <w:lang w:val="en-US" w:eastAsia="zh-CN"/>
        </w:rPr>
        <w:t xml:space="preserve">3 </w:t>
      </w:r>
      <w:r>
        <w:rPr>
          <w:rFonts w:ascii="宋体" w:hAnsi="宋体"/>
          <w:color w:val="000000"/>
          <w:kern w:val="0"/>
          <w:highlight w:val="none"/>
          <w:u w:val="single"/>
        </w:rPr>
        <w:t xml:space="preserve"> </w:t>
      </w:r>
      <w:r>
        <w:rPr>
          <w:rFonts w:ascii="宋体" w:hAnsi="宋体"/>
          <w:color w:val="000000"/>
          <w:highlight w:val="none"/>
        </w:rPr>
        <w:t>%</w:t>
      </w:r>
      <w:r>
        <w:rPr>
          <w:rFonts w:hint="eastAsia" w:ascii="宋体" w:hAnsi="宋体"/>
          <w:color w:val="000000"/>
          <w:highlight w:val="none"/>
        </w:rPr>
        <w:t>（不得超过</w:t>
      </w:r>
      <w:r>
        <w:rPr>
          <w:rFonts w:ascii="宋体" w:hAnsi="宋体"/>
          <w:color w:val="000000"/>
          <w:highlight w:val="none"/>
        </w:rPr>
        <w:t>3%</w:t>
      </w:r>
      <w:r>
        <w:rPr>
          <w:rFonts w:hint="eastAsia" w:ascii="宋体" w:hAnsi="宋体"/>
          <w:color w:val="000000"/>
          <w:highlight w:val="none"/>
        </w:rPr>
        <w:t>）预留工程质量保修金，待缺陷责任期满后返还，是否付息及利息计算方式为：</w:t>
      </w:r>
      <w:r>
        <w:rPr>
          <w:rFonts w:hint="eastAsia" w:ascii="宋体" w:hAnsi="宋体"/>
          <w:color w:val="000000"/>
          <w:highlight w:val="none"/>
          <w:u w:val="single"/>
        </w:rPr>
        <w:t>无</w:t>
      </w:r>
      <w:r>
        <w:rPr>
          <w:rFonts w:hint="eastAsia" w:ascii="宋体" w:hAnsi="宋体"/>
          <w:color w:val="000000"/>
          <w:kern w:val="0"/>
          <w:highlight w:val="none"/>
        </w:rPr>
        <w:t>；</w:t>
      </w:r>
    </w:p>
    <w:p w14:paraId="2C95570B">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3</w:t>
      </w:r>
      <w:r>
        <w:rPr>
          <w:rFonts w:hint="eastAsia" w:ascii="宋体" w:hAnsi="宋体"/>
          <w:color w:val="000000"/>
          <w:kern w:val="0"/>
          <w:highlight w:val="none"/>
        </w:rPr>
        <w:t>）其他方式：</w:t>
      </w:r>
      <w:r>
        <w:rPr>
          <w:rFonts w:hint="eastAsia" w:ascii="宋体" w:hAnsi="宋体"/>
          <w:color w:val="000000"/>
          <w:highlight w:val="none"/>
          <w:u w:val="single"/>
        </w:rPr>
        <w:t>无</w:t>
      </w:r>
      <w:r>
        <w:rPr>
          <w:rFonts w:hint="eastAsia" w:ascii="宋体" w:hAnsi="宋体"/>
          <w:color w:val="000000"/>
          <w:highlight w:val="none"/>
        </w:rPr>
        <w:t>。</w:t>
      </w:r>
    </w:p>
    <w:p w14:paraId="747DE892">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15.3.2 </w:t>
      </w:r>
      <w:r>
        <w:rPr>
          <w:rFonts w:hint="eastAsia" w:ascii="宋体" w:hAnsi="宋体"/>
          <w:color w:val="000000"/>
          <w:highlight w:val="none"/>
        </w:rPr>
        <w:t>质量保证金的扣留</w:t>
      </w:r>
    </w:p>
    <w:p w14:paraId="613330E3">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质量保证金的扣留采取以下第</w:t>
      </w:r>
      <w:r>
        <w:rPr>
          <w:rFonts w:hint="eastAsia" w:ascii="宋体" w:hAnsi="宋体"/>
          <w:color w:val="000000"/>
          <w:highlight w:val="none"/>
          <w:u w:val="single"/>
        </w:rPr>
        <w:t xml:space="preserve"> （2）</w:t>
      </w:r>
      <w:r>
        <w:rPr>
          <w:rFonts w:hint="eastAsia" w:ascii="宋体" w:hAnsi="宋体"/>
          <w:color w:val="000000"/>
          <w:highlight w:val="none"/>
          <w:u w:val="single"/>
          <w:lang w:val="en-US" w:eastAsia="zh-CN"/>
        </w:rPr>
        <w:t xml:space="preserve"> </w:t>
      </w:r>
      <w:r>
        <w:rPr>
          <w:rFonts w:hint="eastAsia" w:ascii="宋体" w:hAnsi="宋体"/>
          <w:color w:val="000000"/>
          <w:highlight w:val="none"/>
        </w:rPr>
        <w:t>种方式：</w:t>
      </w:r>
    </w:p>
    <w:p w14:paraId="0B918984">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1</w:t>
      </w:r>
      <w:r>
        <w:rPr>
          <w:rFonts w:hint="eastAsia" w:ascii="宋体" w:hAnsi="宋体"/>
          <w:color w:val="000000"/>
          <w:kern w:val="0"/>
          <w:highlight w:val="none"/>
        </w:rPr>
        <w:t>）在支付工程进度款时逐次扣留，在此情形下，质量保证金的计算基数不包括预付款的支付、扣回以及价格调整的金额；</w:t>
      </w:r>
    </w:p>
    <w:p w14:paraId="7EBE6691">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）工程竣工结算时一次性扣留质量保证金；</w:t>
      </w:r>
    </w:p>
    <w:p w14:paraId="60B2D30E">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3</w:t>
      </w:r>
      <w:r>
        <w:rPr>
          <w:rFonts w:hint="eastAsia" w:ascii="宋体" w:hAnsi="宋体"/>
          <w:color w:val="000000"/>
          <w:kern w:val="0"/>
          <w:highlight w:val="none"/>
        </w:rPr>
        <w:t>）其他扣留方式</w:t>
      </w:r>
      <w:r>
        <w:rPr>
          <w:rFonts w:ascii="宋体" w:hAnsi="宋体"/>
          <w:color w:val="000000"/>
          <w:kern w:val="0"/>
          <w:highlight w:val="none"/>
        </w:rPr>
        <w:t>:</w:t>
      </w:r>
      <w:r>
        <w:rPr>
          <w:rFonts w:hint="eastAsia" w:ascii="宋体" w:hAnsi="宋体"/>
          <w:color w:val="000000"/>
          <w:kern w:val="0"/>
          <w:highlight w:val="none"/>
          <w:u w:val="single"/>
        </w:rPr>
        <w:t>无</w:t>
      </w:r>
      <w:r>
        <w:rPr>
          <w:rFonts w:hint="eastAsia" w:ascii="宋体" w:hAnsi="宋体"/>
          <w:color w:val="000000"/>
          <w:kern w:val="0"/>
          <w:highlight w:val="none"/>
        </w:rPr>
        <w:t>。</w:t>
      </w:r>
    </w:p>
    <w:p w14:paraId="0DA4FECC">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关于质量保证金的补充约定：</w:t>
      </w:r>
      <w:r>
        <w:rPr>
          <w:rFonts w:hint="eastAsia" w:ascii="宋体" w:hAnsi="宋体"/>
          <w:color w:val="000000"/>
          <w:kern w:val="0"/>
          <w:highlight w:val="none"/>
          <w:u w:val="single"/>
        </w:rPr>
        <w:t>无</w:t>
      </w:r>
      <w:r>
        <w:rPr>
          <w:rFonts w:hint="eastAsia" w:ascii="宋体" w:hAnsi="宋体"/>
          <w:color w:val="000000"/>
          <w:kern w:val="0"/>
          <w:highlight w:val="none"/>
        </w:rPr>
        <w:t>。</w:t>
      </w:r>
    </w:p>
    <w:p w14:paraId="2CDA8E9D">
      <w:pPr>
        <w:pStyle w:val="12"/>
        <w:spacing w:before="0" w:after="60"/>
        <w:rPr>
          <w:rFonts w:ascii="宋体" w:hAnsi="宋体"/>
          <w:color w:val="000000"/>
          <w:highlight w:val="none"/>
        </w:rPr>
      </w:pPr>
      <w:bookmarkStart w:id="825" w:name="_Toc25136"/>
      <w:bookmarkStart w:id="826" w:name="_Toc108539848"/>
      <w:bookmarkStart w:id="827" w:name="_Toc373227765"/>
      <w:bookmarkStart w:id="828" w:name="_Toc389065330"/>
      <w:bookmarkStart w:id="829" w:name="_Toc407135268"/>
      <w:bookmarkStart w:id="830" w:name="_Toc373478412"/>
      <w:bookmarkStart w:id="831" w:name="_Toc487632765"/>
      <w:r>
        <w:rPr>
          <w:rFonts w:ascii="宋体" w:hAnsi="宋体"/>
          <w:color w:val="000000"/>
          <w:highlight w:val="none"/>
        </w:rPr>
        <w:t xml:space="preserve">15.4 </w:t>
      </w:r>
      <w:r>
        <w:rPr>
          <w:rFonts w:hint="eastAsia" w:ascii="宋体" w:hAnsi="宋体"/>
          <w:color w:val="000000"/>
          <w:highlight w:val="none"/>
        </w:rPr>
        <w:t>保修</w:t>
      </w:r>
      <w:bookmarkEnd w:id="825"/>
      <w:bookmarkEnd w:id="826"/>
      <w:bookmarkEnd w:id="827"/>
      <w:bookmarkEnd w:id="828"/>
      <w:bookmarkEnd w:id="829"/>
      <w:bookmarkEnd w:id="830"/>
      <w:bookmarkEnd w:id="831"/>
    </w:p>
    <w:p w14:paraId="3572FC1E">
      <w:pPr>
        <w:spacing w:line="360" w:lineRule="auto"/>
        <w:ind w:firstLine="409" w:firstLineChars="195"/>
        <w:jc w:val="left"/>
        <w:outlineLvl w:val="0"/>
        <w:rPr>
          <w:rFonts w:ascii="宋体" w:hAnsi="宋体"/>
          <w:color w:val="000000"/>
          <w:highlight w:val="none"/>
        </w:rPr>
      </w:pPr>
      <w:bookmarkStart w:id="832" w:name="_Toc9764"/>
      <w:bookmarkStart w:id="833" w:name="_Toc16137"/>
      <w:bookmarkStart w:id="834" w:name="_Toc108539849"/>
      <w:r>
        <w:rPr>
          <w:rFonts w:ascii="宋体" w:hAnsi="宋体"/>
          <w:color w:val="000000"/>
          <w:highlight w:val="none"/>
        </w:rPr>
        <w:t xml:space="preserve">15.4.1 </w:t>
      </w:r>
      <w:r>
        <w:rPr>
          <w:rFonts w:hint="eastAsia" w:ascii="宋体" w:hAnsi="宋体"/>
          <w:color w:val="000000"/>
          <w:highlight w:val="none"/>
        </w:rPr>
        <w:t>保修责任</w:t>
      </w:r>
      <w:bookmarkEnd w:id="832"/>
      <w:bookmarkEnd w:id="833"/>
      <w:bookmarkEnd w:id="834"/>
    </w:p>
    <w:p w14:paraId="2A298B3B">
      <w:pPr>
        <w:spacing w:line="360" w:lineRule="auto"/>
        <w:ind w:firstLine="409" w:firstLineChars="195"/>
        <w:jc w:val="left"/>
        <w:rPr>
          <w:rFonts w:hint="eastAsia" w:ascii="宋体" w:hAnsi="宋体"/>
          <w:color w:val="000000"/>
          <w:highlight w:val="none"/>
        </w:rPr>
      </w:pPr>
      <w:r>
        <w:rPr>
          <w:rFonts w:hint="eastAsia" w:ascii="宋体" w:hAnsi="宋体"/>
          <w:color w:val="000000"/>
          <w:highlight w:val="none"/>
        </w:rPr>
        <w:t>工程保修期为：</w:t>
      </w:r>
      <w:r>
        <w:rPr>
          <w:rFonts w:hint="eastAsia" w:ascii="宋体" w:hAnsi="宋体"/>
          <w:color w:val="000000"/>
          <w:kern w:val="0"/>
          <w:highlight w:val="none"/>
          <w:u w:val="single"/>
        </w:rPr>
        <w:t>执行《建设工程质量管理条例》规定</w:t>
      </w:r>
      <w:r>
        <w:rPr>
          <w:rFonts w:hint="eastAsia" w:ascii="宋体" w:hAnsi="宋体"/>
          <w:color w:val="000000"/>
          <w:kern w:val="0"/>
          <w:highlight w:val="none"/>
        </w:rPr>
        <w:t>。</w:t>
      </w:r>
    </w:p>
    <w:p w14:paraId="41ADEDB8">
      <w:pPr>
        <w:spacing w:line="360" w:lineRule="auto"/>
        <w:ind w:firstLine="409" w:firstLineChars="195"/>
        <w:jc w:val="left"/>
        <w:rPr>
          <w:rFonts w:hint="eastAsia" w:ascii="宋体" w:hAnsi="宋体"/>
          <w:color w:val="000000"/>
          <w:highlight w:val="none"/>
        </w:rPr>
      </w:pPr>
      <w:r>
        <w:rPr>
          <w:rFonts w:hint="eastAsia" w:ascii="宋体" w:hAnsi="宋体"/>
          <w:color w:val="000000"/>
          <w:highlight w:val="none"/>
        </w:rPr>
        <w:t>工程保修书具体内容见合同附件。</w:t>
      </w:r>
    </w:p>
    <w:p w14:paraId="50834DA0">
      <w:pPr>
        <w:spacing w:line="360" w:lineRule="auto"/>
        <w:ind w:firstLine="409" w:firstLineChars="195"/>
        <w:jc w:val="left"/>
        <w:rPr>
          <w:rFonts w:ascii="宋体" w:hAnsi="宋体"/>
          <w:color w:val="000000"/>
          <w:highlight w:val="none"/>
        </w:rPr>
      </w:pPr>
      <w:r>
        <w:rPr>
          <w:rFonts w:ascii="宋体" w:hAnsi="宋体"/>
          <w:color w:val="000000"/>
          <w:highlight w:val="none"/>
        </w:rPr>
        <w:t xml:space="preserve">15.4.3 </w:t>
      </w:r>
      <w:r>
        <w:rPr>
          <w:rFonts w:hint="eastAsia" w:ascii="宋体" w:hAnsi="宋体"/>
          <w:color w:val="000000"/>
          <w:highlight w:val="none"/>
        </w:rPr>
        <w:t>修复通知</w:t>
      </w:r>
    </w:p>
    <w:p w14:paraId="2304F24D">
      <w:pPr>
        <w:spacing w:line="360" w:lineRule="auto"/>
        <w:ind w:firstLine="409" w:firstLineChars="195"/>
        <w:jc w:val="left"/>
        <w:rPr>
          <w:rFonts w:hint="eastAsia" w:ascii="宋体" w:hAnsi="宋体"/>
          <w:color w:val="000000"/>
          <w:kern w:val="0"/>
          <w:highlight w:val="none"/>
        </w:rPr>
      </w:pPr>
      <w:r>
        <w:rPr>
          <w:rFonts w:hint="eastAsia" w:ascii="宋体" w:hAnsi="宋体"/>
          <w:color w:val="000000"/>
          <w:kern w:val="0"/>
          <w:highlight w:val="none"/>
        </w:rPr>
        <w:t>承包人收到保修通知并到达工程现场的合理时间：</w:t>
      </w:r>
      <w:r>
        <w:rPr>
          <w:rFonts w:hint="eastAsia" w:ascii="宋体" w:hAnsi="宋体"/>
          <w:color w:val="000000"/>
          <w:kern w:val="0"/>
          <w:highlight w:val="none"/>
          <w:u w:val="single"/>
        </w:rPr>
        <w:t>1天内</w:t>
      </w:r>
      <w:r>
        <w:rPr>
          <w:rFonts w:hint="eastAsia" w:ascii="宋体" w:hAnsi="宋体"/>
          <w:color w:val="000000"/>
          <w:kern w:val="0"/>
          <w:highlight w:val="none"/>
        </w:rPr>
        <w:t>。</w:t>
      </w:r>
    </w:p>
    <w:p w14:paraId="1AD66075">
      <w:pPr>
        <w:pStyle w:val="11"/>
        <w:rPr>
          <w:rFonts w:ascii="宋体" w:hAnsi="宋体" w:eastAsia="宋体"/>
          <w:color w:val="000000"/>
          <w:highlight w:val="none"/>
        </w:rPr>
      </w:pPr>
      <w:bookmarkStart w:id="835" w:name="_Toc3004"/>
      <w:bookmarkStart w:id="836" w:name="_Toc108539850"/>
      <w:r>
        <w:rPr>
          <w:rFonts w:ascii="宋体" w:hAnsi="宋体" w:eastAsia="宋体"/>
          <w:color w:val="000000"/>
          <w:highlight w:val="none"/>
        </w:rPr>
        <w:t xml:space="preserve">16. </w:t>
      </w:r>
      <w:r>
        <w:rPr>
          <w:rFonts w:hint="eastAsia" w:ascii="宋体" w:hAnsi="宋体" w:eastAsia="宋体"/>
          <w:color w:val="000000"/>
          <w:highlight w:val="none"/>
        </w:rPr>
        <w:t>违约</w:t>
      </w:r>
      <w:bookmarkEnd w:id="835"/>
      <w:bookmarkEnd w:id="836"/>
    </w:p>
    <w:p w14:paraId="0EFF659E">
      <w:pPr>
        <w:pStyle w:val="12"/>
        <w:spacing w:before="0" w:after="60"/>
        <w:rPr>
          <w:rFonts w:ascii="宋体" w:hAnsi="宋体"/>
          <w:color w:val="000000"/>
          <w:highlight w:val="none"/>
        </w:rPr>
      </w:pPr>
      <w:bookmarkStart w:id="837" w:name="_Toc407135270"/>
      <w:bookmarkStart w:id="838" w:name="_Toc373227767"/>
      <w:bookmarkStart w:id="839" w:name="_Toc487632767"/>
      <w:bookmarkStart w:id="840" w:name="_Toc7113"/>
      <w:bookmarkStart w:id="841" w:name="_Toc373478414"/>
      <w:bookmarkStart w:id="842" w:name="_Toc389065332"/>
      <w:bookmarkStart w:id="843" w:name="_Toc108539851"/>
      <w:r>
        <w:rPr>
          <w:rFonts w:ascii="宋体" w:hAnsi="宋体"/>
          <w:color w:val="000000"/>
          <w:highlight w:val="none"/>
        </w:rPr>
        <w:t xml:space="preserve">16.1 </w:t>
      </w:r>
      <w:r>
        <w:rPr>
          <w:rFonts w:hint="eastAsia" w:ascii="宋体" w:hAnsi="宋体"/>
          <w:color w:val="000000"/>
          <w:highlight w:val="none"/>
        </w:rPr>
        <w:t>发包人违约</w:t>
      </w:r>
      <w:bookmarkEnd w:id="837"/>
      <w:bookmarkEnd w:id="838"/>
      <w:bookmarkEnd w:id="839"/>
      <w:bookmarkEnd w:id="840"/>
      <w:bookmarkEnd w:id="841"/>
      <w:bookmarkEnd w:id="842"/>
      <w:bookmarkEnd w:id="843"/>
    </w:p>
    <w:p w14:paraId="6706FE0A">
      <w:pPr>
        <w:spacing w:line="360" w:lineRule="auto"/>
        <w:ind w:firstLine="420" w:firstLineChars="200"/>
        <w:jc w:val="left"/>
        <w:rPr>
          <w:rFonts w:ascii="宋体" w:hAnsi="宋体"/>
          <w:color w:val="000000"/>
          <w:highlight w:val="none"/>
        </w:rPr>
      </w:pPr>
      <w:r>
        <w:rPr>
          <w:rFonts w:ascii="宋体" w:hAnsi="宋体"/>
          <w:color w:val="000000"/>
          <w:highlight w:val="none"/>
        </w:rPr>
        <w:t>16.1.1</w:t>
      </w:r>
      <w:r>
        <w:rPr>
          <w:rFonts w:hint="eastAsia" w:ascii="宋体" w:hAnsi="宋体"/>
          <w:color w:val="000000"/>
          <w:highlight w:val="none"/>
        </w:rPr>
        <w:t>发包人违约的情形</w:t>
      </w:r>
    </w:p>
    <w:p w14:paraId="3667ADF2">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发包人违约的其他情形：</w:t>
      </w:r>
      <w:r>
        <w:rPr>
          <w:rFonts w:hint="eastAsia" w:ascii="宋体" w:hAnsi="宋体"/>
          <w:color w:val="000000"/>
          <w:highlight w:val="none"/>
          <w:u w:val="single"/>
        </w:rPr>
        <w:t>按通用条款执行</w:t>
      </w:r>
      <w:r>
        <w:rPr>
          <w:rFonts w:hint="eastAsia" w:ascii="宋体" w:hAnsi="宋体"/>
          <w:color w:val="000000"/>
          <w:kern w:val="0"/>
          <w:highlight w:val="none"/>
        </w:rPr>
        <w:t>。</w:t>
      </w:r>
    </w:p>
    <w:p w14:paraId="3A637BC0">
      <w:pPr>
        <w:spacing w:line="360" w:lineRule="auto"/>
        <w:ind w:firstLine="420" w:firstLineChars="200"/>
        <w:jc w:val="left"/>
        <w:outlineLvl w:val="0"/>
        <w:rPr>
          <w:rFonts w:ascii="宋体" w:hAnsi="宋体"/>
          <w:color w:val="000000"/>
          <w:kern w:val="0"/>
          <w:highlight w:val="none"/>
        </w:rPr>
      </w:pPr>
      <w:bookmarkStart w:id="844" w:name="_Toc108539852"/>
      <w:bookmarkStart w:id="845" w:name="_Toc27026"/>
      <w:bookmarkStart w:id="846" w:name="_Toc8888"/>
      <w:r>
        <w:rPr>
          <w:rFonts w:ascii="宋体" w:hAnsi="宋体"/>
          <w:color w:val="000000"/>
          <w:kern w:val="0"/>
          <w:highlight w:val="none"/>
        </w:rPr>
        <w:t xml:space="preserve">16.1.2 </w:t>
      </w:r>
      <w:r>
        <w:rPr>
          <w:rFonts w:hint="eastAsia" w:ascii="宋体" w:hAnsi="宋体"/>
          <w:color w:val="000000"/>
          <w:kern w:val="0"/>
          <w:highlight w:val="none"/>
        </w:rPr>
        <w:t>发包人违约的责任</w:t>
      </w:r>
      <w:bookmarkEnd w:id="844"/>
      <w:bookmarkEnd w:id="845"/>
      <w:bookmarkEnd w:id="846"/>
    </w:p>
    <w:p w14:paraId="28CA8502">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发包人违约责任的承担方式和计算方法：</w:t>
      </w:r>
    </w:p>
    <w:p w14:paraId="2FC70C59">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1</w:t>
      </w:r>
      <w:r>
        <w:rPr>
          <w:rFonts w:hint="eastAsia" w:ascii="宋体" w:hAnsi="宋体"/>
          <w:color w:val="000000"/>
          <w:kern w:val="0"/>
          <w:highlight w:val="none"/>
        </w:rPr>
        <w:t>）因发包人原因未能在计划开工日期前</w:t>
      </w:r>
      <w:r>
        <w:rPr>
          <w:rFonts w:ascii="宋体" w:hAnsi="宋体"/>
          <w:color w:val="000000"/>
          <w:kern w:val="0"/>
          <w:highlight w:val="none"/>
        </w:rPr>
        <w:t>7</w:t>
      </w:r>
      <w:r>
        <w:rPr>
          <w:rFonts w:hint="eastAsia" w:ascii="宋体" w:hAnsi="宋体"/>
          <w:color w:val="000000"/>
          <w:kern w:val="0"/>
          <w:highlight w:val="none"/>
        </w:rPr>
        <w:t>天内下达开工通知的违约责任：</w:t>
      </w:r>
      <w:r>
        <w:rPr>
          <w:rFonts w:hint="eastAsia" w:hAnsi="宋体"/>
          <w:color w:val="000000"/>
          <w:kern w:val="0"/>
          <w:highlight w:val="none"/>
          <w:u w:val="single"/>
        </w:rPr>
        <w:t xml:space="preserve">     </w:t>
      </w:r>
      <w:r>
        <w:rPr>
          <w:rFonts w:hint="eastAsia" w:hAnsi="宋体"/>
          <w:color w:val="000000"/>
          <w:highlight w:val="none"/>
          <w:u w:val="single"/>
        </w:rPr>
        <w:t>/</w:t>
      </w:r>
      <w:r>
        <w:rPr>
          <w:rFonts w:hint="eastAsia" w:hAnsi="宋体"/>
          <w:color w:val="000000"/>
          <w:kern w:val="0"/>
          <w:highlight w:val="none"/>
          <w:u w:val="single"/>
        </w:rPr>
        <w:t xml:space="preserve">    </w:t>
      </w:r>
      <w:r>
        <w:rPr>
          <w:rFonts w:hint="eastAsia" w:ascii="宋体" w:hAnsi="宋体"/>
          <w:color w:val="000000"/>
          <w:kern w:val="0"/>
          <w:highlight w:val="none"/>
        </w:rPr>
        <w:t>。</w:t>
      </w:r>
    </w:p>
    <w:p w14:paraId="77E843DC">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）因发包人原因未能按合同约定支付合同价款的违约责任：</w:t>
      </w:r>
      <w:r>
        <w:rPr>
          <w:rFonts w:hint="eastAsia" w:ascii="宋体" w:hAnsi="宋体"/>
          <w:color w:val="000000"/>
          <w:kern w:val="0"/>
          <w:highlight w:val="none"/>
          <w:u w:val="single"/>
        </w:rPr>
        <w:t>无故逾期验收或办理合同款支付手续的，甲方应按逾期付款总额每日万分之二向乙方支付违约金</w:t>
      </w:r>
      <w:r>
        <w:rPr>
          <w:rFonts w:hint="eastAsia" w:ascii="宋体" w:hAnsi="宋体"/>
          <w:color w:val="000000"/>
          <w:kern w:val="0"/>
          <w:highlight w:val="none"/>
        </w:rPr>
        <w:t>。</w:t>
      </w:r>
    </w:p>
    <w:p w14:paraId="77C85A8A">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3</w:t>
      </w:r>
      <w:r>
        <w:rPr>
          <w:rFonts w:hint="eastAsia" w:ascii="宋体" w:hAnsi="宋体"/>
          <w:color w:val="000000"/>
          <w:kern w:val="0"/>
          <w:highlight w:val="none"/>
        </w:rPr>
        <w:t>）发包人违反第</w:t>
      </w:r>
      <w:r>
        <w:rPr>
          <w:rFonts w:ascii="宋体" w:hAnsi="宋体"/>
          <w:color w:val="000000"/>
          <w:kern w:val="0"/>
          <w:highlight w:val="none"/>
        </w:rPr>
        <w:t>10.1</w:t>
      </w:r>
      <w:r>
        <w:rPr>
          <w:rFonts w:hint="eastAsia" w:ascii="宋体" w:hAnsi="宋体"/>
          <w:color w:val="000000"/>
          <w:kern w:val="0"/>
          <w:highlight w:val="none"/>
        </w:rPr>
        <w:t>款〔变更的范围〕第（</w:t>
      </w:r>
      <w:r>
        <w:rPr>
          <w:rFonts w:ascii="宋体" w:hAnsi="宋体"/>
          <w:color w:val="000000"/>
          <w:kern w:val="0"/>
          <w:highlight w:val="none"/>
        </w:rPr>
        <w:t>2</w:t>
      </w:r>
      <w:r>
        <w:rPr>
          <w:rFonts w:hint="eastAsia" w:ascii="宋体" w:hAnsi="宋体"/>
          <w:color w:val="000000"/>
          <w:kern w:val="0"/>
          <w:highlight w:val="none"/>
        </w:rPr>
        <w:t>）项约定，自行实施被取消的工作或转由他人实施的违约责任：</w:t>
      </w:r>
      <w:r>
        <w:rPr>
          <w:rFonts w:hint="eastAsia" w:hAnsi="宋体"/>
          <w:color w:val="000000"/>
          <w:kern w:val="0"/>
          <w:highlight w:val="none"/>
          <w:u w:val="single"/>
        </w:rPr>
        <w:t xml:space="preserve">     </w:t>
      </w:r>
      <w:r>
        <w:rPr>
          <w:rFonts w:hint="eastAsia" w:hAnsi="宋体"/>
          <w:color w:val="000000"/>
          <w:highlight w:val="none"/>
          <w:u w:val="single"/>
        </w:rPr>
        <w:t>/</w:t>
      </w:r>
      <w:r>
        <w:rPr>
          <w:rFonts w:hint="eastAsia" w:hAnsi="宋体"/>
          <w:color w:val="000000"/>
          <w:kern w:val="0"/>
          <w:highlight w:val="none"/>
          <w:u w:val="single"/>
        </w:rPr>
        <w:t xml:space="preserve">      </w:t>
      </w:r>
      <w:r>
        <w:rPr>
          <w:rFonts w:hint="eastAsia" w:ascii="宋体" w:hAnsi="宋体"/>
          <w:color w:val="000000"/>
          <w:kern w:val="0"/>
          <w:highlight w:val="none"/>
        </w:rPr>
        <w:t>。</w:t>
      </w:r>
    </w:p>
    <w:p w14:paraId="6B398003">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4</w:t>
      </w:r>
      <w:r>
        <w:rPr>
          <w:rFonts w:hint="eastAsia" w:ascii="宋体" w:hAnsi="宋体"/>
          <w:color w:val="000000"/>
          <w:kern w:val="0"/>
          <w:highlight w:val="none"/>
        </w:rPr>
        <w:t>）发包人提供的材料、工程设备的规格、数量或质量不符合合同约定，或因发包人原因导致交货日期延误或交货地点变更等情况的违约责任：</w:t>
      </w:r>
      <w:r>
        <w:rPr>
          <w:rFonts w:hint="eastAsia" w:hAnsi="宋体"/>
          <w:color w:val="000000"/>
          <w:kern w:val="0"/>
          <w:highlight w:val="none"/>
          <w:u w:val="single"/>
        </w:rPr>
        <w:t xml:space="preserve">     </w:t>
      </w:r>
      <w:r>
        <w:rPr>
          <w:rFonts w:hint="eastAsia" w:hAnsi="宋体"/>
          <w:color w:val="000000"/>
          <w:highlight w:val="none"/>
          <w:u w:val="single"/>
        </w:rPr>
        <w:t>/</w:t>
      </w:r>
      <w:r>
        <w:rPr>
          <w:rFonts w:hint="eastAsia" w:hAnsi="宋体"/>
          <w:color w:val="000000"/>
          <w:kern w:val="0"/>
          <w:highlight w:val="none"/>
          <w:u w:val="single"/>
        </w:rPr>
        <w:t xml:space="preserve">      </w:t>
      </w:r>
      <w:r>
        <w:rPr>
          <w:rFonts w:hint="eastAsia" w:hAnsi="宋体"/>
          <w:color w:val="000000"/>
          <w:kern w:val="0"/>
          <w:highlight w:val="none"/>
        </w:rPr>
        <w:t>。</w:t>
      </w:r>
    </w:p>
    <w:p w14:paraId="161D3588">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5</w:t>
      </w:r>
      <w:r>
        <w:rPr>
          <w:rFonts w:hint="eastAsia" w:ascii="宋体" w:hAnsi="宋体"/>
          <w:color w:val="000000"/>
          <w:kern w:val="0"/>
          <w:highlight w:val="none"/>
        </w:rPr>
        <w:t>）因发包人违反合同约定造成暂停施工的违约责任：</w:t>
      </w:r>
      <w:r>
        <w:rPr>
          <w:rFonts w:hint="eastAsia" w:hAnsi="宋体"/>
          <w:color w:val="000000"/>
          <w:kern w:val="0"/>
          <w:highlight w:val="none"/>
          <w:u w:val="single"/>
        </w:rPr>
        <w:t xml:space="preserve">     </w:t>
      </w:r>
      <w:r>
        <w:rPr>
          <w:rFonts w:hint="eastAsia" w:hAnsi="宋体"/>
          <w:color w:val="000000"/>
          <w:highlight w:val="none"/>
          <w:u w:val="single"/>
        </w:rPr>
        <w:t>/</w:t>
      </w:r>
      <w:r>
        <w:rPr>
          <w:rFonts w:hint="eastAsia" w:hAnsi="宋体"/>
          <w:color w:val="000000"/>
          <w:kern w:val="0"/>
          <w:highlight w:val="none"/>
          <w:u w:val="single"/>
        </w:rPr>
        <w:t xml:space="preserve">      </w:t>
      </w:r>
      <w:r>
        <w:rPr>
          <w:rFonts w:hint="eastAsia" w:hAnsi="宋体"/>
          <w:color w:val="000000"/>
          <w:kern w:val="0"/>
          <w:highlight w:val="none"/>
        </w:rPr>
        <w:t>。</w:t>
      </w:r>
    </w:p>
    <w:p w14:paraId="700B5815">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6</w:t>
      </w:r>
      <w:r>
        <w:rPr>
          <w:rFonts w:hint="eastAsia" w:ascii="宋体" w:hAnsi="宋体"/>
          <w:color w:val="000000"/>
          <w:kern w:val="0"/>
          <w:highlight w:val="none"/>
        </w:rPr>
        <w:t>）发包人无正当理由没有在约定期限内发出复工指示，导致承包人无法复工的违约责任：。</w:t>
      </w:r>
    </w:p>
    <w:p w14:paraId="609B43BA">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7</w:t>
      </w:r>
      <w:r>
        <w:rPr>
          <w:rFonts w:hint="eastAsia" w:ascii="宋体" w:hAnsi="宋体"/>
          <w:color w:val="000000"/>
          <w:kern w:val="0"/>
          <w:highlight w:val="none"/>
        </w:rPr>
        <w:t>）其他：</w:t>
      </w:r>
      <w:r>
        <w:rPr>
          <w:rFonts w:hint="eastAsia" w:hAnsi="宋体"/>
          <w:color w:val="000000"/>
          <w:kern w:val="0"/>
          <w:highlight w:val="none"/>
          <w:u w:val="single"/>
        </w:rPr>
        <w:t xml:space="preserve">   无   </w:t>
      </w:r>
      <w:r>
        <w:rPr>
          <w:rFonts w:hint="eastAsia" w:hAnsi="宋体"/>
          <w:color w:val="000000"/>
          <w:kern w:val="0"/>
          <w:highlight w:val="none"/>
        </w:rPr>
        <w:t>。</w:t>
      </w:r>
    </w:p>
    <w:p w14:paraId="488D33AF">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16.1.3 </w:t>
      </w:r>
      <w:r>
        <w:rPr>
          <w:rFonts w:hint="eastAsia" w:ascii="宋体" w:hAnsi="宋体"/>
          <w:color w:val="000000"/>
          <w:highlight w:val="none"/>
        </w:rPr>
        <w:t>因发包人违约解除合同</w:t>
      </w:r>
    </w:p>
    <w:p w14:paraId="1B179646">
      <w:pPr>
        <w:autoSpaceDE w:val="0"/>
        <w:autoSpaceDN w:val="0"/>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承包人按</w:t>
      </w:r>
      <w:r>
        <w:rPr>
          <w:rFonts w:ascii="宋体" w:hAnsi="宋体"/>
          <w:color w:val="000000"/>
          <w:kern w:val="0"/>
          <w:highlight w:val="none"/>
        </w:rPr>
        <w:t>16.1.1</w:t>
      </w:r>
      <w:r>
        <w:rPr>
          <w:rFonts w:hint="eastAsia" w:ascii="宋体" w:hAnsi="宋体"/>
          <w:color w:val="000000"/>
          <w:kern w:val="0"/>
          <w:highlight w:val="none"/>
        </w:rPr>
        <w:t>项〔发包人违约的情形〕约定暂停施工满天后发包人仍不纠正其违约行为并致使合同目的不能实现的，承包人有权解除合同。</w:t>
      </w:r>
    </w:p>
    <w:p w14:paraId="36C34A51">
      <w:pPr>
        <w:pStyle w:val="12"/>
        <w:spacing w:before="0" w:after="60"/>
        <w:rPr>
          <w:rFonts w:ascii="宋体" w:hAnsi="宋体"/>
          <w:color w:val="000000"/>
          <w:highlight w:val="none"/>
        </w:rPr>
      </w:pPr>
      <w:bookmarkStart w:id="847" w:name="_Toc389065333"/>
      <w:bookmarkStart w:id="848" w:name="_Toc373478415"/>
      <w:bookmarkStart w:id="849" w:name="_Toc1304"/>
      <w:bookmarkStart w:id="850" w:name="_Toc373227768"/>
      <w:bookmarkStart w:id="851" w:name="_Toc487632768"/>
      <w:bookmarkStart w:id="852" w:name="_Toc407135271"/>
      <w:bookmarkStart w:id="853" w:name="_Toc108539853"/>
      <w:r>
        <w:rPr>
          <w:rFonts w:ascii="宋体" w:hAnsi="宋体"/>
          <w:color w:val="000000"/>
          <w:highlight w:val="none"/>
        </w:rPr>
        <w:t xml:space="preserve">16.2 </w:t>
      </w:r>
      <w:r>
        <w:rPr>
          <w:rFonts w:hint="eastAsia" w:ascii="宋体" w:hAnsi="宋体"/>
          <w:color w:val="000000"/>
          <w:highlight w:val="none"/>
        </w:rPr>
        <w:t>承包人违约</w:t>
      </w:r>
      <w:bookmarkEnd w:id="847"/>
      <w:bookmarkEnd w:id="848"/>
      <w:bookmarkEnd w:id="849"/>
      <w:bookmarkEnd w:id="850"/>
      <w:bookmarkEnd w:id="851"/>
      <w:bookmarkEnd w:id="852"/>
      <w:bookmarkEnd w:id="853"/>
    </w:p>
    <w:p w14:paraId="54D2AC6D">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16.2.1 </w:t>
      </w:r>
      <w:r>
        <w:rPr>
          <w:rFonts w:hint="eastAsia" w:ascii="宋体" w:hAnsi="宋体"/>
          <w:color w:val="000000"/>
          <w:kern w:val="0"/>
          <w:highlight w:val="none"/>
        </w:rPr>
        <w:t>承包人违约的情形</w:t>
      </w:r>
    </w:p>
    <w:p w14:paraId="0E1D59F9">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承包人违约的其他情形：</w:t>
      </w:r>
      <w:r>
        <w:rPr>
          <w:rFonts w:hint="eastAsia" w:ascii="宋体" w:hAnsi="宋体"/>
          <w:color w:val="000000"/>
          <w:kern w:val="0"/>
          <w:highlight w:val="none"/>
          <w:u w:val="single"/>
        </w:rPr>
        <w:t>非承包人原因发生的工程事故，承包人不积极采取措施，导致经济损失扩大</w:t>
      </w:r>
      <w:r>
        <w:rPr>
          <w:rFonts w:hint="eastAsia" w:ascii="宋体" w:hAnsi="宋体"/>
          <w:color w:val="000000"/>
          <w:kern w:val="0"/>
          <w:highlight w:val="none"/>
        </w:rPr>
        <w:t>。</w:t>
      </w:r>
    </w:p>
    <w:p w14:paraId="75256642">
      <w:pPr>
        <w:spacing w:line="360" w:lineRule="auto"/>
        <w:ind w:firstLine="420" w:firstLineChars="200"/>
        <w:jc w:val="left"/>
        <w:outlineLvl w:val="0"/>
        <w:rPr>
          <w:rFonts w:ascii="宋体" w:hAnsi="宋体"/>
          <w:color w:val="000000"/>
          <w:kern w:val="0"/>
          <w:highlight w:val="none"/>
        </w:rPr>
      </w:pPr>
      <w:bookmarkStart w:id="854" w:name="_Toc26582"/>
      <w:bookmarkStart w:id="855" w:name="_Toc108539854"/>
      <w:bookmarkStart w:id="856" w:name="_Toc936"/>
      <w:r>
        <w:rPr>
          <w:rFonts w:ascii="宋体" w:hAnsi="宋体"/>
          <w:color w:val="000000"/>
          <w:kern w:val="0"/>
          <w:highlight w:val="none"/>
        </w:rPr>
        <w:t>16.2.2</w:t>
      </w:r>
      <w:r>
        <w:rPr>
          <w:rFonts w:hint="eastAsia" w:ascii="宋体" w:hAnsi="宋体"/>
          <w:color w:val="000000"/>
          <w:kern w:val="0"/>
          <w:highlight w:val="none"/>
        </w:rPr>
        <w:t>承包人违约的责任</w:t>
      </w:r>
      <w:bookmarkEnd w:id="854"/>
      <w:bookmarkEnd w:id="855"/>
      <w:bookmarkEnd w:id="856"/>
    </w:p>
    <w:p w14:paraId="10E90839">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承包人违约责任的承担方式和计算方法：</w:t>
      </w:r>
    </w:p>
    <w:p w14:paraId="6F845CD7">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1</w:t>
      </w:r>
      <w:r>
        <w:rPr>
          <w:rFonts w:hint="eastAsia" w:ascii="宋体" w:hAnsi="宋体"/>
          <w:color w:val="000000"/>
          <w:kern w:val="0"/>
          <w:highlight w:val="none"/>
        </w:rPr>
        <w:t>）承包人未按本合同通用条款第</w:t>
      </w:r>
      <w:r>
        <w:rPr>
          <w:rFonts w:ascii="宋体" w:hAnsi="宋体"/>
          <w:color w:val="000000"/>
          <w:kern w:val="0"/>
          <w:highlight w:val="none"/>
        </w:rPr>
        <w:t>16.2.1</w:t>
      </w: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w:t>
      </w:r>
      <w:r>
        <w:rPr>
          <w:rFonts w:ascii="宋体" w:hAnsi="宋体"/>
          <w:color w:val="000000"/>
          <w:kern w:val="0"/>
          <w:highlight w:val="none"/>
        </w:rPr>
        <w:t>3</w:t>
      </w:r>
      <w:r>
        <w:rPr>
          <w:rFonts w:hint="eastAsia" w:ascii="宋体" w:hAnsi="宋体"/>
          <w:color w:val="000000"/>
          <w:kern w:val="0"/>
          <w:highlight w:val="none"/>
        </w:rPr>
        <w:t>）条内容完成的，承包人无条件返工处理，修复至工程质量要求并承担相关费用，并在发包人规定的时间内完成返工，否则发包人有权扣罚该分项工程2</w:t>
      </w:r>
      <w:r>
        <w:rPr>
          <w:rFonts w:ascii="宋体" w:hAnsi="宋体"/>
          <w:color w:val="000000"/>
          <w:kern w:val="0"/>
          <w:highlight w:val="none"/>
        </w:rPr>
        <w:t>%</w:t>
      </w:r>
      <w:r>
        <w:rPr>
          <w:rFonts w:hint="eastAsia" w:ascii="宋体" w:hAnsi="宋体"/>
          <w:color w:val="000000"/>
          <w:kern w:val="0"/>
          <w:highlight w:val="none"/>
        </w:rPr>
        <w:t>的工程款作为处罚。</w:t>
      </w:r>
    </w:p>
    <w:p w14:paraId="61737BC9">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2</w:t>
      </w:r>
      <w:r>
        <w:rPr>
          <w:rFonts w:hint="eastAsia" w:ascii="宋体" w:hAnsi="宋体"/>
          <w:color w:val="000000"/>
          <w:kern w:val="0"/>
          <w:highlight w:val="none"/>
        </w:rPr>
        <w:t>）承包人有本合同通用条款第</w:t>
      </w:r>
      <w:r>
        <w:rPr>
          <w:rFonts w:ascii="宋体" w:hAnsi="宋体"/>
          <w:color w:val="000000"/>
          <w:kern w:val="0"/>
          <w:highlight w:val="none"/>
        </w:rPr>
        <w:t>16.2.1</w:t>
      </w:r>
      <w:r>
        <w:rPr>
          <w:rFonts w:hint="eastAsia" w:ascii="宋体" w:hAnsi="宋体"/>
          <w:color w:val="000000"/>
          <w:kern w:val="0"/>
          <w:highlight w:val="none"/>
        </w:rPr>
        <w:t>（</w:t>
      </w:r>
      <w:r>
        <w:rPr>
          <w:rFonts w:ascii="宋体" w:hAnsi="宋体"/>
          <w:color w:val="000000"/>
          <w:kern w:val="0"/>
          <w:highlight w:val="none"/>
        </w:rPr>
        <w:t>6</w:t>
      </w:r>
      <w:r>
        <w:rPr>
          <w:rFonts w:hint="eastAsia" w:ascii="宋体" w:hAnsi="宋体"/>
          <w:color w:val="000000"/>
          <w:kern w:val="0"/>
          <w:highlight w:val="none"/>
        </w:rPr>
        <w:t>）条情形的，或经监理人检验认为修复质量不合格而承包人拒绝再进行修补的，发包人有权从余下工程款中扣除并要求承包人承担赔偿责任。</w:t>
      </w:r>
    </w:p>
    <w:p w14:paraId="379FEDDA">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w:t>
      </w:r>
      <w:r>
        <w:rPr>
          <w:rFonts w:ascii="宋体" w:hAnsi="宋体"/>
          <w:color w:val="000000"/>
          <w:kern w:val="0"/>
          <w:highlight w:val="none"/>
        </w:rPr>
        <w:t>3</w:t>
      </w:r>
      <w:r>
        <w:rPr>
          <w:rFonts w:hint="eastAsia" w:ascii="宋体" w:hAnsi="宋体"/>
          <w:color w:val="000000"/>
          <w:kern w:val="0"/>
          <w:highlight w:val="none"/>
        </w:rPr>
        <w:t>）承包人有本专用合同条款</w:t>
      </w:r>
      <w:r>
        <w:rPr>
          <w:rFonts w:ascii="宋体" w:hAnsi="宋体"/>
          <w:color w:val="000000"/>
          <w:kern w:val="0"/>
          <w:highlight w:val="none"/>
        </w:rPr>
        <w:t>3.2</w:t>
      </w:r>
      <w:r>
        <w:rPr>
          <w:rFonts w:hint="eastAsia" w:ascii="宋体" w:hAnsi="宋体"/>
          <w:color w:val="000000"/>
          <w:kern w:val="0"/>
          <w:highlight w:val="none"/>
        </w:rPr>
        <w:t>、</w:t>
      </w:r>
      <w:r>
        <w:rPr>
          <w:rFonts w:ascii="宋体" w:hAnsi="宋体"/>
          <w:color w:val="000000"/>
          <w:kern w:val="0"/>
          <w:highlight w:val="none"/>
        </w:rPr>
        <w:t>3.3</w:t>
      </w:r>
      <w:r>
        <w:rPr>
          <w:rFonts w:hint="eastAsia" w:ascii="宋体" w:hAnsi="宋体"/>
          <w:color w:val="000000"/>
          <w:kern w:val="0"/>
          <w:highlight w:val="none"/>
        </w:rPr>
        <w:t>条违约责任的，发包人有权扣除承包人的违约金。违约金金额均在余下工程款中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2C53DE1A">
      <w:pPr>
        <w:pStyle w:val="37"/>
        <w:spacing w:line="360" w:lineRule="auto"/>
        <w:rPr>
          <w:rFonts w:hint="eastAsia" w:ascii="宋体" w:hAnsi="宋体"/>
          <w:color w:val="000000"/>
          <w:kern w:val="0"/>
          <w:highlight w:val="none"/>
        </w:rPr>
      </w:pPr>
      <w:r>
        <w:rPr>
          <w:rFonts w:hint="eastAsia" w:ascii="宋体" w:hAnsi="宋体"/>
          <w:color w:val="000000"/>
          <w:kern w:val="0"/>
          <w:highlight w:val="none"/>
        </w:rPr>
        <w:t>（4）承包人有本专用合同条款</w:t>
      </w:r>
      <w:r>
        <w:rPr>
          <w:rFonts w:ascii="宋体" w:hAnsi="宋体"/>
          <w:color w:val="000000"/>
          <w:kern w:val="0"/>
          <w:highlight w:val="none"/>
        </w:rPr>
        <w:t>3.3</w:t>
      </w:r>
      <w:r>
        <w:rPr>
          <w:rFonts w:hint="eastAsia" w:ascii="宋体" w:hAnsi="宋体"/>
          <w:color w:val="000000"/>
          <w:kern w:val="0"/>
          <w:highlight w:val="none"/>
        </w:rPr>
        <w:t>条违约责任，并导致发包人涉诉的，除违约金外，发包人因此而支出及可能承担的诉讼费、人工费、律师费等一切费用均由承包人承担</w:t>
      </w:r>
    </w:p>
    <w:p w14:paraId="0E0641AE">
      <w:pPr>
        <w:spacing w:line="360" w:lineRule="auto"/>
        <w:ind w:firstLine="420" w:firstLineChars="200"/>
        <w:jc w:val="left"/>
        <w:rPr>
          <w:rFonts w:ascii="宋体" w:hAnsi="宋体"/>
          <w:color w:val="000000"/>
          <w:highlight w:val="none"/>
        </w:rPr>
      </w:pPr>
      <w:r>
        <w:rPr>
          <w:rFonts w:ascii="宋体" w:hAnsi="宋体"/>
          <w:color w:val="000000"/>
          <w:highlight w:val="none"/>
        </w:rPr>
        <w:t xml:space="preserve">16.2.3 </w:t>
      </w:r>
      <w:r>
        <w:rPr>
          <w:rFonts w:hint="eastAsia" w:ascii="宋体" w:hAnsi="宋体"/>
          <w:color w:val="000000"/>
          <w:highlight w:val="none"/>
        </w:rPr>
        <w:t>因承包人违约解除合同</w:t>
      </w:r>
    </w:p>
    <w:p w14:paraId="14027099">
      <w:pPr>
        <w:spacing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关于承包人违约解除合同的特别约定：</w:t>
      </w:r>
      <w:r>
        <w:rPr>
          <w:rFonts w:hint="eastAsia" w:ascii="宋体" w:hAnsi="宋体"/>
          <w:color w:val="000000"/>
          <w:kern w:val="0"/>
          <w:highlight w:val="none"/>
          <w:u w:val="single"/>
        </w:rPr>
        <w:t>承包人有违反以下情况之一的，发包人有权解除合同，并没收其全部余下工程款</w:t>
      </w:r>
      <w:r>
        <w:rPr>
          <w:rFonts w:hint="eastAsia" w:ascii="宋体" w:hAnsi="宋体"/>
          <w:color w:val="000000"/>
          <w:kern w:val="0"/>
          <w:highlight w:val="none"/>
        </w:rPr>
        <w:t>。</w:t>
      </w:r>
    </w:p>
    <w:p w14:paraId="355F2520">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(1)</w:t>
      </w:r>
      <w:r>
        <w:rPr>
          <w:rFonts w:hint="eastAsia" w:ascii="宋体" w:hAnsi="宋体"/>
          <w:color w:val="000000"/>
          <w:kern w:val="0"/>
          <w:highlight w:val="none"/>
        </w:rPr>
        <w:t>承包人无正当理由不按开工通知的要求及时进场组织施工和不按签订协议书时商定的进度计划有效地开展施工准备，造成工期延误的；</w:t>
      </w:r>
    </w:p>
    <w:p w14:paraId="403F7EA2">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(2)</w:t>
      </w:r>
      <w:r>
        <w:rPr>
          <w:rFonts w:hint="eastAsia" w:ascii="宋体" w:hAnsi="宋体"/>
          <w:color w:val="000000"/>
          <w:kern w:val="0"/>
          <w:highlight w:val="none"/>
        </w:rPr>
        <w:t>承包人违反本合同通用条款第</w:t>
      </w:r>
      <w:r>
        <w:rPr>
          <w:rFonts w:ascii="宋体" w:hAnsi="宋体"/>
          <w:color w:val="000000"/>
          <w:kern w:val="0"/>
          <w:highlight w:val="none"/>
        </w:rPr>
        <w:t>3.5</w:t>
      </w:r>
      <w:r>
        <w:rPr>
          <w:rFonts w:hint="eastAsia" w:ascii="宋体" w:hAnsi="宋体"/>
          <w:color w:val="000000"/>
          <w:kern w:val="0"/>
          <w:highlight w:val="none"/>
        </w:rPr>
        <w:t>条规定私自将合同或合同的任何部分或任何权利转让给其他人，或私自将工程或工程的一部分分包出去的；</w:t>
      </w:r>
    </w:p>
    <w:p w14:paraId="18960E14">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(3)</w:t>
      </w:r>
      <w:r>
        <w:rPr>
          <w:rFonts w:hint="eastAsia" w:ascii="宋体" w:hAnsi="宋体"/>
          <w:color w:val="000000"/>
          <w:kern w:val="0"/>
          <w:highlight w:val="none"/>
        </w:rPr>
        <w:t>未经监理人批准，承包人私自将已按响应文件承诺进入工地的工程设备、施工设备、临时工程或材料撤离工地的；</w:t>
      </w:r>
    </w:p>
    <w:p w14:paraId="680DFD4E">
      <w:pPr>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(4)</w:t>
      </w:r>
      <w:r>
        <w:rPr>
          <w:rFonts w:hint="eastAsia" w:ascii="宋体" w:hAnsi="宋体"/>
          <w:color w:val="000000"/>
          <w:kern w:val="0"/>
          <w:highlight w:val="none"/>
        </w:rPr>
        <w:t>由于承包人原因拒绝按合同进度计划及时完成合同规定的工程，而又未采取有效措施赶上进度，造成工期严重延误的；</w:t>
      </w:r>
    </w:p>
    <w:p w14:paraId="4079A5E0">
      <w:pPr>
        <w:spacing w:line="360" w:lineRule="auto"/>
        <w:ind w:firstLine="420" w:firstLineChars="200"/>
        <w:rPr>
          <w:rFonts w:ascii="宋体" w:hAnsi="宋体"/>
          <w:color w:val="000000"/>
          <w:kern w:val="0"/>
          <w:highlight w:val="none"/>
        </w:rPr>
      </w:pPr>
      <w:r>
        <w:rPr>
          <w:rFonts w:ascii="宋体" w:hAnsi="宋体"/>
          <w:color w:val="000000"/>
          <w:kern w:val="0"/>
          <w:highlight w:val="none"/>
        </w:rPr>
        <w:t>(5)</w:t>
      </w:r>
      <w:r>
        <w:rPr>
          <w:rFonts w:hint="eastAsia" w:ascii="宋体" w:hAnsi="宋体"/>
          <w:color w:val="000000"/>
          <w:kern w:val="0"/>
          <w:highlight w:val="none"/>
        </w:rPr>
        <w:t>承包人否认合同有效或拒绝履行合同规定的承包人义务，或由于法律、财务等原因导致承包人无法继续履行或实质上已停止履行合同的义务的；</w:t>
      </w:r>
    </w:p>
    <w:p w14:paraId="315AA52D">
      <w:pPr>
        <w:spacing w:line="360" w:lineRule="auto"/>
        <w:ind w:firstLine="420" w:firstLineChars="200"/>
        <w:rPr>
          <w:rFonts w:ascii="宋体" w:hAnsi="宋体"/>
          <w:color w:val="000000"/>
          <w:kern w:val="0"/>
          <w:highlight w:val="none"/>
        </w:rPr>
      </w:pPr>
      <w:r>
        <w:rPr>
          <w:rFonts w:ascii="宋体" w:hAnsi="宋体"/>
          <w:color w:val="000000"/>
          <w:kern w:val="0"/>
          <w:highlight w:val="none"/>
        </w:rPr>
        <w:t>(6)</w:t>
      </w:r>
      <w:r>
        <w:rPr>
          <w:rFonts w:hint="eastAsia" w:ascii="宋体" w:hAnsi="宋体"/>
          <w:color w:val="000000"/>
          <w:kern w:val="0"/>
          <w:highlight w:val="none"/>
        </w:rPr>
        <w:t>合同签订之日起十五日内，承包人无法按合同规定及响应文件的承诺进场经监理工程师认可的全部人员和机械的。</w:t>
      </w:r>
    </w:p>
    <w:p w14:paraId="7952C45A">
      <w:pPr>
        <w:spacing w:line="360" w:lineRule="auto"/>
        <w:ind w:firstLine="420" w:firstLineChars="200"/>
        <w:rPr>
          <w:rFonts w:hint="eastAsia" w:ascii="宋体" w:hAnsi="宋体"/>
          <w:color w:val="000000"/>
          <w:kern w:val="0"/>
          <w:highlight w:val="none"/>
        </w:rPr>
      </w:pPr>
      <w:r>
        <w:rPr>
          <w:rFonts w:hint="eastAsia" w:ascii="宋体" w:hAnsi="宋体"/>
          <w:color w:val="000000"/>
          <w:kern w:val="0"/>
          <w:highlight w:val="none"/>
        </w:rPr>
        <w:t>发包人继续使用承包人在施工现场的材料、设备、临时工程、承包人文件和由承包人或以其名义编制的其他文件的费用承担方式：</w:t>
      </w:r>
      <w:r>
        <w:rPr>
          <w:rFonts w:hint="eastAsia" w:ascii="宋体" w:hAnsi="宋体"/>
          <w:color w:val="000000"/>
          <w:kern w:val="0"/>
          <w:highlight w:val="none"/>
          <w:u w:val="single"/>
        </w:rPr>
        <w:t>费用另行约定，由发包人承担</w:t>
      </w:r>
      <w:r>
        <w:rPr>
          <w:rFonts w:hint="eastAsia" w:ascii="宋体" w:hAnsi="宋体"/>
          <w:color w:val="000000"/>
          <w:kern w:val="0"/>
          <w:highlight w:val="none"/>
        </w:rPr>
        <w:t>。</w:t>
      </w:r>
    </w:p>
    <w:p w14:paraId="53E69864">
      <w:pPr>
        <w:pStyle w:val="11"/>
        <w:rPr>
          <w:rFonts w:ascii="宋体" w:hAnsi="宋体" w:eastAsia="宋体"/>
          <w:color w:val="000000"/>
          <w:highlight w:val="none"/>
        </w:rPr>
      </w:pPr>
      <w:bookmarkStart w:id="857" w:name="_Toc351203649"/>
      <w:bookmarkStart w:id="858" w:name="_Toc389065334"/>
      <w:bookmarkStart w:id="859" w:name="_Toc108539855"/>
      <w:bookmarkStart w:id="860" w:name="_Toc373227769"/>
      <w:bookmarkStart w:id="861" w:name="_Toc407135272"/>
      <w:bookmarkStart w:id="862" w:name="_Toc487632769"/>
      <w:bookmarkStart w:id="863" w:name="_Toc373478416"/>
      <w:bookmarkStart w:id="864" w:name="_Toc5085"/>
      <w:r>
        <w:rPr>
          <w:rFonts w:ascii="宋体" w:hAnsi="宋体" w:eastAsia="宋体"/>
          <w:color w:val="000000"/>
          <w:highlight w:val="none"/>
        </w:rPr>
        <w:t xml:space="preserve">17. </w:t>
      </w:r>
      <w:r>
        <w:rPr>
          <w:rFonts w:hint="eastAsia" w:ascii="宋体" w:hAnsi="宋体" w:eastAsia="宋体"/>
          <w:color w:val="000000"/>
          <w:highlight w:val="none"/>
        </w:rPr>
        <w:t>不可抗力</w:t>
      </w:r>
      <w:bookmarkEnd w:id="857"/>
      <w:bookmarkEnd w:id="858"/>
      <w:bookmarkEnd w:id="859"/>
      <w:bookmarkEnd w:id="860"/>
      <w:bookmarkEnd w:id="861"/>
      <w:bookmarkEnd w:id="862"/>
      <w:bookmarkEnd w:id="863"/>
      <w:bookmarkEnd w:id="864"/>
    </w:p>
    <w:p w14:paraId="3B2D31F1">
      <w:pPr>
        <w:pStyle w:val="12"/>
        <w:spacing w:after="60"/>
        <w:rPr>
          <w:rFonts w:ascii="宋体" w:hAnsi="宋体"/>
          <w:color w:val="000000"/>
          <w:highlight w:val="none"/>
        </w:rPr>
      </w:pPr>
      <w:bookmarkStart w:id="865" w:name="_Toc407135273"/>
      <w:bookmarkStart w:id="866" w:name="_Toc108539856"/>
      <w:bookmarkStart w:id="867" w:name="_Toc389065335"/>
      <w:bookmarkStart w:id="868" w:name="_Toc30323"/>
      <w:bookmarkStart w:id="869" w:name="_Toc373227770"/>
      <w:bookmarkStart w:id="870" w:name="_Toc373478417"/>
      <w:bookmarkStart w:id="871" w:name="_Toc487632770"/>
      <w:r>
        <w:rPr>
          <w:rFonts w:ascii="宋体" w:hAnsi="宋体"/>
          <w:color w:val="000000"/>
          <w:highlight w:val="none"/>
        </w:rPr>
        <w:t xml:space="preserve">17.1 </w:t>
      </w:r>
      <w:r>
        <w:rPr>
          <w:rFonts w:hint="eastAsia" w:ascii="宋体" w:hAnsi="宋体"/>
          <w:color w:val="000000"/>
          <w:highlight w:val="none"/>
        </w:rPr>
        <w:t>不可抗力的确认</w:t>
      </w:r>
      <w:bookmarkEnd w:id="865"/>
      <w:bookmarkEnd w:id="866"/>
      <w:bookmarkEnd w:id="867"/>
      <w:bookmarkEnd w:id="868"/>
      <w:bookmarkEnd w:id="869"/>
      <w:bookmarkEnd w:id="870"/>
      <w:bookmarkEnd w:id="871"/>
    </w:p>
    <w:p w14:paraId="04A183A4">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除通用合同条款约定的不可抗力事件之外，视为不可抗力的其他情形：</w:t>
      </w:r>
      <w:r>
        <w:rPr>
          <w:rFonts w:hint="eastAsia" w:ascii="宋体" w:hAnsi="宋体"/>
          <w:color w:val="000000"/>
          <w:highlight w:val="none"/>
          <w:lang w:val="en-US" w:eastAsia="zh-CN"/>
        </w:rPr>
        <w:t>施工现场场地问题未明确、施工地点村民阻拦等原因</w:t>
      </w:r>
      <w:r>
        <w:rPr>
          <w:rFonts w:hint="eastAsia" w:ascii="宋体" w:hAnsi="宋体"/>
          <w:color w:val="000000"/>
          <w:highlight w:val="none"/>
        </w:rPr>
        <w:t>。</w:t>
      </w:r>
    </w:p>
    <w:p w14:paraId="091F976F">
      <w:pPr>
        <w:pStyle w:val="12"/>
        <w:spacing w:after="60"/>
        <w:rPr>
          <w:rFonts w:ascii="宋体" w:hAnsi="宋体"/>
          <w:color w:val="000000"/>
          <w:highlight w:val="none"/>
        </w:rPr>
      </w:pPr>
      <w:bookmarkStart w:id="872" w:name="_Toc487632771"/>
      <w:bookmarkStart w:id="873" w:name="_Toc373227771"/>
      <w:bookmarkStart w:id="874" w:name="_Toc373478418"/>
      <w:bookmarkStart w:id="875" w:name="_Toc12387"/>
      <w:bookmarkStart w:id="876" w:name="_Toc108539857"/>
      <w:bookmarkStart w:id="877" w:name="_Toc407135274"/>
      <w:bookmarkStart w:id="878" w:name="_Toc389065336"/>
      <w:r>
        <w:rPr>
          <w:rFonts w:ascii="宋体" w:hAnsi="宋体"/>
          <w:color w:val="000000"/>
          <w:highlight w:val="none"/>
        </w:rPr>
        <w:t xml:space="preserve">17.4 </w:t>
      </w:r>
      <w:r>
        <w:rPr>
          <w:rFonts w:hint="eastAsia" w:ascii="宋体" w:hAnsi="宋体"/>
          <w:color w:val="000000"/>
          <w:highlight w:val="none"/>
        </w:rPr>
        <w:t>因不可抗力解除合同</w:t>
      </w:r>
      <w:bookmarkEnd w:id="872"/>
      <w:bookmarkEnd w:id="873"/>
      <w:bookmarkEnd w:id="874"/>
      <w:bookmarkEnd w:id="875"/>
      <w:bookmarkEnd w:id="876"/>
      <w:bookmarkEnd w:id="877"/>
      <w:bookmarkEnd w:id="878"/>
    </w:p>
    <w:p w14:paraId="31DD07ED">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合同解除后，发包人应在商定或确定发包人应支付款项后</w:t>
      </w:r>
      <w:r>
        <w:rPr>
          <w:rFonts w:hint="eastAsia" w:ascii="宋体" w:hAnsi="宋体"/>
          <w:color w:val="000000"/>
          <w:highlight w:val="none"/>
          <w:u w:val="single"/>
        </w:rPr>
        <w:t>15</w:t>
      </w:r>
      <w:r>
        <w:rPr>
          <w:rFonts w:hint="eastAsia" w:ascii="宋体" w:hAnsi="宋体"/>
          <w:color w:val="000000"/>
          <w:highlight w:val="none"/>
        </w:rPr>
        <w:t>天内完成款项的支付。</w:t>
      </w:r>
    </w:p>
    <w:p w14:paraId="0855D2E5">
      <w:pPr>
        <w:pStyle w:val="11"/>
        <w:spacing w:line="360" w:lineRule="auto"/>
        <w:rPr>
          <w:rFonts w:ascii="宋体" w:hAnsi="宋体" w:eastAsia="宋体"/>
          <w:color w:val="000000"/>
          <w:highlight w:val="none"/>
        </w:rPr>
      </w:pPr>
      <w:bookmarkStart w:id="879" w:name="_Toc108539858"/>
      <w:bookmarkStart w:id="880" w:name="_Toc23659"/>
      <w:bookmarkStart w:id="881" w:name="_Toc407135275"/>
      <w:bookmarkStart w:id="882" w:name="_Toc389065337"/>
      <w:bookmarkStart w:id="883" w:name="_Toc373478419"/>
      <w:bookmarkStart w:id="884" w:name="_Toc373227772"/>
      <w:bookmarkStart w:id="885" w:name="_Toc351203650"/>
      <w:bookmarkStart w:id="886" w:name="_Toc487632772"/>
      <w:r>
        <w:rPr>
          <w:rFonts w:ascii="宋体" w:hAnsi="宋体" w:eastAsia="宋体"/>
          <w:color w:val="000000"/>
          <w:highlight w:val="none"/>
        </w:rPr>
        <w:t xml:space="preserve">18. </w:t>
      </w:r>
      <w:r>
        <w:rPr>
          <w:rFonts w:hint="eastAsia" w:ascii="宋体" w:hAnsi="宋体" w:eastAsia="宋体"/>
          <w:color w:val="000000"/>
          <w:highlight w:val="none"/>
        </w:rPr>
        <w:t>保险</w:t>
      </w:r>
      <w:bookmarkEnd w:id="879"/>
      <w:bookmarkEnd w:id="880"/>
      <w:bookmarkEnd w:id="881"/>
      <w:bookmarkEnd w:id="882"/>
      <w:bookmarkEnd w:id="883"/>
      <w:bookmarkEnd w:id="884"/>
      <w:bookmarkEnd w:id="885"/>
      <w:bookmarkEnd w:id="886"/>
    </w:p>
    <w:p w14:paraId="7303D3FF">
      <w:pPr>
        <w:pStyle w:val="11"/>
        <w:spacing w:before="0" w:after="60" w:line="360" w:lineRule="auto"/>
        <w:rPr>
          <w:rFonts w:ascii="宋体" w:hAnsi="宋体" w:eastAsia="宋体"/>
          <w:color w:val="000000"/>
          <w:highlight w:val="none"/>
        </w:rPr>
      </w:pPr>
      <w:bookmarkStart w:id="887" w:name="_Toc389065338"/>
      <w:bookmarkStart w:id="888" w:name="_Toc373227773"/>
      <w:bookmarkStart w:id="889" w:name="_Toc108539859"/>
      <w:bookmarkStart w:id="890" w:name="_Toc487632773"/>
      <w:bookmarkStart w:id="891" w:name="_Toc373478420"/>
      <w:bookmarkStart w:id="892" w:name="_Toc3581"/>
      <w:bookmarkStart w:id="893" w:name="_Toc407135276"/>
      <w:r>
        <w:rPr>
          <w:rFonts w:ascii="宋体" w:hAnsi="宋体" w:eastAsia="宋体"/>
          <w:color w:val="000000"/>
          <w:highlight w:val="none"/>
        </w:rPr>
        <w:t xml:space="preserve">18.1 </w:t>
      </w:r>
      <w:r>
        <w:rPr>
          <w:rFonts w:hint="eastAsia" w:ascii="宋体" w:hAnsi="宋体" w:eastAsia="宋体"/>
          <w:color w:val="000000"/>
          <w:highlight w:val="none"/>
        </w:rPr>
        <w:t>工程保险</w:t>
      </w:r>
      <w:bookmarkEnd w:id="887"/>
      <w:bookmarkEnd w:id="888"/>
      <w:bookmarkEnd w:id="889"/>
      <w:bookmarkEnd w:id="890"/>
      <w:bookmarkEnd w:id="891"/>
      <w:bookmarkEnd w:id="892"/>
      <w:bookmarkEnd w:id="893"/>
    </w:p>
    <w:p w14:paraId="157EBF1E">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关于工程保险的特别约定：</w:t>
      </w:r>
      <w:r>
        <w:rPr>
          <w:rFonts w:hint="eastAsia" w:ascii="宋体" w:hAnsi="宋体"/>
          <w:color w:val="000000"/>
          <w:sz w:val="21"/>
          <w:szCs w:val="21"/>
          <w:highlight w:val="none"/>
          <w:u w:val="single"/>
        </w:rPr>
        <w:t>为参加本合同工程现场施工所有作业人员及管理人员，包括参加工程建设的管理人员、监理人员、施工人员（含民工）办理建筑意外伤害保险，</w:t>
      </w:r>
      <w:r>
        <w:rPr>
          <w:rFonts w:hint="eastAsia" w:ascii="宋体" w:hAnsi="宋体"/>
          <w:color w:val="000000"/>
          <w:sz w:val="21"/>
          <w:szCs w:val="21"/>
          <w:highlight w:val="none"/>
          <w:u w:val="single"/>
          <w:lang w:val="en-US" w:eastAsia="zh-CN"/>
        </w:rPr>
        <w:t>并</w:t>
      </w:r>
      <w:r>
        <w:rPr>
          <w:rFonts w:hint="eastAsia" w:ascii="宋体" w:hAnsi="宋体"/>
          <w:color w:val="000000"/>
          <w:kern w:val="0"/>
          <w:highlight w:val="none"/>
          <w:u w:val="single"/>
        </w:rPr>
        <w:t>由承包人负责并承担费用</w:t>
      </w:r>
      <w:r>
        <w:rPr>
          <w:rFonts w:hint="eastAsia" w:ascii="宋体" w:hAnsi="宋体"/>
          <w:color w:val="000000"/>
          <w:kern w:val="0"/>
          <w:highlight w:val="none"/>
        </w:rPr>
        <w:t>。</w:t>
      </w:r>
    </w:p>
    <w:p w14:paraId="31905B9C">
      <w:pPr>
        <w:pStyle w:val="12"/>
        <w:spacing w:after="60"/>
        <w:rPr>
          <w:rFonts w:ascii="宋体" w:hAnsi="宋体"/>
          <w:color w:val="000000"/>
          <w:highlight w:val="none"/>
        </w:rPr>
      </w:pPr>
      <w:bookmarkStart w:id="894" w:name="_Toc373478421"/>
      <w:bookmarkStart w:id="895" w:name="_Toc373227774"/>
      <w:bookmarkStart w:id="896" w:name="_Toc389065339"/>
      <w:bookmarkStart w:id="897" w:name="_Toc407135277"/>
      <w:bookmarkStart w:id="898" w:name="_Toc108539860"/>
      <w:bookmarkStart w:id="899" w:name="_Toc20151"/>
      <w:bookmarkStart w:id="900" w:name="_Toc487632774"/>
      <w:r>
        <w:rPr>
          <w:rFonts w:ascii="宋体" w:hAnsi="宋体"/>
          <w:color w:val="000000"/>
          <w:highlight w:val="none"/>
        </w:rPr>
        <w:t xml:space="preserve">18.3 </w:t>
      </w:r>
      <w:r>
        <w:rPr>
          <w:rFonts w:hint="eastAsia" w:ascii="宋体" w:hAnsi="宋体"/>
          <w:color w:val="000000"/>
          <w:highlight w:val="none"/>
        </w:rPr>
        <w:t>其他保险</w:t>
      </w:r>
      <w:bookmarkEnd w:id="894"/>
      <w:bookmarkEnd w:id="895"/>
      <w:bookmarkEnd w:id="896"/>
      <w:bookmarkEnd w:id="897"/>
      <w:bookmarkEnd w:id="898"/>
      <w:bookmarkEnd w:id="899"/>
      <w:bookmarkEnd w:id="900"/>
    </w:p>
    <w:p w14:paraId="2D77FC5D">
      <w:pPr>
        <w:spacing w:after="60" w:line="360" w:lineRule="auto"/>
        <w:ind w:firstLine="420" w:firstLineChars="200"/>
        <w:jc w:val="left"/>
        <w:rPr>
          <w:rFonts w:hint="eastAsia" w:ascii="宋体" w:hAnsi="宋体"/>
          <w:color w:val="000000"/>
          <w:highlight w:val="none"/>
        </w:rPr>
      </w:pPr>
      <w:r>
        <w:rPr>
          <w:rFonts w:hint="eastAsia" w:ascii="宋体" w:hAnsi="宋体"/>
          <w:color w:val="000000"/>
          <w:highlight w:val="none"/>
        </w:rPr>
        <w:t>关于其他保险的约定：</w:t>
      </w:r>
      <w:r>
        <w:rPr>
          <w:rFonts w:hint="eastAsia" w:ascii="宋体" w:hAnsi="宋体"/>
          <w:color w:val="000000"/>
          <w:szCs w:val="21"/>
          <w:highlight w:val="none"/>
          <w:u w:val="single"/>
        </w:rPr>
        <w:t>① 承包人需根据国家规定购买工程保险，费用由承包人承担； ② 根据梧建函〔2023〕216号的规定，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ascii="宋体" w:hAnsi="宋体"/>
          <w:color w:val="000000"/>
          <w:highlight w:val="none"/>
        </w:rPr>
        <w:t>。</w:t>
      </w:r>
    </w:p>
    <w:p w14:paraId="5AF3BC33">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承包人是否应为其施工设备等办理财产保险：</w:t>
      </w:r>
      <w:r>
        <w:rPr>
          <w:rFonts w:hint="eastAsia" w:ascii="宋体" w:hAnsi="宋体"/>
          <w:color w:val="000000"/>
          <w:highlight w:val="none"/>
          <w:u w:val="single"/>
        </w:rPr>
        <w:t>由承包人考虑并承担费用</w:t>
      </w:r>
      <w:r>
        <w:rPr>
          <w:rFonts w:hint="eastAsia" w:ascii="宋体" w:hAnsi="宋体"/>
          <w:color w:val="000000"/>
          <w:highlight w:val="none"/>
        </w:rPr>
        <w:t>。</w:t>
      </w:r>
    </w:p>
    <w:p w14:paraId="655ACC85">
      <w:pPr>
        <w:pStyle w:val="12"/>
        <w:spacing w:after="60"/>
        <w:rPr>
          <w:rFonts w:ascii="宋体" w:hAnsi="宋体"/>
          <w:color w:val="000000"/>
          <w:highlight w:val="none"/>
        </w:rPr>
      </w:pPr>
      <w:bookmarkStart w:id="901" w:name="_Toc373478422"/>
      <w:bookmarkStart w:id="902" w:name="_Toc487632775"/>
      <w:bookmarkStart w:id="903" w:name="_Toc389065340"/>
      <w:bookmarkStart w:id="904" w:name="_Toc373227775"/>
      <w:bookmarkStart w:id="905" w:name="_Toc26859"/>
      <w:bookmarkStart w:id="906" w:name="_Toc108539861"/>
      <w:bookmarkStart w:id="907" w:name="_Toc407135278"/>
      <w:r>
        <w:rPr>
          <w:rFonts w:ascii="宋体" w:hAnsi="宋体"/>
          <w:color w:val="000000"/>
          <w:highlight w:val="none"/>
        </w:rPr>
        <w:t xml:space="preserve">18.7 </w:t>
      </w:r>
      <w:r>
        <w:rPr>
          <w:rFonts w:hint="eastAsia" w:ascii="宋体" w:hAnsi="宋体"/>
          <w:color w:val="000000"/>
          <w:highlight w:val="none"/>
        </w:rPr>
        <w:t>通知义务</w:t>
      </w:r>
      <w:bookmarkEnd w:id="901"/>
      <w:bookmarkEnd w:id="902"/>
      <w:bookmarkEnd w:id="903"/>
      <w:bookmarkEnd w:id="904"/>
      <w:bookmarkEnd w:id="905"/>
      <w:bookmarkEnd w:id="906"/>
      <w:bookmarkEnd w:id="907"/>
    </w:p>
    <w:p w14:paraId="2F4B7120">
      <w:pPr>
        <w:spacing w:after="60" w:line="360" w:lineRule="auto"/>
        <w:ind w:firstLine="420" w:firstLineChars="200"/>
        <w:jc w:val="left"/>
        <w:rPr>
          <w:rFonts w:hint="eastAsia" w:ascii="宋体" w:hAnsi="宋体"/>
          <w:color w:val="000000"/>
          <w:kern w:val="0"/>
          <w:highlight w:val="none"/>
        </w:rPr>
      </w:pPr>
      <w:r>
        <w:rPr>
          <w:rFonts w:hint="eastAsia" w:ascii="宋体" w:hAnsi="宋体"/>
          <w:color w:val="000000"/>
          <w:kern w:val="0"/>
          <w:highlight w:val="none"/>
        </w:rPr>
        <w:t>关于变更保险合同时的通知义务的约定：</w:t>
      </w:r>
      <w:r>
        <w:rPr>
          <w:rFonts w:hint="eastAsia" w:ascii="宋体" w:hAnsi="宋体"/>
          <w:color w:val="000000"/>
          <w:kern w:val="0"/>
          <w:highlight w:val="none"/>
          <w:u w:val="single"/>
        </w:rPr>
        <w:t xml:space="preserve">    /     </w:t>
      </w:r>
      <w:r>
        <w:rPr>
          <w:rFonts w:hint="eastAsia" w:ascii="宋体" w:hAnsi="宋体"/>
          <w:color w:val="000000"/>
          <w:highlight w:val="none"/>
        </w:rPr>
        <w:t>。</w:t>
      </w:r>
    </w:p>
    <w:p w14:paraId="25DCFC03">
      <w:pPr>
        <w:pStyle w:val="11"/>
        <w:spacing w:line="288" w:lineRule="auto"/>
        <w:rPr>
          <w:rFonts w:ascii="宋体" w:hAnsi="宋体" w:eastAsia="宋体"/>
          <w:color w:val="000000"/>
          <w:highlight w:val="none"/>
        </w:rPr>
      </w:pPr>
      <w:bookmarkStart w:id="908" w:name="_Toc407135279"/>
      <w:bookmarkStart w:id="909" w:name="_Toc373478423"/>
      <w:bookmarkStart w:id="910" w:name="_Toc351203651"/>
      <w:bookmarkStart w:id="911" w:name="_Toc108539862"/>
      <w:bookmarkStart w:id="912" w:name="_Toc389065341"/>
      <w:bookmarkStart w:id="913" w:name="_Toc487632776"/>
      <w:bookmarkStart w:id="914" w:name="_Toc12057"/>
      <w:bookmarkStart w:id="915" w:name="_Toc373227776"/>
      <w:r>
        <w:rPr>
          <w:rFonts w:ascii="宋体" w:hAnsi="宋体" w:eastAsia="宋体"/>
          <w:color w:val="000000"/>
          <w:highlight w:val="none"/>
        </w:rPr>
        <w:t xml:space="preserve">20. </w:t>
      </w:r>
      <w:r>
        <w:rPr>
          <w:rFonts w:hint="eastAsia" w:ascii="宋体" w:hAnsi="宋体" w:eastAsia="宋体"/>
          <w:color w:val="000000"/>
          <w:highlight w:val="none"/>
        </w:rPr>
        <w:t>争议解决</w:t>
      </w:r>
      <w:bookmarkEnd w:id="908"/>
      <w:bookmarkEnd w:id="909"/>
      <w:bookmarkEnd w:id="910"/>
      <w:bookmarkEnd w:id="911"/>
      <w:bookmarkEnd w:id="912"/>
      <w:bookmarkEnd w:id="913"/>
      <w:bookmarkEnd w:id="914"/>
      <w:bookmarkEnd w:id="915"/>
    </w:p>
    <w:p w14:paraId="4EDAAC8A">
      <w:pPr>
        <w:pStyle w:val="11"/>
        <w:spacing w:before="0" w:after="60"/>
        <w:rPr>
          <w:rFonts w:ascii="宋体" w:hAnsi="宋体" w:eastAsia="宋体"/>
          <w:color w:val="000000"/>
          <w:highlight w:val="none"/>
        </w:rPr>
      </w:pPr>
      <w:bookmarkStart w:id="916" w:name="_Toc373478424"/>
      <w:bookmarkStart w:id="917" w:name="_Toc487632777"/>
      <w:bookmarkStart w:id="918" w:name="_Toc407135280"/>
      <w:bookmarkStart w:id="919" w:name="_Toc389065342"/>
      <w:bookmarkStart w:id="920" w:name="_Toc24670"/>
      <w:bookmarkStart w:id="921" w:name="_Toc108539863"/>
      <w:bookmarkStart w:id="922" w:name="_Toc373227777"/>
      <w:r>
        <w:rPr>
          <w:rFonts w:ascii="宋体" w:hAnsi="宋体" w:eastAsia="宋体"/>
          <w:color w:val="000000"/>
          <w:highlight w:val="none"/>
        </w:rPr>
        <w:t xml:space="preserve">20.3 </w:t>
      </w:r>
      <w:r>
        <w:rPr>
          <w:rFonts w:hint="eastAsia" w:ascii="宋体" w:hAnsi="宋体" w:eastAsia="宋体"/>
          <w:color w:val="000000"/>
          <w:highlight w:val="none"/>
        </w:rPr>
        <w:t>争议评审</w:t>
      </w:r>
      <w:bookmarkEnd w:id="916"/>
      <w:bookmarkEnd w:id="917"/>
      <w:bookmarkEnd w:id="918"/>
      <w:bookmarkEnd w:id="919"/>
      <w:bookmarkEnd w:id="920"/>
      <w:bookmarkEnd w:id="921"/>
      <w:bookmarkEnd w:id="922"/>
    </w:p>
    <w:p w14:paraId="3110F4EE">
      <w:pPr>
        <w:spacing w:after="60" w:line="360" w:lineRule="auto"/>
        <w:ind w:left="149" w:leftChars="71" w:firstLine="315" w:firstLineChars="150"/>
        <w:jc w:val="left"/>
        <w:rPr>
          <w:rFonts w:hint="eastAsia" w:ascii="宋体" w:hAnsi="宋体"/>
          <w:color w:val="000000"/>
          <w:highlight w:val="none"/>
        </w:rPr>
      </w:pPr>
      <w:r>
        <w:rPr>
          <w:rFonts w:hint="eastAsia" w:ascii="宋体" w:hAnsi="宋体"/>
          <w:color w:val="000000"/>
          <w:highlight w:val="none"/>
        </w:rPr>
        <w:t>合同当事人是否同意将工程争议提交争议评审小组决定：</w:t>
      </w:r>
      <w:r>
        <w:rPr>
          <w:rFonts w:hint="eastAsia" w:ascii="宋体" w:hAnsi="宋体"/>
          <w:color w:val="000000"/>
          <w:highlight w:val="none"/>
          <w:u w:val="single"/>
        </w:rPr>
        <w:t>无</w:t>
      </w:r>
      <w:r>
        <w:rPr>
          <w:rFonts w:hint="eastAsia" w:ascii="宋体" w:hAnsi="宋体"/>
          <w:color w:val="000000"/>
          <w:highlight w:val="none"/>
        </w:rPr>
        <w:t>。</w:t>
      </w:r>
    </w:p>
    <w:p w14:paraId="6D01D8C4">
      <w:pPr>
        <w:spacing w:line="360" w:lineRule="auto"/>
        <w:ind w:firstLine="420" w:firstLineChars="200"/>
        <w:jc w:val="left"/>
        <w:outlineLvl w:val="0"/>
        <w:rPr>
          <w:rFonts w:ascii="宋体" w:hAnsi="宋体"/>
          <w:color w:val="000000"/>
          <w:highlight w:val="none"/>
        </w:rPr>
      </w:pPr>
      <w:bookmarkStart w:id="923" w:name="_Toc14992"/>
      <w:bookmarkStart w:id="924" w:name="_Toc30226"/>
      <w:bookmarkStart w:id="925" w:name="_Toc108539864"/>
      <w:r>
        <w:rPr>
          <w:rFonts w:ascii="宋体" w:hAnsi="宋体"/>
          <w:color w:val="000000"/>
          <w:highlight w:val="none"/>
        </w:rPr>
        <w:t xml:space="preserve">20.3.1 </w:t>
      </w:r>
      <w:r>
        <w:rPr>
          <w:rFonts w:hint="eastAsia" w:ascii="宋体" w:hAnsi="宋体"/>
          <w:color w:val="000000"/>
          <w:highlight w:val="none"/>
        </w:rPr>
        <w:t>争议评审小组的确定</w:t>
      </w:r>
      <w:bookmarkEnd w:id="923"/>
      <w:bookmarkEnd w:id="924"/>
      <w:bookmarkEnd w:id="925"/>
    </w:p>
    <w:p w14:paraId="536976FC">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争议评审小组成员的确定：</w:t>
      </w:r>
      <w:r>
        <w:rPr>
          <w:rFonts w:hint="eastAsia" w:ascii="宋体" w:hAnsi="宋体"/>
          <w:color w:val="000000"/>
          <w:highlight w:val="none"/>
          <w:u w:val="single"/>
        </w:rPr>
        <w:t>无</w:t>
      </w:r>
      <w:r>
        <w:rPr>
          <w:rFonts w:hint="eastAsia" w:ascii="宋体" w:hAnsi="宋体"/>
          <w:color w:val="000000"/>
          <w:highlight w:val="none"/>
        </w:rPr>
        <w:t>。</w:t>
      </w:r>
    </w:p>
    <w:p w14:paraId="6F3A90C2">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选定争议评审员的期限：</w:t>
      </w:r>
      <w:r>
        <w:rPr>
          <w:rFonts w:hint="eastAsia" w:ascii="宋体" w:hAnsi="宋体"/>
          <w:color w:val="000000"/>
          <w:highlight w:val="none"/>
          <w:u w:val="single"/>
        </w:rPr>
        <w:t>无</w:t>
      </w:r>
      <w:r>
        <w:rPr>
          <w:rFonts w:hint="eastAsia" w:ascii="宋体" w:hAnsi="宋体"/>
          <w:color w:val="000000"/>
          <w:highlight w:val="none"/>
        </w:rPr>
        <w:t>。</w:t>
      </w:r>
    </w:p>
    <w:p w14:paraId="6A5B1AB4">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争议评审小组成员的报酬承担方式：</w:t>
      </w:r>
      <w:r>
        <w:rPr>
          <w:rFonts w:hint="eastAsia" w:ascii="宋体" w:hAnsi="宋体"/>
          <w:color w:val="000000"/>
          <w:highlight w:val="none"/>
          <w:u w:val="single"/>
        </w:rPr>
        <w:t>无</w:t>
      </w:r>
      <w:r>
        <w:rPr>
          <w:rFonts w:hint="eastAsia" w:ascii="宋体" w:hAnsi="宋体"/>
          <w:color w:val="000000"/>
          <w:highlight w:val="none"/>
        </w:rPr>
        <w:t>。</w:t>
      </w:r>
    </w:p>
    <w:p w14:paraId="69A6287B">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其他事项的约定：</w:t>
      </w:r>
      <w:r>
        <w:rPr>
          <w:rFonts w:hint="eastAsia" w:ascii="宋体" w:hAnsi="宋体"/>
          <w:color w:val="000000"/>
          <w:highlight w:val="none"/>
          <w:u w:val="single"/>
        </w:rPr>
        <w:t>无</w:t>
      </w:r>
      <w:r>
        <w:rPr>
          <w:rFonts w:hint="eastAsia" w:ascii="宋体" w:hAnsi="宋体"/>
          <w:color w:val="000000"/>
          <w:highlight w:val="none"/>
        </w:rPr>
        <w:t>。</w:t>
      </w:r>
    </w:p>
    <w:p w14:paraId="21514D92">
      <w:pPr>
        <w:autoSpaceDE w:val="0"/>
        <w:autoSpaceDN w:val="0"/>
        <w:spacing w:line="360" w:lineRule="auto"/>
        <w:ind w:firstLine="420" w:firstLineChars="200"/>
        <w:jc w:val="left"/>
        <w:rPr>
          <w:rFonts w:ascii="宋体" w:hAnsi="宋体"/>
          <w:color w:val="000000"/>
          <w:kern w:val="0"/>
          <w:highlight w:val="none"/>
        </w:rPr>
      </w:pPr>
      <w:r>
        <w:rPr>
          <w:rFonts w:ascii="宋体" w:hAnsi="宋体"/>
          <w:color w:val="000000"/>
          <w:kern w:val="0"/>
          <w:highlight w:val="none"/>
        </w:rPr>
        <w:t xml:space="preserve">20.3.2 </w:t>
      </w:r>
      <w:r>
        <w:rPr>
          <w:rFonts w:hint="eastAsia" w:ascii="宋体" w:hAnsi="宋体"/>
          <w:color w:val="000000"/>
          <w:kern w:val="0"/>
          <w:highlight w:val="none"/>
        </w:rPr>
        <w:t>争议评审小组的决定</w:t>
      </w:r>
    </w:p>
    <w:p w14:paraId="36A8CE3D">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合同当事人关于本项的约定：</w:t>
      </w:r>
      <w:r>
        <w:rPr>
          <w:rFonts w:hint="eastAsia" w:ascii="宋体" w:hAnsi="宋体"/>
          <w:color w:val="000000"/>
          <w:highlight w:val="none"/>
          <w:u w:val="single"/>
        </w:rPr>
        <w:t>无</w:t>
      </w:r>
      <w:r>
        <w:rPr>
          <w:rFonts w:hint="eastAsia" w:ascii="宋体" w:hAnsi="宋体"/>
          <w:color w:val="000000"/>
          <w:highlight w:val="none"/>
        </w:rPr>
        <w:t>。</w:t>
      </w:r>
    </w:p>
    <w:p w14:paraId="364533E3">
      <w:pPr>
        <w:pStyle w:val="12"/>
        <w:spacing w:after="60"/>
        <w:rPr>
          <w:rFonts w:ascii="宋体" w:hAnsi="宋体"/>
          <w:color w:val="000000"/>
          <w:highlight w:val="none"/>
        </w:rPr>
      </w:pPr>
      <w:bookmarkStart w:id="926" w:name="_Toc407135281"/>
      <w:bookmarkStart w:id="927" w:name="_Toc108539865"/>
      <w:bookmarkStart w:id="928" w:name="_Toc487632778"/>
      <w:bookmarkStart w:id="929" w:name="_Toc373227778"/>
      <w:bookmarkStart w:id="930" w:name="_Toc389065343"/>
      <w:bookmarkStart w:id="931" w:name="_Toc13737"/>
      <w:bookmarkStart w:id="932" w:name="_Toc373478425"/>
      <w:r>
        <w:rPr>
          <w:rFonts w:ascii="宋体" w:hAnsi="宋体"/>
          <w:color w:val="000000"/>
          <w:highlight w:val="none"/>
        </w:rPr>
        <w:t xml:space="preserve">20.4 </w:t>
      </w:r>
      <w:r>
        <w:rPr>
          <w:rFonts w:hint="eastAsia" w:ascii="宋体" w:hAnsi="宋体"/>
          <w:color w:val="000000"/>
          <w:highlight w:val="none"/>
        </w:rPr>
        <w:t>仲裁或诉讼</w:t>
      </w:r>
      <w:bookmarkEnd w:id="926"/>
      <w:bookmarkEnd w:id="927"/>
      <w:bookmarkEnd w:id="928"/>
      <w:bookmarkEnd w:id="929"/>
      <w:bookmarkEnd w:id="930"/>
      <w:bookmarkEnd w:id="931"/>
      <w:bookmarkEnd w:id="932"/>
    </w:p>
    <w:p w14:paraId="358CDFE6">
      <w:pPr>
        <w:spacing w:after="60" w:line="360" w:lineRule="auto"/>
        <w:ind w:firstLine="420" w:firstLineChars="200"/>
        <w:rPr>
          <w:rFonts w:hint="eastAsia" w:ascii="宋体" w:hAnsi="宋体"/>
          <w:color w:val="000000"/>
          <w:highlight w:val="none"/>
        </w:rPr>
      </w:pPr>
      <w:r>
        <w:rPr>
          <w:rFonts w:hint="eastAsia" w:ascii="宋体" w:hAnsi="宋体"/>
          <w:color w:val="000000"/>
          <w:highlight w:val="none"/>
        </w:rPr>
        <w:t>因合同及合同有关事项发生的争议，按下列第</w:t>
      </w:r>
      <w:r>
        <w:rPr>
          <w:rFonts w:hint="eastAsia" w:ascii="宋体" w:hAnsi="宋体"/>
          <w:color w:val="000000"/>
          <w:highlight w:val="none"/>
          <w:u w:val="single"/>
        </w:rPr>
        <w:t>2</w:t>
      </w:r>
      <w:r>
        <w:rPr>
          <w:rFonts w:hint="eastAsia" w:ascii="宋体" w:hAnsi="宋体"/>
          <w:color w:val="000000"/>
          <w:highlight w:val="none"/>
        </w:rPr>
        <w:t>种方式解决：</w:t>
      </w:r>
    </w:p>
    <w:p w14:paraId="715CBD99">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）提请</w:t>
      </w:r>
      <w:r>
        <w:rPr>
          <w:rFonts w:hint="eastAsia" w:ascii="宋体" w:hAnsi="宋体"/>
          <w:color w:val="000000"/>
          <w:highlight w:val="none"/>
          <w:u w:val="single"/>
        </w:rPr>
        <w:t>梧州市</w:t>
      </w:r>
      <w:r>
        <w:rPr>
          <w:rFonts w:hint="eastAsia" w:ascii="宋体" w:hAnsi="宋体"/>
          <w:color w:val="000000"/>
          <w:highlight w:val="none"/>
        </w:rPr>
        <w:t>仲裁委员会按照该会仲裁规则进行仲裁，仲裁裁决是终局的，对合同双方均有约束力。</w:t>
      </w:r>
    </w:p>
    <w:p w14:paraId="616A5464">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）向</w:t>
      </w:r>
      <w:r>
        <w:rPr>
          <w:rFonts w:hint="eastAsia" w:ascii="宋体" w:hAnsi="宋体"/>
          <w:color w:val="000000"/>
          <w:highlight w:val="none"/>
          <w:u w:val="single"/>
        </w:rPr>
        <w:t>工程所在地</w:t>
      </w:r>
      <w:r>
        <w:rPr>
          <w:rFonts w:hint="eastAsia" w:ascii="宋体" w:hAnsi="宋体"/>
          <w:color w:val="000000"/>
          <w:highlight w:val="none"/>
        </w:rPr>
        <w:t>人民法院起诉。</w:t>
      </w:r>
    </w:p>
    <w:p w14:paraId="493B98E6">
      <w:pPr>
        <w:pStyle w:val="11"/>
        <w:spacing w:before="0" w:after="60"/>
        <w:rPr>
          <w:rFonts w:ascii="宋体" w:hAnsi="宋体" w:eastAsia="宋体"/>
          <w:color w:val="000000"/>
          <w:highlight w:val="none"/>
        </w:rPr>
      </w:pPr>
      <w:bookmarkStart w:id="933" w:name="_Toc407135282"/>
      <w:bookmarkStart w:id="934" w:name="_Toc389065344"/>
      <w:bookmarkStart w:id="935" w:name="_Toc373227779"/>
      <w:bookmarkStart w:id="936" w:name="_Toc27720"/>
      <w:bookmarkStart w:id="937" w:name="_Toc487632779"/>
      <w:bookmarkStart w:id="938" w:name="_Toc108539866"/>
      <w:bookmarkStart w:id="939" w:name="_Toc373478426"/>
      <w:r>
        <w:rPr>
          <w:rFonts w:ascii="宋体" w:hAnsi="宋体" w:eastAsia="宋体"/>
          <w:color w:val="000000"/>
          <w:highlight w:val="none"/>
        </w:rPr>
        <w:t xml:space="preserve">21. </w:t>
      </w:r>
      <w:r>
        <w:rPr>
          <w:rFonts w:hint="eastAsia" w:ascii="宋体" w:hAnsi="宋体" w:eastAsia="宋体"/>
          <w:color w:val="000000"/>
          <w:highlight w:val="none"/>
        </w:rPr>
        <w:t>补充条款</w:t>
      </w:r>
      <w:bookmarkEnd w:id="933"/>
      <w:bookmarkEnd w:id="934"/>
      <w:bookmarkEnd w:id="935"/>
      <w:bookmarkEnd w:id="936"/>
      <w:bookmarkEnd w:id="937"/>
      <w:bookmarkEnd w:id="938"/>
      <w:bookmarkEnd w:id="939"/>
    </w:p>
    <w:p w14:paraId="41846FF4">
      <w:pPr>
        <w:spacing w:line="360" w:lineRule="auto"/>
        <w:ind w:firstLine="420"/>
        <w:rPr>
          <w:rFonts w:ascii="宋体" w:hAnsi="宋体"/>
          <w:color w:val="000000"/>
          <w:highlight w:val="none"/>
        </w:rPr>
      </w:pPr>
      <w:r>
        <w:rPr>
          <w:rFonts w:ascii="宋体" w:hAnsi="宋体"/>
          <w:color w:val="000000"/>
          <w:highlight w:val="none"/>
        </w:rPr>
        <w:t xml:space="preserve">21.1 </w:t>
      </w:r>
      <w:r>
        <w:rPr>
          <w:rFonts w:hint="eastAsia" w:ascii="宋体" w:hAnsi="宋体"/>
          <w:color w:val="000000"/>
          <w:highlight w:val="none"/>
        </w:rPr>
        <w:t>凡进入本工程工作禁止使用童工。</w:t>
      </w:r>
    </w:p>
    <w:p w14:paraId="7D4E45C4">
      <w:pPr>
        <w:spacing w:line="360" w:lineRule="auto"/>
        <w:ind w:firstLine="420"/>
        <w:rPr>
          <w:rFonts w:hint="eastAsia" w:ascii="宋体" w:hAnsi="宋体"/>
          <w:color w:val="000000"/>
          <w:highlight w:val="none"/>
        </w:rPr>
      </w:pPr>
      <w:r>
        <w:rPr>
          <w:rFonts w:hint="eastAsia" w:ascii="宋体" w:hAnsi="宋体"/>
          <w:color w:val="000000"/>
          <w:highlight w:val="none"/>
        </w:rPr>
        <w:t>21.2 本工程计税法采用：一般</w:t>
      </w:r>
      <w:r>
        <w:rPr>
          <w:rFonts w:hint="eastAsia" w:ascii="宋体" w:hAnsi="宋体"/>
          <w:color w:val="000000"/>
          <w:highlight w:val="none"/>
          <w:u w:val="single"/>
        </w:rPr>
        <w:t>计税法</w:t>
      </w:r>
    </w:p>
    <w:p w14:paraId="2B43EC74">
      <w:pPr>
        <w:spacing w:line="360" w:lineRule="auto"/>
        <w:ind w:firstLine="420"/>
        <w:rPr>
          <w:rFonts w:hint="eastAsia" w:ascii="宋体" w:hAnsi="宋体"/>
          <w:color w:val="000000"/>
          <w:highlight w:val="none"/>
        </w:rPr>
      </w:pPr>
      <w:r>
        <w:rPr>
          <w:rFonts w:hint="eastAsia" w:ascii="宋体" w:hAnsi="宋体"/>
          <w:color w:val="000000"/>
          <w:highlight w:val="none"/>
        </w:rPr>
        <w:t>21.3在施工过程中，因施工方所产生的一切安全问题及法律纠纷、费用均由施工方负责。</w:t>
      </w:r>
    </w:p>
    <w:p w14:paraId="1BEDC527">
      <w:pPr>
        <w:spacing w:line="360" w:lineRule="auto"/>
        <w:ind w:firstLine="420"/>
        <w:rPr>
          <w:rFonts w:hint="eastAsia" w:ascii="宋体" w:hAnsi="宋体"/>
          <w:color w:val="000000"/>
          <w:highlight w:val="none"/>
        </w:rPr>
      </w:pPr>
      <w:r>
        <w:rPr>
          <w:rFonts w:hint="eastAsia" w:ascii="宋体" w:hAnsi="宋体"/>
          <w:color w:val="000000"/>
          <w:highlight w:val="none"/>
        </w:rPr>
        <w:t>2</w:t>
      </w:r>
      <w:r>
        <w:rPr>
          <w:rFonts w:ascii="宋体" w:hAnsi="宋体"/>
          <w:color w:val="000000"/>
          <w:highlight w:val="none"/>
        </w:rPr>
        <w:t>1.</w:t>
      </w:r>
      <w:r>
        <w:rPr>
          <w:rFonts w:hint="eastAsia" w:ascii="宋体" w:hAnsi="宋体"/>
          <w:color w:val="000000"/>
          <w:highlight w:val="none"/>
        </w:rPr>
        <w:t>4因承包人拖欠工人（含农民工）工资造成集体上访、投诉、停工、罢工的，发包人有权暂停支付工程进度款（如有）。</w:t>
      </w:r>
    </w:p>
    <w:p w14:paraId="62BD81A8">
      <w:pPr>
        <w:spacing w:line="360" w:lineRule="auto"/>
        <w:ind w:firstLine="420"/>
        <w:rPr>
          <w:rFonts w:hint="eastAsia" w:ascii="宋体" w:hAnsi="宋体"/>
          <w:color w:val="000000"/>
          <w:highlight w:val="none"/>
        </w:rPr>
      </w:pPr>
      <w:r>
        <w:rPr>
          <w:rFonts w:hint="eastAsia" w:ascii="宋体" w:hAnsi="宋体"/>
          <w:color w:val="000000"/>
          <w:highlight w:val="none"/>
        </w:rPr>
        <w:t>2</w:t>
      </w:r>
      <w:r>
        <w:rPr>
          <w:rFonts w:ascii="宋体" w:hAnsi="宋体"/>
          <w:color w:val="000000"/>
          <w:highlight w:val="none"/>
        </w:rPr>
        <w:t>1.</w:t>
      </w:r>
      <w:r>
        <w:rPr>
          <w:rFonts w:hint="eastAsia" w:ascii="宋体" w:hAnsi="宋体"/>
          <w:color w:val="000000"/>
          <w:highlight w:val="none"/>
        </w:rPr>
        <w:t>5承包人必需按照《广西壮族自治区建筑工人实名制管理办法实施细则（试行）》的通知（桂建发〔2019〕9号）文件规定执行，提供职工（农民工）花名册给发包人，发包人以承包人提供的职工（农民工）花名册核定务工人员；如务工人员发生变应及时变更并报发包人存档（如有）。</w:t>
      </w:r>
    </w:p>
    <w:p w14:paraId="10880401">
      <w:pPr>
        <w:widowControl/>
        <w:jc w:val="left"/>
        <w:rPr>
          <w:rFonts w:ascii="宋体" w:hAnsi="宋体"/>
          <w:color w:val="000000"/>
          <w:sz w:val="32"/>
          <w:szCs w:val="32"/>
          <w:highlight w:val="none"/>
        </w:rPr>
      </w:pPr>
      <w:r>
        <w:rPr>
          <w:rFonts w:ascii="宋体" w:hAnsi="宋体"/>
          <w:color w:val="000000"/>
          <w:sz w:val="32"/>
          <w:szCs w:val="32"/>
          <w:highlight w:val="none"/>
        </w:rPr>
        <w:br w:type="page"/>
      </w:r>
    </w:p>
    <w:p w14:paraId="0D9DC4B3">
      <w:pPr>
        <w:pStyle w:val="143"/>
        <w:spacing w:before="120" w:after="120" w:line="440" w:lineRule="exact"/>
        <w:jc w:val="left"/>
        <w:rPr>
          <w:rFonts w:hint="eastAsia" w:ascii="宋体" w:hAnsi="宋体"/>
          <w:color w:val="000000"/>
          <w:sz w:val="32"/>
          <w:szCs w:val="32"/>
          <w:highlight w:val="none"/>
        </w:rPr>
      </w:pPr>
      <w:r>
        <w:rPr>
          <w:rFonts w:hint="eastAsia" w:ascii="宋体" w:hAnsi="宋体"/>
          <w:color w:val="000000"/>
          <w:sz w:val="32"/>
          <w:szCs w:val="32"/>
          <w:highlight w:val="none"/>
        </w:rPr>
        <w:t>附件</w:t>
      </w:r>
    </w:p>
    <w:p w14:paraId="4DCF4D46">
      <w:pPr>
        <w:pStyle w:val="143"/>
        <w:spacing w:before="120" w:after="120" w:line="440" w:lineRule="exact"/>
        <w:jc w:val="center"/>
        <w:rPr>
          <w:rFonts w:hint="eastAsia" w:ascii="黑体" w:hAnsi="宋体" w:eastAsia="黑体"/>
          <w:color w:val="000000"/>
          <w:sz w:val="32"/>
          <w:szCs w:val="32"/>
          <w:highlight w:val="none"/>
        </w:rPr>
      </w:pPr>
      <w:r>
        <w:rPr>
          <w:rFonts w:hint="eastAsia" w:ascii="黑体" w:hAnsi="宋体" w:eastAsia="黑体"/>
          <w:color w:val="000000"/>
          <w:sz w:val="32"/>
          <w:szCs w:val="32"/>
          <w:highlight w:val="none"/>
        </w:rPr>
        <w:t>工程质量保修书（市政公用工程）</w:t>
      </w:r>
    </w:p>
    <w:p w14:paraId="2DA1F2E3">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发包人（全称）：</w:t>
      </w:r>
    </w:p>
    <w:p w14:paraId="16C9F955">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承包人（全称）：</w:t>
      </w:r>
    </w:p>
    <w:p w14:paraId="13C61847">
      <w:pPr>
        <w:spacing w:line="360" w:lineRule="auto"/>
        <w:rPr>
          <w:rFonts w:ascii="宋体"/>
          <w:color w:val="000000"/>
          <w:highlight w:val="none"/>
        </w:rPr>
      </w:pPr>
    </w:p>
    <w:p w14:paraId="0021B135">
      <w:pPr>
        <w:spacing w:line="360" w:lineRule="auto"/>
        <w:ind w:firstLine="420"/>
        <w:rPr>
          <w:rFonts w:hint="eastAsia" w:ascii="宋体" w:hAnsi="宋体"/>
          <w:color w:val="000000"/>
          <w:highlight w:val="none"/>
        </w:rPr>
      </w:pPr>
      <w:r>
        <w:rPr>
          <w:rFonts w:hint="eastAsia" w:ascii="宋体" w:hAnsi="宋体"/>
          <w:color w:val="000000"/>
          <w:highlight w:val="none"/>
        </w:rPr>
        <w:t>发包人和承包人根据《中华人民共和国建筑法》和《建设工程质量管理条例》，经协商一致就（工程全称）签订工程质量保修书。</w:t>
      </w:r>
    </w:p>
    <w:p w14:paraId="1BD8C3FB">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一、工程质量保修范围和内容</w:t>
      </w:r>
    </w:p>
    <w:p w14:paraId="4D0E3306">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承包人在质量保修期内，按照有关法律规定和合同约定，承担工程质量保修责任。</w:t>
      </w:r>
    </w:p>
    <w:p w14:paraId="1ECCF27A">
      <w:pPr>
        <w:spacing w:line="360" w:lineRule="auto"/>
        <w:ind w:firstLine="420" w:firstLineChars="200"/>
        <w:rPr>
          <w:rFonts w:hint="eastAsia" w:ascii="宋体" w:hAnsi="宋体"/>
          <w:color w:val="000000"/>
          <w:highlight w:val="none"/>
        </w:rPr>
      </w:pPr>
      <w:r>
        <w:rPr>
          <w:rFonts w:hint="eastAsia" w:ascii="宋体" w:hAnsi="宋体"/>
          <w:color w:val="000000"/>
          <w:highlight w:val="none"/>
        </w:rPr>
        <w:t>质量保修范围包括，以及双方约定的其他项目。具体保修的内容，双方约定如下：</w:t>
      </w:r>
      <w:r>
        <w:rPr>
          <w:rFonts w:hint="eastAsia" w:hAnsi="宋体"/>
          <w:color w:val="000000"/>
          <w:highlight w:val="none"/>
          <w:u w:val="single"/>
        </w:rPr>
        <w:t xml:space="preserve">        </w:t>
      </w:r>
      <w:r>
        <w:rPr>
          <w:rFonts w:hint="eastAsia" w:ascii="宋体" w:hAnsi="宋体"/>
          <w:color w:val="000000"/>
          <w:highlight w:val="none"/>
        </w:rPr>
        <w:t>。</w:t>
      </w:r>
    </w:p>
    <w:p w14:paraId="6F60FCE2">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二、质量保修期</w:t>
      </w:r>
    </w:p>
    <w:p w14:paraId="03675086">
      <w:pPr>
        <w:spacing w:line="360" w:lineRule="auto"/>
        <w:ind w:firstLine="420" w:firstLineChars="200"/>
        <w:rPr>
          <w:rFonts w:hint="eastAsia" w:ascii="宋体" w:hAnsi="宋体"/>
          <w:color w:val="000000"/>
          <w:highlight w:val="none"/>
        </w:rPr>
      </w:pPr>
      <w:r>
        <w:rPr>
          <w:rFonts w:hint="eastAsia" w:ascii="宋体" w:hAnsi="宋体"/>
          <w:color w:val="000000"/>
          <w:highlight w:val="none"/>
        </w:rPr>
        <w:t>根据《建设工程质量管理条例》及有关规定，工程的质量保修期如下：</w:t>
      </w:r>
    </w:p>
    <w:p w14:paraId="0483D0CC">
      <w:pPr>
        <w:spacing w:line="360" w:lineRule="auto"/>
        <w:ind w:firstLine="426"/>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w:t>
      </w:r>
      <w:r>
        <w:rPr>
          <w:rFonts w:hint="eastAsia"/>
          <w:color w:val="000000"/>
          <w:highlight w:val="none"/>
        </w:rPr>
        <w:t>桥梁工程为</w:t>
      </w:r>
      <w:r>
        <w:rPr>
          <w:rFonts w:hint="eastAsia"/>
          <w:color w:val="000000"/>
          <w:highlight w:val="none"/>
          <w:u w:val="single"/>
        </w:rPr>
        <w:t xml:space="preserve">     </w:t>
      </w:r>
      <w:r>
        <w:rPr>
          <w:rFonts w:hint="eastAsia"/>
          <w:color w:val="000000"/>
          <w:highlight w:val="none"/>
        </w:rPr>
        <w:t>年（建议桥梁隧道主体结构工程为设计文件规定的合理使用年限）；</w:t>
      </w:r>
    </w:p>
    <w:p w14:paraId="1718CA61">
      <w:pPr>
        <w:spacing w:line="360" w:lineRule="auto"/>
        <w:ind w:firstLine="426"/>
        <w:rPr>
          <w:color w:val="000000"/>
          <w:highlight w:val="none"/>
        </w:rPr>
      </w:pPr>
      <w:r>
        <w:rPr>
          <w:color w:val="000000"/>
          <w:highlight w:val="none"/>
        </w:rPr>
        <w:t>2</w:t>
      </w:r>
      <w:r>
        <w:rPr>
          <w:rFonts w:hint="eastAsia" w:ascii="宋体" w:hAnsi="宋体"/>
          <w:color w:val="000000"/>
          <w:highlight w:val="none"/>
        </w:rPr>
        <w:t>．</w:t>
      </w:r>
      <w:r>
        <w:rPr>
          <w:rFonts w:hint="eastAsia"/>
          <w:color w:val="000000"/>
          <w:highlight w:val="none"/>
        </w:rPr>
        <w:t>道路工程为</w:t>
      </w:r>
      <w:r>
        <w:rPr>
          <w:rFonts w:hint="eastAsia"/>
          <w:color w:val="000000"/>
          <w:highlight w:val="none"/>
          <w:u w:val="single"/>
        </w:rPr>
        <w:t xml:space="preserve">     </w:t>
      </w:r>
      <w:r>
        <w:rPr>
          <w:rFonts w:hint="eastAsia"/>
          <w:color w:val="000000"/>
          <w:highlight w:val="none"/>
        </w:rPr>
        <w:t>年（建议路基、路面、桥面为</w:t>
      </w:r>
      <w:r>
        <w:rPr>
          <w:color w:val="000000"/>
          <w:highlight w:val="none"/>
        </w:rPr>
        <w:t>2</w:t>
      </w:r>
      <w:r>
        <w:rPr>
          <w:rFonts w:hint="eastAsia"/>
          <w:color w:val="000000"/>
          <w:highlight w:val="none"/>
        </w:rPr>
        <w:t>年）；</w:t>
      </w:r>
    </w:p>
    <w:p w14:paraId="563F64CF">
      <w:pPr>
        <w:spacing w:line="360" w:lineRule="auto"/>
        <w:ind w:firstLine="426"/>
        <w:rPr>
          <w:color w:val="000000"/>
          <w:highlight w:val="none"/>
        </w:rPr>
      </w:pPr>
      <w:r>
        <w:rPr>
          <w:color w:val="000000"/>
          <w:highlight w:val="none"/>
        </w:rPr>
        <w:t>3</w:t>
      </w:r>
      <w:r>
        <w:rPr>
          <w:rFonts w:hint="eastAsia" w:ascii="宋体" w:hAnsi="宋体"/>
          <w:color w:val="000000"/>
          <w:highlight w:val="none"/>
        </w:rPr>
        <w:t>．</w:t>
      </w:r>
      <w:r>
        <w:rPr>
          <w:rFonts w:hint="eastAsia"/>
          <w:color w:val="000000"/>
          <w:highlight w:val="none"/>
        </w:rPr>
        <w:t>排水（雨水）工程为年（建议道路工程中的排水工程为</w:t>
      </w:r>
      <w:r>
        <w:rPr>
          <w:color w:val="000000"/>
          <w:highlight w:val="none"/>
        </w:rPr>
        <w:t>3</w:t>
      </w:r>
      <w:r>
        <w:rPr>
          <w:rFonts w:hint="eastAsia"/>
          <w:color w:val="000000"/>
          <w:highlight w:val="none"/>
        </w:rPr>
        <w:t>年）；</w:t>
      </w:r>
    </w:p>
    <w:p w14:paraId="59805151">
      <w:pPr>
        <w:spacing w:line="360" w:lineRule="auto"/>
        <w:ind w:firstLine="426"/>
        <w:rPr>
          <w:color w:val="000000"/>
          <w:highlight w:val="none"/>
        </w:rPr>
      </w:pPr>
      <w:r>
        <w:rPr>
          <w:color w:val="000000"/>
          <w:highlight w:val="none"/>
        </w:rPr>
        <w:t>4</w:t>
      </w:r>
      <w:r>
        <w:rPr>
          <w:rFonts w:hint="eastAsia" w:ascii="宋体" w:hAnsi="宋体"/>
          <w:color w:val="000000"/>
          <w:highlight w:val="none"/>
        </w:rPr>
        <w:t>．</w:t>
      </w:r>
      <w:r>
        <w:rPr>
          <w:rFonts w:hint="eastAsia"/>
          <w:color w:val="000000"/>
          <w:highlight w:val="none"/>
        </w:rPr>
        <w:t>绿化工程为</w:t>
      </w:r>
      <w:r>
        <w:rPr>
          <w:rFonts w:hint="eastAsia"/>
          <w:color w:val="000000"/>
          <w:highlight w:val="none"/>
          <w:u w:val="single"/>
        </w:rPr>
        <w:t>单位工程竣工验收合格后     年</w:t>
      </w:r>
      <w:r>
        <w:rPr>
          <w:rFonts w:hint="eastAsia"/>
          <w:color w:val="000000"/>
          <w:highlight w:val="none"/>
        </w:rPr>
        <w:t>；</w:t>
      </w:r>
    </w:p>
    <w:p w14:paraId="3EDA81A0">
      <w:pPr>
        <w:spacing w:line="360" w:lineRule="auto"/>
        <w:ind w:firstLine="426"/>
        <w:rPr>
          <w:color w:val="000000"/>
          <w:highlight w:val="none"/>
        </w:rPr>
      </w:pPr>
      <w:r>
        <w:rPr>
          <w:color w:val="000000"/>
          <w:highlight w:val="none"/>
        </w:rPr>
        <w:t xml:space="preserve">5.  </w:t>
      </w:r>
      <w:r>
        <w:rPr>
          <w:rFonts w:hint="eastAsia"/>
          <w:color w:val="000000"/>
          <w:highlight w:val="none"/>
        </w:rPr>
        <w:t>地下防水工程为</w:t>
      </w:r>
      <w:r>
        <w:rPr>
          <w:rFonts w:hint="eastAsia"/>
          <w:color w:val="000000"/>
          <w:highlight w:val="none"/>
          <w:u w:val="single"/>
        </w:rPr>
        <w:t xml:space="preserve">     </w:t>
      </w:r>
      <w:r>
        <w:rPr>
          <w:rFonts w:hint="eastAsia"/>
          <w:color w:val="000000"/>
          <w:highlight w:val="none"/>
        </w:rPr>
        <w:t>年（建议为</w:t>
      </w:r>
      <w:r>
        <w:rPr>
          <w:color w:val="000000"/>
          <w:highlight w:val="none"/>
        </w:rPr>
        <w:t>5</w:t>
      </w:r>
      <w:r>
        <w:rPr>
          <w:rFonts w:hint="eastAsia"/>
          <w:color w:val="000000"/>
          <w:highlight w:val="none"/>
        </w:rPr>
        <w:t>年）；</w:t>
      </w:r>
    </w:p>
    <w:p w14:paraId="3A9DCC15">
      <w:pPr>
        <w:spacing w:line="360" w:lineRule="auto"/>
        <w:ind w:firstLine="426"/>
        <w:rPr>
          <w:color w:val="000000"/>
          <w:highlight w:val="none"/>
        </w:rPr>
      </w:pPr>
      <w:r>
        <w:rPr>
          <w:color w:val="000000"/>
          <w:highlight w:val="none"/>
        </w:rPr>
        <w:t>6</w:t>
      </w:r>
      <w:r>
        <w:rPr>
          <w:rFonts w:hint="eastAsia" w:ascii="宋体" w:hAnsi="宋体"/>
          <w:color w:val="000000"/>
          <w:highlight w:val="none"/>
        </w:rPr>
        <w:t>．</w:t>
      </w:r>
      <w:r>
        <w:rPr>
          <w:rFonts w:hint="eastAsia"/>
          <w:color w:val="000000"/>
          <w:highlight w:val="none"/>
        </w:rPr>
        <w:t>其他附属工程为</w:t>
      </w:r>
      <w:r>
        <w:rPr>
          <w:rFonts w:hint="eastAsia"/>
          <w:color w:val="000000"/>
          <w:highlight w:val="none"/>
          <w:u w:val="single"/>
        </w:rPr>
        <w:t xml:space="preserve">     </w:t>
      </w:r>
      <w:r>
        <w:rPr>
          <w:rFonts w:hint="eastAsia"/>
          <w:color w:val="000000"/>
          <w:highlight w:val="none"/>
        </w:rPr>
        <w:t>年；</w:t>
      </w:r>
    </w:p>
    <w:p w14:paraId="57602E1D">
      <w:pPr>
        <w:spacing w:line="360" w:lineRule="auto"/>
        <w:ind w:firstLine="420" w:firstLineChars="200"/>
        <w:rPr>
          <w:rFonts w:ascii="宋体" w:hAnsi="宋体"/>
          <w:color w:val="000000"/>
          <w:highlight w:val="none"/>
        </w:rPr>
      </w:pPr>
      <w:r>
        <w:rPr>
          <w:rFonts w:ascii="宋体" w:hAnsi="宋体"/>
          <w:color w:val="000000"/>
          <w:highlight w:val="none"/>
        </w:rPr>
        <w:t>7</w:t>
      </w:r>
      <w:r>
        <w:rPr>
          <w:rFonts w:hint="eastAsia" w:ascii="宋体" w:hAnsi="宋体"/>
          <w:color w:val="000000"/>
          <w:highlight w:val="none"/>
        </w:rPr>
        <w:t>．其他项目保修期限约定如下：</w:t>
      </w:r>
      <w:r>
        <w:rPr>
          <w:rFonts w:hint="eastAsia" w:hAnsi="宋体"/>
          <w:color w:val="000000"/>
          <w:highlight w:val="none"/>
          <w:u w:val="single"/>
        </w:rPr>
        <w:t xml:space="preserve">        </w:t>
      </w:r>
      <w:r>
        <w:rPr>
          <w:rFonts w:hint="eastAsia" w:ascii="宋体" w:hAnsi="宋体"/>
          <w:color w:val="000000"/>
          <w:highlight w:val="none"/>
        </w:rPr>
        <w:t>。</w:t>
      </w:r>
    </w:p>
    <w:p w14:paraId="631C8D18">
      <w:pPr>
        <w:spacing w:line="360" w:lineRule="auto"/>
        <w:ind w:firstLine="420" w:firstLineChars="200"/>
        <w:rPr>
          <w:rFonts w:hint="eastAsia" w:ascii="宋体" w:hAnsi="宋体"/>
          <w:color w:val="000000"/>
          <w:highlight w:val="none"/>
        </w:rPr>
      </w:pPr>
      <w:r>
        <w:rPr>
          <w:rFonts w:hint="eastAsia" w:ascii="宋体" w:hAnsi="宋体"/>
          <w:color w:val="000000"/>
          <w:highlight w:val="none"/>
        </w:rPr>
        <w:t>质量保修期自工程竣工验收合格之日起计算。</w:t>
      </w:r>
    </w:p>
    <w:p w14:paraId="1FE3C7DF">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三、缺陷责任期</w:t>
      </w:r>
    </w:p>
    <w:p w14:paraId="3D685E88">
      <w:pPr>
        <w:spacing w:line="360" w:lineRule="auto"/>
        <w:ind w:firstLine="420" w:firstLineChars="200"/>
        <w:rPr>
          <w:rFonts w:hint="eastAsia" w:ascii="宋体" w:hAnsi="宋体"/>
          <w:color w:val="000000"/>
          <w:highlight w:val="none"/>
        </w:rPr>
      </w:pPr>
      <w:r>
        <w:rPr>
          <w:rFonts w:hint="eastAsia" w:ascii="宋体" w:hAnsi="宋体"/>
          <w:color w:val="000000"/>
          <w:highlight w:val="none"/>
        </w:rPr>
        <w:t>工程缺陷责任期为</w:t>
      </w:r>
      <w:r>
        <w:rPr>
          <w:rFonts w:hint="eastAsia" w:ascii="宋体" w:hAnsi="宋体"/>
          <w:color w:val="000000"/>
          <w:highlight w:val="none"/>
          <w:u w:val="single"/>
        </w:rPr>
        <w:t>12</w:t>
      </w:r>
      <w:r>
        <w:rPr>
          <w:rFonts w:hint="eastAsia" w:ascii="宋体" w:hAnsi="宋体"/>
          <w:color w:val="000000"/>
          <w:highlight w:val="none"/>
        </w:rPr>
        <w:t>个月</w:t>
      </w:r>
      <w:r>
        <w:rPr>
          <w:rFonts w:hint="eastAsia" w:hAnsi="宋体"/>
          <w:color w:val="000000"/>
          <w:highlight w:val="none"/>
        </w:rPr>
        <w:t>（最长不超过</w:t>
      </w:r>
      <w:r>
        <w:rPr>
          <w:rFonts w:hAnsi="宋体"/>
          <w:color w:val="000000"/>
          <w:highlight w:val="none"/>
        </w:rPr>
        <w:t>24</w:t>
      </w:r>
      <w:r>
        <w:rPr>
          <w:rFonts w:hint="eastAsia" w:hAnsi="宋体"/>
          <w:color w:val="000000"/>
          <w:highlight w:val="none"/>
        </w:rPr>
        <w:t>个月）</w:t>
      </w:r>
      <w:r>
        <w:rPr>
          <w:rFonts w:hint="eastAsia" w:ascii="宋体" w:hAnsi="宋体"/>
          <w:color w:val="000000"/>
          <w:highlight w:val="none"/>
        </w:rPr>
        <w:t>，缺陷责任期自工程竣工验收合格之日起计算。单位工程先于全部工程进行验收，单位工程缺陷责任期自单位工程验收合格之日起算。</w:t>
      </w:r>
    </w:p>
    <w:p w14:paraId="746B7FC8">
      <w:pPr>
        <w:spacing w:line="360" w:lineRule="auto"/>
        <w:ind w:firstLine="420" w:firstLineChars="200"/>
        <w:rPr>
          <w:rFonts w:hint="eastAsia" w:hAnsi="宋体"/>
          <w:color w:val="000000"/>
          <w:highlight w:val="none"/>
        </w:rPr>
      </w:pPr>
      <w:r>
        <w:rPr>
          <w:rFonts w:hint="eastAsia" w:hAnsi="宋体"/>
          <w:color w:val="000000"/>
          <w:highlight w:val="none"/>
        </w:rPr>
        <w:t>缺陷责任期终止后，</w:t>
      </w:r>
      <w:r>
        <w:rPr>
          <w:rFonts w:hint="eastAsia" w:ascii="宋体" w:hAnsi="宋体"/>
          <w:color w:val="000000"/>
          <w:highlight w:val="none"/>
        </w:rPr>
        <w:t>发包人应退还剩余的质量保修金。</w:t>
      </w:r>
    </w:p>
    <w:p w14:paraId="4B27A707">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四、质量保修责任</w:t>
      </w:r>
    </w:p>
    <w:p w14:paraId="3F4C31C9">
      <w:pPr>
        <w:spacing w:line="360" w:lineRule="auto"/>
        <w:ind w:firstLine="420" w:firstLineChars="20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．属于保修范围、内容的项目，承包人应当在接到保修通知之日起天内派人保修。承包人不在约定期限内派人保修的，发包人可以委托他人修理</w:t>
      </w:r>
      <w:r>
        <w:rPr>
          <w:rFonts w:hint="eastAsia" w:hAnsi="宋体"/>
          <w:color w:val="000000"/>
          <w:highlight w:val="none"/>
        </w:rPr>
        <w:t>，修理费用从</w:t>
      </w:r>
      <w:r>
        <w:rPr>
          <w:rFonts w:hint="eastAsia" w:ascii="宋体" w:hAnsi="宋体"/>
          <w:color w:val="000000"/>
          <w:highlight w:val="none"/>
        </w:rPr>
        <w:t>质量保修金</w:t>
      </w:r>
      <w:r>
        <w:rPr>
          <w:rFonts w:hint="eastAsia" w:hAnsi="宋体"/>
          <w:color w:val="000000"/>
          <w:highlight w:val="none"/>
        </w:rPr>
        <w:t>内扣除。</w:t>
      </w:r>
    </w:p>
    <w:p w14:paraId="3711876E">
      <w:pPr>
        <w:spacing w:line="360" w:lineRule="auto"/>
        <w:ind w:firstLine="420" w:firstLineChars="20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．发生紧急事故需抢修的，承包人在接到事故通知后，应当立即到达事故现场抢修。</w:t>
      </w:r>
    </w:p>
    <w:p w14:paraId="502BD91C">
      <w:pPr>
        <w:spacing w:line="360" w:lineRule="auto"/>
        <w:ind w:firstLine="420" w:firstLineChars="20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C946C78">
      <w:pPr>
        <w:spacing w:line="360" w:lineRule="auto"/>
        <w:ind w:firstLine="420" w:firstLineChars="200"/>
        <w:rPr>
          <w:rFonts w:ascii="宋体" w:hAnsi="宋体"/>
          <w:color w:val="000000"/>
          <w:highlight w:val="none"/>
        </w:rPr>
      </w:pPr>
      <w:r>
        <w:rPr>
          <w:rFonts w:ascii="宋体" w:hAnsi="宋体"/>
          <w:color w:val="000000"/>
          <w:highlight w:val="none"/>
        </w:rPr>
        <w:t>4</w:t>
      </w:r>
      <w:r>
        <w:rPr>
          <w:rFonts w:hint="eastAsia" w:ascii="宋体" w:hAnsi="宋体"/>
          <w:color w:val="000000"/>
          <w:highlight w:val="none"/>
        </w:rPr>
        <w:t>．质量保修完成后，由发包人组织验收。</w:t>
      </w:r>
    </w:p>
    <w:p w14:paraId="507D650F">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五、保修费用</w:t>
      </w:r>
    </w:p>
    <w:p w14:paraId="0A4DCA4F">
      <w:pPr>
        <w:spacing w:line="360" w:lineRule="auto"/>
        <w:ind w:firstLine="420" w:firstLineChars="200"/>
        <w:rPr>
          <w:rFonts w:hint="eastAsia" w:ascii="宋体" w:hAnsi="宋体"/>
          <w:color w:val="000000"/>
          <w:highlight w:val="none"/>
        </w:rPr>
      </w:pPr>
      <w:r>
        <w:rPr>
          <w:rFonts w:hint="eastAsia" w:ascii="宋体" w:hAnsi="宋体"/>
          <w:color w:val="000000"/>
          <w:highlight w:val="none"/>
        </w:rPr>
        <w:t>保修费用由造成质量缺陷的责任方承担。</w:t>
      </w:r>
    </w:p>
    <w:p w14:paraId="0AF6470B">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六、双方约定的其他工程质量保修事项：</w:t>
      </w:r>
      <w:r>
        <w:rPr>
          <w:rFonts w:hint="eastAsia" w:hAnsi="宋体"/>
          <w:color w:val="000000"/>
          <w:highlight w:val="none"/>
          <w:u w:val="single"/>
        </w:rPr>
        <w:t xml:space="preserve">        </w:t>
      </w:r>
      <w:r>
        <w:rPr>
          <w:rFonts w:hint="eastAsia" w:ascii="宋体" w:hAnsi="宋体"/>
          <w:color w:val="000000"/>
          <w:highlight w:val="none"/>
        </w:rPr>
        <w:t>。</w:t>
      </w:r>
    </w:p>
    <w:p w14:paraId="283DA2BD">
      <w:pPr>
        <w:spacing w:line="360" w:lineRule="auto"/>
        <w:ind w:firstLine="399" w:firstLineChars="190"/>
        <w:rPr>
          <w:rFonts w:hint="eastAsia" w:ascii="宋体" w:hAnsi="宋体"/>
          <w:color w:val="000000"/>
          <w:highlight w:val="none"/>
        </w:rPr>
      </w:pPr>
      <w:r>
        <w:rPr>
          <w:rFonts w:hint="eastAsia" w:ascii="宋体" w:hAnsi="宋体"/>
          <w:color w:val="000000"/>
          <w:highlight w:val="none"/>
        </w:rPr>
        <w:t>工程质量保修书由发包人、承包人在工程竣工验收前共同签署，作为施工合同附件，其有效期限至保修期满。</w:t>
      </w:r>
    </w:p>
    <w:p w14:paraId="12A062BC">
      <w:pPr>
        <w:spacing w:line="360" w:lineRule="auto"/>
        <w:ind w:firstLine="420"/>
        <w:rPr>
          <w:rFonts w:ascii="宋体"/>
          <w:color w:val="000000"/>
          <w:highlight w:val="none"/>
        </w:rPr>
      </w:pPr>
    </w:p>
    <w:p w14:paraId="64F0B015">
      <w:pPr>
        <w:pStyle w:val="37"/>
        <w:rPr>
          <w:color w:val="000000"/>
          <w:highlight w:val="none"/>
        </w:rPr>
      </w:pPr>
    </w:p>
    <w:p w14:paraId="6F3D60B6">
      <w:pPr>
        <w:spacing w:line="360" w:lineRule="auto"/>
        <w:rPr>
          <w:rFonts w:hAnsi="宋体"/>
          <w:color w:val="000000"/>
          <w:highlight w:val="none"/>
        </w:rPr>
      </w:pPr>
      <w:r>
        <w:rPr>
          <w:rFonts w:hAnsi="宋体"/>
          <w:color w:val="000000"/>
          <w:highlight w:val="none"/>
        </w:rPr>
        <w:t>发包人</w:t>
      </w:r>
      <w:r>
        <w:rPr>
          <w:rFonts w:hint="eastAsia"/>
          <w:color w:val="000000"/>
          <w:highlight w:val="none"/>
        </w:rPr>
        <w:t>（</w:t>
      </w:r>
      <w:r>
        <w:rPr>
          <w:rFonts w:hAnsi="宋体"/>
          <w:color w:val="000000"/>
          <w:highlight w:val="none"/>
        </w:rPr>
        <w:t>公章</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rFonts w:hint="eastAsia" w:ascii="宋体" w:hAnsi="宋体"/>
          <w:color w:val="000000"/>
          <w:highlight w:val="none"/>
          <w:u w:val="single"/>
        </w:rPr>
        <w:t xml:space="preserve">                           </w:t>
      </w:r>
      <w:r>
        <w:rPr>
          <w:rFonts w:hAnsi="宋体"/>
          <w:color w:val="000000"/>
          <w:highlight w:val="none"/>
        </w:rPr>
        <w:t>承包人</w:t>
      </w:r>
      <w:r>
        <w:rPr>
          <w:rFonts w:hint="eastAsia"/>
          <w:color w:val="000000"/>
          <w:highlight w:val="none"/>
        </w:rPr>
        <w:t>（</w:t>
      </w:r>
      <w:r>
        <w:rPr>
          <w:rFonts w:hAnsi="宋体"/>
          <w:color w:val="000000"/>
          <w:highlight w:val="none"/>
        </w:rPr>
        <w:t>公章</w:t>
      </w:r>
      <w:r>
        <w:rPr>
          <w:rFonts w:hint="eastAsia"/>
          <w:color w:val="000000"/>
          <w:highlight w:val="none"/>
        </w:rPr>
        <w:t>）</w:t>
      </w:r>
      <w:r>
        <w:rPr>
          <w:rFonts w:hAnsi="宋体"/>
          <w:color w:val="000000"/>
          <w:highlight w:val="none"/>
        </w:rPr>
        <w:t>：</w:t>
      </w:r>
      <w:r>
        <w:rPr>
          <w:rFonts w:ascii="宋体" w:hAnsi="宋体"/>
          <w:color w:val="000000"/>
          <w:highlight w:val="none"/>
          <w:u w:val="single"/>
        </w:rPr>
        <w:t></w:t>
      </w:r>
    </w:p>
    <w:p w14:paraId="722E1E4F">
      <w:pPr>
        <w:spacing w:line="360" w:lineRule="auto"/>
        <w:rPr>
          <w:rFonts w:hAnsi="宋体"/>
          <w:color w:val="000000"/>
          <w:highlight w:val="none"/>
        </w:rPr>
      </w:pPr>
      <w:r>
        <w:rPr>
          <w:rFonts w:hAnsi="宋体"/>
          <w:color w:val="000000"/>
          <w:highlight w:val="none"/>
        </w:rPr>
        <w:t>地址：</w:t>
      </w:r>
      <w:r>
        <w:rPr>
          <w:rFonts w:ascii="宋体" w:hAnsi="宋体"/>
          <w:color w:val="000000"/>
          <w:highlight w:val="none"/>
          <w:u w:val="single"/>
        </w:rPr>
        <w:t></w:t>
      </w:r>
      <w:r>
        <w:rPr>
          <w:rFonts w:hint="eastAsia" w:ascii="宋体" w:hAnsi="宋体"/>
          <w:color w:val="000000"/>
          <w:highlight w:val="none"/>
          <w:u w:val="single"/>
        </w:rPr>
        <w:t xml:space="preserve">                             </w:t>
      </w:r>
      <w:r>
        <w:rPr>
          <w:rFonts w:hAnsi="宋体"/>
          <w:color w:val="000000"/>
          <w:highlight w:val="none"/>
        </w:rPr>
        <w:t>地址：</w:t>
      </w:r>
      <w:r>
        <w:rPr>
          <w:rFonts w:ascii="宋体" w:hAnsi="宋体"/>
          <w:color w:val="000000"/>
          <w:highlight w:val="none"/>
          <w:u w:val="single"/>
        </w:rPr>
        <w:t></w:t>
      </w:r>
    </w:p>
    <w:p w14:paraId="2BD6946F">
      <w:pPr>
        <w:spacing w:line="360" w:lineRule="auto"/>
        <w:rPr>
          <w:rFonts w:hAnsi="宋体"/>
          <w:color w:val="000000"/>
          <w:highlight w:val="none"/>
        </w:rPr>
      </w:pPr>
      <w:r>
        <w:rPr>
          <w:rFonts w:hAnsi="宋体"/>
          <w:color w:val="000000"/>
          <w:highlight w:val="none"/>
        </w:rPr>
        <w:t>法定代表人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rFonts w:hint="eastAsia" w:ascii="宋体" w:hAnsi="宋体"/>
          <w:color w:val="000000"/>
          <w:highlight w:val="none"/>
          <w:u w:val="single"/>
        </w:rPr>
        <w:t xml:space="preserve">                        </w:t>
      </w:r>
      <w:r>
        <w:rPr>
          <w:rFonts w:hAnsi="宋体"/>
          <w:color w:val="000000"/>
          <w:highlight w:val="none"/>
        </w:rPr>
        <w:t>法定代表人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p>
    <w:p w14:paraId="319C5607">
      <w:pPr>
        <w:spacing w:line="360" w:lineRule="auto"/>
        <w:rPr>
          <w:rFonts w:hAnsi="宋体"/>
          <w:color w:val="000000"/>
          <w:highlight w:val="none"/>
        </w:rPr>
      </w:pPr>
      <w:r>
        <w:rPr>
          <w:rFonts w:hAnsi="宋体"/>
          <w:color w:val="000000"/>
          <w:highlight w:val="none"/>
        </w:rPr>
        <w:t>委托代理人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r>
        <w:rPr>
          <w:rFonts w:hint="eastAsia" w:ascii="宋体" w:hAnsi="宋体"/>
          <w:color w:val="000000"/>
          <w:highlight w:val="none"/>
          <w:u w:val="single"/>
        </w:rPr>
        <w:t xml:space="preserve">                        </w:t>
      </w:r>
      <w:r>
        <w:rPr>
          <w:rFonts w:hAnsi="宋体"/>
          <w:color w:val="000000"/>
          <w:highlight w:val="none"/>
        </w:rPr>
        <w:t>委托代理人</w:t>
      </w:r>
      <w:r>
        <w:rPr>
          <w:rFonts w:hint="eastAsia"/>
          <w:color w:val="000000"/>
          <w:highlight w:val="none"/>
        </w:rPr>
        <w:t>（</w:t>
      </w:r>
      <w:r>
        <w:rPr>
          <w:rFonts w:hAnsi="宋体"/>
          <w:color w:val="000000"/>
          <w:highlight w:val="none"/>
        </w:rPr>
        <w:t>签字</w:t>
      </w:r>
      <w:r>
        <w:rPr>
          <w:rFonts w:hint="eastAsia"/>
          <w:color w:val="000000"/>
          <w:highlight w:val="none"/>
        </w:rPr>
        <w:t>）</w:t>
      </w:r>
      <w:r>
        <w:rPr>
          <w:rFonts w:hAnsi="宋体"/>
          <w:color w:val="000000"/>
          <w:highlight w:val="none"/>
        </w:rPr>
        <w:t>：</w:t>
      </w:r>
      <w:r>
        <w:rPr>
          <w:rFonts w:ascii="宋体" w:hAnsi="宋体"/>
          <w:color w:val="000000"/>
          <w:highlight w:val="none"/>
          <w:u w:val="single"/>
        </w:rPr>
        <w:t></w:t>
      </w:r>
    </w:p>
    <w:p w14:paraId="68CC2171">
      <w:pPr>
        <w:spacing w:line="360" w:lineRule="auto"/>
        <w:rPr>
          <w:rFonts w:hAnsi="宋体"/>
          <w:color w:val="000000"/>
          <w:highlight w:val="none"/>
        </w:rPr>
      </w:pPr>
      <w:r>
        <w:rPr>
          <w:rFonts w:hAnsi="宋体"/>
          <w:color w:val="000000"/>
          <w:highlight w:val="none"/>
        </w:rPr>
        <w:t>电话：</w:t>
      </w:r>
      <w:r>
        <w:rPr>
          <w:rFonts w:ascii="宋体" w:hAnsi="宋体"/>
          <w:color w:val="000000"/>
          <w:highlight w:val="none"/>
          <w:u w:val="single"/>
        </w:rPr>
        <w:t></w:t>
      </w:r>
      <w:r>
        <w:rPr>
          <w:rFonts w:hint="eastAsia" w:ascii="宋体" w:hAnsi="宋体"/>
          <w:color w:val="000000"/>
          <w:highlight w:val="none"/>
          <w:u w:val="single"/>
        </w:rPr>
        <w:t xml:space="preserve">                          </w:t>
      </w:r>
      <w:r>
        <w:rPr>
          <w:rFonts w:hAnsi="宋体"/>
          <w:color w:val="000000"/>
          <w:highlight w:val="none"/>
        </w:rPr>
        <w:t>电话：</w:t>
      </w:r>
      <w:r>
        <w:rPr>
          <w:rFonts w:ascii="宋体" w:hAnsi="宋体"/>
          <w:color w:val="000000"/>
          <w:highlight w:val="none"/>
          <w:u w:val="single"/>
        </w:rPr>
        <w:t></w:t>
      </w:r>
    </w:p>
    <w:p w14:paraId="093D6F1E">
      <w:pPr>
        <w:pStyle w:val="44"/>
        <w:spacing w:line="400" w:lineRule="exact"/>
        <w:rPr>
          <w:rFonts w:hAnsi="宋体"/>
          <w:color w:val="000000"/>
          <w:highlight w:val="none"/>
        </w:rPr>
      </w:pPr>
      <w:r>
        <w:rPr>
          <w:rFonts w:hAnsi="宋体"/>
          <w:color w:val="000000"/>
          <w:highlight w:val="none"/>
        </w:rPr>
        <w:t>传真：</w:t>
      </w:r>
      <w:r>
        <w:rPr>
          <w:rFonts w:hAnsi="宋体"/>
          <w:color w:val="000000"/>
          <w:highlight w:val="none"/>
          <w:u w:val="single"/>
        </w:rPr>
        <w:t xml:space="preserve">                          </w:t>
      </w:r>
      <w:r>
        <w:rPr>
          <w:rFonts w:hAnsi="宋体"/>
          <w:color w:val="000000"/>
          <w:highlight w:val="none"/>
        </w:rPr>
        <w:t>传真：</w:t>
      </w:r>
      <w:r>
        <w:rPr>
          <w:rFonts w:hAnsi="宋体"/>
          <w:color w:val="000000"/>
          <w:highlight w:val="none"/>
          <w:u w:val="single"/>
        </w:rPr>
        <w:t></w:t>
      </w:r>
    </w:p>
    <w:p w14:paraId="6460B6FA">
      <w:pPr>
        <w:pStyle w:val="44"/>
        <w:spacing w:line="400" w:lineRule="exact"/>
        <w:rPr>
          <w:rFonts w:hAnsi="宋体"/>
          <w:color w:val="000000"/>
          <w:highlight w:val="none"/>
        </w:rPr>
      </w:pPr>
    </w:p>
    <w:p w14:paraId="2383666C">
      <w:pPr>
        <w:pStyle w:val="44"/>
        <w:spacing w:line="400" w:lineRule="exact"/>
        <w:rPr>
          <w:rFonts w:hAnsi="宋体"/>
          <w:color w:val="000000"/>
          <w:highlight w:val="none"/>
        </w:rPr>
      </w:pPr>
    </w:p>
    <w:p w14:paraId="49F8AEC9">
      <w:pPr>
        <w:pStyle w:val="44"/>
        <w:spacing w:line="400" w:lineRule="exact"/>
        <w:rPr>
          <w:rFonts w:hAnsi="宋体"/>
          <w:color w:val="000000"/>
          <w:highlight w:val="none"/>
        </w:rPr>
      </w:pPr>
    </w:p>
    <w:p w14:paraId="2889E97E">
      <w:pPr>
        <w:rPr>
          <w:color w:val="000000"/>
          <w:highlight w:val="none"/>
        </w:rPr>
      </w:pPr>
    </w:p>
    <w:p w14:paraId="0D0375BF">
      <w:pPr>
        <w:pStyle w:val="37"/>
        <w:rPr>
          <w:color w:val="000000"/>
          <w:highlight w:val="none"/>
        </w:rPr>
      </w:pPr>
    </w:p>
    <w:p w14:paraId="489DA500">
      <w:pPr>
        <w:pStyle w:val="37"/>
        <w:rPr>
          <w:color w:val="000000"/>
          <w:highlight w:val="none"/>
        </w:rPr>
      </w:pPr>
    </w:p>
    <w:p w14:paraId="5B7DC490">
      <w:pPr>
        <w:pStyle w:val="37"/>
        <w:rPr>
          <w:color w:val="000000"/>
          <w:highlight w:val="none"/>
        </w:rPr>
      </w:pPr>
    </w:p>
    <w:p w14:paraId="021D7E52">
      <w:pPr>
        <w:pStyle w:val="44"/>
        <w:spacing w:line="400" w:lineRule="exact"/>
        <w:rPr>
          <w:rFonts w:hAnsi="宋体"/>
          <w:color w:val="000000"/>
          <w:highlight w:val="none"/>
        </w:rPr>
      </w:pPr>
    </w:p>
    <w:p w14:paraId="6C9D5E1B">
      <w:pPr>
        <w:pStyle w:val="10"/>
        <w:spacing w:line="560" w:lineRule="exact"/>
        <w:jc w:val="center"/>
        <w:rPr>
          <w:rFonts w:hint="eastAsia" w:ascii="宋体" w:hAnsi="宋体"/>
          <w:bCs/>
          <w:color w:val="000000"/>
          <w:sz w:val="44"/>
          <w:highlight w:val="none"/>
        </w:rPr>
      </w:pPr>
      <w:r>
        <w:rPr>
          <w:rFonts w:hint="eastAsia" w:ascii="宋体" w:hAnsi="宋体"/>
          <w:bCs/>
          <w:color w:val="000000"/>
          <w:sz w:val="44"/>
          <w:highlight w:val="none"/>
        </w:rPr>
        <w:br w:type="page"/>
      </w:r>
    </w:p>
    <w:p w14:paraId="3FBDCB3A">
      <w:pPr>
        <w:pStyle w:val="10"/>
        <w:spacing w:line="560" w:lineRule="exact"/>
        <w:jc w:val="center"/>
        <w:rPr>
          <w:rFonts w:hint="eastAsia" w:ascii="宋体" w:hAnsi="宋体"/>
          <w:bCs/>
          <w:color w:val="000000"/>
          <w:sz w:val="44"/>
          <w:highlight w:val="none"/>
        </w:rPr>
      </w:pPr>
    </w:p>
    <w:p w14:paraId="6388B53C">
      <w:pPr>
        <w:pStyle w:val="10"/>
        <w:spacing w:line="560" w:lineRule="exact"/>
        <w:jc w:val="center"/>
        <w:rPr>
          <w:rFonts w:hint="eastAsia" w:ascii="宋体" w:hAnsi="宋体"/>
          <w:bCs/>
          <w:color w:val="000000"/>
          <w:sz w:val="44"/>
          <w:highlight w:val="none"/>
        </w:rPr>
      </w:pPr>
    </w:p>
    <w:p w14:paraId="491385A9">
      <w:pPr>
        <w:pStyle w:val="10"/>
        <w:spacing w:line="560" w:lineRule="exact"/>
        <w:jc w:val="center"/>
        <w:rPr>
          <w:rFonts w:hint="eastAsia" w:ascii="宋体" w:hAnsi="宋体"/>
          <w:bCs/>
          <w:color w:val="000000"/>
          <w:sz w:val="44"/>
          <w:highlight w:val="none"/>
        </w:rPr>
      </w:pPr>
    </w:p>
    <w:p w14:paraId="6870A340">
      <w:pPr>
        <w:pStyle w:val="10"/>
        <w:spacing w:line="560" w:lineRule="exact"/>
        <w:jc w:val="center"/>
        <w:rPr>
          <w:rFonts w:hint="eastAsia" w:ascii="宋体" w:hAnsi="宋体"/>
          <w:bCs/>
          <w:color w:val="000000"/>
          <w:sz w:val="44"/>
          <w:highlight w:val="none"/>
        </w:rPr>
      </w:pPr>
    </w:p>
    <w:p w14:paraId="749B40AF">
      <w:pPr>
        <w:pStyle w:val="10"/>
        <w:spacing w:line="560" w:lineRule="exact"/>
        <w:jc w:val="center"/>
        <w:rPr>
          <w:rFonts w:hint="eastAsia" w:ascii="宋体" w:hAnsi="宋体"/>
          <w:bCs/>
          <w:color w:val="000000"/>
          <w:sz w:val="44"/>
          <w:highlight w:val="none"/>
        </w:rPr>
      </w:pPr>
    </w:p>
    <w:p w14:paraId="07399F6A">
      <w:pPr>
        <w:pStyle w:val="10"/>
        <w:spacing w:line="560" w:lineRule="exact"/>
        <w:jc w:val="center"/>
        <w:rPr>
          <w:rFonts w:hint="eastAsia" w:ascii="宋体" w:hAnsi="宋体"/>
          <w:bCs/>
          <w:color w:val="000000"/>
          <w:sz w:val="44"/>
          <w:highlight w:val="none"/>
        </w:rPr>
      </w:pPr>
      <w:r>
        <w:rPr>
          <w:rFonts w:hint="eastAsia" w:ascii="宋体" w:hAnsi="宋体"/>
          <w:bCs/>
          <w:color w:val="000000"/>
          <w:sz w:val="44"/>
          <w:highlight w:val="none"/>
        </w:rPr>
        <w:t>第五章   评标办法</w:t>
      </w:r>
    </w:p>
    <w:p w14:paraId="5F3405D6">
      <w:pPr>
        <w:spacing w:line="360" w:lineRule="exact"/>
        <w:ind w:left="1320" w:hanging="1320" w:hangingChars="300"/>
        <w:rPr>
          <w:rFonts w:ascii="宋体" w:hAnsi="宋体"/>
          <w:color w:val="000000"/>
          <w:sz w:val="44"/>
          <w:highlight w:val="none"/>
        </w:rPr>
      </w:pPr>
    </w:p>
    <w:p w14:paraId="25763DE2">
      <w:pPr>
        <w:spacing w:line="360" w:lineRule="exact"/>
        <w:ind w:left="1320" w:hanging="1320" w:hangingChars="300"/>
        <w:rPr>
          <w:rFonts w:hint="eastAsia" w:ascii="宋体" w:hAnsi="宋体"/>
          <w:color w:val="000000"/>
          <w:sz w:val="44"/>
          <w:highlight w:val="none"/>
        </w:rPr>
      </w:pPr>
      <w:r>
        <w:rPr>
          <w:rFonts w:hint="eastAsia" w:ascii="宋体" w:hAnsi="宋体"/>
          <w:color w:val="000000"/>
          <w:sz w:val="44"/>
          <w:highlight w:val="none"/>
        </w:rPr>
        <w:br w:type="page"/>
      </w:r>
    </w:p>
    <w:p w14:paraId="4753CC4E">
      <w:pPr>
        <w:pStyle w:val="44"/>
        <w:spacing w:line="400" w:lineRule="exact"/>
        <w:jc w:val="center"/>
        <w:rPr>
          <w:rFonts w:hAnsi="宋体"/>
          <w:b/>
          <w:bCs/>
          <w:color w:val="000000"/>
          <w:sz w:val="28"/>
          <w:highlight w:val="none"/>
        </w:rPr>
      </w:pPr>
      <w:r>
        <w:rPr>
          <w:rFonts w:hAnsi="宋体"/>
          <w:b/>
          <w:bCs/>
          <w:color w:val="000000"/>
          <w:sz w:val="28"/>
          <w:highlight w:val="none"/>
        </w:rPr>
        <w:t>评标办法和成交标准</w:t>
      </w:r>
    </w:p>
    <w:p w14:paraId="7003BC75">
      <w:pPr>
        <w:spacing w:line="360" w:lineRule="auto"/>
        <w:rPr>
          <w:rFonts w:hint="eastAsia" w:ascii="宋体" w:hAnsi="宋体"/>
          <w:b/>
          <w:color w:val="000000"/>
          <w:szCs w:val="21"/>
          <w:highlight w:val="none"/>
        </w:rPr>
      </w:pPr>
      <w:r>
        <w:rPr>
          <w:rFonts w:hint="eastAsia" w:ascii="宋体" w:hAnsi="宋体"/>
          <w:b/>
          <w:color w:val="000000"/>
          <w:szCs w:val="21"/>
          <w:highlight w:val="none"/>
        </w:rPr>
        <w:t>一、评标原则</w:t>
      </w:r>
    </w:p>
    <w:p w14:paraId="272596DB">
      <w:pPr>
        <w:spacing w:line="360" w:lineRule="auto"/>
        <w:ind w:left="630" w:hanging="630" w:hangingChars="300"/>
        <w:rPr>
          <w:rFonts w:hint="eastAsia" w:ascii="宋体" w:hAnsi="宋体"/>
          <w:color w:val="000000"/>
          <w:szCs w:val="21"/>
          <w:highlight w:val="none"/>
        </w:rPr>
      </w:pPr>
      <w:r>
        <w:rPr>
          <w:rFonts w:hint="eastAsia" w:ascii="宋体" w:hAnsi="宋体"/>
          <w:color w:val="000000"/>
          <w:szCs w:val="21"/>
          <w:highlight w:val="none"/>
        </w:rPr>
        <w:t>（一）磋商（评标）小组构成：磋商小组成员由采购人代表和在</w:t>
      </w:r>
      <w:r>
        <w:rPr>
          <w:rFonts w:hint="eastAsia" w:ascii="宋体" w:hAnsi="宋体"/>
          <w:bCs/>
          <w:color w:val="000000"/>
          <w:szCs w:val="21"/>
          <w:highlight w:val="none"/>
        </w:rPr>
        <w:t>政府采购专家库中随机抽取</w:t>
      </w:r>
      <w:r>
        <w:rPr>
          <w:rFonts w:hint="eastAsia" w:ascii="宋体" w:hAnsi="宋体"/>
          <w:color w:val="000000"/>
          <w:szCs w:val="21"/>
          <w:highlight w:val="none"/>
        </w:rPr>
        <w:t>的有关技术、经济等方面专家组成，成员人数为三人以上（含三人）单数组成，其中技术、经济等方面专家不少于成员总数的三分之二。</w:t>
      </w:r>
    </w:p>
    <w:p w14:paraId="43EBFF48">
      <w:pPr>
        <w:spacing w:line="360" w:lineRule="auto"/>
        <w:ind w:left="630" w:hanging="630" w:hangingChars="300"/>
        <w:rPr>
          <w:rFonts w:hint="eastAsia" w:ascii="宋体" w:hAnsi="宋体"/>
          <w:color w:val="000000"/>
          <w:szCs w:val="21"/>
          <w:highlight w:val="none"/>
        </w:rPr>
      </w:pPr>
      <w:r>
        <w:rPr>
          <w:rFonts w:hint="eastAsia" w:ascii="宋体" w:hAnsi="宋体"/>
          <w:color w:val="000000"/>
          <w:szCs w:val="21"/>
          <w:highlight w:val="none"/>
        </w:rPr>
        <w:t>（二）评标依据：以竞争性磋商文件和响应文件为评审依据。</w:t>
      </w:r>
    </w:p>
    <w:p w14:paraId="40B6D975">
      <w:pPr>
        <w:spacing w:line="360" w:lineRule="auto"/>
        <w:ind w:left="630" w:hanging="630" w:hangingChars="300"/>
        <w:rPr>
          <w:rFonts w:hint="eastAsia" w:ascii="宋体" w:hAnsi="宋体"/>
          <w:color w:val="000000"/>
          <w:szCs w:val="21"/>
          <w:highlight w:val="none"/>
        </w:rPr>
      </w:pPr>
      <w:r>
        <w:rPr>
          <w:rFonts w:hint="eastAsia" w:ascii="宋体" w:hAnsi="宋体"/>
          <w:color w:val="000000"/>
          <w:szCs w:val="21"/>
          <w:highlight w:val="none"/>
        </w:rPr>
        <w:t>（三）评标方法：经磋商确定最终方案和提交最终报价的供应商后，由磋商小组采用综合评分法对提交最终报价的供应商的响应文件和最终报价进行综合评分，响应文件满足竞争性磋商文件全部实质性要求且按评审因素的量化指标评审得分最高的供应商为成交候选供应商。</w:t>
      </w:r>
    </w:p>
    <w:p w14:paraId="623EDE22">
      <w:pPr>
        <w:spacing w:line="360" w:lineRule="auto"/>
        <w:ind w:left="630" w:leftChars="250" w:hanging="105" w:hangingChars="50"/>
        <w:rPr>
          <w:rFonts w:hint="eastAsia" w:ascii="宋体" w:hAnsi="宋体"/>
          <w:color w:val="000000"/>
          <w:szCs w:val="21"/>
          <w:highlight w:val="none"/>
        </w:rPr>
      </w:pPr>
      <w:r>
        <w:rPr>
          <w:rFonts w:hint="eastAsia" w:ascii="宋体" w:hAnsi="宋体"/>
          <w:color w:val="000000"/>
          <w:szCs w:val="21"/>
          <w:highlight w:val="none"/>
        </w:rPr>
        <w:t>说明：评委对各供应商进行独立打分，供应商的最终得分为各磋商小组成员的加权平均分。</w:t>
      </w:r>
    </w:p>
    <w:p w14:paraId="27BE6343">
      <w:pPr>
        <w:pStyle w:val="138"/>
        <w:numPr>
          <w:ilvl w:val="0"/>
          <w:numId w:val="7"/>
        </w:numPr>
        <w:spacing w:line="360" w:lineRule="auto"/>
        <w:ind w:firstLineChars="0"/>
        <w:rPr>
          <w:rFonts w:hint="eastAsia" w:ascii="宋体" w:hAnsi="宋体"/>
          <w:b/>
          <w:color w:val="000000"/>
          <w:highlight w:val="none"/>
        </w:rPr>
      </w:pPr>
      <w:r>
        <w:rPr>
          <w:rFonts w:hint="eastAsia" w:ascii="宋体" w:hAnsi="宋体"/>
          <w:b/>
          <w:color w:val="000000"/>
          <w:highlight w:val="none"/>
        </w:rPr>
        <w:t>评审因素和标准</w:t>
      </w:r>
    </w:p>
    <w:p w14:paraId="3A11A682">
      <w:pPr>
        <w:pStyle w:val="44"/>
        <w:spacing w:line="360" w:lineRule="auto"/>
        <w:ind w:firstLine="103" w:firstLineChars="49"/>
        <w:rPr>
          <w:rFonts w:hAnsi="宋体"/>
          <w:b/>
          <w:bCs/>
          <w:color w:val="000000"/>
          <w:highlight w:val="none"/>
        </w:rPr>
      </w:pPr>
      <w:r>
        <w:rPr>
          <w:rFonts w:hAnsi="宋体"/>
          <w:b/>
          <w:bCs/>
          <w:color w:val="000000"/>
          <w:highlight w:val="none"/>
        </w:rPr>
        <w:t>1、价格分……………………………………………………………………………………………10分</w:t>
      </w:r>
    </w:p>
    <w:p w14:paraId="03E7EA71">
      <w:pPr>
        <w:pStyle w:val="112"/>
        <w:spacing w:line="360" w:lineRule="auto"/>
        <w:ind w:firstLine="210" w:firstLineChars="100"/>
        <w:rPr>
          <w:rFonts w:hint="eastAsia" w:ascii="宋体" w:hAnsi="宋体"/>
          <w:color w:val="000000"/>
          <w:highlight w:val="none"/>
        </w:rPr>
      </w:pPr>
      <w:r>
        <w:rPr>
          <w:rFonts w:hint="eastAsia" w:ascii="宋体" w:hAnsi="宋体"/>
          <w:color w:val="000000"/>
          <w:highlight w:val="none"/>
        </w:rPr>
        <w:t>以通过资格和符合性审查的且最终报价最低的供应商的价格为磋商基准价，其价格分为</w:t>
      </w:r>
      <w:r>
        <w:rPr>
          <w:rFonts w:hint="eastAsia" w:ascii="宋体" w:hAnsi="宋体"/>
          <w:b/>
          <w:color w:val="000000"/>
          <w:highlight w:val="none"/>
        </w:rPr>
        <w:t>10分。</w:t>
      </w:r>
    </w:p>
    <w:p w14:paraId="6A07C710">
      <w:pPr>
        <w:pStyle w:val="44"/>
        <w:spacing w:line="420" w:lineRule="exact"/>
        <w:rPr>
          <w:rFonts w:hAnsi="宋体"/>
          <w:b/>
          <w:bCs/>
          <w:color w:val="000000"/>
          <w:highlight w:val="none"/>
        </w:rPr>
      </w:pPr>
      <w:r>
        <w:rPr>
          <w:rFonts w:hAnsi="宋体"/>
          <w:b/>
          <w:bCs/>
          <w:color w:val="000000"/>
          <w:highlight w:val="none"/>
        </w:rPr>
        <w:t>（本项目落实政府采购政策，专门面向小微企业采购，本项目不再对供应商价格进行扣除政策）</w:t>
      </w:r>
    </w:p>
    <w:p w14:paraId="31217B50">
      <w:pPr>
        <w:pStyle w:val="44"/>
        <w:spacing w:line="420" w:lineRule="exact"/>
        <w:ind w:firstLine="3570" w:firstLineChars="1700"/>
        <w:rPr>
          <w:rFonts w:hAnsi="宋体"/>
          <w:color w:val="000000"/>
          <w:highlight w:val="none"/>
        </w:rPr>
      </w:pPr>
      <w:r>
        <w:rPr>
          <w:rFonts w:hAnsi="宋体"/>
          <w:color w:val="000000"/>
          <w:highlight w:val="none"/>
        </w:rPr>
        <w:t>磋商基准价（</w:t>
      </w:r>
      <w:r>
        <w:rPr>
          <w:rFonts w:hAnsi="宋体"/>
          <w:bCs/>
          <w:color w:val="000000"/>
          <w:highlight w:val="none"/>
        </w:rPr>
        <w:t>元）</w:t>
      </w:r>
    </w:p>
    <w:p w14:paraId="170C207F">
      <w:pPr>
        <w:pStyle w:val="44"/>
        <w:spacing w:line="420" w:lineRule="exact"/>
        <w:ind w:firstLine="420" w:firstLineChars="200"/>
        <w:rPr>
          <w:rFonts w:hAnsi="宋体"/>
          <w:bCs/>
          <w:color w:val="000000"/>
          <w:highlight w:val="none"/>
        </w:rPr>
      </w:pPr>
      <w:r>
        <w:rPr>
          <w:rFonts w:hAnsi="宋体"/>
          <w:bCs/>
          <w:color w:val="000000"/>
          <w:highlight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2222500" cy="12700"/>
                <wp:effectExtent l="0" t="0" r="0" b="0"/>
                <wp:wrapNone/>
                <wp:docPr id="1" name="_x0000_s1029"/>
                <wp:cNvGraphicFramePr/>
                <a:graphic xmlns:a="http://schemas.openxmlformats.org/drawingml/2006/main">
                  <a:graphicData uri="http://schemas.microsoft.com/office/word/2010/wordprocessingShape">
                    <wps:wsp>
                      <wps:cNvCnPr/>
                      <wps:spPr>
                        <a:xfrm>
                          <a:off x="1962150" y="175260"/>
                          <a:ext cx="2222500" cy="12700"/>
                        </a:xfrm>
                        <a:prstGeom prst="line">
                          <a:avLst/>
                        </a:prstGeom>
                        <a:solidFill>
                          <a:prstClr val="white"/>
                        </a:solidFill>
                        <a:ln w="12700">
                          <a:solidFill>
                            <a:prstClr val="white"/>
                          </a:solidFill>
                        </a:ln>
                      </wps:spPr>
                      <wps:bodyPr rot="0" vert="horz" wrap="square" lIns="91440" tIns="45720" rIns="91440" bIns="45720" anchor="t" anchorCtr="0"/>
                    </wps:wsp>
                  </a:graphicData>
                </a:graphic>
              </wp:anchor>
            </w:drawing>
          </mc:Choice>
          <mc:Fallback>
            <w:pict>
              <v:line id="_x0000_s1029" o:spid="_x0000_s1026" o:spt="20" style="position:absolute;left:0pt;margin-left:0pt;margin-top:0pt;height:1pt;width:175pt;z-index:251659264;mso-width-relative:page;mso-height-relative:page;" fillcolor="#FFFFFF" filled="t" stroked="t" coordsize="21600,21600" o:gfxdata="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o5sy0wAAAAMBAAAP&#10;AAAAAAAAAAEAIAAAACIAAABkcnMvZG93bnJldi54bWxQSwECFAAUAAAACACHTuJAI6FyAOQBAAAB&#10;BAAADgAAAAAAAAABACAAAAAiAQAAZHJzL2Uyb0RvYy54bWxQSwUGAAAAAAYABgBZAQAAeAUAAAAA&#10;">
                <v:fill on="t" focussize="0,0"/>
                <v:stroke weight="1pt" color="#FFFFFF" joinstyle="round"/>
                <v:imagedata o:title=""/>
                <o:lock v:ext="edit" aspectratio="f"/>
              </v:line>
            </w:pict>
          </mc:Fallback>
        </mc:AlternateContent>
      </w:r>
      <w:r>
        <w:rPr>
          <w:rFonts w:hAnsi="宋体"/>
          <w:bCs/>
          <w:color w:val="000000"/>
          <w:highlight w:val="none"/>
        </w:rPr>
        <w:t>某</w:t>
      </w:r>
      <w:r>
        <w:rPr>
          <w:rFonts w:hAnsi="宋体"/>
          <w:color w:val="000000"/>
          <w:highlight w:val="none"/>
        </w:rPr>
        <w:t>响应供应商</w:t>
      </w:r>
      <w:r>
        <w:rPr>
          <w:rFonts w:hAnsi="宋体"/>
          <w:bCs/>
          <w:color w:val="000000"/>
          <w:highlight w:val="none"/>
        </w:rPr>
        <w:t>价格分 =                                         ×10分</w:t>
      </w:r>
    </w:p>
    <w:p w14:paraId="5D77B89B">
      <w:pPr>
        <w:tabs>
          <w:tab w:val="left" w:pos="5760"/>
        </w:tabs>
        <w:spacing w:line="420" w:lineRule="exact"/>
        <w:ind w:left="411" w:leftChars="98" w:hanging="205" w:hangingChars="98"/>
        <w:rPr>
          <w:rFonts w:hint="eastAsia" w:ascii="宋体" w:hAnsi="宋体"/>
          <w:bCs/>
          <w:color w:val="000000"/>
          <w:szCs w:val="21"/>
          <w:highlight w:val="none"/>
        </w:rPr>
      </w:pPr>
      <w:r>
        <w:rPr>
          <w:rFonts w:hint="eastAsia" w:ascii="宋体" w:hAnsi="宋体"/>
          <w:bCs/>
          <w:color w:val="000000"/>
          <w:szCs w:val="21"/>
          <w:highlight w:val="none"/>
        </w:rPr>
        <w:t xml:space="preserve">                             某</w:t>
      </w:r>
      <w:r>
        <w:rPr>
          <w:rFonts w:hint="eastAsia" w:ascii="宋体" w:hAnsi="宋体"/>
          <w:color w:val="000000"/>
          <w:szCs w:val="21"/>
          <w:highlight w:val="none"/>
        </w:rPr>
        <w:t>响应供应商</w:t>
      </w:r>
      <w:r>
        <w:rPr>
          <w:rFonts w:hint="eastAsia" w:ascii="宋体" w:hAnsi="宋体"/>
          <w:bCs/>
          <w:color w:val="000000"/>
          <w:szCs w:val="21"/>
          <w:highlight w:val="none"/>
        </w:rPr>
        <w:t>最终报价金额（元）</w:t>
      </w:r>
    </w:p>
    <w:p w14:paraId="1755F4BE">
      <w:pPr>
        <w:spacing w:line="360" w:lineRule="auto"/>
        <w:ind w:right="-178"/>
        <w:rPr>
          <w:rFonts w:hint="eastAsia" w:ascii="宋体" w:hAnsi="宋体"/>
          <w:b/>
          <w:bCs/>
          <w:color w:val="000000"/>
          <w:highlight w:val="none"/>
        </w:rPr>
      </w:pPr>
      <w:r>
        <w:rPr>
          <w:rFonts w:hint="eastAsia" w:ascii="宋体" w:hAnsi="宋体"/>
          <w:b/>
          <w:bCs/>
          <w:color w:val="000000"/>
          <w:highlight w:val="none"/>
        </w:rPr>
        <w:t>2． 技术方案分</w:t>
      </w:r>
      <w:r>
        <w:rPr>
          <w:rFonts w:ascii="宋体" w:hAnsi="宋体"/>
          <w:bCs/>
          <w:color w:val="000000"/>
          <w:szCs w:val="21"/>
          <w:highlight w:val="none"/>
        </w:rPr>
        <w:t>…………………………………………………………………………………………</w:t>
      </w:r>
      <w:r>
        <w:rPr>
          <w:rFonts w:hint="eastAsia" w:ascii="宋体" w:hAnsi="宋体"/>
          <w:b/>
          <w:bCs/>
          <w:color w:val="000000"/>
          <w:highlight w:val="none"/>
        </w:rPr>
        <w:t xml:space="preserve"> </w:t>
      </w:r>
      <w:r>
        <w:rPr>
          <w:rFonts w:ascii="宋体" w:hAnsi="宋体"/>
          <w:b/>
          <w:bCs/>
          <w:color w:val="000000"/>
          <w:highlight w:val="none"/>
        </w:rPr>
        <w:t>8</w:t>
      </w:r>
      <w:r>
        <w:rPr>
          <w:rFonts w:hint="eastAsia" w:ascii="宋体" w:hAnsi="宋体"/>
          <w:b/>
          <w:bCs/>
          <w:color w:val="000000"/>
          <w:highlight w:val="none"/>
        </w:rPr>
        <w:t>0</w:t>
      </w:r>
      <w:r>
        <w:rPr>
          <w:rFonts w:ascii="宋体" w:hAnsi="宋体"/>
          <w:b/>
          <w:bCs/>
          <w:color w:val="000000"/>
          <w:highlight w:val="none"/>
        </w:rPr>
        <w:t>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6385"/>
      </w:tblGrid>
      <w:tr w14:paraId="2413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276" w:type="dxa"/>
            <w:vMerge w:val="restart"/>
            <w:shd w:val="clear" w:color="auto" w:fill="FFFFFF"/>
            <w:vAlign w:val="center"/>
          </w:tcPr>
          <w:p w14:paraId="3E7BE550">
            <w:pPr>
              <w:keepNext w:val="0"/>
              <w:keepLines w:val="0"/>
              <w:pageBreakBefore w:val="0"/>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项目管理机构配备分（</w:t>
            </w:r>
            <w:r>
              <w:rPr>
                <w:rFonts w:hint="eastAsia" w:ascii="宋体" w:hAnsi="宋体"/>
                <w:color w:val="000000"/>
                <w:szCs w:val="21"/>
                <w:highlight w:val="none"/>
                <w:lang w:val="en-US" w:eastAsia="zh-CN"/>
              </w:rPr>
              <w:t>10</w:t>
            </w:r>
            <w:r>
              <w:rPr>
                <w:rFonts w:hint="eastAsia" w:ascii="宋体" w:hAnsi="宋体"/>
                <w:color w:val="000000"/>
                <w:szCs w:val="21"/>
                <w:highlight w:val="none"/>
              </w:rPr>
              <w:t>）</w:t>
            </w:r>
          </w:p>
        </w:tc>
        <w:tc>
          <w:tcPr>
            <w:tcW w:w="992" w:type="dxa"/>
            <w:shd w:val="clear" w:color="auto" w:fill="FFFFFF"/>
            <w:vAlign w:val="center"/>
          </w:tcPr>
          <w:p w14:paraId="17DBEBF0">
            <w:pPr>
              <w:keepNext w:val="0"/>
              <w:keepLines w:val="0"/>
              <w:pageBreakBefore w:val="0"/>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主要负责人员分（</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p>
        </w:tc>
        <w:tc>
          <w:tcPr>
            <w:tcW w:w="6385" w:type="dxa"/>
            <w:shd w:val="clear" w:color="auto" w:fill="FFFFFF"/>
            <w:vAlign w:val="center"/>
          </w:tcPr>
          <w:p w14:paraId="04F06E6A">
            <w:pPr>
              <w:keepNext w:val="0"/>
              <w:keepLines w:val="0"/>
              <w:pageBreakBefore w:val="0"/>
              <w:kinsoku/>
              <w:wordWrap/>
              <w:overflowPunct/>
              <w:topLinePunct w:val="0"/>
              <w:autoSpaceDE/>
              <w:autoSpaceDN/>
              <w:bidi w:val="0"/>
              <w:snapToGrid/>
              <w:spacing w:line="400" w:lineRule="exact"/>
              <w:rPr>
                <w:rFonts w:ascii="宋体" w:hAnsi="宋体"/>
                <w:color w:val="000000"/>
                <w:szCs w:val="21"/>
                <w:highlight w:val="none"/>
              </w:rPr>
            </w:pPr>
            <w:r>
              <w:rPr>
                <w:rFonts w:ascii="宋体" w:hAnsi="宋体"/>
                <w:color w:val="000000"/>
                <w:szCs w:val="21"/>
                <w:highlight w:val="none"/>
              </w:rPr>
              <w:fldChar w:fldCharType="begin"/>
            </w:r>
            <w:r>
              <w:rPr>
                <w:rFonts w:ascii="宋体" w:hAnsi="宋体"/>
                <w:color w:val="000000"/>
                <w:szCs w:val="21"/>
                <w:highlight w:val="none"/>
              </w:rPr>
              <w:instrText xml:space="preserve"> </w:instrText>
            </w:r>
            <w:r>
              <w:rPr>
                <w:rFonts w:hint="eastAsia" w:ascii="宋体" w:hAnsi="宋体"/>
                <w:color w:val="000000"/>
                <w:szCs w:val="21"/>
                <w:highlight w:val="none"/>
              </w:rPr>
              <w:instrText xml:space="preserve">= 1 \* GB3</w:instrText>
            </w:r>
            <w:r>
              <w:rPr>
                <w:rFonts w:ascii="宋体" w:hAnsi="宋体"/>
                <w:color w:val="000000"/>
                <w:szCs w:val="21"/>
                <w:highlight w:val="none"/>
              </w:rPr>
              <w:instrText xml:space="preserve"> </w:instrText>
            </w:r>
            <w:r>
              <w:rPr>
                <w:rFonts w:ascii="宋体" w:hAnsi="宋体"/>
                <w:color w:val="000000"/>
                <w:szCs w:val="21"/>
                <w:highlight w:val="none"/>
              </w:rPr>
              <w:fldChar w:fldCharType="separate"/>
            </w:r>
            <w:r>
              <w:rPr>
                <w:rFonts w:hint="eastAsia" w:ascii="宋体" w:hAnsi="宋体"/>
                <w:color w:val="000000"/>
                <w:szCs w:val="21"/>
                <w:highlight w:val="none"/>
              </w:rPr>
              <w:t>①</w:t>
            </w:r>
            <w:r>
              <w:rPr>
                <w:rFonts w:ascii="宋体" w:hAnsi="宋体"/>
                <w:color w:val="000000"/>
                <w:szCs w:val="21"/>
                <w:highlight w:val="none"/>
              </w:rPr>
              <w:fldChar w:fldCharType="end"/>
            </w:r>
            <w:r>
              <w:rPr>
                <w:rFonts w:hint="eastAsia" w:ascii="宋体" w:hAnsi="宋体"/>
                <w:color w:val="000000"/>
                <w:szCs w:val="21"/>
                <w:highlight w:val="none"/>
              </w:rPr>
              <w:t>供应商拟投入的项目经理具有市政公用工程相关专业中级（或以上）职称的得</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p>
          <w:p w14:paraId="13E91399">
            <w:pPr>
              <w:keepNext w:val="0"/>
              <w:keepLines w:val="0"/>
              <w:pageBreakBefore w:val="0"/>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②供应商拟投入的技术负责人有市政公用工程相关专业中级（或以上）工程师职称的得</w:t>
            </w:r>
            <w:r>
              <w:rPr>
                <w:rFonts w:hint="eastAsia" w:ascii="宋体" w:hAnsi="宋体"/>
                <w:color w:val="000000"/>
                <w:szCs w:val="21"/>
                <w:highlight w:val="none"/>
                <w:lang w:val="en-US" w:eastAsia="zh-CN"/>
              </w:rPr>
              <w:t>2</w:t>
            </w:r>
            <w:r>
              <w:rPr>
                <w:rFonts w:hint="eastAsia" w:ascii="宋体" w:hAnsi="宋体"/>
                <w:color w:val="000000"/>
                <w:szCs w:val="21"/>
                <w:highlight w:val="none"/>
              </w:rPr>
              <w:t>分；</w:t>
            </w:r>
          </w:p>
          <w:p w14:paraId="639222C8">
            <w:pPr>
              <w:keepNext w:val="0"/>
              <w:keepLines w:val="0"/>
              <w:pageBreakBefore w:val="0"/>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（以上人员须提供职称证扫描件以及提供供应商为其缴纳</w:t>
            </w:r>
            <w:r>
              <w:rPr>
                <w:rFonts w:hint="eastAsia" w:ascii="宋体" w:hAnsi="宋体"/>
                <w:bCs/>
                <w:color w:val="000000"/>
                <w:szCs w:val="21"/>
                <w:highlight w:val="none"/>
              </w:rPr>
              <w:t>自</w:t>
            </w:r>
            <w:r>
              <w:rPr>
                <w:rFonts w:ascii="宋体" w:hAnsi="宋体"/>
                <w:bCs/>
                <w:color w:val="000000"/>
                <w:szCs w:val="21"/>
                <w:highlight w:val="none"/>
              </w:rPr>
              <w:t>响应文件提交截止时间前</w:t>
            </w:r>
            <w:r>
              <w:rPr>
                <w:rFonts w:ascii="宋体" w:hAnsi="宋体"/>
                <w:color w:val="000000"/>
                <w:szCs w:val="21"/>
                <w:highlight w:val="none"/>
              </w:rPr>
              <w:t>半年内任</w:t>
            </w:r>
            <w:r>
              <w:rPr>
                <w:rFonts w:ascii="宋体" w:hAnsi="宋体"/>
                <w:bCs/>
                <w:color w:val="000000"/>
                <w:szCs w:val="21"/>
                <w:highlight w:val="none"/>
              </w:rPr>
              <w:t>意一个月（或以上）的社会保险缴纳</w:t>
            </w:r>
            <w:r>
              <w:rPr>
                <w:rFonts w:hint="eastAsia" w:ascii="宋体" w:hAnsi="宋体"/>
                <w:bCs/>
                <w:color w:val="000000"/>
                <w:szCs w:val="21"/>
                <w:highlight w:val="none"/>
              </w:rPr>
              <w:t>证明</w:t>
            </w:r>
            <w:r>
              <w:rPr>
                <w:rFonts w:hint="eastAsia" w:ascii="宋体" w:hAnsi="宋体"/>
                <w:color w:val="000000"/>
                <w:szCs w:val="21"/>
                <w:highlight w:val="none"/>
              </w:rPr>
              <w:t>并加CA</w:t>
            </w:r>
            <w:r>
              <w:rPr>
                <w:rFonts w:hint="eastAsia" w:ascii="宋体" w:hAnsi="宋体"/>
                <w:color w:val="000000"/>
                <w:szCs w:val="21"/>
                <w:highlight w:val="none"/>
                <w:lang w:val="en-US" w:eastAsia="zh-CN"/>
              </w:rPr>
              <w:t>签章</w:t>
            </w:r>
            <w:r>
              <w:rPr>
                <w:rFonts w:ascii="宋体" w:hAnsi="宋体"/>
                <w:bCs/>
                <w:color w:val="000000"/>
                <w:szCs w:val="21"/>
                <w:highlight w:val="none"/>
              </w:rPr>
              <w:t>（如为新入职员工，社会保障资金凭证据实提供，已退休未满65岁的不用提供社保，但应附退休证明文件的扫描件，且</w:t>
            </w:r>
            <w:r>
              <w:rPr>
                <w:rFonts w:hint="eastAsia" w:ascii="宋体" w:hAnsi="宋体"/>
                <w:bCs/>
                <w:color w:val="000000"/>
                <w:szCs w:val="21"/>
                <w:highlight w:val="none"/>
              </w:rPr>
              <w:t>相关证书现职</w:t>
            </w:r>
            <w:r>
              <w:rPr>
                <w:rFonts w:ascii="宋体" w:hAnsi="宋体"/>
                <w:bCs/>
                <w:color w:val="000000"/>
                <w:szCs w:val="21"/>
                <w:highlight w:val="none"/>
              </w:rPr>
              <w:t>单位与供应商一致</w:t>
            </w:r>
            <w:r>
              <w:rPr>
                <w:rFonts w:hint="eastAsia" w:ascii="宋体" w:hAnsi="宋体"/>
                <w:color w:val="000000"/>
                <w:szCs w:val="21"/>
                <w:highlight w:val="none"/>
              </w:rPr>
              <w:t>，否则不予计分。）</w:t>
            </w:r>
          </w:p>
        </w:tc>
      </w:tr>
      <w:tr w14:paraId="0327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6" w:type="dxa"/>
            <w:vMerge w:val="continue"/>
            <w:shd w:val="clear" w:color="auto" w:fill="FFFFFF"/>
            <w:vAlign w:val="center"/>
          </w:tcPr>
          <w:p w14:paraId="229D314C">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shd w:val="clear" w:color="auto" w:fill="FFFFFF"/>
            <w:vAlign w:val="center"/>
          </w:tcPr>
          <w:p w14:paraId="3C0ABA0C">
            <w:pPr>
              <w:keepNext w:val="0"/>
              <w:keepLines w:val="0"/>
              <w:pageBreakBefore w:val="0"/>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其他人员分（</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p>
        </w:tc>
        <w:tc>
          <w:tcPr>
            <w:tcW w:w="6385" w:type="dxa"/>
            <w:shd w:val="clear" w:color="auto" w:fill="FFFFFF"/>
            <w:vAlign w:val="center"/>
          </w:tcPr>
          <w:p w14:paraId="7BD82D19">
            <w:pPr>
              <w:keepNext w:val="0"/>
              <w:keepLines w:val="0"/>
              <w:pageBreakBefore w:val="0"/>
              <w:kinsoku/>
              <w:wordWrap/>
              <w:overflowPunct/>
              <w:topLinePunct w:val="0"/>
              <w:autoSpaceDE/>
              <w:autoSpaceDN/>
              <w:bidi w:val="0"/>
              <w:snapToGrid/>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拟派驻本项目的</w:t>
            </w:r>
            <w:r>
              <w:rPr>
                <w:rFonts w:hint="eastAsia" w:ascii="宋体" w:hAnsi="宋体"/>
                <w:color w:val="000000"/>
                <w:szCs w:val="21"/>
                <w:highlight w:val="none"/>
                <w:lang w:val="en-US" w:eastAsia="zh-CN"/>
              </w:rPr>
              <w:t>安全员、</w:t>
            </w:r>
            <w:r>
              <w:rPr>
                <w:rFonts w:hint="eastAsia" w:ascii="宋体" w:hAnsi="宋体"/>
                <w:color w:val="000000"/>
                <w:szCs w:val="21"/>
                <w:highlight w:val="none"/>
              </w:rPr>
              <w:t>施工员、质量员、材料员应具有相应岗位资格证书，拟投入本工程主要管理人员（</w:t>
            </w:r>
            <w:r>
              <w:rPr>
                <w:rFonts w:hint="eastAsia" w:ascii="宋体" w:hAnsi="宋体"/>
                <w:color w:val="000000"/>
                <w:szCs w:val="21"/>
                <w:highlight w:val="none"/>
                <w:lang w:val="en-US" w:eastAsia="zh-CN"/>
              </w:rPr>
              <w:t>安全员、</w:t>
            </w:r>
            <w:r>
              <w:rPr>
                <w:rFonts w:hint="eastAsia" w:ascii="宋体" w:hAnsi="宋体"/>
                <w:color w:val="000000"/>
                <w:szCs w:val="21"/>
                <w:highlight w:val="none"/>
              </w:rPr>
              <w:t>施工员、质量员、材料员）各1名以上（含1名），得</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p>
          <w:p w14:paraId="272E4106">
            <w:pPr>
              <w:keepNext w:val="0"/>
              <w:keepLines w:val="0"/>
              <w:pageBreakBefore w:val="0"/>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（以上人员须提供岗位证书扫描件以及提供供应商为其缴纳</w:t>
            </w:r>
            <w:r>
              <w:rPr>
                <w:rFonts w:hint="eastAsia" w:ascii="宋体" w:hAnsi="宋体"/>
                <w:bCs/>
                <w:color w:val="000000"/>
                <w:szCs w:val="21"/>
                <w:highlight w:val="none"/>
              </w:rPr>
              <w:t>自</w:t>
            </w:r>
            <w:r>
              <w:rPr>
                <w:rFonts w:ascii="宋体" w:hAnsi="宋体"/>
                <w:bCs/>
                <w:color w:val="000000"/>
                <w:szCs w:val="21"/>
                <w:highlight w:val="none"/>
              </w:rPr>
              <w:t>响应文件提交截止时间前</w:t>
            </w:r>
            <w:r>
              <w:rPr>
                <w:rFonts w:ascii="宋体" w:hAnsi="宋体"/>
                <w:color w:val="000000"/>
                <w:szCs w:val="21"/>
                <w:highlight w:val="none"/>
              </w:rPr>
              <w:t>半年内任</w:t>
            </w:r>
            <w:r>
              <w:rPr>
                <w:rFonts w:ascii="宋体" w:hAnsi="宋体"/>
                <w:bCs/>
                <w:color w:val="000000"/>
                <w:szCs w:val="21"/>
                <w:highlight w:val="none"/>
              </w:rPr>
              <w:t>意一个月（或以上）的社会保险缴纳</w:t>
            </w:r>
            <w:r>
              <w:rPr>
                <w:rFonts w:hint="eastAsia" w:ascii="宋体" w:hAnsi="宋体"/>
                <w:bCs/>
                <w:color w:val="000000"/>
                <w:szCs w:val="21"/>
                <w:highlight w:val="none"/>
              </w:rPr>
              <w:t>证明</w:t>
            </w:r>
            <w:r>
              <w:rPr>
                <w:rFonts w:hint="eastAsia" w:ascii="宋体" w:hAnsi="宋体"/>
                <w:color w:val="000000"/>
                <w:szCs w:val="21"/>
                <w:highlight w:val="none"/>
              </w:rPr>
              <w:t>并CA</w:t>
            </w:r>
            <w:r>
              <w:rPr>
                <w:rFonts w:hint="eastAsia" w:ascii="宋体" w:hAnsi="宋体"/>
                <w:color w:val="000000"/>
                <w:szCs w:val="21"/>
                <w:highlight w:val="none"/>
                <w:lang w:val="en-US" w:eastAsia="zh-CN"/>
              </w:rPr>
              <w:t>签章</w:t>
            </w:r>
            <w:r>
              <w:rPr>
                <w:rFonts w:ascii="宋体" w:hAnsi="宋体"/>
                <w:bCs/>
                <w:color w:val="000000"/>
                <w:szCs w:val="21"/>
                <w:highlight w:val="none"/>
              </w:rPr>
              <w:t>（如为新入职员工，社会保障资金凭证据实提供，已退休未满65岁的不用提供社保，但应附退休证明文件的扫描件，且</w:t>
            </w:r>
            <w:r>
              <w:rPr>
                <w:rFonts w:hint="eastAsia" w:ascii="宋体" w:hAnsi="宋体"/>
                <w:bCs/>
                <w:color w:val="000000"/>
                <w:szCs w:val="21"/>
                <w:highlight w:val="none"/>
              </w:rPr>
              <w:t>相关证书现职</w:t>
            </w:r>
            <w:r>
              <w:rPr>
                <w:rFonts w:ascii="宋体" w:hAnsi="宋体"/>
                <w:bCs/>
                <w:color w:val="000000"/>
                <w:szCs w:val="21"/>
                <w:highlight w:val="none"/>
              </w:rPr>
              <w:t>单位与供应商一致</w:t>
            </w:r>
            <w:r>
              <w:rPr>
                <w:rFonts w:hint="eastAsia" w:ascii="宋体" w:hAnsi="宋体"/>
                <w:color w:val="000000"/>
                <w:szCs w:val="21"/>
                <w:highlight w:val="none"/>
              </w:rPr>
              <w:t>，否则不予计分。）</w:t>
            </w:r>
          </w:p>
        </w:tc>
      </w:tr>
      <w:tr w14:paraId="4525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76" w:type="dxa"/>
            <w:vMerge w:val="restart"/>
            <w:vAlign w:val="center"/>
          </w:tcPr>
          <w:p w14:paraId="6D62266E">
            <w:pPr>
              <w:keepNext w:val="0"/>
              <w:keepLines w:val="0"/>
              <w:pageBreakBefore w:val="0"/>
              <w:kinsoku/>
              <w:wordWrap/>
              <w:overflowPunct/>
              <w:topLinePunct w:val="0"/>
              <w:autoSpaceDE/>
              <w:autoSpaceDN/>
              <w:bidi w:val="0"/>
              <w:snapToGrid/>
              <w:spacing w:line="400" w:lineRule="exact"/>
              <w:jc w:val="center"/>
              <w:rPr>
                <w:rFonts w:hint="eastAsia" w:ascii="宋体" w:hAnsi="宋体"/>
                <w:color w:val="000000"/>
                <w:szCs w:val="21"/>
                <w:highlight w:val="none"/>
              </w:rPr>
            </w:pPr>
            <w:r>
              <w:rPr>
                <w:rFonts w:hint="eastAsia" w:ascii="宋体" w:hAnsi="宋体"/>
                <w:color w:val="000000"/>
                <w:szCs w:val="21"/>
                <w:highlight w:val="none"/>
              </w:rPr>
              <w:t>施工组织设计分（</w:t>
            </w:r>
            <w:r>
              <w:rPr>
                <w:rFonts w:hint="eastAsia" w:ascii="宋体" w:hAnsi="宋体"/>
                <w:color w:val="000000"/>
                <w:szCs w:val="21"/>
                <w:highlight w:val="none"/>
                <w:lang w:val="en-US" w:eastAsia="zh-CN"/>
              </w:rPr>
              <w:t>70</w:t>
            </w:r>
            <w:r>
              <w:rPr>
                <w:rFonts w:hint="eastAsia" w:ascii="宋体" w:hAnsi="宋体"/>
                <w:color w:val="000000"/>
                <w:szCs w:val="21"/>
                <w:highlight w:val="none"/>
              </w:rPr>
              <w:t>分）</w:t>
            </w:r>
          </w:p>
        </w:tc>
        <w:tc>
          <w:tcPr>
            <w:tcW w:w="992" w:type="dxa"/>
            <w:vAlign w:val="center"/>
          </w:tcPr>
          <w:p w14:paraId="7482072B">
            <w:pPr>
              <w:keepNext w:val="0"/>
              <w:keepLines w:val="0"/>
              <w:pageBreakBefore w:val="0"/>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主要施工方法（10分）</w:t>
            </w:r>
          </w:p>
        </w:tc>
        <w:tc>
          <w:tcPr>
            <w:tcW w:w="6385" w:type="dxa"/>
            <w:vAlign w:val="center"/>
          </w:tcPr>
          <w:p w14:paraId="2EBEB82D">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各主要分部施工方法符合项目实际，须有详尽的施工技术方案，工艺先进、方法科学合理、可行，能指导具体施工并确保安全。</w:t>
            </w:r>
          </w:p>
          <w:p w14:paraId="57004957">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优(10分):各主要分部施工方法针对性强，施工技术方案详尽周密，工艺先进、方法科学、可行，能很好的指导具体施工并确保安全。</w:t>
            </w:r>
          </w:p>
          <w:p w14:paraId="28BEBDC7">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良(7分):各主要分部施工方法符合项目实际，施工技术方案齐全，工艺成熟、方法合理、可行，能指导具体施工并确保安全。</w:t>
            </w:r>
          </w:p>
          <w:p w14:paraId="58CAD2F0">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中(</w:t>
            </w:r>
            <w:r>
              <w:rPr>
                <w:rFonts w:hint="eastAsia" w:ascii="宋体" w:hAnsi="宋体"/>
                <w:color w:val="000000"/>
                <w:kern w:val="0"/>
                <w:szCs w:val="21"/>
                <w:highlight w:val="none"/>
                <w:lang w:val="en-US" w:eastAsia="zh-CN"/>
              </w:rPr>
              <w:t>4</w:t>
            </w:r>
            <w:r>
              <w:rPr>
                <w:rFonts w:hint="eastAsia" w:ascii="宋体" w:hAnsi="宋体"/>
                <w:color w:val="000000"/>
                <w:kern w:val="0"/>
                <w:szCs w:val="21"/>
                <w:highlight w:val="none"/>
              </w:rPr>
              <w:t>分): 各主要分部施工方法基本符合项目实际，施工技术方案基本齐全，方法基本合理、基本可行，基本能指导具体施工并确保安全。</w:t>
            </w:r>
          </w:p>
          <w:p w14:paraId="3FA8D99D">
            <w:pPr>
              <w:keepNext w:val="0"/>
              <w:keepLines w:val="0"/>
              <w:pageBreakBefore w:val="0"/>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差(</w:t>
            </w:r>
            <w:r>
              <w:rPr>
                <w:rFonts w:hint="eastAsia" w:ascii="宋体" w:hAnsi="宋体"/>
                <w:color w:val="000000"/>
                <w:kern w:val="0"/>
                <w:szCs w:val="21"/>
                <w:highlight w:val="none"/>
                <w:lang w:val="en-US" w:eastAsia="zh-CN"/>
              </w:rPr>
              <w:t>1</w:t>
            </w:r>
            <w:r>
              <w:rPr>
                <w:rFonts w:hint="eastAsia" w:ascii="宋体" w:hAnsi="宋体"/>
                <w:color w:val="000000"/>
                <w:kern w:val="0"/>
                <w:szCs w:val="21"/>
                <w:highlight w:val="none"/>
              </w:rPr>
              <w:t>分):各主要分部施工方法针对性差，施工技术方案差，工艺落后、方法不合理，不能指导具体施工和确保安全。</w:t>
            </w:r>
          </w:p>
        </w:tc>
      </w:tr>
      <w:tr w14:paraId="03DA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76" w:type="dxa"/>
            <w:vMerge w:val="continue"/>
            <w:vAlign w:val="center"/>
          </w:tcPr>
          <w:p w14:paraId="29E2D961">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6FB35B0E">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拟投入的主要物资计划（10分）</w:t>
            </w:r>
          </w:p>
        </w:tc>
        <w:tc>
          <w:tcPr>
            <w:tcW w:w="6385" w:type="dxa"/>
            <w:vAlign w:val="center"/>
          </w:tcPr>
          <w:p w14:paraId="0EF0105A">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投入的施工材料有详细的组织计划且计划周密，数量、选型配置、进场时间安排合理，满足施工需要。</w:t>
            </w:r>
          </w:p>
          <w:p w14:paraId="10E82209">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 xml:space="preserve">优（10分）：投入的施工材料有详细的组织计划且计划周密，投入计划与进度计划呼应，较好满足施工需要，调配投入计划合理、准确。 </w:t>
            </w:r>
          </w:p>
          <w:p w14:paraId="20EB335C">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 xml:space="preserve">良（7分）：投入的施工材料有详细的组织计划，投入计划与进度计划呼应，基本满足施工需要，调配投入计划基本合理、准确。 </w:t>
            </w:r>
          </w:p>
          <w:p w14:paraId="2CC7E616">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中（</w:t>
            </w:r>
            <w:r>
              <w:rPr>
                <w:rFonts w:hint="eastAsia" w:ascii="宋体" w:hAnsi="宋体"/>
                <w:color w:val="000000"/>
                <w:szCs w:val="21"/>
                <w:highlight w:val="none"/>
                <w:lang w:val="en-US" w:eastAsia="zh-CN"/>
              </w:rPr>
              <w:t>4</w:t>
            </w:r>
            <w:r>
              <w:rPr>
                <w:rFonts w:hint="eastAsia" w:ascii="宋体" w:hAnsi="宋体"/>
                <w:color w:val="000000"/>
                <w:szCs w:val="21"/>
                <w:highlight w:val="none"/>
              </w:rPr>
              <w:t xml:space="preserve">分）：投入的施工材料有组织计划，投入计划与进度计划呼应，基本满足施工需要，调配投入计划基本合理。 </w:t>
            </w:r>
          </w:p>
          <w:p w14:paraId="3ECA67A3">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szCs w:val="21"/>
                <w:highlight w:val="none"/>
              </w:rPr>
            </w:pPr>
            <w:r>
              <w:rPr>
                <w:rFonts w:hint="eastAsia" w:ascii="宋体" w:hAnsi="宋体"/>
                <w:color w:val="000000"/>
                <w:szCs w:val="21"/>
                <w:highlight w:val="none"/>
              </w:rPr>
              <w:t>差（</w:t>
            </w:r>
            <w:r>
              <w:rPr>
                <w:rFonts w:hint="eastAsia" w:ascii="宋体" w:hAnsi="宋体"/>
                <w:color w:val="000000"/>
                <w:szCs w:val="21"/>
                <w:highlight w:val="none"/>
                <w:lang w:val="en-US" w:eastAsia="zh-CN"/>
              </w:rPr>
              <w:t>1</w:t>
            </w:r>
            <w:r>
              <w:rPr>
                <w:rFonts w:hint="eastAsia" w:ascii="宋体" w:hAnsi="宋体"/>
                <w:color w:val="000000"/>
                <w:szCs w:val="21"/>
                <w:highlight w:val="none"/>
              </w:rPr>
              <w:t>分）：投入的施工材料的组织计划差，投入计划与进度计划不呼应，不能满足施工需要。</w:t>
            </w:r>
          </w:p>
        </w:tc>
      </w:tr>
      <w:tr w14:paraId="65C9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76" w:type="dxa"/>
            <w:vMerge w:val="continue"/>
            <w:vAlign w:val="center"/>
          </w:tcPr>
          <w:p w14:paraId="7D4E747E">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19D83DF4">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劳动力安排计划（10分）</w:t>
            </w:r>
          </w:p>
        </w:tc>
        <w:tc>
          <w:tcPr>
            <w:tcW w:w="6385" w:type="dxa"/>
            <w:vAlign w:val="center"/>
          </w:tcPr>
          <w:p w14:paraId="47BB91D5">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各主要施工工序应有详细周密的劳动力安排计划，有各工种劳动力安排计划，劳动力投入合理，满足施工需要。</w:t>
            </w:r>
          </w:p>
          <w:p w14:paraId="1FFB549C">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优</w:t>
            </w:r>
            <w:r>
              <w:rPr>
                <w:rFonts w:hint="eastAsia" w:ascii="宋体" w:hAnsi="宋体"/>
                <w:color w:val="000000"/>
                <w:szCs w:val="21"/>
                <w:highlight w:val="none"/>
              </w:rPr>
              <w:t>（10分）</w:t>
            </w:r>
            <w:r>
              <w:rPr>
                <w:rFonts w:hint="eastAsia" w:ascii="宋体" w:hAnsi="宋体"/>
                <w:color w:val="000000"/>
                <w:kern w:val="0"/>
                <w:szCs w:val="21"/>
                <w:highlight w:val="none"/>
              </w:rPr>
              <w:t>：</w:t>
            </w:r>
            <w:r>
              <w:rPr>
                <w:rFonts w:ascii="宋体" w:hAnsi="宋体"/>
                <w:color w:val="000000"/>
                <w:szCs w:val="21"/>
                <w:highlight w:val="none"/>
              </w:rPr>
              <w:t>各主要施工工序有详细周密的劳动力安排计划， 各工种劳动力安排计划齐全，劳动力投入与进度计划呼应合理， 满足施工需要。</w:t>
            </w:r>
          </w:p>
          <w:p w14:paraId="231E586F">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良（7分）：</w:t>
            </w:r>
            <w:r>
              <w:rPr>
                <w:rFonts w:ascii="宋体" w:hAnsi="宋体"/>
                <w:color w:val="000000"/>
                <w:szCs w:val="21"/>
                <w:highlight w:val="none"/>
              </w:rPr>
              <w:t>各主要施工工序有详细的劳动力安排计划，有各工种劳动力安排计划，劳动力投入合理，满足施工需要</w:t>
            </w:r>
            <w:r>
              <w:rPr>
                <w:rFonts w:hint="eastAsia" w:ascii="宋体" w:hAnsi="宋体"/>
                <w:color w:val="000000"/>
                <w:szCs w:val="21"/>
                <w:highlight w:val="none"/>
              </w:rPr>
              <w:t>。</w:t>
            </w:r>
          </w:p>
          <w:p w14:paraId="0AFC6572">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中（</w:t>
            </w:r>
            <w:r>
              <w:rPr>
                <w:rFonts w:hint="eastAsia" w:ascii="宋体" w:hAnsi="宋体"/>
                <w:color w:val="000000"/>
                <w:szCs w:val="21"/>
                <w:highlight w:val="none"/>
                <w:lang w:val="en-US" w:eastAsia="zh-CN"/>
              </w:rPr>
              <w:t>4</w:t>
            </w:r>
            <w:r>
              <w:rPr>
                <w:rFonts w:hint="eastAsia" w:ascii="宋体" w:hAnsi="宋体"/>
                <w:color w:val="000000"/>
                <w:szCs w:val="21"/>
                <w:highlight w:val="none"/>
              </w:rPr>
              <w:t>分）：</w:t>
            </w:r>
            <w:r>
              <w:rPr>
                <w:rFonts w:ascii="宋体" w:hAnsi="宋体"/>
                <w:color w:val="000000"/>
                <w:szCs w:val="21"/>
                <w:highlight w:val="none"/>
              </w:rPr>
              <w:t>各主要施工工序劳动力安排计划</w:t>
            </w:r>
            <w:r>
              <w:rPr>
                <w:rFonts w:hint="eastAsia" w:ascii="宋体" w:hAnsi="宋体"/>
                <w:color w:val="000000"/>
                <w:szCs w:val="21"/>
                <w:highlight w:val="none"/>
              </w:rPr>
              <w:t>基本完</w:t>
            </w:r>
            <w:r>
              <w:rPr>
                <w:rFonts w:ascii="宋体" w:hAnsi="宋体"/>
                <w:color w:val="000000"/>
                <w:szCs w:val="21"/>
                <w:highlight w:val="none"/>
              </w:rPr>
              <w:t>全，无各工种劳动力安排计划或计划不全，劳动力投入不合理，</w:t>
            </w:r>
            <w:r>
              <w:rPr>
                <w:rFonts w:hint="eastAsia" w:ascii="宋体" w:hAnsi="宋体"/>
                <w:color w:val="000000"/>
                <w:szCs w:val="21"/>
                <w:highlight w:val="none"/>
              </w:rPr>
              <w:t>基本</w:t>
            </w:r>
            <w:r>
              <w:rPr>
                <w:rFonts w:ascii="宋体" w:hAnsi="宋体"/>
                <w:color w:val="000000"/>
                <w:szCs w:val="21"/>
                <w:highlight w:val="none"/>
              </w:rPr>
              <w:t>能满足施工需要。</w:t>
            </w:r>
          </w:p>
          <w:p w14:paraId="3F79B0DD">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差（</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r>
              <w:rPr>
                <w:rFonts w:ascii="宋体" w:hAnsi="宋体"/>
                <w:color w:val="000000"/>
                <w:szCs w:val="21"/>
                <w:highlight w:val="none"/>
              </w:rPr>
              <w:t>各主要施工工序劳动力安排计划</w:t>
            </w:r>
            <w:r>
              <w:rPr>
                <w:rFonts w:hint="eastAsia" w:ascii="宋体" w:hAnsi="宋体"/>
                <w:color w:val="000000"/>
                <w:szCs w:val="21"/>
                <w:highlight w:val="none"/>
              </w:rPr>
              <w:t>差</w:t>
            </w:r>
            <w:r>
              <w:rPr>
                <w:rFonts w:ascii="宋体" w:hAnsi="宋体"/>
                <w:color w:val="000000"/>
                <w:szCs w:val="21"/>
                <w:highlight w:val="none"/>
              </w:rPr>
              <w:t>，无各工种劳动力安排计划或计划不全，劳动力投入不合理，</w:t>
            </w:r>
            <w:r>
              <w:rPr>
                <w:rFonts w:hint="eastAsia" w:ascii="宋体" w:hAnsi="宋体"/>
                <w:color w:val="000000"/>
                <w:szCs w:val="21"/>
                <w:highlight w:val="none"/>
              </w:rPr>
              <w:t>不</w:t>
            </w:r>
            <w:r>
              <w:rPr>
                <w:rFonts w:ascii="宋体" w:hAnsi="宋体"/>
                <w:color w:val="000000"/>
                <w:szCs w:val="21"/>
                <w:highlight w:val="none"/>
              </w:rPr>
              <w:t>能满足施工需要。</w:t>
            </w:r>
          </w:p>
        </w:tc>
      </w:tr>
      <w:tr w14:paraId="5193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76" w:type="dxa"/>
            <w:vMerge w:val="continue"/>
            <w:vAlign w:val="center"/>
          </w:tcPr>
          <w:p w14:paraId="1C12C362">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778E7244">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确保工程质量的技术组织措施（</w:t>
            </w:r>
            <w:r>
              <w:rPr>
                <w:rFonts w:ascii="宋体" w:hAnsi="宋体"/>
                <w:color w:val="000000"/>
                <w:kern w:val="0"/>
                <w:szCs w:val="21"/>
                <w:highlight w:val="none"/>
              </w:rPr>
              <w:t>10</w:t>
            </w:r>
            <w:r>
              <w:rPr>
                <w:rFonts w:hint="eastAsia" w:ascii="宋体" w:hAnsi="宋体"/>
                <w:color w:val="000000"/>
                <w:kern w:val="0"/>
                <w:szCs w:val="21"/>
                <w:highlight w:val="none"/>
              </w:rPr>
              <w:t>分）</w:t>
            </w:r>
          </w:p>
        </w:tc>
        <w:tc>
          <w:tcPr>
            <w:tcW w:w="6385" w:type="dxa"/>
            <w:vAlign w:val="center"/>
          </w:tcPr>
          <w:p w14:paraId="61B5689F">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应有专门的质量技术管理班子和制度，且人员配备合理，制度健全。主要工序应有质量技术保证措施和手段，自控体系完整，能有效保证技术质量，达到承诺的质量标准。</w:t>
            </w:r>
          </w:p>
          <w:p w14:paraId="704E12A7">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优</w:t>
            </w:r>
            <w:r>
              <w:rPr>
                <w:rFonts w:hint="eastAsia" w:ascii="宋体" w:hAnsi="宋体"/>
                <w:color w:val="000000"/>
                <w:szCs w:val="21"/>
                <w:highlight w:val="none"/>
              </w:rPr>
              <w:t>（</w:t>
            </w:r>
            <w:r>
              <w:rPr>
                <w:rFonts w:ascii="宋体" w:hAnsi="宋体"/>
                <w:color w:val="000000"/>
                <w:szCs w:val="21"/>
                <w:highlight w:val="none"/>
              </w:rPr>
              <w:t>10</w:t>
            </w:r>
            <w:r>
              <w:rPr>
                <w:rFonts w:hint="eastAsia" w:ascii="宋体" w:hAnsi="宋体"/>
                <w:color w:val="000000"/>
                <w:szCs w:val="21"/>
                <w:highlight w:val="none"/>
              </w:rPr>
              <w:t>分）</w:t>
            </w:r>
            <w:r>
              <w:rPr>
                <w:rFonts w:hint="eastAsia" w:ascii="宋体" w:hAnsi="宋体"/>
                <w:color w:val="000000"/>
                <w:kern w:val="0"/>
                <w:szCs w:val="21"/>
                <w:highlight w:val="none"/>
              </w:rPr>
              <w:t>：</w:t>
            </w:r>
            <w:r>
              <w:rPr>
                <w:rFonts w:ascii="宋体" w:hAnsi="宋体"/>
                <w:color w:val="000000"/>
                <w:szCs w:val="21"/>
                <w:highlight w:val="none"/>
              </w:rPr>
              <w:t>有专门的质量技术管理班子和制度，且人员配 备合理，制度健全。主要工序有质量技术保证措施和手段，且先进、可行、具体，高于</w:t>
            </w:r>
            <w:r>
              <w:rPr>
                <w:rFonts w:hint="eastAsia" w:ascii="宋体" w:hAnsi="宋体"/>
                <w:color w:val="000000"/>
                <w:szCs w:val="21"/>
                <w:highlight w:val="none"/>
              </w:rPr>
              <w:t>磋商文件</w:t>
            </w:r>
            <w:r>
              <w:rPr>
                <w:rFonts w:ascii="宋体" w:hAnsi="宋体"/>
                <w:color w:val="000000"/>
                <w:szCs w:val="21"/>
                <w:highlight w:val="none"/>
              </w:rPr>
              <w:t>的质量要求及施工验收规范要求，达到承诺的质量标准</w:t>
            </w:r>
            <w:r>
              <w:rPr>
                <w:rFonts w:hint="eastAsia" w:ascii="宋体" w:hAnsi="宋体"/>
                <w:color w:val="000000"/>
                <w:szCs w:val="21"/>
                <w:highlight w:val="none"/>
              </w:rPr>
              <w:t>。</w:t>
            </w:r>
          </w:p>
          <w:p w14:paraId="3AD02DD2">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良（</w:t>
            </w:r>
            <w:r>
              <w:rPr>
                <w:rFonts w:ascii="宋体" w:hAnsi="宋体"/>
                <w:color w:val="000000"/>
                <w:szCs w:val="21"/>
                <w:highlight w:val="none"/>
              </w:rPr>
              <w:t>7</w:t>
            </w:r>
            <w:r>
              <w:rPr>
                <w:rFonts w:hint="eastAsia" w:ascii="宋体" w:hAnsi="宋体"/>
                <w:color w:val="000000"/>
                <w:szCs w:val="21"/>
                <w:highlight w:val="none"/>
              </w:rPr>
              <w:t>分）：</w:t>
            </w:r>
            <w:r>
              <w:rPr>
                <w:rFonts w:ascii="宋体" w:hAnsi="宋体"/>
                <w:color w:val="000000"/>
                <w:szCs w:val="21"/>
                <w:highlight w:val="none"/>
              </w:rPr>
              <w:t>有专门的质量技术管理班子和制度，且人员配备合理，制度健全。主要工序有质量技术保证措施和手段，自控体系完整，能有效保证技术质量，达到承诺的质量标准。</w:t>
            </w:r>
          </w:p>
          <w:p w14:paraId="6A40509D">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中（</w:t>
            </w:r>
            <w:r>
              <w:rPr>
                <w:rFonts w:hint="eastAsia" w:ascii="宋体" w:hAnsi="宋体"/>
                <w:color w:val="000000"/>
                <w:szCs w:val="21"/>
                <w:highlight w:val="none"/>
                <w:lang w:val="en-US" w:eastAsia="zh-CN"/>
              </w:rPr>
              <w:t>4</w:t>
            </w:r>
            <w:r>
              <w:rPr>
                <w:rFonts w:hint="eastAsia" w:ascii="宋体" w:hAnsi="宋体"/>
                <w:color w:val="000000"/>
                <w:szCs w:val="21"/>
                <w:highlight w:val="none"/>
              </w:rPr>
              <w:t>分）：</w:t>
            </w:r>
            <w:r>
              <w:rPr>
                <w:rFonts w:ascii="宋体" w:hAnsi="宋体"/>
                <w:color w:val="000000"/>
                <w:szCs w:val="21"/>
                <w:highlight w:val="none"/>
              </w:rPr>
              <w:t>质量技术管理班子人员配备</w:t>
            </w:r>
            <w:r>
              <w:rPr>
                <w:rFonts w:hint="eastAsia" w:ascii="宋体" w:hAnsi="宋体"/>
                <w:color w:val="000000"/>
                <w:szCs w:val="21"/>
                <w:highlight w:val="none"/>
              </w:rPr>
              <w:t>基本</w:t>
            </w:r>
            <w:r>
              <w:rPr>
                <w:rFonts w:ascii="宋体" w:hAnsi="宋体"/>
                <w:color w:val="000000"/>
                <w:szCs w:val="21"/>
                <w:highlight w:val="none"/>
              </w:rPr>
              <w:t>合理，制度不健全。质量技术保证措施和手段</w:t>
            </w:r>
            <w:r>
              <w:rPr>
                <w:rFonts w:hint="eastAsia" w:ascii="宋体" w:hAnsi="宋体"/>
                <w:color w:val="000000"/>
                <w:szCs w:val="21"/>
                <w:highlight w:val="none"/>
              </w:rPr>
              <w:t>基本</w:t>
            </w:r>
            <w:r>
              <w:rPr>
                <w:rFonts w:ascii="宋体" w:hAnsi="宋体"/>
                <w:color w:val="000000"/>
                <w:szCs w:val="21"/>
                <w:highlight w:val="none"/>
              </w:rPr>
              <w:t>可行，没有质量违约责任承诺。</w:t>
            </w:r>
          </w:p>
          <w:p w14:paraId="7349E20C">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差（</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r>
              <w:rPr>
                <w:rFonts w:ascii="宋体" w:hAnsi="宋体"/>
                <w:color w:val="000000"/>
                <w:szCs w:val="21"/>
                <w:highlight w:val="none"/>
              </w:rPr>
              <w:t>质量技术管理班子人员配备</w:t>
            </w:r>
            <w:r>
              <w:rPr>
                <w:rFonts w:hint="eastAsia" w:ascii="宋体" w:hAnsi="宋体"/>
                <w:color w:val="000000"/>
                <w:szCs w:val="21"/>
                <w:highlight w:val="none"/>
              </w:rPr>
              <w:t>差</w:t>
            </w:r>
            <w:r>
              <w:rPr>
                <w:rFonts w:ascii="宋体" w:hAnsi="宋体"/>
                <w:color w:val="000000"/>
                <w:szCs w:val="21"/>
                <w:highlight w:val="none"/>
              </w:rPr>
              <w:t>，制度不健全。质量技术保证措施和手段不可行，没有质量违约责任承诺。</w:t>
            </w:r>
          </w:p>
        </w:tc>
      </w:tr>
      <w:tr w14:paraId="746D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76" w:type="dxa"/>
            <w:vMerge w:val="continue"/>
            <w:vAlign w:val="center"/>
          </w:tcPr>
          <w:p w14:paraId="1EDF21E1">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1A0795DF">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确保安全生产的技术组织措施（</w:t>
            </w:r>
            <w:r>
              <w:rPr>
                <w:rFonts w:hint="eastAsia" w:ascii="宋体" w:hAnsi="宋体"/>
                <w:color w:val="000000"/>
                <w:kern w:val="0"/>
                <w:szCs w:val="21"/>
                <w:highlight w:val="none"/>
                <w:lang w:val="en-US" w:eastAsia="zh-CN"/>
              </w:rPr>
              <w:t>10</w:t>
            </w:r>
            <w:r>
              <w:rPr>
                <w:rFonts w:hint="eastAsia" w:ascii="宋体" w:hAnsi="宋体"/>
                <w:color w:val="000000"/>
                <w:kern w:val="0"/>
                <w:szCs w:val="21"/>
                <w:highlight w:val="none"/>
              </w:rPr>
              <w:t>分）</w:t>
            </w:r>
          </w:p>
        </w:tc>
        <w:tc>
          <w:tcPr>
            <w:tcW w:w="6385" w:type="dxa"/>
            <w:vAlign w:val="center"/>
          </w:tcPr>
          <w:p w14:paraId="7D3510D6">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应有专门的安全管理人员和制度，且人员配备合理，制度健全，各道工序安全技术措施针对性强，符合实际且满足有关安全技术标准要求。现场防火、应急救援、社会治安安全措施得力。</w:t>
            </w:r>
          </w:p>
          <w:p w14:paraId="033C460C">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优</w:t>
            </w:r>
            <w:r>
              <w:rPr>
                <w:rFonts w:hint="eastAsia" w:ascii="宋体" w:hAnsi="宋体"/>
                <w:color w:val="000000"/>
                <w:szCs w:val="21"/>
                <w:highlight w:val="none"/>
              </w:rPr>
              <w:t>（</w:t>
            </w:r>
            <w:r>
              <w:rPr>
                <w:rFonts w:hint="eastAsia" w:ascii="宋体" w:hAnsi="宋体"/>
                <w:color w:val="000000"/>
                <w:szCs w:val="21"/>
                <w:highlight w:val="none"/>
                <w:lang w:val="en-US" w:eastAsia="zh-CN"/>
              </w:rPr>
              <w:t>10</w:t>
            </w:r>
            <w:r>
              <w:rPr>
                <w:rFonts w:hint="eastAsia" w:ascii="宋体" w:hAnsi="宋体"/>
                <w:color w:val="000000"/>
                <w:szCs w:val="21"/>
                <w:highlight w:val="none"/>
              </w:rPr>
              <w:t>分）</w:t>
            </w:r>
            <w:r>
              <w:rPr>
                <w:rFonts w:hint="eastAsia" w:ascii="宋体" w:hAnsi="宋体"/>
                <w:color w:val="000000"/>
                <w:kern w:val="0"/>
                <w:szCs w:val="21"/>
                <w:highlight w:val="none"/>
              </w:rPr>
              <w:t>：</w:t>
            </w:r>
            <w:r>
              <w:rPr>
                <w:rFonts w:ascii="宋体" w:hAnsi="宋体"/>
                <w:color w:val="000000"/>
                <w:szCs w:val="21"/>
                <w:highlight w:val="none"/>
              </w:rPr>
              <w:t>安全人员配备合理；有健全的安全管理制度， 各道工序安全技术措施针对性强，符合实际且高于国家有关安 全技术标准要求。现场防火、应急救援、社会治安安全措施得力</w:t>
            </w:r>
            <w:r>
              <w:rPr>
                <w:rFonts w:hint="eastAsia" w:ascii="宋体" w:hAnsi="宋体"/>
                <w:color w:val="000000"/>
                <w:szCs w:val="21"/>
                <w:highlight w:val="none"/>
              </w:rPr>
              <w:t>。</w:t>
            </w:r>
          </w:p>
          <w:p w14:paraId="7196CB31">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良（</w:t>
            </w:r>
            <w:r>
              <w:rPr>
                <w:rFonts w:hint="eastAsia" w:ascii="宋体" w:hAnsi="宋体"/>
                <w:color w:val="000000"/>
                <w:szCs w:val="21"/>
                <w:highlight w:val="none"/>
                <w:lang w:val="en-US" w:eastAsia="zh-CN"/>
              </w:rPr>
              <w:t>7</w:t>
            </w:r>
            <w:r>
              <w:rPr>
                <w:rFonts w:hint="eastAsia" w:ascii="宋体" w:hAnsi="宋体"/>
                <w:color w:val="000000"/>
                <w:szCs w:val="21"/>
                <w:highlight w:val="none"/>
              </w:rPr>
              <w:t>分）：</w:t>
            </w:r>
            <w:r>
              <w:rPr>
                <w:rFonts w:ascii="宋体" w:hAnsi="宋体"/>
                <w:color w:val="000000"/>
                <w:szCs w:val="21"/>
                <w:highlight w:val="none"/>
              </w:rPr>
              <w:t>安全人员配备合理；有健全的安全管理制度， 各道工序安全技术措施符合实际且满足有关安全技术标准要求。现场防火、应急救援、社会治安安全措施合理。</w:t>
            </w:r>
          </w:p>
          <w:p w14:paraId="7D61CB7F">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中（</w:t>
            </w:r>
            <w:r>
              <w:rPr>
                <w:rFonts w:hint="eastAsia" w:ascii="宋体" w:hAnsi="宋体"/>
                <w:color w:val="000000"/>
                <w:szCs w:val="21"/>
                <w:highlight w:val="none"/>
                <w:lang w:val="en-US" w:eastAsia="zh-CN"/>
              </w:rPr>
              <w:t>4</w:t>
            </w:r>
            <w:r>
              <w:rPr>
                <w:rFonts w:hint="eastAsia" w:ascii="宋体" w:hAnsi="宋体"/>
                <w:color w:val="000000"/>
                <w:szCs w:val="21"/>
                <w:highlight w:val="none"/>
              </w:rPr>
              <w:t>分）：</w:t>
            </w:r>
            <w:r>
              <w:rPr>
                <w:rFonts w:ascii="宋体" w:hAnsi="宋体"/>
                <w:color w:val="000000"/>
                <w:szCs w:val="21"/>
                <w:highlight w:val="none"/>
              </w:rPr>
              <w:t>安全人员配备合理，</w:t>
            </w:r>
            <w:r>
              <w:rPr>
                <w:rFonts w:hint="eastAsia" w:ascii="宋体" w:hAnsi="宋体"/>
                <w:color w:val="000000"/>
                <w:szCs w:val="21"/>
                <w:highlight w:val="none"/>
              </w:rPr>
              <w:t>但</w:t>
            </w:r>
            <w:r>
              <w:rPr>
                <w:rFonts w:ascii="宋体" w:hAnsi="宋体"/>
                <w:color w:val="000000"/>
                <w:szCs w:val="21"/>
                <w:highlight w:val="none"/>
              </w:rPr>
              <w:t>安全管理制度不健全， 各道工序安全技术措施基本符合实际，不能满足有关安全技术 标准要求。现场防火、应急救援、社会治安安全措施合理。</w:t>
            </w:r>
          </w:p>
          <w:p w14:paraId="02A75063">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差（</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r>
              <w:rPr>
                <w:rFonts w:ascii="宋体" w:hAnsi="宋体"/>
                <w:color w:val="000000"/>
                <w:szCs w:val="21"/>
                <w:highlight w:val="none"/>
              </w:rPr>
              <w:t>安全人员配备不合理，安全管理制度不健全，不能满足有关安全技术 标准要求。现场防火、应急救援、社会治安安全措施</w:t>
            </w:r>
            <w:r>
              <w:rPr>
                <w:rFonts w:hint="eastAsia" w:ascii="宋体" w:hAnsi="宋体"/>
                <w:color w:val="000000"/>
                <w:szCs w:val="21"/>
                <w:highlight w:val="none"/>
              </w:rPr>
              <w:t>不</w:t>
            </w:r>
            <w:r>
              <w:rPr>
                <w:rFonts w:ascii="宋体" w:hAnsi="宋体"/>
                <w:color w:val="000000"/>
                <w:szCs w:val="21"/>
                <w:highlight w:val="none"/>
              </w:rPr>
              <w:t>合理。</w:t>
            </w:r>
          </w:p>
        </w:tc>
      </w:tr>
      <w:tr w14:paraId="2D7D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76" w:type="dxa"/>
            <w:vMerge w:val="continue"/>
            <w:vAlign w:val="center"/>
          </w:tcPr>
          <w:p w14:paraId="624C9C26">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16AF14A6">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确保工期的技术组织措施（</w:t>
            </w:r>
            <w:r>
              <w:rPr>
                <w:rFonts w:hint="eastAsia" w:ascii="宋体" w:hAnsi="宋体"/>
                <w:color w:val="000000"/>
                <w:kern w:val="0"/>
                <w:szCs w:val="21"/>
                <w:highlight w:val="none"/>
                <w:lang w:val="en-US" w:eastAsia="zh-CN"/>
              </w:rPr>
              <w:t>5</w:t>
            </w:r>
            <w:r>
              <w:rPr>
                <w:rFonts w:hint="eastAsia" w:ascii="宋体" w:hAnsi="宋体"/>
                <w:color w:val="000000"/>
                <w:kern w:val="0"/>
                <w:szCs w:val="21"/>
                <w:highlight w:val="none"/>
              </w:rPr>
              <w:t>分）</w:t>
            </w:r>
          </w:p>
        </w:tc>
        <w:tc>
          <w:tcPr>
            <w:tcW w:w="6385" w:type="dxa"/>
            <w:vAlign w:val="center"/>
          </w:tcPr>
          <w:p w14:paraId="1BDEF22A">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42FC32DF">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优</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r>
              <w:rPr>
                <w:rFonts w:hint="eastAsia" w:ascii="宋体" w:hAnsi="宋体"/>
                <w:color w:val="000000"/>
                <w:kern w:val="0"/>
                <w:szCs w:val="21"/>
                <w:highlight w:val="none"/>
              </w:rPr>
              <w:t>：</w:t>
            </w:r>
            <w:r>
              <w:rPr>
                <w:rFonts w:ascii="宋体" w:hAnsi="宋体"/>
                <w:color w:val="000000"/>
                <w:szCs w:val="21"/>
                <w:highlight w:val="none"/>
              </w:rPr>
              <w:t>有保证工期的具体措施且措施得力。各项计划图表编制详尽周密，安排科学合理，符合本项目施工实际要求。</w:t>
            </w:r>
          </w:p>
          <w:p w14:paraId="13D63812">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良（</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r>
              <w:rPr>
                <w:rFonts w:ascii="宋体" w:hAnsi="宋体"/>
                <w:color w:val="000000"/>
                <w:szCs w:val="21"/>
                <w:highlight w:val="none"/>
              </w:rPr>
              <w:t>有保证工期的具体措施且措施得当。各项计划 图表编制完善，安排较合理，符合本项目施工实际要求。</w:t>
            </w:r>
          </w:p>
          <w:p w14:paraId="79C38595">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中（</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r>
              <w:rPr>
                <w:rFonts w:ascii="宋体" w:hAnsi="宋体"/>
                <w:color w:val="000000"/>
                <w:szCs w:val="21"/>
                <w:highlight w:val="none"/>
              </w:rPr>
              <w:t>有保证工期的具体措施。各项计划图表编制不完善，安排不合理，</w:t>
            </w:r>
            <w:r>
              <w:rPr>
                <w:rFonts w:hint="eastAsia" w:ascii="宋体" w:hAnsi="宋体"/>
                <w:color w:val="000000"/>
                <w:szCs w:val="21"/>
                <w:highlight w:val="none"/>
              </w:rPr>
              <w:t>基本</w:t>
            </w:r>
            <w:r>
              <w:rPr>
                <w:rFonts w:ascii="宋体" w:hAnsi="宋体"/>
                <w:color w:val="000000"/>
                <w:szCs w:val="21"/>
                <w:highlight w:val="none"/>
              </w:rPr>
              <w:t>能满足本项目施工实际要求。</w:t>
            </w:r>
          </w:p>
          <w:p w14:paraId="6185BF3A">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差（</w:t>
            </w:r>
            <w:r>
              <w:rPr>
                <w:rFonts w:hint="eastAsia" w:ascii="宋体" w:hAnsi="宋体"/>
                <w:color w:val="000000"/>
                <w:szCs w:val="21"/>
                <w:highlight w:val="none"/>
                <w:lang w:val="en-US" w:eastAsia="zh-CN"/>
              </w:rPr>
              <w:t>0</w:t>
            </w:r>
            <w:r>
              <w:rPr>
                <w:rFonts w:hint="eastAsia" w:ascii="宋体" w:hAnsi="宋体"/>
                <w:color w:val="000000"/>
                <w:szCs w:val="21"/>
                <w:highlight w:val="none"/>
              </w:rPr>
              <w:t>分）：</w:t>
            </w:r>
            <w:r>
              <w:rPr>
                <w:rFonts w:ascii="宋体" w:hAnsi="宋体"/>
                <w:color w:val="000000"/>
                <w:szCs w:val="21"/>
                <w:highlight w:val="none"/>
              </w:rPr>
              <w:t>保证工期的具体措施</w:t>
            </w:r>
            <w:r>
              <w:rPr>
                <w:rFonts w:hint="eastAsia" w:ascii="宋体" w:hAnsi="宋体"/>
                <w:color w:val="000000"/>
                <w:szCs w:val="21"/>
                <w:highlight w:val="none"/>
              </w:rPr>
              <w:t>不完全</w:t>
            </w:r>
            <w:r>
              <w:rPr>
                <w:rFonts w:ascii="宋体" w:hAnsi="宋体"/>
                <w:color w:val="000000"/>
                <w:szCs w:val="21"/>
                <w:highlight w:val="none"/>
              </w:rPr>
              <w:t>。各项计划图表编制不 完善，安排不合理，不能满足本项目施工实际要求。</w:t>
            </w:r>
          </w:p>
        </w:tc>
      </w:tr>
      <w:tr w14:paraId="4E45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76" w:type="dxa"/>
            <w:vMerge w:val="continue"/>
            <w:vAlign w:val="center"/>
          </w:tcPr>
          <w:p w14:paraId="21E0D8EB">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58FFAEE0">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确保文明施工的技术组织措施（</w:t>
            </w:r>
            <w:r>
              <w:rPr>
                <w:rFonts w:hint="eastAsia" w:ascii="宋体" w:hAnsi="宋体"/>
                <w:color w:val="000000"/>
                <w:kern w:val="0"/>
                <w:szCs w:val="21"/>
                <w:highlight w:val="none"/>
                <w:lang w:val="en-US" w:eastAsia="zh-CN"/>
              </w:rPr>
              <w:t>5</w:t>
            </w:r>
            <w:r>
              <w:rPr>
                <w:rFonts w:hint="eastAsia" w:ascii="宋体" w:hAnsi="宋体"/>
                <w:color w:val="000000"/>
                <w:kern w:val="0"/>
                <w:szCs w:val="21"/>
                <w:highlight w:val="none"/>
              </w:rPr>
              <w:t>分）</w:t>
            </w:r>
          </w:p>
        </w:tc>
        <w:tc>
          <w:tcPr>
            <w:tcW w:w="6385" w:type="dxa"/>
            <w:vAlign w:val="center"/>
          </w:tcPr>
          <w:p w14:paraId="5A61FBD3">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针对本工程项目特点，应有现场文明施工、环境保护措施，且措施内容应达到《建筑施工安全生产检查标准》（</w:t>
            </w:r>
            <w:r>
              <w:rPr>
                <w:rFonts w:ascii="宋体" w:hAnsi="宋体"/>
                <w:color w:val="000000"/>
                <w:kern w:val="0"/>
                <w:szCs w:val="21"/>
                <w:highlight w:val="none"/>
              </w:rPr>
              <w:t>JGJ59-2011</w:t>
            </w:r>
            <w:r>
              <w:rPr>
                <w:rFonts w:hint="eastAsia" w:ascii="宋体" w:hAnsi="宋体"/>
                <w:color w:val="000000"/>
                <w:kern w:val="0"/>
                <w:szCs w:val="21"/>
                <w:highlight w:val="none"/>
              </w:rPr>
              <w:t>）合格标准并符合《广西壮族自治区建筑工程文明施工导则》要求。各项措施周全、具体、有效。有具体实现现场文明施工目标的承诺。</w:t>
            </w:r>
          </w:p>
          <w:p w14:paraId="467DE916">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优</w:t>
            </w: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r>
              <w:rPr>
                <w:rFonts w:hint="eastAsia" w:ascii="宋体" w:hAnsi="宋体"/>
                <w:color w:val="000000"/>
                <w:kern w:val="0"/>
                <w:szCs w:val="21"/>
                <w:highlight w:val="none"/>
              </w:rPr>
              <w:t>：</w:t>
            </w:r>
            <w:r>
              <w:rPr>
                <w:rFonts w:ascii="宋体" w:hAnsi="宋体"/>
                <w:color w:val="000000"/>
                <w:szCs w:val="21"/>
                <w:highlight w:val="none"/>
              </w:rPr>
              <w:t>现场文明施工、环境保护措施和内容达到且高 于《建筑施工安全生产检查标准》、《广西壮族自治区建筑专业工程文明施工导则》要求；有具体实现现场文明施工目标的承诺，而且各项措施科学、具体、得力的。</w:t>
            </w:r>
          </w:p>
          <w:p w14:paraId="4645B35A">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良（</w:t>
            </w:r>
            <w:r>
              <w:rPr>
                <w:rFonts w:hint="eastAsia" w:ascii="宋体" w:hAnsi="宋体"/>
                <w:color w:val="000000"/>
                <w:szCs w:val="21"/>
                <w:highlight w:val="none"/>
                <w:lang w:val="en-US" w:eastAsia="zh-CN"/>
              </w:rPr>
              <w:t>3</w:t>
            </w:r>
            <w:r>
              <w:rPr>
                <w:rFonts w:hint="eastAsia" w:ascii="宋体" w:hAnsi="宋体"/>
                <w:color w:val="000000"/>
                <w:szCs w:val="21"/>
                <w:highlight w:val="none"/>
              </w:rPr>
              <w:t>分）：</w:t>
            </w:r>
            <w:r>
              <w:rPr>
                <w:rFonts w:ascii="宋体" w:hAnsi="宋体"/>
                <w:color w:val="000000"/>
                <w:szCs w:val="21"/>
                <w:highlight w:val="none"/>
              </w:rPr>
              <w:t>现场文明施工、环境保护措施和内容达到《建 筑施工安全生产检查标准》、《广西壮族自治区建筑专业工程 文明施工导则》；有具体实现现场文明施工目标的承诺，而且各项措施周全、具体、有效的。</w:t>
            </w:r>
          </w:p>
          <w:p w14:paraId="707F649B">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中（</w:t>
            </w:r>
            <w:r>
              <w:rPr>
                <w:rFonts w:hint="eastAsia" w:ascii="宋体" w:hAnsi="宋体"/>
                <w:color w:val="000000"/>
                <w:szCs w:val="21"/>
                <w:highlight w:val="none"/>
                <w:lang w:val="en-US" w:eastAsia="zh-CN"/>
              </w:rPr>
              <w:t>1</w:t>
            </w:r>
            <w:r>
              <w:rPr>
                <w:rFonts w:hint="eastAsia" w:ascii="宋体" w:hAnsi="宋体"/>
                <w:color w:val="000000"/>
                <w:szCs w:val="21"/>
                <w:highlight w:val="none"/>
              </w:rPr>
              <w:t>分）：</w:t>
            </w:r>
            <w:r>
              <w:rPr>
                <w:rFonts w:ascii="宋体" w:hAnsi="宋体"/>
                <w:color w:val="000000"/>
                <w:szCs w:val="21"/>
                <w:highlight w:val="none"/>
              </w:rPr>
              <w:t>现场文明施工、环境保护措施和内容与《建筑 施工安全生产检查标准》、《广西壮族自治区建筑专业工程文 明施工导则》的要求</w:t>
            </w:r>
            <w:r>
              <w:rPr>
                <w:rFonts w:hint="eastAsia" w:ascii="宋体" w:hAnsi="宋体"/>
                <w:color w:val="000000"/>
                <w:szCs w:val="21"/>
                <w:highlight w:val="none"/>
              </w:rPr>
              <w:t>基本符合</w:t>
            </w:r>
            <w:r>
              <w:rPr>
                <w:rFonts w:ascii="宋体" w:hAnsi="宋体"/>
                <w:color w:val="000000"/>
                <w:szCs w:val="21"/>
                <w:highlight w:val="none"/>
              </w:rPr>
              <w:t>，现场文明施工目标的承诺。</w:t>
            </w:r>
          </w:p>
          <w:p w14:paraId="6473AEE6">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差（</w:t>
            </w:r>
            <w:r>
              <w:rPr>
                <w:rFonts w:hint="eastAsia" w:ascii="宋体" w:hAnsi="宋体"/>
                <w:color w:val="000000"/>
                <w:szCs w:val="21"/>
                <w:highlight w:val="none"/>
                <w:lang w:val="en-US" w:eastAsia="zh-CN"/>
              </w:rPr>
              <w:t>0</w:t>
            </w:r>
            <w:r>
              <w:rPr>
                <w:rFonts w:hint="eastAsia" w:ascii="宋体" w:hAnsi="宋体"/>
                <w:color w:val="000000"/>
                <w:szCs w:val="21"/>
                <w:highlight w:val="none"/>
              </w:rPr>
              <w:t>分）：</w:t>
            </w:r>
            <w:r>
              <w:rPr>
                <w:rFonts w:ascii="宋体" w:hAnsi="宋体"/>
                <w:color w:val="000000"/>
                <w:szCs w:val="21"/>
                <w:highlight w:val="none"/>
              </w:rPr>
              <w:t>现场文明施工、环境保护措施和内容与《建筑 施工安全生产检查标准》、《广西壮族自治区建筑专业工程文 明施工导则》的要求偏差大，</w:t>
            </w:r>
            <w:r>
              <w:rPr>
                <w:rFonts w:hint="eastAsia" w:ascii="宋体" w:hAnsi="宋体"/>
                <w:color w:val="000000"/>
                <w:szCs w:val="21"/>
                <w:highlight w:val="none"/>
              </w:rPr>
              <w:t>没有提供</w:t>
            </w:r>
            <w:r>
              <w:rPr>
                <w:rFonts w:ascii="宋体" w:hAnsi="宋体"/>
                <w:color w:val="000000"/>
                <w:szCs w:val="21"/>
                <w:highlight w:val="none"/>
              </w:rPr>
              <w:t>现场文明施工目标的承诺。</w:t>
            </w:r>
          </w:p>
        </w:tc>
      </w:tr>
      <w:tr w14:paraId="4A5B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76" w:type="dxa"/>
            <w:vMerge w:val="continue"/>
            <w:vAlign w:val="center"/>
          </w:tcPr>
          <w:p w14:paraId="04407E7B">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628CDF0C">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工程施工的重点和难点及保证措施</w:t>
            </w:r>
          </w:p>
          <w:p w14:paraId="1DC67A12">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w:t>
            </w:r>
          </w:p>
        </w:tc>
        <w:tc>
          <w:tcPr>
            <w:tcW w:w="6385" w:type="dxa"/>
            <w:vAlign w:val="center"/>
          </w:tcPr>
          <w:p w14:paraId="145C5D8D">
            <w:pPr>
              <w:keepNext w:val="0"/>
              <w:keepLines w:val="0"/>
              <w:pageBreakBefore w:val="0"/>
              <w:widowControl/>
              <w:kinsoku/>
              <w:wordWrap/>
              <w:overflowPunct/>
              <w:topLinePunct w:val="0"/>
              <w:autoSpaceDE/>
              <w:autoSpaceDN/>
              <w:bidi w:val="0"/>
              <w:snapToGrid/>
              <w:spacing w:line="400" w:lineRule="exact"/>
              <w:ind w:firstLine="420"/>
              <w:rPr>
                <w:rFonts w:hint="eastAsia" w:ascii="宋体" w:hAnsi="宋体"/>
                <w:color w:val="000000"/>
                <w:kern w:val="0"/>
                <w:szCs w:val="21"/>
                <w:highlight w:val="none"/>
              </w:rPr>
            </w:pPr>
            <w:r>
              <w:rPr>
                <w:rFonts w:hint="eastAsia" w:ascii="宋体" w:hAnsi="宋体"/>
                <w:color w:val="000000"/>
                <w:kern w:val="0"/>
                <w:szCs w:val="21"/>
                <w:highlight w:val="none"/>
              </w:rPr>
              <w:t>针对本工程的特点，阐述本工程的重点和难点，解决重点和难点问题的方法是否合理</w:t>
            </w:r>
          </w:p>
          <w:p w14:paraId="25A58F4C">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优</w:t>
            </w:r>
            <w:r>
              <w:rPr>
                <w:rFonts w:hint="eastAsia" w:ascii="宋体" w:hAnsi="宋体"/>
                <w:color w:val="000000"/>
                <w:szCs w:val="21"/>
                <w:highlight w:val="none"/>
              </w:rPr>
              <w:t>（</w:t>
            </w:r>
            <w:r>
              <w:rPr>
                <w:rFonts w:ascii="宋体" w:hAnsi="宋体"/>
                <w:color w:val="000000"/>
                <w:szCs w:val="21"/>
                <w:highlight w:val="none"/>
              </w:rPr>
              <w:t>5</w:t>
            </w:r>
            <w:r>
              <w:rPr>
                <w:rFonts w:hint="eastAsia" w:ascii="宋体" w:hAnsi="宋体"/>
                <w:color w:val="000000"/>
                <w:szCs w:val="21"/>
                <w:highlight w:val="none"/>
              </w:rPr>
              <w:t>分）</w:t>
            </w:r>
            <w:r>
              <w:rPr>
                <w:rFonts w:hint="eastAsia" w:ascii="宋体" w:hAnsi="宋体"/>
                <w:color w:val="000000"/>
                <w:kern w:val="0"/>
                <w:szCs w:val="21"/>
                <w:highlight w:val="none"/>
              </w:rPr>
              <w:t>：</w:t>
            </w:r>
            <w:r>
              <w:rPr>
                <w:rFonts w:ascii="宋体" w:hAnsi="宋体"/>
                <w:color w:val="000000"/>
                <w:szCs w:val="21"/>
                <w:highlight w:val="none"/>
              </w:rPr>
              <w:t>对项目关键技术、工艺有深入的表述。对重点、 难点有先进合理的施工措施并有可行的安全措施，解决方案完整、经济、安全、切实可行，措施得力。</w:t>
            </w:r>
          </w:p>
          <w:p w14:paraId="2F3448B7">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szCs w:val="21"/>
                <w:highlight w:val="none"/>
              </w:rPr>
            </w:pPr>
            <w:r>
              <w:rPr>
                <w:rFonts w:hint="eastAsia" w:ascii="宋体" w:hAnsi="宋体"/>
                <w:color w:val="000000"/>
                <w:szCs w:val="21"/>
                <w:highlight w:val="none"/>
              </w:rPr>
              <w:t>良（</w:t>
            </w:r>
            <w:r>
              <w:rPr>
                <w:rFonts w:ascii="宋体" w:hAnsi="宋体"/>
                <w:color w:val="000000"/>
                <w:szCs w:val="21"/>
                <w:highlight w:val="none"/>
              </w:rPr>
              <w:t>3</w:t>
            </w:r>
            <w:r>
              <w:rPr>
                <w:rFonts w:hint="eastAsia" w:ascii="宋体" w:hAnsi="宋体"/>
                <w:color w:val="000000"/>
                <w:szCs w:val="21"/>
                <w:highlight w:val="none"/>
              </w:rPr>
              <w:t>分）：</w:t>
            </w:r>
            <w:r>
              <w:rPr>
                <w:rFonts w:ascii="宋体" w:hAnsi="宋体"/>
                <w:color w:val="000000"/>
                <w:szCs w:val="21"/>
                <w:highlight w:val="none"/>
              </w:rPr>
              <w:t>对项目关键技术、工艺有深入的表述，对重点、 难点有合理的建议，解决方案经济、安全、基本可行。</w:t>
            </w:r>
          </w:p>
          <w:p w14:paraId="60CC43C9">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中（</w:t>
            </w:r>
            <w:r>
              <w:rPr>
                <w:rFonts w:ascii="宋体" w:hAnsi="宋体"/>
                <w:color w:val="000000"/>
                <w:szCs w:val="21"/>
                <w:highlight w:val="none"/>
              </w:rPr>
              <w:t>1</w:t>
            </w:r>
            <w:r>
              <w:rPr>
                <w:rFonts w:hint="eastAsia" w:ascii="宋体" w:hAnsi="宋体"/>
                <w:color w:val="000000"/>
                <w:szCs w:val="21"/>
                <w:highlight w:val="none"/>
              </w:rPr>
              <w:t>分）：</w:t>
            </w:r>
            <w:r>
              <w:rPr>
                <w:rFonts w:ascii="宋体" w:hAnsi="宋体"/>
                <w:color w:val="000000"/>
                <w:szCs w:val="21"/>
                <w:highlight w:val="none"/>
              </w:rPr>
              <w:t>对项目关键技术有表述，对重点、难点有建议， 解决方案不可行。</w:t>
            </w:r>
          </w:p>
          <w:p w14:paraId="25FF7CFC">
            <w:pPr>
              <w:pStyle w:val="37"/>
              <w:keepNext w:val="0"/>
              <w:keepLines w:val="0"/>
              <w:pageBreakBefore w:val="0"/>
              <w:kinsoku/>
              <w:wordWrap/>
              <w:overflowPunct/>
              <w:topLinePunct w:val="0"/>
              <w:autoSpaceDE/>
              <w:autoSpaceDN/>
              <w:bidi w:val="0"/>
              <w:snapToGrid/>
              <w:spacing w:after="0" w:line="400" w:lineRule="exact"/>
              <w:rPr>
                <w:rFonts w:hint="eastAsia" w:ascii="宋体" w:hAnsi="宋体"/>
                <w:color w:val="000000"/>
                <w:szCs w:val="21"/>
                <w:highlight w:val="none"/>
              </w:rPr>
            </w:pPr>
            <w:r>
              <w:rPr>
                <w:rFonts w:hint="eastAsia" w:ascii="宋体" w:hAnsi="宋体"/>
                <w:color w:val="000000"/>
                <w:szCs w:val="21"/>
                <w:highlight w:val="none"/>
              </w:rPr>
              <w:t>差（0分）：没有提供</w:t>
            </w:r>
            <w:r>
              <w:rPr>
                <w:rFonts w:ascii="宋体" w:hAnsi="宋体"/>
                <w:color w:val="000000"/>
                <w:szCs w:val="21"/>
                <w:highlight w:val="none"/>
              </w:rPr>
              <w:t>对项目关键技术有表述，对重点、难点有建议。</w:t>
            </w:r>
          </w:p>
        </w:tc>
      </w:tr>
      <w:tr w14:paraId="2180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276" w:type="dxa"/>
            <w:vMerge w:val="continue"/>
            <w:vAlign w:val="center"/>
          </w:tcPr>
          <w:p w14:paraId="41116F5E">
            <w:pPr>
              <w:keepNext w:val="0"/>
              <w:keepLines w:val="0"/>
              <w:pageBreakBefore w:val="0"/>
              <w:kinsoku/>
              <w:wordWrap/>
              <w:overflowPunct/>
              <w:topLinePunct w:val="0"/>
              <w:autoSpaceDE/>
              <w:autoSpaceDN/>
              <w:bidi w:val="0"/>
              <w:snapToGrid/>
              <w:spacing w:line="400" w:lineRule="exact"/>
              <w:ind w:firstLine="420"/>
              <w:jc w:val="center"/>
              <w:rPr>
                <w:rFonts w:ascii="宋体" w:hAnsi="宋体"/>
                <w:color w:val="000000"/>
                <w:szCs w:val="21"/>
                <w:highlight w:val="none"/>
              </w:rPr>
            </w:pPr>
          </w:p>
        </w:tc>
        <w:tc>
          <w:tcPr>
            <w:tcW w:w="992" w:type="dxa"/>
            <w:vAlign w:val="center"/>
          </w:tcPr>
          <w:p w14:paraId="55FF1344">
            <w:pPr>
              <w:keepNext w:val="0"/>
              <w:keepLines w:val="0"/>
              <w:pageBreakBefore w:val="0"/>
              <w:widowControl/>
              <w:kinsoku/>
              <w:wordWrap/>
              <w:overflowPunct/>
              <w:topLinePunct w:val="0"/>
              <w:autoSpaceDE/>
              <w:autoSpaceDN/>
              <w:bidi w:val="0"/>
              <w:snapToGrid/>
              <w:spacing w:line="400" w:lineRule="exact"/>
              <w:rPr>
                <w:rFonts w:hint="eastAsia" w:ascii="宋体" w:hAnsi="宋体"/>
                <w:color w:val="000000"/>
                <w:kern w:val="0"/>
                <w:szCs w:val="21"/>
                <w:highlight w:val="none"/>
              </w:rPr>
            </w:pPr>
            <w:r>
              <w:rPr>
                <w:rFonts w:hint="eastAsia" w:ascii="宋体" w:hAnsi="宋体"/>
                <w:color w:val="000000"/>
                <w:kern w:val="0"/>
                <w:szCs w:val="21"/>
                <w:highlight w:val="none"/>
              </w:rPr>
              <w:t>施工总平面布置图（</w:t>
            </w:r>
            <w:r>
              <w:rPr>
                <w:rFonts w:hint="eastAsia" w:ascii="宋体" w:hAnsi="宋体"/>
                <w:color w:val="000000"/>
                <w:kern w:val="0"/>
                <w:szCs w:val="21"/>
                <w:highlight w:val="none"/>
                <w:lang w:val="en-US" w:eastAsia="zh-CN"/>
              </w:rPr>
              <w:t>5</w:t>
            </w:r>
            <w:r>
              <w:rPr>
                <w:rFonts w:hint="eastAsia" w:ascii="宋体" w:hAnsi="宋体"/>
                <w:color w:val="000000"/>
                <w:kern w:val="0"/>
                <w:szCs w:val="21"/>
                <w:highlight w:val="none"/>
              </w:rPr>
              <w:t>分）</w:t>
            </w:r>
          </w:p>
        </w:tc>
        <w:tc>
          <w:tcPr>
            <w:tcW w:w="6385" w:type="dxa"/>
            <w:vAlign w:val="center"/>
          </w:tcPr>
          <w:p w14:paraId="0890B961">
            <w:pPr>
              <w:keepNext w:val="0"/>
              <w:keepLines w:val="0"/>
              <w:pageBreakBefore w:val="0"/>
              <w:widowControl/>
              <w:kinsoku/>
              <w:wordWrap/>
              <w:overflowPunct/>
              <w:topLinePunct w:val="0"/>
              <w:autoSpaceDE/>
              <w:autoSpaceDN/>
              <w:bidi w:val="0"/>
              <w:snapToGrid/>
              <w:spacing w:line="400" w:lineRule="exact"/>
              <w:rPr>
                <w:rFonts w:hint="eastAsia"/>
                <w:color w:val="000000"/>
                <w:kern w:val="0"/>
                <w:highlight w:val="none"/>
              </w:rPr>
            </w:pPr>
            <w:r>
              <w:rPr>
                <w:rFonts w:hint="eastAsia"/>
                <w:color w:val="000000"/>
                <w:kern w:val="0"/>
                <w:highlight w:val="none"/>
              </w:rPr>
              <w:t>应有施工总平面布置图，安排科学合理，符合本项目施工实际要求。</w:t>
            </w:r>
          </w:p>
          <w:p w14:paraId="61D51BB6">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优</w:t>
            </w:r>
            <w:r>
              <w:rPr>
                <w:rFonts w:hint="eastAsia" w:ascii="宋体" w:hAnsi="宋体" w:eastAsia="宋体"/>
                <w:color w:val="000000"/>
                <w:sz w:val="21"/>
                <w:szCs w:val="21"/>
                <w:highlight w:val="none"/>
              </w:rPr>
              <w:t>（</w:t>
            </w:r>
            <w:r>
              <w:rPr>
                <w:rFonts w:hint="eastAsia" w:ascii="宋体" w:hAnsi="宋体" w:eastAsia="宋体"/>
                <w:color w:val="000000"/>
                <w:sz w:val="21"/>
                <w:szCs w:val="21"/>
                <w:highlight w:val="none"/>
                <w:lang w:val="en-US" w:eastAsia="zh-CN"/>
              </w:rPr>
              <w:t>5</w:t>
            </w:r>
            <w:r>
              <w:rPr>
                <w:rFonts w:hint="eastAsia" w:ascii="宋体" w:hAnsi="宋体" w:eastAsia="宋体"/>
                <w:color w:val="000000"/>
                <w:sz w:val="21"/>
                <w:szCs w:val="21"/>
                <w:highlight w:val="none"/>
              </w:rPr>
              <w:t>分）</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有施工总平面布置图，安排科学合理，符合本项目施工实际要求。</w:t>
            </w:r>
          </w:p>
          <w:p w14:paraId="3BB331E9">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b w:val="0"/>
                <w:bCs/>
                <w:color w:val="000000"/>
                <w:sz w:val="21"/>
                <w:szCs w:val="21"/>
                <w:highlight w:val="none"/>
                <w:lang w:val="en-US" w:eastAsia="zh-CN"/>
              </w:rPr>
            </w:pPr>
            <w:r>
              <w:rPr>
                <w:rFonts w:hint="eastAsia" w:ascii="宋体" w:hAnsi="宋体" w:eastAsia="宋体"/>
                <w:b w:val="0"/>
                <w:bCs/>
                <w:color w:val="000000"/>
                <w:sz w:val="21"/>
                <w:szCs w:val="21"/>
                <w:highlight w:val="none"/>
                <w:lang w:val="en-US" w:eastAsia="zh-CN"/>
              </w:rPr>
              <w:t>良</w:t>
            </w:r>
            <w:r>
              <w:rPr>
                <w:rFonts w:hint="eastAsia" w:ascii="宋体" w:hAnsi="宋体" w:eastAsia="宋体"/>
                <w:b w:val="0"/>
                <w:bCs/>
                <w:color w:val="000000"/>
                <w:sz w:val="21"/>
                <w:szCs w:val="21"/>
                <w:highlight w:val="none"/>
              </w:rPr>
              <w:t>（</w:t>
            </w:r>
            <w:r>
              <w:rPr>
                <w:rFonts w:hint="eastAsia" w:ascii="宋体" w:hAnsi="宋体" w:eastAsia="宋体"/>
                <w:b w:val="0"/>
                <w:bCs/>
                <w:color w:val="000000"/>
                <w:sz w:val="21"/>
                <w:szCs w:val="21"/>
                <w:highlight w:val="none"/>
                <w:lang w:val="en-US" w:eastAsia="zh-CN"/>
              </w:rPr>
              <w:t>3</w:t>
            </w:r>
            <w:r>
              <w:rPr>
                <w:rFonts w:hint="eastAsia" w:ascii="宋体" w:hAnsi="宋体" w:eastAsia="宋体"/>
                <w:b w:val="0"/>
                <w:bCs/>
                <w:color w:val="000000"/>
                <w:sz w:val="21"/>
                <w:szCs w:val="21"/>
                <w:highlight w:val="none"/>
              </w:rPr>
              <w:t>分）</w:t>
            </w:r>
            <w:r>
              <w:rPr>
                <w:rFonts w:hint="eastAsia" w:ascii="宋体" w:hAnsi="宋体" w:eastAsia="宋体"/>
                <w:b w:val="0"/>
                <w:bCs/>
                <w:color w:val="000000"/>
                <w:sz w:val="21"/>
                <w:szCs w:val="21"/>
                <w:highlight w:val="none"/>
                <w:lang w:eastAsia="zh-CN"/>
              </w:rPr>
              <w:t>：</w:t>
            </w:r>
            <w:r>
              <w:rPr>
                <w:rFonts w:hint="eastAsia" w:ascii="宋体" w:hAnsi="宋体" w:eastAsia="宋体"/>
                <w:b w:val="0"/>
                <w:bCs/>
                <w:color w:val="000000"/>
                <w:sz w:val="21"/>
                <w:szCs w:val="21"/>
                <w:highlight w:val="none"/>
              </w:rPr>
              <w:t>有施工总平面布置图，安排一般，符合本项目施工实际要求。</w:t>
            </w:r>
          </w:p>
          <w:p w14:paraId="32238373">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中</w:t>
            </w:r>
            <w:r>
              <w:rPr>
                <w:rFonts w:hint="eastAsia" w:ascii="宋体" w:hAnsi="宋体" w:eastAsia="宋体"/>
                <w:color w:val="000000"/>
                <w:sz w:val="21"/>
                <w:szCs w:val="21"/>
                <w:highlight w:val="none"/>
              </w:rPr>
              <w:t>（</w:t>
            </w:r>
            <w:r>
              <w:rPr>
                <w:rFonts w:hint="eastAsia" w:ascii="宋体" w:hAnsi="宋体" w:eastAsia="宋体"/>
                <w:color w:val="000000"/>
                <w:sz w:val="21"/>
                <w:szCs w:val="21"/>
                <w:highlight w:val="none"/>
                <w:lang w:val="en-US" w:eastAsia="zh-CN"/>
              </w:rPr>
              <w:t>2</w:t>
            </w:r>
            <w:r>
              <w:rPr>
                <w:rFonts w:hint="eastAsia" w:ascii="宋体" w:hAnsi="宋体" w:eastAsia="宋体"/>
                <w:color w:val="000000"/>
                <w:sz w:val="21"/>
                <w:szCs w:val="21"/>
                <w:highlight w:val="none"/>
              </w:rPr>
              <w:t xml:space="preserve"> 分）</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有施工总平面布置图，基本符合本项目施工实际要求。</w:t>
            </w:r>
          </w:p>
          <w:p w14:paraId="622D5CA0">
            <w:pPr>
              <w:keepNext w:val="0"/>
              <w:keepLines w:val="0"/>
              <w:pageBreakBefore w:val="0"/>
              <w:widowControl/>
              <w:kinsoku/>
              <w:wordWrap/>
              <w:overflowPunct/>
              <w:topLinePunct w:val="0"/>
              <w:autoSpaceDE/>
              <w:autoSpaceDN/>
              <w:bidi w:val="0"/>
              <w:snapToGrid/>
              <w:spacing w:line="400" w:lineRule="exact"/>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差</w:t>
            </w:r>
            <w:r>
              <w:rPr>
                <w:rFonts w:hint="eastAsia" w:ascii="宋体" w:hAnsi="宋体" w:eastAsia="宋体"/>
                <w:color w:val="000000"/>
                <w:sz w:val="21"/>
                <w:szCs w:val="21"/>
                <w:highlight w:val="none"/>
              </w:rPr>
              <w:t>（1 分）</w:t>
            </w:r>
            <w:r>
              <w:rPr>
                <w:rFonts w:hint="eastAsia" w:hAnsi="宋体" w:eastAsia="宋体"/>
                <w:color w:val="000000"/>
                <w:sz w:val="21"/>
                <w:szCs w:val="21"/>
                <w:highlight w:val="none"/>
                <w:lang w:eastAsia="zh-CN"/>
              </w:rPr>
              <w:t>：</w:t>
            </w:r>
            <w:r>
              <w:rPr>
                <w:rFonts w:hint="eastAsia" w:ascii="宋体" w:hAnsi="宋体" w:eastAsia="宋体"/>
                <w:color w:val="000000"/>
                <w:sz w:val="21"/>
                <w:szCs w:val="21"/>
                <w:highlight w:val="none"/>
              </w:rPr>
              <w:t>有施工总平面布置图，但不符合本项目施工实际要求。</w:t>
            </w:r>
          </w:p>
        </w:tc>
      </w:tr>
    </w:tbl>
    <w:p w14:paraId="78481259">
      <w:pPr>
        <w:spacing w:line="360" w:lineRule="auto"/>
        <w:ind w:right="-178"/>
        <w:rPr>
          <w:rFonts w:ascii="宋体" w:hAnsi="宋体"/>
          <w:b/>
          <w:bCs/>
          <w:color w:val="000000"/>
          <w:highlight w:val="none"/>
        </w:rPr>
      </w:pPr>
    </w:p>
    <w:p w14:paraId="29FA1E50">
      <w:pPr>
        <w:pStyle w:val="44"/>
        <w:spacing w:line="440" w:lineRule="exact"/>
        <w:jc w:val="left"/>
        <w:rPr>
          <w:rFonts w:hAnsi="宋体"/>
          <w:b/>
          <w:color w:val="000000"/>
          <w:highlight w:val="none"/>
        </w:rPr>
      </w:pPr>
      <w:r>
        <w:rPr>
          <w:rFonts w:hAnsi="宋体"/>
          <w:b/>
          <w:color w:val="000000"/>
          <w:highlight w:val="none"/>
        </w:rPr>
        <w:t>3、资信业绩</w:t>
      </w:r>
      <w:r>
        <w:rPr>
          <w:rFonts w:hAnsi="宋体"/>
          <w:bCs/>
          <w:color w:val="000000"/>
          <w:highlight w:val="none"/>
        </w:rPr>
        <w:t>…………………………………………………………………………………………</w:t>
      </w:r>
      <w:r>
        <w:rPr>
          <w:rFonts w:hAnsi="宋体"/>
          <w:b/>
          <w:bCs/>
          <w:color w:val="000000"/>
          <w:highlight w:val="none"/>
        </w:rPr>
        <w:t>10分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477"/>
      </w:tblGrid>
      <w:tr w14:paraId="6616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313" w:type="dxa"/>
            <w:vAlign w:val="center"/>
          </w:tcPr>
          <w:p w14:paraId="1B72A50E">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资信业绩评分标准（满分10分</w:t>
            </w:r>
            <w:r>
              <w:rPr>
                <w:rFonts w:hint="eastAsia" w:ascii="宋体" w:hAnsi="宋体"/>
                <w:color w:val="000000"/>
                <w:highlight w:val="none"/>
              </w:rPr>
              <w:t>）</w:t>
            </w:r>
          </w:p>
        </w:tc>
        <w:tc>
          <w:tcPr>
            <w:tcW w:w="7477" w:type="dxa"/>
            <w:vAlign w:val="center"/>
          </w:tcPr>
          <w:p w14:paraId="34363878">
            <w:pPr>
              <w:widowControl/>
              <w:spacing w:line="360" w:lineRule="exact"/>
              <w:ind w:firstLine="315" w:firstLineChars="150"/>
              <w:rPr>
                <w:rFonts w:hint="eastAsia" w:ascii="宋体" w:hAnsi="宋体"/>
                <w:color w:val="000000"/>
                <w:kern w:val="0"/>
                <w:szCs w:val="21"/>
                <w:highlight w:val="none"/>
              </w:rPr>
            </w:pPr>
            <w:r>
              <w:rPr>
                <w:rFonts w:hint="eastAsia" w:ascii="宋体" w:hAnsi="宋体"/>
                <w:color w:val="000000"/>
                <w:kern w:val="0"/>
                <w:szCs w:val="21"/>
                <w:highlight w:val="none"/>
              </w:rPr>
              <w:t>2021年1月至今供应商承担过类似项目（市政公用工程）（以中标（成交）通知书或合同为准），每有一个项目得5分，满分10分。（须提供合同或中标（成交）通知书扫描件并加盖C</w:t>
            </w:r>
            <w:r>
              <w:rPr>
                <w:rFonts w:ascii="宋体" w:hAnsi="宋体"/>
                <w:color w:val="000000"/>
                <w:kern w:val="0"/>
                <w:szCs w:val="21"/>
                <w:highlight w:val="none"/>
              </w:rPr>
              <w:t>A</w:t>
            </w:r>
            <w:r>
              <w:rPr>
                <w:rFonts w:hint="eastAsia" w:ascii="宋体" w:hAnsi="宋体"/>
                <w:color w:val="000000"/>
                <w:kern w:val="0"/>
                <w:szCs w:val="21"/>
                <w:highlight w:val="none"/>
              </w:rPr>
              <w:t>公章，不按照上述要求提供资料的，不能作为评分依据）</w:t>
            </w:r>
          </w:p>
        </w:tc>
      </w:tr>
    </w:tbl>
    <w:p w14:paraId="26622715">
      <w:pPr>
        <w:pStyle w:val="44"/>
        <w:spacing w:line="400" w:lineRule="exact"/>
        <w:ind w:left="-142" w:leftChars="-68" w:hanging="1"/>
        <w:rPr>
          <w:rFonts w:hAnsi="宋体"/>
          <w:b/>
          <w:color w:val="000000"/>
          <w:highlight w:val="none"/>
        </w:rPr>
      </w:pPr>
    </w:p>
    <w:p w14:paraId="2B23D60A">
      <w:pPr>
        <w:pStyle w:val="44"/>
        <w:spacing w:line="400" w:lineRule="exact"/>
        <w:ind w:left="-142" w:leftChars="-68" w:hanging="1"/>
        <w:rPr>
          <w:rFonts w:hAnsi="宋体"/>
          <w:b/>
          <w:color w:val="000000"/>
          <w:highlight w:val="none"/>
        </w:rPr>
      </w:pPr>
      <w:r>
        <w:rPr>
          <w:rFonts w:hAnsi="宋体"/>
          <w:b/>
          <w:color w:val="000000"/>
          <w:highlight w:val="none"/>
        </w:rPr>
        <w:t>说明：上述提及的证书、证件、证明材料等须提供扫描件，并加盖供应商CA公章，否则不予得分。</w:t>
      </w:r>
    </w:p>
    <w:p w14:paraId="334A91D8">
      <w:pPr>
        <w:spacing w:line="400" w:lineRule="exact"/>
        <w:ind w:left="-315" w:leftChars="-150" w:firstLine="171" w:firstLineChars="81"/>
        <w:rPr>
          <w:rFonts w:hint="eastAsia" w:ascii="宋体" w:hAnsi="宋体"/>
          <w:b/>
          <w:color w:val="000000"/>
          <w:highlight w:val="none"/>
        </w:rPr>
      </w:pPr>
      <w:r>
        <w:rPr>
          <w:rFonts w:hint="eastAsia" w:ascii="宋体" w:hAnsi="宋体"/>
          <w:b/>
          <w:color w:val="000000"/>
          <w:highlight w:val="none"/>
        </w:rPr>
        <w:t>综合得分 =</w:t>
      </w:r>
      <w:r>
        <w:rPr>
          <w:rFonts w:hint="eastAsia" w:ascii="宋体" w:hAnsi="宋体"/>
          <w:b/>
          <w:bCs/>
          <w:color w:val="000000"/>
          <w:highlight w:val="none"/>
        </w:rPr>
        <w:t xml:space="preserve"> 1＋2＋</w:t>
      </w:r>
      <w:r>
        <w:rPr>
          <w:rFonts w:ascii="宋体" w:hAnsi="宋体"/>
          <w:b/>
          <w:bCs/>
          <w:color w:val="000000"/>
          <w:highlight w:val="none"/>
        </w:rPr>
        <w:t>3</w:t>
      </w:r>
    </w:p>
    <w:p w14:paraId="1D84F31D">
      <w:pPr>
        <w:spacing w:line="400" w:lineRule="exact"/>
        <w:rPr>
          <w:rFonts w:hint="eastAsia" w:ascii="宋体" w:hAnsi="宋体"/>
          <w:b/>
          <w:color w:val="000000"/>
          <w:szCs w:val="21"/>
          <w:highlight w:val="none"/>
        </w:rPr>
      </w:pPr>
      <w:r>
        <w:rPr>
          <w:rFonts w:hint="eastAsia" w:ascii="宋体" w:hAnsi="宋体"/>
          <w:b/>
          <w:color w:val="000000"/>
          <w:szCs w:val="21"/>
          <w:highlight w:val="none"/>
        </w:rPr>
        <w:t>三、推荐成交候选人</w:t>
      </w:r>
    </w:p>
    <w:p w14:paraId="0144E28C">
      <w:pPr>
        <w:spacing w:line="400" w:lineRule="exact"/>
        <w:ind w:firstLine="350" w:firstLineChars="167"/>
        <w:rPr>
          <w:rFonts w:hint="eastAsia" w:ascii="宋体" w:hAnsi="宋体"/>
          <w:color w:val="000000"/>
          <w:szCs w:val="21"/>
          <w:highlight w:val="none"/>
        </w:rPr>
      </w:pPr>
      <w:r>
        <w:rPr>
          <w:rFonts w:hint="eastAsia" w:ascii="宋体" w:hAnsi="宋体"/>
          <w:color w:val="000000"/>
          <w:szCs w:val="21"/>
          <w:highlight w:val="none"/>
        </w:rPr>
        <w:t>磋商小组应当从通过资格性审查和符合性审查、质量和服务均能满足磋商文件全部实质性响应要求的供应商中：</w:t>
      </w:r>
    </w:p>
    <w:p w14:paraId="5404B51E">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磋商小组根据评审结果按评审后得分由高到低顺序排列推荐3名成交候选人。总得分相同的，依次按最终报价低优先、技术分高优先、资信业绩分高优先的顺序排列。成交候选人并列的，由采购人采取随机抽取的方式确定成交供应商。</w:t>
      </w:r>
    </w:p>
    <w:p w14:paraId="3F0FBCCC">
      <w:pPr>
        <w:spacing w:line="400" w:lineRule="exact"/>
        <w:ind w:firstLine="424" w:firstLineChars="202"/>
        <w:rPr>
          <w:rFonts w:hint="eastAsia" w:ascii="宋体" w:hAnsi="宋体"/>
          <w:color w:val="000000"/>
          <w:szCs w:val="21"/>
          <w:highlight w:val="none"/>
        </w:rPr>
      </w:pPr>
      <w:r>
        <w:rPr>
          <w:rFonts w:hint="eastAsia" w:ascii="宋体" w:hAnsi="宋体"/>
          <w:color w:val="000000"/>
          <w:szCs w:val="21"/>
          <w:highlight w:val="none"/>
        </w:rPr>
        <w:t>（2）采购人应当确定磋商小组推荐排名第一的成交候选供应商为成交供应商。排名第一的成交候选供应商放弃成交、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r>
        <w:rPr>
          <w:rFonts w:ascii="宋体" w:hAnsi="宋体"/>
          <w:color w:val="000000"/>
          <w:highlight w:val="none"/>
        </w:rPr>
        <w:br w:type="page"/>
      </w:r>
    </w:p>
    <w:p w14:paraId="6A9DCEA0">
      <w:pPr>
        <w:spacing w:line="400" w:lineRule="exact"/>
        <w:rPr>
          <w:rFonts w:ascii="宋体" w:hAnsi="宋体"/>
          <w:color w:val="000000"/>
          <w:highlight w:val="none"/>
        </w:rPr>
      </w:pPr>
    </w:p>
    <w:p w14:paraId="1829077C">
      <w:pPr>
        <w:rPr>
          <w:rFonts w:ascii="宋体" w:hAnsi="宋体"/>
          <w:bCs/>
          <w:color w:val="000000"/>
          <w:sz w:val="44"/>
          <w:highlight w:val="none"/>
        </w:rPr>
      </w:pPr>
    </w:p>
    <w:p w14:paraId="5249DFE5">
      <w:pPr>
        <w:pStyle w:val="10"/>
        <w:spacing w:line="560" w:lineRule="exact"/>
        <w:jc w:val="center"/>
        <w:rPr>
          <w:rFonts w:hint="eastAsia" w:ascii="宋体" w:hAnsi="宋体"/>
          <w:bCs/>
          <w:color w:val="000000"/>
          <w:sz w:val="44"/>
          <w:highlight w:val="none"/>
        </w:rPr>
      </w:pPr>
      <w:bookmarkStart w:id="940" w:name="_Toc16707"/>
      <w:r>
        <w:rPr>
          <w:rFonts w:hint="eastAsia" w:ascii="宋体" w:hAnsi="宋体"/>
          <w:bCs/>
          <w:color w:val="000000"/>
          <w:sz w:val="44"/>
          <w:highlight w:val="none"/>
        </w:rPr>
        <w:t>第六章   响应文件（格式）</w:t>
      </w:r>
      <w:bookmarkEnd w:id="940"/>
    </w:p>
    <w:p w14:paraId="792C7089">
      <w:pPr>
        <w:spacing w:line="400" w:lineRule="exact"/>
        <w:rPr>
          <w:rFonts w:ascii="宋体" w:hAnsi="宋体"/>
          <w:color w:val="000000"/>
          <w:highlight w:val="none"/>
        </w:rPr>
      </w:pPr>
    </w:p>
    <w:p w14:paraId="03B3E2F8">
      <w:pPr>
        <w:spacing w:line="400" w:lineRule="exact"/>
        <w:rPr>
          <w:rFonts w:ascii="宋体" w:hAnsi="宋体"/>
          <w:color w:val="000000"/>
          <w:highlight w:val="none"/>
        </w:rPr>
      </w:pPr>
    </w:p>
    <w:p w14:paraId="0B43AC86">
      <w:pPr>
        <w:autoSpaceDE w:val="0"/>
        <w:autoSpaceDN w:val="0"/>
        <w:spacing w:line="360" w:lineRule="auto"/>
        <w:rPr>
          <w:rFonts w:hint="eastAsia" w:ascii="宋体" w:hAnsi="宋体"/>
          <w:color w:val="000000"/>
          <w:szCs w:val="21"/>
          <w:highlight w:val="none"/>
          <w:lang w:val="zh-CN"/>
        </w:rPr>
      </w:pPr>
      <w:r>
        <w:rPr>
          <w:rFonts w:hint="eastAsia" w:ascii="宋体" w:hAnsi="宋体"/>
          <w:color w:val="000000"/>
          <w:szCs w:val="21"/>
          <w:highlight w:val="none"/>
          <w:lang w:val="zh-CN"/>
        </w:rPr>
        <w:t>说明：</w:t>
      </w:r>
    </w:p>
    <w:p w14:paraId="71836A47">
      <w:pPr>
        <w:pStyle w:val="44"/>
        <w:spacing w:line="400" w:lineRule="exact"/>
        <w:ind w:left="315" w:hanging="315" w:hangingChars="150"/>
        <w:rPr>
          <w:rFonts w:hAnsi="宋体"/>
          <w:color w:val="000000"/>
          <w:highlight w:val="none"/>
          <w:lang w:val="zh-CN"/>
        </w:rPr>
      </w:pPr>
      <w:r>
        <w:rPr>
          <w:rFonts w:hAnsi="宋体"/>
          <w:color w:val="000000"/>
          <w:highlight w:val="none"/>
          <w:lang w:val="zh-CN"/>
        </w:rPr>
        <w:t>1、</w:t>
      </w:r>
      <w:r>
        <w:rPr>
          <w:rFonts w:hAnsi="宋体"/>
          <w:color w:val="000000"/>
          <w:highlight w:val="none"/>
        </w:rPr>
        <w:t>本章所列的响应文件格式</w:t>
      </w:r>
      <w:r>
        <w:rPr>
          <w:rFonts w:hAnsi="宋体"/>
          <w:color w:val="000000"/>
          <w:highlight w:val="none"/>
          <w:lang w:val="zh-CN"/>
        </w:rPr>
        <w:t>，供应商可根据自身情况进行补充和修改、扩展，但补充和修改不得造成与本章格式内容有实质性的违背。</w:t>
      </w:r>
    </w:p>
    <w:p w14:paraId="0BE97E37">
      <w:pPr>
        <w:pStyle w:val="44"/>
        <w:spacing w:line="400" w:lineRule="exact"/>
        <w:ind w:left="315" w:hanging="315" w:hangingChars="150"/>
        <w:rPr>
          <w:rFonts w:hAnsi="宋体"/>
          <w:color w:val="000000"/>
          <w:highlight w:val="none"/>
          <w:lang w:val="zh-CN"/>
        </w:rPr>
      </w:pPr>
      <w:r>
        <w:rPr>
          <w:rFonts w:hAnsi="宋体"/>
          <w:color w:val="000000"/>
          <w:highlight w:val="none"/>
          <w:lang w:val="zh-CN"/>
        </w:rPr>
        <w:t>2、</w:t>
      </w:r>
      <w:r>
        <w:rPr>
          <w:rFonts w:hAnsi="宋体"/>
          <w:color w:val="000000"/>
          <w:highlight w:val="none"/>
        </w:rPr>
        <w:t>目录由供应商自拟</w:t>
      </w:r>
      <w:r>
        <w:rPr>
          <w:rFonts w:hAnsi="宋体"/>
          <w:color w:val="000000"/>
          <w:highlight w:val="none"/>
          <w:lang w:val="zh-CN"/>
        </w:rPr>
        <w:t>。</w:t>
      </w:r>
    </w:p>
    <w:p w14:paraId="1F052A6A">
      <w:pPr>
        <w:pStyle w:val="44"/>
        <w:spacing w:line="400" w:lineRule="exact"/>
        <w:ind w:left="315" w:hanging="315" w:hangingChars="150"/>
        <w:rPr>
          <w:rFonts w:hAnsi="宋体"/>
          <w:color w:val="000000"/>
          <w:highlight w:val="none"/>
          <w:lang w:val="zh-CN"/>
        </w:rPr>
      </w:pPr>
      <w:r>
        <w:rPr>
          <w:rFonts w:hAnsi="宋体"/>
          <w:color w:val="000000"/>
          <w:highlight w:val="none"/>
          <w:lang w:val="zh-CN"/>
        </w:rPr>
        <w:t>3、</w:t>
      </w:r>
      <w:r>
        <w:rPr>
          <w:rFonts w:hAnsi="宋体"/>
          <w:color w:val="000000"/>
          <w:highlight w:val="none"/>
        </w:rPr>
        <w:t>供应商</w:t>
      </w:r>
      <w:r>
        <w:rPr>
          <w:rFonts w:hAnsi="宋体"/>
          <w:color w:val="000000"/>
          <w:highlight w:val="none"/>
          <w:lang w:val="zh-CN"/>
        </w:rPr>
        <w:t>资格证明文件按</w:t>
      </w:r>
      <w:r>
        <w:rPr>
          <w:rFonts w:hAnsi="宋体"/>
          <w:color w:val="000000"/>
          <w:highlight w:val="none"/>
        </w:rPr>
        <w:t>供应商</w:t>
      </w:r>
      <w:r>
        <w:rPr>
          <w:rFonts w:hAnsi="宋体"/>
          <w:color w:val="000000"/>
          <w:highlight w:val="none"/>
          <w:lang w:val="zh-CN"/>
        </w:rPr>
        <w:t>须知要求提供。</w:t>
      </w:r>
    </w:p>
    <w:p w14:paraId="424326C9">
      <w:pPr>
        <w:pStyle w:val="44"/>
        <w:spacing w:line="400" w:lineRule="exact"/>
        <w:ind w:left="315" w:hanging="315" w:hangingChars="150"/>
        <w:rPr>
          <w:rFonts w:hAnsi="宋体"/>
          <w:color w:val="000000"/>
          <w:highlight w:val="none"/>
          <w:lang w:val="zh-CN"/>
        </w:rPr>
      </w:pPr>
      <w:r>
        <w:rPr>
          <w:rFonts w:hAnsi="宋体"/>
          <w:color w:val="000000"/>
          <w:highlight w:val="none"/>
          <w:lang w:val="zh-CN"/>
        </w:rPr>
        <w:t>4、《</w:t>
      </w:r>
      <w:r>
        <w:rPr>
          <w:rFonts w:hAnsi="宋体"/>
          <w:color w:val="000000"/>
          <w:highlight w:val="none"/>
        </w:rPr>
        <w:t>法定代表人（负责人）</w:t>
      </w:r>
      <w:r>
        <w:rPr>
          <w:rFonts w:hAnsi="宋体"/>
          <w:color w:val="000000"/>
          <w:highlight w:val="none"/>
          <w:lang w:val="zh-CN"/>
        </w:rPr>
        <w:t>授权委托书》填写说明：</w:t>
      </w:r>
    </w:p>
    <w:p w14:paraId="4998B26A">
      <w:pPr>
        <w:pStyle w:val="44"/>
        <w:spacing w:line="400" w:lineRule="exact"/>
        <w:ind w:left="540" w:leftChars="107" w:hanging="315" w:hangingChars="150"/>
        <w:rPr>
          <w:rFonts w:hAnsi="宋体"/>
          <w:bCs/>
          <w:color w:val="000000"/>
          <w:highlight w:val="none"/>
        </w:rPr>
      </w:pPr>
      <w:r>
        <w:rPr>
          <w:rFonts w:hAnsi="宋体"/>
          <w:bCs/>
          <w:color w:val="000000"/>
          <w:highlight w:val="none"/>
        </w:rPr>
        <w:t>1）委托书所签发的代理期限必须涵盖代理人所有签字为有效时间。</w:t>
      </w:r>
    </w:p>
    <w:p w14:paraId="05B29F15">
      <w:pPr>
        <w:pStyle w:val="44"/>
        <w:spacing w:line="400" w:lineRule="exact"/>
        <w:ind w:left="540" w:leftChars="107" w:hanging="315" w:hangingChars="150"/>
        <w:rPr>
          <w:rFonts w:hAnsi="宋体"/>
          <w:bCs/>
          <w:color w:val="000000"/>
          <w:highlight w:val="none"/>
        </w:rPr>
      </w:pPr>
      <w:r>
        <w:rPr>
          <w:rFonts w:hAnsi="宋体"/>
          <w:bCs/>
          <w:color w:val="000000"/>
          <w:highlight w:val="none"/>
        </w:rPr>
        <w:t>2）委托书内容填写要明确，文字要工整清楚，涂改无效。</w:t>
      </w:r>
    </w:p>
    <w:p w14:paraId="5557B006">
      <w:pPr>
        <w:pStyle w:val="44"/>
        <w:spacing w:line="400" w:lineRule="exact"/>
        <w:ind w:left="540" w:leftChars="107" w:hanging="315" w:hangingChars="150"/>
        <w:rPr>
          <w:rFonts w:hAnsi="宋体"/>
          <w:bCs/>
          <w:color w:val="000000"/>
          <w:highlight w:val="none"/>
        </w:rPr>
      </w:pPr>
      <w:r>
        <w:rPr>
          <w:rFonts w:hAnsi="宋体"/>
          <w:bCs/>
          <w:color w:val="000000"/>
          <w:highlight w:val="none"/>
        </w:rPr>
        <w:t>3）委托书不得转借、转让，不得买卖。</w:t>
      </w:r>
    </w:p>
    <w:p w14:paraId="472A0BB8">
      <w:pPr>
        <w:pStyle w:val="44"/>
        <w:spacing w:line="400" w:lineRule="exact"/>
        <w:ind w:left="540" w:leftChars="107" w:hanging="315" w:hangingChars="150"/>
        <w:rPr>
          <w:rFonts w:hAnsi="宋体"/>
          <w:bCs/>
          <w:color w:val="000000"/>
          <w:highlight w:val="none"/>
        </w:rPr>
      </w:pPr>
      <w:r>
        <w:rPr>
          <w:rFonts w:hAnsi="宋体"/>
          <w:bCs/>
          <w:color w:val="000000"/>
          <w:highlight w:val="none"/>
        </w:rPr>
        <w:t>4）代理人根据授权范围，以委托单位的名义签订合同，并将此委托书提交给对方作为合同附件。</w:t>
      </w:r>
    </w:p>
    <w:p w14:paraId="6EF9387C">
      <w:pPr>
        <w:pStyle w:val="44"/>
        <w:spacing w:line="400" w:lineRule="exact"/>
        <w:ind w:left="315" w:hanging="315" w:hangingChars="150"/>
        <w:rPr>
          <w:rFonts w:hAnsi="宋体"/>
          <w:color w:val="000000"/>
          <w:highlight w:val="none"/>
          <w:lang w:val="zh-CN"/>
        </w:rPr>
      </w:pPr>
    </w:p>
    <w:p w14:paraId="62C7443E">
      <w:pPr>
        <w:widowControl/>
        <w:jc w:val="left"/>
        <w:rPr>
          <w:rFonts w:ascii="宋体" w:hAnsi="宋体"/>
          <w:color w:val="000000"/>
          <w:highlight w:val="none"/>
        </w:rPr>
      </w:pPr>
      <w:r>
        <w:rPr>
          <w:rFonts w:ascii="宋体" w:hAnsi="宋体"/>
          <w:color w:val="000000"/>
          <w:highlight w:val="none"/>
        </w:rPr>
        <w:br w:type="page"/>
      </w:r>
    </w:p>
    <w:p w14:paraId="3F7BEE47">
      <w:pPr>
        <w:pStyle w:val="44"/>
        <w:spacing w:line="400" w:lineRule="exact"/>
        <w:rPr>
          <w:rFonts w:hAnsi="宋体"/>
          <w:color w:val="000000"/>
          <w:sz w:val="36"/>
          <w:szCs w:val="36"/>
          <w:highlight w:val="none"/>
        </w:rPr>
      </w:pPr>
    </w:p>
    <w:p w14:paraId="53F89770">
      <w:pPr>
        <w:rPr>
          <w:rFonts w:ascii="宋体" w:hAnsi="宋体"/>
          <w:color w:val="000000"/>
          <w:highlight w:val="none"/>
        </w:rPr>
      </w:pPr>
    </w:p>
    <w:p w14:paraId="546D6C8D">
      <w:pPr>
        <w:pStyle w:val="37"/>
        <w:rPr>
          <w:rFonts w:ascii="宋体" w:hAnsi="宋体"/>
          <w:color w:val="000000"/>
          <w:highlight w:val="none"/>
        </w:rPr>
      </w:pPr>
    </w:p>
    <w:p w14:paraId="2D2CA999">
      <w:pPr>
        <w:pStyle w:val="37"/>
        <w:rPr>
          <w:rFonts w:ascii="宋体" w:hAnsi="宋体"/>
          <w:color w:val="000000"/>
          <w:highlight w:val="none"/>
        </w:rPr>
      </w:pPr>
    </w:p>
    <w:p w14:paraId="6FEEF5C5">
      <w:pPr>
        <w:pStyle w:val="37"/>
        <w:rPr>
          <w:rFonts w:ascii="宋体" w:hAnsi="宋体"/>
          <w:color w:val="000000"/>
          <w:highlight w:val="none"/>
        </w:rPr>
      </w:pPr>
    </w:p>
    <w:p w14:paraId="4CEE24C2">
      <w:pPr>
        <w:pStyle w:val="37"/>
        <w:rPr>
          <w:rFonts w:ascii="宋体" w:hAnsi="宋体"/>
          <w:color w:val="000000"/>
          <w:highlight w:val="none"/>
        </w:rPr>
      </w:pPr>
    </w:p>
    <w:p w14:paraId="72872F06">
      <w:pPr>
        <w:pStyle w:val="37"/>
        <w:rPr>
          <w:rFonts w:ascii="宋体" w:hAnsi="宋体"/>
          <w:color w:val="000000"/>
          <w:highlight w:val="none"/>
        </w:rPr>
      </w:pPr>
    </w:p>
    <w:p w14:paraId="6E31CB04">
      <w:pPr>
        <w:pStyle w:val="44"/>
        <w:spacing w:line="400" w:lineRule="exact"/>
        <w:jc w:val="center"/>
        <w:rPr>
          <w:rFonts w:hAnsi="宋体"/>
          <w:b/>
          <w:color w:val="000000"/>
          <w:sz w:val="36"/>
          <w:szCs w:val="36"/>
          <w:highlight w:val="none"/>
        </w:rPr>
      </w:pPr>
    </w:p>
    <w:p w14:paraId="36C9694F">
      <w:pPr>
        <w:pStyle w:val="44"/>
        <w:jc w:val="center"/>
        <w:rPr>
          <w:rFonts w:hAnsi="宋体"/>
          <w:b/>
          <w:color w:val="000000"/>
          <w:sz w:val="36"/>
          <w:szCs w:val="36"/>
          <w:highlight w:val="none"/>
        </w:rPr>
      </w:pPr>
      <w:r>
        <w:rPr>
          <w:rFonts w:hAnsi="宋体"/>
          <w:b/>
          <w:color w:val="000000"/>
          <w:sz w:val="36"/>
          <w:szCs w:val="36"/>
          <w:highlight w:val="none"/>
        </w:rPr>
        <w:t>（项目名称：）</w:t>
      </w:r>
    </w:p>
    <w:p w14:paraId="19AA776D">
      <w:pPr>
        <w:rPr>
          <w:rFonts w:ascii="宋体" w:hAnsi="宋体"/>
          <w:color w:val="000000"/>
          <w:highlight w:val="none"/>
        </w:rPr>
      </w:pPr>
    </w:p>
    <w:p w14:paraId="1984F145">
      <w:pPr>
        <w:pStyle w:val="44"/>
        <w:jc w:val="center"/>
        <w:rPr>
          <w:rFonts w:hAnsi="宋体"/>
          <w:b/>
          <w:color w:val="000000"/>
          <w:sz w:val="36"/>
          <w:szCs w:val="36"/>
          <w:highlight w:val="none"/>
        </w:rPr>
      </w:pPr>
      <w:r>
        <w:rPr>
          <w:rFonts w:hAnsi="宋体"/>
          <w:b/>
          <w:color w:val="000000"/>
          <w:sz w:val="36"/>
          <w:szCs w:val="36"/>
          <w:highlight w:val="none"/>
        </w:rPr>
        <w:t>（项目编号：）</w:t>
      </w:r>
    </w:p>
    <w:p w14:paraId="27B6F3D1">
      <w:pPr>
        <w:pStyle w:val="44"/>
        <w:jc w:val="center"/>
        <w:rPr>
          <w:rFonts w:hAnsi="宋体"/>
          <w:b/>
          <w:color w:val="000000"/>
          <w:sz w:val="36"/>
          <w:szCs w:val="36"/>
          <w:highlight w:val="none"/>
        </w:rPr>
      </w:pPr>
    </w:p>
    <w:p w14:paraId="44E2D4BB">
      <w:pPr>
        <w:pStyle w:val="44"/>
        <w:jc w:val="center"/>
        <w:rPr>
          <w:rFonts w:hAnsi="宋体"/>
          <w:b/>
          <w:color w:val="000000"/>
          <w:sz w:val="36"/>
          <w:szCs w:val="36"/>
          <w:highlight w:val="none"/>
        </w:rPr>
      </w:pPr>
    </w:p>
    <w:p w14:paraId="00A12BC9">
      <w:pPr>
        <w:pStyle w:val="44"/>
        <w:jc w:val="center"/>
        <w:rPr>
          <w:rFonts w:hAnsi="宋体"/>
          <w:b/>
          <w:color w:val="000000"/>
          <w:sz w:val="72"/>
          <w:szCs w:val="72"/>
          <w:highlight w:val="none"/>
        </w:rPr>
      </w:pPr>
      <w:r>
        <w:rPr>
          <w:rFonts w:hAnsi="宋体"/>
          <w:b/>
          <w:color w:val="000000"/>
          <w:sz w:val="72"/>
          <w:szCs w:val="72"/>
          <w:highlight w:val="none"/>
        </w:rPr>
        <w:t>响应文件</w:t>
      </w:r>
    </w:p>
    <w:p w14:paraId="589BDE45">
      <w:pPr>
        <w:pStyle w:val="44"/>
        <w:rPr>
          <w:rFonts w:hAnsi="宋体"/>
          <w:b/>
          <w:color w:val="000000"/>
          <w:sz w:val="36"/>
          <w:szCs w:val="36"/>
          <w:highlight w:val="none"/>
        </w:rPr>
      </w:pPr>
    </w:p>
    <w:p w14:paraId="01AF6DB4">
      <w:pPr>
        <w:rPr>
          <w:rFonts w:ascii="宋体" w:hAnsi="宋体"/>
          <w:color w:val="000000"/>
          <w:highlight w:val="none"/>
        </w:rPr>
      </w:pPr>
    </w:p>
    <w:p w14:paraId="77B1F081">
      <w:pPr>
        <w:pStyle w:val="44"/>
        <w:rPr>
          <w:rFonts w:hAnsi="宋体"/>
          <w:b/>
          <w:color w:val="000000"/>
          <w:sz w:val="36"/>
          <w:szCs w:val="36"/>
          <w:highlight w:val="none"/>
        </w:rPr>
      </w:pPr>
    </w:p>
    <w:p w14:paraId="3022B18C">
      <w:pPr>
        <w:pStyle w:val="44"/>
        <w:rPr>
          <w:rFonts w:hAnsi="宋体"/>
          <w:b/>
          <w:color w:val="000000"/>
          <w:sz w:val="36"/>
          <w:szCs w:val="36"/>
          <w:highlight w:val="none"/>
        </w:rPr>
      </w:pPr>
    </w:p>
    <w:p w14:paraId="717C9718">
      <w:pPr>
        <w:pStyle w:val="44"/>
        <w:spacing w:line="800" w:lineRule="exact"/>
        <w:ind w:firstLine="803" w:firstLineChars="250"/>
        <w:rPr>
          <w:rFonts w:hAnsi="宋体"/>
          <w:b/>
          <w:color w:val="000000"/>
          <w:sz w:val="32"/>
          <w:szCs w:val="32"/>
          <w:highlight w:val="none"/>
        </w:rPr>
      </w:pPr>
      <w:r>
        <w:rPr>
          <w:rFonts w:hAnsi="宋体"/>
          <w:b/>
          <w:color w:val="000000"/>
          <w:sz w:val="32"/>
          <w:szCs w:val="32"/>
          <w:highlight w:val="none"/>
        </w:rPr>
        <w:t>供应商名称(CA电子签章）：</w:t>
      </w:r>
    </w:p>
    <w:p w14:paraId="79677DCD">
      <w:pPr>
        <w:pStyle w:val="44"/>
        <w:spacing w:line="800" w:lineRule="exact"/>
        <w:rPr>
          <w:rFonts w:hAnsi="宋体"/>
          <w:b/>
          <w:color w:val="000000"/>
          <w:sz w:val="32"/>
          <w:szCs w:val="32"/>
          <w:highlight w:val="none"/>
        </w:rPr>
      </w:pPr>
    </w:p>
    <w:p w14:paraId="45BC55A4">
      <w:pPr>
        <w:pStyle w:val="44"/>
        <w:spacing w:line="800" w:lineRule="exact"/>
        <w:ind w:firstLine="803" w:firstLineChars="250"/>
        <w:rPr>
          <w:rFonts w:hAnsi="宋体"/>
          <w:b/>
          <w:color w:val="000000"/>
          <w:sz w:val="32"/>
          <w:szCs w:val="32"/>
          <w:highlight w:val="none"/>
        </w:rPr>
      </w:pPr>
      <w:r>
        <w:rPr>
          <w:rFonts w:hAnsi="宋体"/>
          <w:b/>
          <w:color w:val="000000"/>
          <w:sz w:val="32"/>
          <w:szCs w:val="32"/>
          <w:highlight w:val="none"/>
        </w:rPr>
        <w:t>联系人及联系电话：</w:t>
      </w:r>
    </w:p>
    <w:p w14:paraId="738B9299">
      <w:pPr>
        <w:pStyle w:val="44"/>
        <w:spacing w:line="500" w:lineRule="exact"/>
        <w:ind w:firstLine="643" w:firstLineChars="200"/>
        <w:rPr>
          <w:rFonts w:hAnsi="宋体"/>
          <w:b/>
          <w:color w:val="000000"/>
          <w:sz w:val="32"/>
          <w:szCs w:val="32"/>
          <w:highlight w:val="none"/>
        </w:rPr>
      </w:pPr>
    </w:p>
    <w:p w14:paraId="4A9069AF">
      <w:pPr>
        <w:pStyle w:val="44"/>
        <w:spacing w:line="500" w:lineRule="exact"/>
        <w:ind w:firstLine="643" w:firstLineChars="200"/>
        <w:rPr>
          <w:rFonts w:hAnsi="宋体"/>
          <w:b/>
          <w:color w:val="000000"/>
          <w:sz w:val="32"/>
          <w:szCs w:val="32"/>
          <w:highlight w:val="none"/>
        </w:rPr>
      </w:pPr>
    </w:p>
    <w:p w14:paraId="0119C637">
      <w:pPr>
        <w:pStyle w:val="44"/>
        <w:spacing w:line="500" w:lineRule="exact"/>
        <w:ind w:firstLine="803" w:firstLineChars="250"/>
        <w:rPr>
          <w:rFonts w:hAnsi="宋体"/>
          <w:b/>
          <w:color w:val="000000"/>
          <w:sz w:val="32"/>
          <w:szCs w:val="32"/>
          <w:highlight w:val="none"/>
        </w:rPr>
      </w:pPr>
      <w:r>
        <w:rPr>
          <w:rFonts w:hAnsi="宋体"/>
          <w:b/>
          <w:color w:val="000000"/>
          <w:sz w:val="32"/>
          <w:szCs w:val="32"/>
          <w:highlight w:val="none"/>
        </w:rPr>
        <w:t>磋商日期：       年      月     日</w:t>
      </w:r>
      <w:r>
        <w:rPr>
          <w:rFonts w:hAnsi="宋体"/>
          <w:color w:val="000000"/>
          <w:szCs w:val="24"/>
          <w:highlight w:val="none"/>
        </w:rPr>
        <w:br w:type="page"/>
      </w:r>
    </w:p>
    <w:p w14:paraId="1E244282">
      <w:pPr>
        <w:pStyle w:val="44"/>
        <w:spacing w:line="460" w:lineRule="exact"/>
        <w:jc w:val="center"/>
        <w:rPr>
          <w:rFonts w:hAnsi="宋体"/>
          <w:b/>
          <w:color w:val="000000"/>
          <w:sz w:val="32"/>
          <w:highlight w:val="none"/>
        </w:rPr>
      </w:pPr>
      <w:r>
        <w:rPr>
          <w:rFonts w:hAnsi="宋体"/>
          <w:b/>
          <w:color w:val="000000"/>
          <w:sz w:val="32"/>
          <w:highlight w:val="none"/>
        </w:rPr>
        <w:t>磋商函（格式）</w:t>
      </w:r>
    </w:p>
    <w:p w14:paraId="162192D7">
      <w:pPr>
        <w:pStyle w:val="44"/>
        <w:spacing w:line="440" w:lineRule="exact"/>
        <w:rPr>
          <w:rFonts w:hAnsi="宋体"/>
          <w:color w:val="000000"/>
          <w:sz w:val="24"/>
          <w:szCs w:val="24"/>
          <w:highlight w:val="none"/>
        </w:rPr>
      </w:pPr>
      <w:r>
        <w:rPr>
          <w:rFonts w:hAnsi="宋体"/>
          <w:color w:val="000000"/>
          <w:sz w:val="24"/>
          <w:szCs w:val="24"/>
          <w:highlight w:val="none"/>
        </w:rPr>
        <w:t>致：</w:t>
      </w:r>
      <w:r>
        <w:rPr>
          <w:rFonts w:hint="eastAsia" w:hAnsi="宋体"/>
          <w:color w:val="000000"/>
          <w:sz w:val="24"/>
          <w:szCs w:val="24"/>
          <w:highlight w:val="none"/>
          <w:lang w:eastAsia="zh-CN"/>
        </w:rPr>
        <w:t>梧州市丰胜工程咨询有限公司</w:t>
      </w:r>
    </w:p>
    <w:p w14:paraId="3C1EDDF1">
      <w:pPr>
        <w:pStyle w:val="44"/>
        <w:spacing w:line="440" w:lineRule="exact"/>
        <w:ind w:left="210" w:leftChars="100" w:firstLine="420" w:firstLineChars="200"/>
        <w:rPr>
          <w:rFonts w:hAnsi="宋体"/>
          <w:color w:val="000000"/>
          <w:highlight w:val="none"/>
        </w:rPr>
      </w:pPr>
      <w:r>
        <w:rPr>
          <w:rFonts w:hAnsi="宋体"/>
          <w:color w:val="000000"/>
          <w:highlight w:val="none"/>
        </w:rPr>
        <w:t>根据贵方</w:t>
      </w:r>
      <w:r>
        <w:rPr>
          <w:rFonts w:hAnsi="宋体"/>
          <w:color w:val="000000"/>
          <w:highlight w:val="none"/>
          <w:u w:val="single"/>
        </w:rPr>
        <w:t xml:space="preserve">  （项目名称）     </w:t>
      </w:r>
      <w:r>
        <w:rPr>
          <w:rFonts w:hAnsi="宋体"/>
          <w:color w:val="000000"/>
          <w:highlight w:val="none"/>
        </w:rPr>
        <w:t xml:space="preserve">竞争性磋商文件，项目编号： </w:t>
      </w:r>
      <w:r>
        <w:rPr>
          <w:rFonts w:hAnsi="宋体"/>
          <w:color w:val="000000"/>
          <w:highlight w:val="none"/>
          <w:u w:val="single"/>
        </w:rPr>
        <w:t xml:space="preserve">           </w:t>
      </w:r>
      <w:r>
        <w:rPr>
          <w:rFonts w:hAnsi="宋体"/>
          <w:color w:val="000000"/>
          <w:highlight w:val="none"/>
        </w:rPr>
        <w:t>，下述签字代表</w:t>
      </w:r>
      <w:r>
        <w:rPr>
          <w:rFonts w:hAnsi="宋体"/>
          <w:color w:val="000000"/>
          <w:highlight w:val="none"/>
          <w:u w:val="single"/>
        </w:rPr>
        <w:t xml:space="preserve">   （姓名和职务） </w:t>
      </w:r>
      <w:r>
        <w:rPr>
          <w:rFonts w:hAnsi="宋体"/>
          <w:color w:val="000000"/>
          <w:highlight w:val="none"/>
        </w:rPr>
        <w:t>代表供应商</w:t>
      </w:r>
      <w:r>
        <w:rPr>
          <w:rFonts w:hAnsi="宋体"/>
          <w:color w:val="000000"/>
          <w:highlight w:val="none"/>
          <w:u w:val="single"/>
        </w:rPr>
        <w:t xml:space="preserve">  （单位名称）  </w:t>
      </w:r>
      <w:r>
        <w:rPr>
          <w:rFonts w:hAnsi="宋体"/>
          <w:color w:val="000000"/>
          <w:highlight w:val="none"/>
        </w:rPr>
        <w:t>，提交电子加密响应文件。</w:t>
      </w:r>
    </w:p>
    <w:p w14:paraId="61453FE6">
      <w:pPr>
        <w:spacing w:line="480" w:lineRule="exact"/>
        <w:ind w:firstLine="735" w:firstLineChars="350"/>
        <w:rPr>
          <w:rFonts w:hint="eastAsia" w:ascii="宋体" w:hAnsi="宋体"/>
          <w:color w:val="000000"/>
          <w:kern w:val="1"/>
          <w:szCs w:val="21"/>
          <w:highlight w:val="none"/>
        </w:rPr>
      </w:pPr>
      <w:r>
        <w:rPr>
          <w:rFonts w:hint="eastAsia" w:ascii="宋体" w:hAnsi="宋体"/>
          <w:color w:val="000000"/>
          <w:kern w:val="1"/>
          <w:szCs w:val="21"/>
          <w:highlight w:val="none"/>
        </w:rPr>
        <w:t>我单位在考察现场并充分研究</w:t>
      </w:r>
      <w:r>
        <w:rPr>
          <w:rFonts w:hint="eastAsia" w:ascii="宋体" w:hAnsi="宋体"/>
          <w:color w:val="000000"/>
          <w:kern w:val="1"/>
          <w:szCs w:val="21"/>
          <w:highlight w:val="none"/>
          <w:u w:val="single"/>
        </w:rPr>
        <w:t xml:space="preserve">       （项目名称）  </w:t>
      </w:r>
      <w:r>
        <w:rPr>
          <w:rFonts w:hint="eastAsia" w:ascii="宋体" w:hAnsi="宋体"/>
          <w:color w:val="000000"/>
          <w:kern w:val="1"/>
          <w:szCs w:val="21"/>
          <w:highlight w:val="none"/>
        </w:rPr>
        <w:t>（以下简称“本工程”）竞争性磋商文件的全部内容后，我方兹以：</w:t>
      </w:r>
      <w:r>
        <w:rPr>
          <w:rFonts w:hint="eastAsia" w:ascii="宋体" w:hAnsi="宋体"/>
          <w:color w:val="000000"/>
          <w:szCs w:val="21"/>
          <w:highlight w:val="none"/>
          <w:u w:val="single"/>
        </w:rPr>
        <w:t>人民币（大写）          元（￥          ）为磋商总报价。</w:t>
      </w:r>
      <w:r>
        <w:rPr>
          <w:rFonts w:hint="eastAsia" w:hAnsi="宋体"/>
          <w:color w:val="000000"/>
          <w:highlight w:val="none"/>
        </w:rPr>
        <w:t>按图纸、工程建设标准、合同约定实施和完成承包工程，修补该工程中任何缺陷，工程质量达到</w:t>
      </w:r>
      <w:r>
        <w:rPr>
          <w:rFonts w:hint="eastAsia" w:hAnsi="宋体"/>
          <w:color w:val="000000"/>
          <w:highlight w:val="none"/>
          <w:u w:val="single"/>
        </w:rPr>
        <w:t xml:space="preserve">             </w:t>
      </w:r>
      <w:r>
        <w:rPr>
          <w:rFonts w:hint="eastAsia" w:ascii="宋体" w:hAnsi="宋体"/>
          <w:color w:val="000000"/>
          <w:kern w:val="1"/>
          <w:szCs w:val="21"/>
          <w:highlight w:val="none"/>
        </w:rPr>
        <w:t>。</w:t>
      </w:r>
    </w:p>
    <w:p w14:paraId="76B4813F">
      <w:pPr>
        <w:spacing w:line="480" w:lineRule="exact"/>
        <w:ind w:firstLine="420"/>
        <w:rPr>
          <w:rFonts w:hint="eastAsia" w:ascii="宋体" w:hAnsi="宋体"/>
          <w:color w:val="000000"/>
          <w:kern w:val="1"/>
          <w:szCs w:val="21"/>
          <w:highlight w:val="none"/>
        </w:rPr>
      </w:pPr>
      <w:r>
        <w:rPr>
          <w:rFonts w:hint="eastAsia" w:ascii="宋体" w:hAnsi="宋体"/>
          <w:color w:val="000000"/>
          <w:kern w:val="1"/>
          <w:szCs w:val="21"/>
          <w:highlight w:val="none"/>
        </w:rPr>
        <w:t>如果我方成交，我方保证按采购人发出通知的时间进场施工，并开始计算工期，</w:t>
      </w:r>
      <w:r>
        <w:rPr>
          <w:rFonts w:hint="eastAsia" w:ascii="宋体" w:hAnsi="宋体"/>
          <w:color w:val="000000"/>
          <w:kern w:val="1"/>
          <w:szCs w:val="21"/>
          <w:highlight w:val="none"/>
          <w:u w:val="single"/>
        </w:rPr>
        <w:t xml:space="preserve">       </w:t>
      </w:r>
      <w:r>
        <w:rPr>
          <w:rFonts w:hint="eastAsia" w:ascii="宋体" w:hAnsi="宋体"/>
          <w:color w:val="000000"/>
          <w:kern w:val="1"/>
          <w:szCs w:val="21"/>
          <w:highlight w:val="none"/>
        </w:rPr>
        <w:t>日历天内竣工，并确保工程质量达到标准。我方同意本磋商函在竞争性磋商文件规定的提交响应文件截止时间后，在竞争性磋商文件规定的磋商有效期期满前对我方具有约束力，且随时准备接受你方发出的成交通知书。</w:t>
      </w:r>
    </w:p>
    <w:p w14:paraId="33C6A62F">
      <w:pPr>
        <w:spacing w:line="480" w:lineRule="exact"/>
        <w:ind w:firstLine="630" w:firstLineChars="300"/>
        <w:rPr>
          <w:rFonts w:hint="eastAsia" w:ascii="宋体" w:hAnsi="宋体"/>
          <w:color w:val="000000"/>
          <w:kern w:val="1"/>
          <w:szCs w:val="21"/>
          <w:highlight w:val="none"/>
        </w:rPr>
      </w:pPr>
      <w:r>
        <w:rPr>
          <w:rFonts w:hint="eastAsia" w:ascii="宋体" w:hAnsi="宋体"/>
          <w:color w:val="000000"/>
          <w:kern w:val="1"/>
          <w:szCs w:val="21"/>
          <w:highlight w:val="none"/>
        </w:rPr>
        <w:t>随本磋商函递交的磋商函附录是本磋商函的组成部分，对我方构成约束力。</w:t>
      </w:r>
    </w:p>
    <w:p w14:paraId="2242EB17">
      <w:pPr>
        <w:pStyle w:val="44"/>
        <w:spacing w:line="440" w:lineRule="exact"/>
        <w:ind w:left="101" w:leftChars="48" w:firstLine="520" w:firstLineChars="248"/>
        <w:rPr>
          <w:rFonts w:hAnsi="宋体"/>
          <w:color w:val="000000"/>
          <w:highlight w:val="none"/>
        </w:rPr>
      </w:pPr>
      <w:r>
        <w:rPr>
          <w:rFonts w:hAnsi="宋体"/>
          <w:color w:val="000000"/>
          <w:highlight w:val="none"/>
        </w:rPr>
        <w:t>据此函，签字代表宣布同意如下：</w:t>
      </w:r>
    </w:p>
    <w:p w14:paraId="4D4AEF75">
      <w:pPr>
        <w:pStyle w:val="44"/>
        <w:spacing w:line="440" w:lineRule="exact"/>
        <w:ind w:firstLine="420" w:firstLineChars="200"/>
        <w:rPr>
          <w:rFonts w:hAnsi="宋体"/>
          <w:color w:val="000000"/>
          <w:highlight w:val="none"/>
        </w:rPr>
      </w:pPr>
      <w:r>
        <w:rPr>
          <w:rFonts w:hAnsi="宋体"/>
          <w:color w:val="000000"/>
          <w:highlight w:val="none"/>
        </w:rPr>
        <w:t>1、我方承诺已经具备《中华人民共和国政府采购法》中规定的参加政府采购活动的供应商应当具备的条件：</w:t>
      </w:r>
    </w:p>
    <w:p w14:paraId="5B76B162">
      <w:pPr>
        <w:pStyle w:val="44"/>
        <w:spacing w:line="440" w:lineRule="exact"/>
        <w:ind w:firstLine="420" w:firstLineChars="200"/>
        <w:rPr>
          <w:rFonts w:hAnsi="宋体"/>
          <w:color w:val="000000"/>
          <w:highlight w:val="none"/>
        </w:rPr>
      </w:pPr>
      <w:r>
        <w:rPr>
          <w:rFonts w:hAnsi="宋体"/>
          <w:color w:val="000000"/>
          <w:highlight w:val="none"/>
        </w:rPr>
        <w:t>（1）具有独立承担民事责任的能力；</w:t>
      </w:r>
    </w:p>
    <w:p w14:paraId="7F3D3CBB">
      <w:pPr>
        <w:pStyle w:val="44"/>
        <w:spacing w:line="440" w:lineRule="exact"/>
        <w:ind w:firstLine="420" w:firstLineChars="200"/>
        <w:rPr>
          <w:rFonts w:hAnsi="宋体"/>
          <w:color w:val="000000"/>
          <w:highlight w:val="none"/>
        </w:rPr>
      </w:pPr>
      <w:r>
        <w:rPr>
          <w:rFonts w:hAnsi="宋体"/>
          <w:color w:val="000000"/>
          <w:highlight w:val="none"/>
        </w:rPr>
        <w:t>（2）具有良好的商业信誉和健全的财务会计制度；</w:t>
      </w:r>
    </w:p>
    <w:p w14:paraId="55EA11C1">
      <w:pPr>
        <w:pStyle w:val="44"/>
        <w:spacing w:line="440" w:lineRule="exact"/>
        <w:ind w:firstLine="420" w:firstLineChars="200"/>
        <w:rPr>
          <w:rFonts w:hAnsi="宋体"/>
          <w:color w:val="000000"/>
          <w:highlight w:val="none"/>
        </w:rPr>
      </w:pPr>
      <w:r>
        <w:rPr>
          <w:rFonts w:hAnsi="宋体"/>
          <w:color w:val="000000"/>
          <w:highlight w:val="none"/>
        </w:rPr>
        <w:t>（3）具有履行合同所必需的设备和专业技术能力；</w:t>
      </w:r>
    </w:p>
    <w:p w14:paraId="0E726B08">
      <w:pPr>
        <w:pStyle w:val="44"/>
        <w:spacing w:line="440" w:lineRule="exact"/>
        <w:ind w:firstLine="420" w:firstLineChars="200"/>
        <w:rPr>
          <w:rFonts w:hAnsi="宋体"/>
          <w:color w:val="000000"/>
          <w:highlight w:val="none"/>
        </w:rPr>
      </w:pPr>
      <w:r>
        <w:rPr>
          <w:rFonts w:hAnsi="宋体"/>
          <w:color w:val="000000"/>
          <w:highlight w:val="none"/>
        </w:rPr>
        <w:t>（4）有依法缴纳税收和社会保障资金的良好记录；</w:t>
      </w:r>
    </w:p>
    <w:p w14:paraId="5603764B">
      <w:pPr>
        <w:pStyle w:val="44"/>
        <w:spacing w:line="440" w:lineRule="exact"/>
        <w:ind w:firstLine="420" w:firstLineChars="200"/>
        <w:rPr>
          <w:rFonts w:hAnsi="宋体"/>
          <w:color w:val="000000"/>
          <w:highlight w:val="none"/>
        </w:rPr>
      </w:pPr>
      <w:r>
        <w:rPr>
          <w:rFonts w:hAnsi="宋体"/>
          <w:color w:val="000000"/>
          <w:highlight w:val="none"/>
        </w:rPr>
        <w:t>（5）参加此项采购活动前三年内，在经营活动中没有重大违法记录。</w:t>
      </w:r>
    </w:p>
    <w:p w14:paraId="3E8675CA">
      <w:pPr>
        <w:pStyle w:val="44"/>
        <w:spacing w:line="440" w:lineRule="exact"/>
        <w:ind w:firstLine="420"/>
        <w:rPr>
          <w:rFonts w:hAnsi="宋体"/>
          <w:color w:val="000000"/>
          <w:highlight w:val="none"/>
        </w:rPr>
      </w:pPr>
      <w:r>
        <w:rPr>
          <w:rFonts w:hAnsi="宋体"/>
          <w:color w:val="000000"/>
          <w:highlight w:val="none"/>
        </w:rPr>
        <w:t>2、我方已详细审查全部磋商文件，包括修改文件（如有的话）以及全部参考资料和有关附件，已经了解我方对于竞争性磋商文件、采购过程、采购结果有依法进行询问、质疑、投诉的权利及相关渠道和要求。</w:t>
      </w:r>
    </w:p>
    <w:p w14:paraId="48471776">
      <w:pPr>
        <w:pStyle w:val="44"/>
        <w:spacing w:line="440" w:lineRule="exact"/>
        <w:ind w:firstLine="420"/>
        <w:rPr>
          <w:rFonts w:hAnsi="宋体"/>
          <w:color w:val="000000"/>
          <w:highlight w:val="none"/>
        </w:rPr>
      </w:pPr>
      <w:r>
        <w:rPr>
          <w:rFonts w:hAnsi="宋体"/>
          <w:color w:val="000000"/>
          <w:highlight w:val="none"/>
        </w:rPr>
        <w:t>3、我方在磋商之前已经与贵方进行了充分的沟通，完全理解并接受磋商文件的各项规定和要求，对磋商文件的合理性、合法性不再有异议。</w:t>
      </w:r>
    </w:p>
    <w:p w14:paraId="0874056B">
      <w:pPr>
        <w:pStyle w:val="44"/>
        <w:spacing w:line="440" w:lineRule="exact"/>
        <w:ind w:firstLine="420"/>
        <w:rPr>
          <w:rFonts w:hAnsi="宋体"/>
          <w:color w:val="000000"/>
          <w:highlight w:val="none"/>
        </w:rPr>
      </w:pPr>
      <w:r>
        <w:rPr>
          <w:rFonts w:hAnsi="宋体"/>
          <w:color w:val="000000"/>
          <w:highlight w:val="none"/>
        </w:rPr>
        <w:t>4、响应文件从响应截止日起60天内有效。</w:t>
      </w:r>
    </w:p>
    <w:p w14:paraId="1BCDE003">
      <w:pPr>
        <w:pStyle w:val="44"/>
        <w:spacing w:line="440" w:lineRule="exact"/>
        <w:ind w:firstLine="420"/>
        <w:rPr>
          <w:rFonts w:hAnsi="宋体"/>
          <w:color w:val="000000"/>
          <w:highlight w:val="none"/>
        </w:rPr>
      </w:pPr>
      <w:r>
        <w:rPr>
          <w:rFonts w:hAnsi="宋体"/>
          <w:color w:val="000000"/>
          <w:highlight w:val="none"/>
        </w:rPr>
        <w:t>5、如成交，本响应文件至本项目合同履行完毕止均保持有效，我方将按磋商文件及政府采购法律、法规的规定履行合同责任和义务。</w:t>
      </w:r>
    </w:p>
    <w:p w14:paraId="7079AA62">
      <w:pPr>
        <w:pStyle w:val="44"/>
        <w:spacing w:line="440" w:lineRule="exact"/>
        <w:ind w:firstLine="420" w:firstLineChars="200"/>
        <w:rPr>
          <w:rFonts w:hAnsi="宋体"/>
          <w:color w:val="000000"/>
          <w:highlight w:val="none"/>
        </w:rPr>
      </w:pPr>
      <w:r>
        <w:rPr>
          <w:rFonts w:hAnsi="宋体"/>
          <w:color w:val="000000"/>
          <w:highlight w:val="none"/>
        </w:rPr>
        <w:t>6、我方在磋商截止时间后的磋商有效期内不得撤回响应文件或者有其他违约行为。</w:t>
      </w:r>
    </w:p>
    <w:p w14:paraId="72EA1031">
      <w:pPr>
        <w:pStyle w:val="44"/>
        <w:spacing w:line="360" w:lineRule="auto"/>
        <w:ind w:firstLine="420" w:firstLineChars="200"/>
        <w:rPr>
          <w:rFonts w:hAnsi="宋体"/>
          <w:color w:val="000000"/>
          <w:highlight w:val="none"/>
        </w:rPr>
      </w:pPr>
      <w:r>
        <w:rPr>
          <w:rFonts w:hAnsi="宋体"/>
          <w:color w:val="000000"/>
          <w:highlight w:val="none"/>
        </w:rPr>
        <w:t>7、同意向贵方提供贵方可能要求的与本磋商有关的任何数据或资料。</w:t>
      </w:r>
    </w:p>
    <w:p w14:paraId="43D4F3BD">
      <w:pPr>
        <w:pStyle w:val="44"/>
        <w:spacing w:line="360" w:lineRule="auto"/>
        <w:ind w:firstLine="420" w:firstLineChars="200"/>
        <w:rPr>
          <w:rFonts w:hAnsi="宋体"/>
          <w:color w:val="000000"/>
          <w:highlight w:val="none"/>
        </w:rPr>
      </w:pPr>
      <w:r>
        <w:rPr>
          <w:rFonts w:hAnsi="宋体"/>
          <w:color w:val="000000"/>
          <w:highlight w:val="none"/>
        </w:rPr>
        <w:t>8、我方完全理解贵方不一定要接受最低报价的供应商为成交供应商。</w:t>
      </w:r>
    </w:p>
    <w:p w14:paraId="7101EE2E">
      <w:pPr>
        <w:pStyle w:val="44"/>
        <w:spacing w:line="360" w:lineRule="auto"/>
        <w:ind w:firstLine="420" w:firstLineChars="200"/>
        <w:rPr>
          <w:rFonts w:hAnsi="宋体"/>
          <w:color w:val="000000"/>
          <w:highlight w:val="none"/>
        </w:rPr>
      </w:pPr>
      <w:r>
        <w:rPr>
          <w:rFonts w:hAnsi="宋体"/>
          <w:color w:val="000000"/>
          <w:highlight w:val="none"/>
        </w:rPr>
        <w:t>9、若贵方需要，我方愿意提供我方作出的一切承诺的证明材料。</w:t>
      </w:r>
    </w:p>
    <w:p w14:paraId="21C650B1">
      <w:pPr>
        <w:pStyle w:val="44"/>
        <w:spacing w:line="360" w:lineRule="auto"/>
        <w:ind w:firstLine="420" w:firstLineChars="200"/>
        <w:rPr>
          <w:rFonts w:hAnsi="宋体"/>
          <w:color w:val="000000"/>
          <w:highlight w:val="none"/>
        </w:rPr>
      </w:pPr>
      <w:r>
        <w:rPr>
          <w:rFonts w:hAnsi="宋体"/>
          <w:color w:val="000000"/>
          <w:highlight w:val="none"/>
        </w:rPr>
        <w:t>10、我方将严格遵守《中华人民共和国政府采购法》第七十七条规定，若有下列情形之一的，处以采购金额5‰以上10‰以下的罚款，列入不良行为记录名单，在一到三年内禁止参加政府采购活动，有违法所得的，并处没收违法所得，情节严重的，由工商行政管理机关吊销营业执照；构成犯罪的，依法追究刑事责任：</w:t>
      </w:r>
    </w:p>
    <w:p w14:paraId="4CB85B85">
      <w:pPr>
        <w:pStyle w:val="105"/>
        <w:rPr>
          <w:color w:val="000000"/>
          <w:sz w:val="21"/>
          <w:szCs w:val="21"/>
          <w:highlight w:val="none"/>
        </w:rPr>
      </w:pPr>
      <w:r>
        <w:rPr>
          <w:color w:val="000000"/>
          <w:sz w:val="21"/>
          <w:szCs w:val="21"/>
          <w:highlight w:val="none"/>
        </w:rPr>
        <w:t>（1）提供虚假材料谋取成交的；</w:t>
      </w:r>
    </w:p>
    <w:p w14:paraId="624D735C">
      <w:pPr>
        <w:pStyle w:val="105"/>
        <w:rPr>
          <w:color w:val="000000"/>
          <w:sz w:val="21"/>
          <w:szCs w:val="21"/>
          <w:highlight w:val="none"/>
        </w:rPr>
      </w:pPr>
      <w:r>
        <w:rPr>
          <w:color w:val="000000"/>
          <w:sz w:val="21"/>
          <w:szCs w:val="21"/>
          <w:highlight w:val="none"/>
        </w:rPr>
        <w:t>（2）采取不正当手段诋毁、排挤其他供应商的；</w:t>
      </w:r>
    </w:p>
    <w:p w14:paraId="00149436">
      <w:pPr>
        <w:pStyle w:val="105"/>
        <w:rPr>
          <w:color w:val="000000"/>
          <w:sz w:val="21"/>
          <w:szCs w:val="21"/>
          <w:highlight w:val="none"/>
        </w:rPr>
      </w:pPr>
      <w:r>
        <w:rPr>
          <w:color w:val="000000"/>
          <w:sz w:val="21"/>
          <w:szCs w:val="21"/>
          <w:highlight w:val="none"/>
        </w:rPr>
        <w:t>（3）与采购人、其他供应商或者采购代理机构恶意串通的；</w:t>
      </w:r>
    </w:p>
    <w:p w14:paraId="1FC3CD90">
      <w:pPr>
        <w:pStyle w:val="105"/>
        <w:rPr>
          <w:color w:val="000000"/>
          <w:sz w:val="21"/>
          <w:szCs w:val="21"/>
          <w:highlight w:val="none"/>
        </w:rPr>
      </w:pPr>
      <w:r>
        <w:rPr>
          <w:color w:val="000000"/>
          <w:sz w:val="21"/>
          <w:szCs w:val="21"/>
          <w:highlight w:val="none"/>
        </w:rPr>
        <w:t>（4）向采购人、采购代理机构行贿或者提供其他不正当利益的；</w:t>
      </w:r>
    </w:p>
    <w:p w14:paraId="4829FB61">
      <w:pPr>
        <w:pStyle w:val="105"/>
        <w:rPr>
          <w:color w:val="000000"/>
          <w:sz w:val="21"/>
          <w:szCs w:val="21"/>
          <w:highlight w:val="none"/>
        </w:rPr>
      </w:pPr>
      <w:r>
        <w:rPr>
          <w:color w:val="000000"/>
          <w:sz w:val="21"/>
          <w:szCs w:val="21"/>
          <w:highlight w:val="none"/>
        </w:rPr>
        <w:t>（5）在招标采购过程中与采购人进行协商</w:t>
      </w:r>
      <w:r>
        <w:rPr>
          <w:rFonts w:hint="eastAsia"/>
          <w:color w:val="000000"/>
          <w:sz w:val="21"/>
          <w:szCs w:val="21"/>
          <w:highlight w:val="none"/>
        </w:rPr>
        <w:t>谈判</w:t>
      </w:r>
      <w:r>
        <w:rPr>
          <w:color w:val="000000"/>
          <w:sz w:val="21"/>
          <w:szCs w:val="21"/>
          <w:highlight w:val="none"/>
        </w:rPr>
        <w:t>的；</w:t>
      </w:r>
    </w:p>
    <w:p w14:paraId="41CB4DFB">
      <w:pPr>
        <w:pStyle w:val="105"/>
        <w:rPr>
          <w:color w:val="000000"/>
          <w:sz w:val="21"/>
          <w:szCs w:val="21"/>
          <w:highlight w:val="none"/>
        </w:rPr>
      </w:pPr>
      <w:r>
        <w:rPr>
          <w:color w:val="000000"/>
          <w:sz w:val="21"/>
          <w:szCs w:val="21"/>
          <w:highlight w:val="none"/>
        </w:rPr>
        <w:t>（6）拒绝有关部门监督检查或提供虚假情况的。</w:t>
      </w:r>
    </w:p>
    <w:p w14:paraId="096BD7FB">
      <w:pPr>
        <w:pStyle w:val="44"/>
        <w:spacing w:line="440" w:lineRule="exact"/>
        <w:ind w:left="101" w:leftChars="48" w:firstLine="520" w:firstLineChars="248"/>
        <w:rPr>
          <w:rFonts w:hAnsi="宋体"/>
          <w:color w:val="000000"/>
          <w:highlight w:val="none"/>
        </w:rPr>
      </w:pPr>
      <w:r>
        <w:rPr>
          <w:rFonts w:hAnsi="宋体"/>
          <w:color w:val="000000"/>
          <w:highlight w:val="none"/>
        </w:rPr>
        <w:t>与本磋商有关的正式通讯地址为：</w:t>
      </w:r>
      <w:r>
        <w:rPr>
          <w:rFonts w:hAnsi="宋体"/>
          <w:color w:val="000000"/>
          <w:highlight w:val="none"/>
          <w:u w:val="single"/>
        </w:rPr>
        <w:t xml:space="preserve">                </w:t>
      </w:r>
    </w:p>
    <w:p w14:paraId="4B126506">
      <w:pPr>
        <w:pStyle w:val="44"/>
        <w:spacing w:line="440" w:lineRule="exact"/>
        <w:ind w:left="101" w:leftChars="48" w:firstLine="520" w:firstLineChars="248"/>
        <w:rPr>
          <w:rFonts w:hAnsi="宋体"/>
          <w:color w:val="000000"/>
          <w:highlight w:val="none"/>
        </w:rPr>
      </w:pPr>
      <w:r>
        <w:rPr>
          <w:rFonts w:hAnsi="宋体"/>
          <w:color w:val="000000"/>
          <w:highlight w:val="none"/>
        </w:rPr>
        <w:t>地址：</w:t>
      </w:r>
      <w:r>
        <w:rPr>
          <w:rFonts w:hAnsi="宋体"/>
          <w:color w:val="000000"/>
          <w:highlight w:val="none"/>
          <w:u w:val="single"/>
        </w:rPr>
        <w:t xml:space="preserve">                     </w:t>
      </w:r>
    </w:p>
    <w:p w14:paraId="0D5E833A">
      <w:pPr>
        <w:pStyle w:val="44"/>
        <w:spacing w:line="440" w:lineRule="exact"/>
        <w:ind w:left="101" w:leftChars="48" w:firstLine="520" w:firstLineChars="248"/>
        <w:rPr>
          <w:rFonts w:hAnsi="宋体"/>
          <w:color w:val="000000"/>
          <w:highlight w:val="none"/>
        </w:rPr>
      </w:pPr>
      <w:r>
        <w:rPr>
          <w:rFonts w:hAnsi="宋体"/>
          <w:color w:val="000000"/>
          <w:highlight w:val="none"/>
        </w:rPr>
        <w:t>邮政编码：</w:t>
      </w:r>
      <w:r>
        <w:rPr>
          <w:rFonts w:hAnsi="宋体"/>
          <w:color w:val="000000"/>
          <w:highlight w:val="none"/>
          <w:u w:val="single"/>
        </w:rPr>
        <w:t xml:space="preserve">                </w:t>
      </w:r>
    </w:p>
    <w:p w14:paraId="51CB4D64">
      <w:pPr>
        <w:pStyle w:val="44"/>
        <w:spacing w:line="440" w:lineRule="exact"/>
        <w:ind w:firstLine="630" w:firstLineChars="300"/>
        <w:rPr>
          <w:rFonts w:hAnsi="宋体"/>
          <w:color w:val="000000"/>
          <w:highlight w:val="none"/>
        </w:rPr>
      </w:pPr>
      <w:r>
        <w:rPr>
          <w:rFonts w:hAnsi="宋体"/>
          <w:color w:val="000000"/>
          <w:highlight w:val="none"/>
        </w:rPr>
        <w:t>电话、传真或电传：</w:t>
      </w:r>
      <w:r>
        <w:rPr>
          <w:rFonts w:hAnsi="宋体"/>
          <w:color w:val="000000"/>
          <w:highlight w:val="none"/>
          <w:u w:val="single"/>
        </w:rPr>
        <w:t xml:space="preserve">                </w:t>
      </w:r>
    </w:p>
    <w:p w14:paraId="434C4655">
      <w:pPr>
        <w:pStyle w:val="44"/>
        <w:spacing w:line="440" w:lineRule="exact"/>
        <w:ind w:firstLine="630" w:firstLineChars="300"/>
        <w:rPr>
          <w:rFonts w:hAnsi="宋体"/>
          <w:color w:val="000000"/>
          <w:highlight w:val="none"/>
        </w:rPr>
      </w:pPr>
      <w:r>
        <w:rPr>
          <w:rFonts w:hAnsi="宋体"/>
          <w:color w:val="000000"/>
          <w:highlight w:val="none"/>
        </w:rPr>
        <w:t>开户名称：</w:t>
      </w:r>
      <w:r>
        <w:rPr>
          <w:rFonts w:hAnsi="宋体"/>
          <w:color w:val="000000"/>
          <w:highlight w:val="none"/>
          <w:u w:val="single"/>
        </w:rPr>
        <w:t xml:space="preserve">                </w:t>
      </w:r>
    </w:p>
    <w:p w14:paraId="7685663D">
      <w:pPr>
        <w:pStyle w:val="44"/>
        <w:spacing w:line="440" w:lineRule="exact"/>
        <w:ind w:firstLine="630" w:firstLineChars="300"/>
        <w:rPr>
          <w:rFonts w:hAnsi="宋体"/>
          <w:color w:val="000000"/>
          <w:highlight w:val="none"/>
        </w:rPr>
      </w:pPr>
      <w:r>
        <w:rPr>
          <w:rFonts w:hAnsi="宋体"/>
          <w:color w:val="000000"/>
          <w:highlight w:val="none"/>
        </w:rPr>
        <w:t>开户银行：</w:t>
      </w:r>
      <w:r>
        <w:rPr>
          <w:rFonts w:hAnsi="宋体"/>
          <w:color w:val="000000"/>
          <w:highlight w:val="none"/>
          <w:u w:val="single"/>
        </w:rPr>
        <w:t xml:space="preserve">                </w:t>
      </w:r>
    </w:p>
    <w:p w14:paraId="4B4BC9A3">
      <w:pPr>
        <w:pStyle w:val="44"/>
        <w:spacing w:line="440" w:lineRule="exact"/>
        <w:ind w:firstLine="630" w:firstLineChars="300"/>
        <w:rPr>
          <w:rFonts w:hAnsi="宋体"/>
          <w:color w:val="000000"/>
          <w:highlight w:val="none"/>
        </w:rPr>
      </w:pPr>
      <w:r>
        <w:rPr>
          <w:rFonts w:hAnsi="宋体"/>
          <w:color w:val="000000"/>
          <w:highlight w:val="none"/>
        </w:rPr>
        <w:t>帐    号：</w:t>
      </w:r>
      <w:r>
        <w:rPr>
          <w:rFonts w:hAnsi="宋体"/>
          <w:color w:val="000000"/>
          <w:highlight w:val="none"/>
          <w:u w:val="single"/>
        </w:rPr>
        <w:t xml:space="preserve">                </w:t>
      </w:r>
    </w:p>
    <w:p w14:paraId="40B22FE1">
      <w:pPr>
        <w:pStyle w:val="44"/>
        <w:spacing w:line="440" w:lineRule="exact"/>
        <w:ind w:firstLine="720" w:firstLineChars="300"/>
        <w:rPr>
          <w:rFonts w:hAnsi="宋体"/>
          <w:color w:val="000000"/>
          <w:sz w:val="24"/>
          <w:szCs w:val="24"/>
          <w:highlight w:val="none"/>
        </w:rPr>
      </w:pPr>
    </w:p>
    <w:p w14:paraId="35B6387D">
      <w:pPr>
        <w:pStyle w:val="44"/>
        <w:spacing w:line="440" w:lineRule="exact"/>
        <w:ind w:firstLine="3060"/>
        <w:rPr>
          <w:rFonts w:hAnsi="宋体"/>
          <w:color w:val="000000"/>
          <w:sz w:val="24"/>
          <w:szCs w:val="24"/>
          <w:highlight w:val="none"/>
        </w:rPr>
      </w:pPr>
      <w:r>
        <w:rPr>
          <w:rFonts w:hAnsi="宋体"/>
          <w:color w:val="000000"/>
          <w:sz w:val="24"/>
          <w:szCs w:val="24"/>
          <w:highlight w:val="none"/>
        </w:rPr>
        <w:t>供应商名称（CA电子签章）：</w:t>
      </w:r>
    </w:p>
    <w:p w14:paraId="20B83DD8">
      <w:pPr>
        <w:pStyle w:val="44"/>
        <w:spacing w:line="440" w:lineRule="exact"/>
        <w:ind w:firstLine="3060"/>
        <w:rPr>
          <w:rFonts w:hAnsi="宋体"/>
          <w:color w:val="000000"/>
          <w:sz w:val="24"/>
          <w:szCs w:val="24"/>
          <w:highlight w:val="none"/>
        </w:rPr>
      </w:pPr>
      <w:r>
        <w:rPr>
          <w:rFonts w:hAnsi="宋体"/>
          <w:color w:val="000000"/>
          <w:sz w:val="24"/>
          <w:szCs w:val="24"/>
          <w:highlight w:val="none"/>
        </w:rPr>
        <w:t>法定代表人（负责人）或委托代理人签名：</w:t>
      </w:r>
    </w:p>
    <w:p w14:paraId="34A56E8E">
      <w:pPr>
        <w:pStyle w:val="44"/>
        <w:spacing w:line="440" w:lineRule="exact"/>
        <w:ind w:firstLine="3060"/>
        <w:rPr>
          <w:rFonts w:hAnsi="宋体"/>
          <w:color w:val="000000"/>
          <w:sz w:val="24"/>
          <w:szCs w:val="24"/>
          <w:highlight w:val="none"/>
        </w:rPr>
      </w:pPr>
      <w:r>
        <w:rPr>
          <w:rFonts w:hAnsi="宋体"/>
          <w:color w:val="000000"/>
          <w:sz w:val="24"/>
          <w:szCs w:val="24"/>
          <w:highlight w:val="none"/>
        </w:rPr>
        <w:t>磋商日期：</w:t>
      </w:r>
    </w:p>
    <w:p w14:paraId="521F32F2">
      <w:pPr>
        <w:pStyle w:val="44"/>
        <w:spacing w:line="460" w:lineRule="exact"/>
        <w:ind w:left="101" w:leftChars="48" w:firstLine="520" w:firstLineChars="248"/>
        <w:rPr>
          <w:rFonts w:hAnsi="宋体"/>
          <w:color w:val="000000"/>
          <w:highlight w:val="none"/>
        </w:rPr>
      </w:pPr>
    </w:p>
    <w:p w14:paraId="72BDEFD6">
      <w:pPr>
        <w:spacing w:line="320" w:lineRule="exact"/>
        <w:ind w:left="316" w:hanging="316" w:hangingChars="150"/>
        <w:rPr>
          <w:rFonts w:hint="eastAsia" w:ascii="宋体" w:hAnsi="宋体"/>
          <w:b/>
          <w:color w:val="000000"/>
          <w:szCs w:val="21"/>
          <w:highlight w:val="none"/>
        </w:rPr>
      </w:pPr>
      <w:r>
        <w:rPr>
          <w:rFonts w:hint="eastAsia" w:ascii="宋体" w:hAnsi="宋体"/>
          <w:b/>
          <w:color w:val="000000"/>
          <w:szCs w:val="21"/>
          <w:highlight w:val="none"/>
        </w:rPr>
        <w:t>说明：</w:t>
      </w:r>
      <w:r>
        <w:rPr>
          <w:rFonts w:hint="eastAsia" w:ascii="宋体" w:hAnsi="宋体"/>
          <w:color w:val="000000"/>
          <w:highlight w:val="none"/>
        </w:rPr>
        <w:t>供应商必须按以上格式填写，加盖单位公章并签名，否则，无签名、盖单位公章的，磋商无效。</w:t>
      </w:r>
    </w:p>
    <w:p w14:paraId="34727DD0">
      <w:pPr>
        <w:pStyle w:val="44"/>
        <w:spacing w:line="400" w:lineRule="exact"/>
        <w:rPr>
          <w:rFonts w:hAnsi="宋体"/>
          <w:b/>
          <w:color w:val="000000"/>
          <w:sz w:val="32"/>
          <w:highlight w:val="none"/>
        </w:rPr>
      </w:pPr>
    </w:p>
    <w:p w14:paraId="4E111367">
      <w:pPr>
        <w:pStyle w:val="128"/>
        <w:jc w:val="center"/>
        <w:outlineLvl w:val="0"/>
        <w:rPr>
          <w:rFonts w:hint="eastAsia" w:ascii="宋体" w:hAnsi="宋体"/>
          <w:b/>
          <w:color w:val="000000"/>
          <w:sz w:val="32"/>
          <w:highlight w:val="none"/>
        </w:rPr>
      </w:pPr>
      <w:r>
        <w:rPr>
          <w:rFonts w:hint="eastAsia" w:ascii="宋体" w:hAnsi="宋体"/>
          <w:b/>
          <w:color w:val="000000"/>
          <w:sz w:val="32"/>
          <w:highlight w:val="none"/>
        </w:rPr>
        <w:br w:type="page"/>
      </w:r>
      <w:bookmarkStart w:id="941" w:name="_Toc389065357"/>
      <w:bookmarkStart w:id="942" w:name="_Toc7626"/>
      <w:bookmarkStart w:id="943" w:name="_Toc26050"/>
      <w:bookmarkStart w:id="944" w:name="_Toc108539869"/>
      <w:bookmarkStart w:id="945" w:name="_Toc23838"/>
      <w:bookmarkStart w:id="946" w:name="_Toc15706"/>
      <w:r>
        <w:rPr>
          <w:rFonts w:hint="eastAsia" w:ascii="宋体" w:hAnsi="宋体"/>
          <w:b/>
          <w:color w:val="000000"/>
          <w:sz w:val="32"/>
          <w:highlight w:val="none"/>
        </w:rPr>
        <w:t>二、磋商函附录</w:t>
      </w:r>
      <w:bookmarkEnd w:id="941"/>
      <w:bookmarkEnd w:id="942"/>
      <w:bookmarkEnd w:id="943"/>
      <w:bookmarkEnd w:id="944"/>
      <w:bookmarkEnd w:id="945"/>
      <w:bookmarkEnd w:id="946"/>
    </w:p>
    <w:p w14:paraId="1243B7F1">
      <w:pPr>
        <w:ind w:firstLine="514"/>
        <w:rPr>
          <w:rFonts w:hint="eastAsia" w:ascii="宋体" w:hAnsi="宋体"/>
          <w:color w:val="000000"/>
          <w:kern w:val="1"/>
          <w:szCs w:val="21"/>
          <w:highlight w:val="none"/>
        </w:rPr>
      </w:pPr>
      <w:r>
        <w:rPr>
          <w:rFonts w:hint="eastAsia" w:ascii="宋体" w:hAnsi="宋体"/>
          <w:color w:val="000000"/>
          <w:kern w:val="1"/>
          <w:szCs w:val="21"/>
          <w:highlight w:val="none"/>
        </w:rPr>
        <w:t>项目名称：</w:t>
      </w:r>
    </w:p>
    <w:p w14:paraId="42B3E245">
      <w:pPr>
        <w:ind w:firstLine="514"/>
        <w:rPr>
          <w:rFonts w:ascii="宋体" w:hAnsi="宋体"/>
          <w:color w:val="000000"/>
          <w:kern w:val="1"/>
          <w:szCs w:val="21"/>
          <w:highlight w:val="none"/>
        </w:rPr>
      </w:pPr>
    </w:p>
    <w:p w14:paraId="12B2BA24">
      <w:pPr>
        <w:ind w:firstLine="514"/>
        <w:rPr>
          <w:rFonts w:hint="eastAsia" w:ascii="宋体" w:hAnsi="宋体"/>
          <w:color w:val="000000"/>
          <w:kern w:val="1"/>
          <w:szCs w:val="21"/>
          <w:highlight w:val="none"/>
        </w:rPr>
      </w:pPr>
      <w:r>
        <w:rPr>
          <w:rFonts w:hint="eastAsia" w:ascii="宋体" w:hAnsi="宋体"/>
          <w:color w:val="000000"/>
          <w:kern w:val="1"/>
          <w:szCs w:val="21"/>
          <w:highlight w:val="none"/>
        </w:rPr>
        <w:t>项目编号：</w:t>
      </w:r>
    </w:p>
    <w:p w14:paraId="62FB79F0">
      <w:pPr>
        <w:ind w:firstLine="514"/>
        <w:rPr>
          <w:rFonts w:ascii="宋体" w:hAnsi="宋体"/>
          <w:color w:val="000000"/>
          <w:kern w:val="1"/>
          <w:szCs w:val="21"/>
          <w:highlight w:val="none"/>
          <w:u w:val="single"/>
        </w:rPr>
      </w:pPr>
    </w:p>
    <w:tbl>
      <w:tblPr>
        <w:tblStyle w:val="7"/>
        <w:tblW w:w="0" w:type="auto"/>
        <w:tblInd w:w="728" w:type="dxa"/>
        <w:tblLayout w:type="fixed"/>
        <w:tblCellMar>
          <w:top w:w="0" w:type="dxa"/>
          <w:left w:w="108" w:type="dxa"/>
          <w:bottom w:w="0" w:type="dxa"/>
          <w:right w:w="108" w:type="dxa"/>
        </w:tblCellMar>
      </w:tblPr>
      <w:tblGrid>
        <w:gridCol w:w="992"/>
        <w:gridCol w:w="2108"/>
        <w:gridCol w:w="2003"/>
        <w:gridCol w:w="1984"/>
        <w:gridCol w:w="1843"/>
      </w:tblGrid>
      <w:tr w14:paraId="48250FF0">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F3A9DD1">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序 号</w:t>
            </w:r>
          </w:p>
        </w:tc>
        <w:tc>
          <w:tcPr>
            <w:tcW w:w="2108" w:type="dxa"/>
            <w:tcBorders>
              <w:top w:val="single" w:color="000000" w:sz="4" w:space="0"/>
              <w:left w:val="single" w:color="000000" w:sz="4" w:space="0"/>
              <w:bottom w:val="single" w:color="000000" w:sz="4" w:space="0"/>
              <w:right w:val="single" w:color="000000" w:sz="4" w:space="0"/>
            </w:tcBorders>
            <w:vAlign w:val="center"/>
          </w:tcPr>
          <w:p w14:paraId="4C9482FD">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条款内容</w:t>
            </w:r>
          </w:p>
        </w:tc>
        <w:tc>
          <w:tcPr>
            <w:tcW w:w="2003" w:type="dxa"/>
            <w:tcBorders>
              <w:top w:val="single" w:color="000000" w:sz="4" w:space="0"/>
              <w:left w:val="single" w:color="000000" w:sz="4" w:space="0"/>
              <w:bottom w:val="single" w:color="000000" w:sz="4" w:space="0"/>
              <w:right w:val="single" w:color="000000" w:sz="4" w:space="0"/>
            </w:tcBorders>
            <w:vAlign w:val="center"/>
          </w:tcPr>
          <w:p w14:paraId="3D9C8B82">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条款号</w:t>
            </w:r>
          </w:p>
        </w:tc>
        <w:tc>
          <w:tcPr>
            <w:tcW w:w="1984" w:type="dxa"/>
            <w:tcBorders>
              <w:top w:val="single" w:color="000000" w:sz="4" w:space="0"/>
              <w:left w:val="single" w:color="000000" w:sz="4" w:space="0"/>
              <w:bottom w:val="single" w:color="000000" w:sz="4" w:space="0"/>
              <w:right w:val="single" w:color="000000" w:sz="4" w:space="0"/>
            </w:tcBorders>
            <w:vAlign w:val="center"/>
          </w:tcPr>
          <w:p w14:paraId="401DFB20">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约定内容</w:t>
            </w:r>
          </w:p>
        </w:tc>
        <w:tc>
          <w:tcPr>
            <w:tcW w:w="1843" w:type="dxa"/>
            <w:tcBorders>
              <w:top w:val="single" w:color="000000" w:sz="4" w:space="0"/>
              <w:left w:val="single" w:color="000000" w:sz="4" w:space="0"/>
              <w:bottom w:val="single" w:color="000000" w:sz="4" w:space="0"/>
              <w:right w:val="single" w:color="000000" w:sz="4" w:space="0"/>
            </w:tcBorders>
            <w:vAlign w:val="center"/>
          </w:tcPr>
          <w:p w14:paraId="6B3D6E4E">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备注</w:t>
            </w:r>
          </w:p>
        </w:tc>
      </w:tr>
      <w:tr w14:paraId="478744CA">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6E02CA4">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1</w:t>
            </w:r>
          </w:p>
        </w:tc>
        <w:tc>
          <w:tcPr>
            <w:tcW w:w="2108" w:type="dxa"/>
            <w:tcBorders>
              <w:top w:val="single" w:color="000000" w:sz="4" w:space="0"/>
              <w:left w:val="single" w:color="000000" w:sz="4" w:space="0"/>
              <w:bottom w:val="single" w:color="000000" w:sz="4" w:space="0"/>
              <w:right w:val="single" w:color="000000" w:sz="4" w:space="0"/>
            </w:tcBorders>
            <w:vAlign w:val="center"/>
          </w:tcPr>
          <w:p w14:paraId="02CFBA64">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项目经理</w:t>
            </w: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0746119E">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供应商须知2.1</w:t>
            </w:r>
          </w:p>
        </w:tc>
        <w:tc>
          <w:tcPr>
            <w:tcW w:w="1984" w:type="dxa"/>
            <w:tcBorders>
              <w:top w:val="single" w:color="000000" w:sz="4" w:space="0"/>
              <w:left w:val="single" w:color="000000" w:sz="4" w:space="0"/>
              <w:bottom w:val="single" w:color="000000" w:sz="4" w:space="0"/>
              <w:right w:val="single" w:color="000000" w:sz="4" w:space="0"/>
            </w:tcBorders>
            <w:vAlign w:val="center"/>
          </w:tcPr>
          <w:p w14:paraId="2C835E66">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姓名：</w:t>
            </w:r>
          </w:p>
        </w:tc>
        <w:tc>
          <w:tcPr>
            <w:tcW w:w="1843" w:type="dxa"/>
            <w:tcBorders>
              <w:top w:val="single" w:color="000000" w:sz="4" w:space="0"/>
              <w:left w:val="single" w:color="000000" w:sz="4" w:space="0"/>
              <w:bottom w:val="single" w:color="000000" w:sz="4" w:space="0"/>
              <w:right w:val="single" w:color="000000" w:sz="4" w:space="0"/>
            </w:tcBorders>
            <w:vAlign w:val="center"/>
          </w:tcPr>
          <w:p w14:paraId="7BCE5896">
            <w:pPr>
              <w:spacing w:line="360" w:lineRule="auto"/>
              <w:jc w:val="center"/>
              <w:rPr>
                <w:rFonts w:ascii="宋体" w:hAnsi="宋体"/>
                <w:color w:val="000000"/>
                <w:kern w:val="1"/>
                <w:szCs w:val="21"/>
                <w:highlight w:val="none"/>
              </w:rPr>
            </w:pPr>
          </w:p>
        </w:tc>
      </w:tr>
      <w:tr w14:paraId="6273BA72">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BA68F05">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2</w:t>
            </w:r>
          </w:p>
        </w:tc>
        <w:tc>
          <w:tcPr>
            <w:tcW w:w="2108" w:type="dxa"/>
            <w:tcBorders>
              <w:top w:val="single" w:color="000000" w:sz="4" w:space="0"/>
              <w:left w:val="single" w:color="000000" w:sz="4" w:space="0"/>
              <w:bottom w:val="single" w:color="000000" w:sz="4" w:space="0"/>
              <w:right w:val="single" w:color="000000" w:sz="4" w:space="0"/>
            </w:tcBorders>
            <w:vAlign w:val="center"/>
          </w:tcPr>
          <w:p w14:paraId="4DF72F7F">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磋商有效期</w:t>
            </w: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6AD65D98">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供应商须知12.1</w:t>
            </w:r>
          </w:p>
        </w:tc>
        <w:tc>
          <w:tcPr>
            <w:tcW w:w="1984" w:type="dxa"/>
            <w:tcBorders>
              <w:top w:val="single" w:color="000000" w:sz="4" w:space="0"/>
              <w:left w:val="single" w:color="000000" w:sz="4" w:space="0"/>
              <w:bottom w:val="single" w:color="000000" w:sz="4" w:space="0"/>
              <w:right w:val="single" w:color="000000" w:sz="4" w:space="0"/>
            </w:tcBorders>
            <w:vAlign w:val="center"/>
          </w:tcPr>
          <w:p w14:paraId="4677CE1B">
            <w:pPr>
              <w:spacing w:line="360" w:lineRule="auto"/>
              <w:jc w:val="center"/>
              <w:rPr>
                <w:rFonts w:hint="eastAsia" w:ascii="宋体" w:hAnsi="宋体"/>
                <w:color w:val="000000"/>
                <w:kern w:val="1"/>
                <w:szCs w:val="21"/>
                <w:highlight w:val="none"/>
                <w:u w:val="single"/>
              </w:rPr>
            </w:pPr>
            <w:r>
              <w:rPr>
                <w:rFonts w:hint="eastAsia" w:ascii="宋体" w:hAnsi="宋体"/>
                <w:color w:val="000000"/>
                <w:kern w:val="1"/>
                <w:szCs w:val="21"/>
                <w:highlight w:val="none"/>
                <w:u w:val="single"/>
              </w:rPr>
              <w:t xml:space="preserve"> </w:t>
            </w:r>
            <w:r>
              <w:rPr>
                <w:rFonts w:ascii="宋体" w:hAnsi="宋体"/>
                <w:color w:val="000000"/>
                <w:kern w:val="1"/>
                <w:szCs w:val="21"/>
                <w:highlight w:val="none"/>
                <w:u w:val="single"/>
              </w:rPr>
              <w:t xml:space="preserve">   </w:t>
            </w:r>
            <w:r>
              <w:rPr>
                <w:rFonts w:hint="eastAsia" w:ascii="宋体" w:hAnsi="宋体"/>
                <w:color w:val="000000"/>
                <w:kern w:val="1"/>
                <w:szCs w:val="21"/>
                <w:highlight w:val="none"/>
              </w:rPr>
              <w:t>日历天</w:t>
            </w:r>
          </w:p>
        </w:tc>
        <w:tc>
          <w:tcPr>
            <w:tcW w:w="1843" w:type="dxa"/>
            <w:tcBorders>
              <w:top w:val="single" w:color="000000" w:sz="4" w:space="0"/>
              <w:left w:val="single" w:color="000000" w:sz="4" w:space="0"/>
              <w:bottom w:val="single" w:color="000000" w:sz="4" w:space="0"/>
              <w:right w:val="single" w:color="000000" w:sz="4" w:space="0"/>
            </w:tcBorders>
            <w:vAlign w:val="center"/>
          </w:tcPr>
          <w:p w14:paraId="6DEC0D43">
            <w:pPr>
              <w:spacing w:line="360" w:lineRule="auto"/>
              <w:jc w:val="center"/>
              <w:rPr>
                <w:rFonts w:ascii="宋体" w:hAnsi="宋体"/>
                <w:color w:val="000000"/>
                <w:kern w:val="1"/>
                <w:szCs w:val="21"/>
                <w:highlight w:val="none"/>
              </w:rPr>
            </w:pPr>
          </w:p>
        </w:tc>
      </w:tr>
      <w:tr w14:paraId="10173FA9">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A1C0A25">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3</w:t>
            </w:r>
          </w:p>
        </w:tc>
        <w:tc>
          <w:tcPr>
            <w:tcW w:w="2108" w:type="dxa"/>
            <w:tcBorders>
              <w:top w:val="single" w:color="000000" w:sz="4" w:space="0"/>
              <w:left w:val="single" w:color="000000" w:sz="4" w:space="0"/>
              <w:bottom w:val="single" w:color="000000" w:sz="4" w:space="0"/>
              <w:right w:val="single" w:color="000000" w:sz="4" w:space="0"/>
            </w:tcBorders>
            <w:vAlign w:val="center"/>
          </w:tcPr>
          <w:p w14:paraId="0EA27257">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工期</w:t>
            </w: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3C9EE709">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供应商须知1.1</w:t>
            </w:r>
          </w:p>
        </w:tc>
        <w:tc>
          <w:tcPr>
            <w:tcW w:w="1984" w:type="dxa"/>
            <w:tcBorders>
              <w:top w:val="single" w:color="000000" w:sz="4" w:space="0"/>
              <w:left w:val="single" w:color="000000" w:sz="4" w:space="0"/>
              <w:bottom w:val="single" w:color="000000" w:sz="4" w:space="0"/>
              <w:right w:val="single" w:color="000000" w:sz="4" w:space="0"/>
            </w:tcBorders>
            <w:vAlign w:val="center"/>
          </w:tcPr>
          <w:p w14:paraId="3E3CDAB9">
            <w:pPr>
              <w:spacing w:line="360" w:lineRule="auto"/>
              <w:jc w:val="center"/>
              <w:rPr>
                <w:rFonts w:hint="eastAsia" w:ascii="宋体" w:hAnsi="宋体"/>
                <w:color w:val="000000"/>
                <w:kern w:val="1"/>
                <w:szCs w:val="21"/>
                <w:highlight w:val="none"/>
                <w:u w:val="single"/>
              </w:rPr>
            </w:pPr>
            <w:r>
              <w:rPr>
                <w:rFonts w:hint="eastAsia" w:ascii="宋体" w:hAnsi="宋体"/>
                <w:color w:val="000000"/>
                <w:kern w:val="1"/>
                <w:szCs w:val="21"/>
                <w:highlight w:val="none"/>
                <w:u w:val="single"/>
              </w:rPr>
              <w:t xml:space="preserve"> </w:t>
            </w:r>
            <w:r>
              <w:rPr>
                <w:rFonts w:ascii="宋体" w:hAnsi="宋体"/>
                <w:color w:val="000000"/>
                <w:kern w:val="1"/>
                <w:szCs w:val="21"/>
                <w:highlight w:val="none"/>
                <w:u w:val="single"/>
              </w:rPr>
              <w:t xml:space="preserve">   </w:t>
            </w:r>
            <w:r>
              <w:rPr>
                <w:rFonts w:hint="eastAsia" w:ascii="宋体" w:hAnsi="宋体"/>
                <w:color w:val="000000"/>
                <w:kern w:val="1"/>
                <w:szCs w:val="21"/>
                <w:highlight w:val="none"/>
              </w:rPr>
              <w:t>日历天</w:t>
            </w:r>
          </w:p>
        </w:tc>
        <w:tc>
          <w:tcPr>
            <w:tcW w:w="1843" w:type="dxa"/>
            <w:tcBorders>
              <w:top w:val="single" w:color="000000" w:sz="4" w:space="0"/>
              <w:left w:val="single" w:color="000000" w:sz="4" w:space="0"/>
              <w:bottom w:val="single" w:color="000000" w:sz="4" w:space="0"/>
              <w:right w:val="single" w:color="000000" w:sz="4" w:space="0"/>
            </w:tcBorders>
            <w:vAlign w:val="center"/>
          </w:tcPr>
          <w:p w14:paraId="59F44CB2">
            <w:pPr>
              <w:spacing w:line="360" w:lineRule="auto"/>
              <w:jc w:val="center"/>
              <w:rPr>
                <w:rFonts w:ascii="宋体" w:hAnsi="宋体"/>
                <w:color w:val="000000"/>
                <w:kern w:val="1"/>
                <w:szCs w:val="21"/>
                <w:highlight w:val="none"/>
              </w:rPr>
            </w:pPr>
          </w:p>
        </w:tc>
      </w:tr>
      <w:tr w14:paraId="6AE437B2">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4D0BD15">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4</w:t>
            </w:r>
          </w:p>
        </w:tc>
        <w:tc>
          <w:tcPr>
            <w:tcW w:w="2108" w:type="dxa"/>
            <w:tcBorders>
              <w:top w:val="single" w:color="000000" w:sz="4" w:space="0"/>
              <w:left w:val="single" w:color="000000" w:sz="4" w:space="0"/>
              <w:bottom w:val="single" w:color="000000" w:sz="4" w:space="0"/>
              <w:right w:val="single" w:color="000000" w:sz="4" w:space="0"/>
            </w:tcBorders>
            <w:vAlign w:val="center"/>
          </w:tcPr>
          <w:p w14:paraId="096B9EFD">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质量标准</w:t>
            </w: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3F1576E0">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供应商须知1.1</w:t>
            </w:r>
          </w:p>
        </w:tc>
        <w:tc>
          <w:tcPr>
            <w:tcW w:w="1984" w:type="dxa"/>
            <w:tcBorders>
              <w:top w:val="single" w:color="000000" w:sz="4" w:space="0"/>
              <w:left w:val="single" w:color="000000" w:sz="4" w:space="0"/>
              <w:bottom w:val="single" w:color="000000" w:sz="4" w:space="0"/>
              <w:right w:val="single" w:color="000000" w:sz="4" w:space="0"/>
            </w:tcBorders>
            <w:vAlign w:val="center"/>
          </w:tcPr>
          <w:p w14:paraId="5CF202D4">
            <w:pPr>
              <w:spacing w:line="360" w:lineRule="auto"/>
              <w:jc w:val="center"/>
              <w:rPr>
                <w:rFonts w:ascii="宋体" w:hAnsi="宋体"/>
                <w:color w:val="000000"/>
                <w:kern w:val="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5781D16F">
            <w:pPr>
              <w:spacing w:line="360" w:lineRule="auto"/>
              <w:jc w:val="center"/>
              <w:rPr>
                <w:rFonts w:ascii="宋体" w:hAnsi="宋体"/>
                <w:color w:val="000000"/>
                <w:kern w:val="1"/>
                <w:szCs w:val="21"/>
                <w:highlight w:val="none"/>
              </w:rPr>
            </w:pPr>
          </w:p>
        </w:tc>
      </w:tr>
      <w:tr w14:paraId="1DE61977">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15B1A516">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5</w:t>
            </w:r>
          </w:p>
        </w:tc>
        <w:tc>
          <w:tcPr>
            <w:tcW w:w="2108" w:type="dxa"/>
            <w:tcBorders>
              <w:top w:val="single" w:color="000000" w:sz="4" w:space="0"/>
              <w:left w:val="single" w:color="000000" w:sz="4" w:space="0"/>
              <w:bottom w:val="single" w:color="000000" w:sz="4" w:space="0"/>
              <w:right w:val="single" w:color="000000" w:sz="4" w:space="0"/>
            </w:tcBorders>
            <w:vAlign w:val="center"/>
          </w:tcPr>
          <w:p w14:paraId="2259C4EA">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缺陷责任期</w:t>
            </w: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510DE626">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专用合同条款15.2</w:t>
            </w:r>
          </w:p>
        </w:tc>
        <w:tc>
          <w:tcPr>
            <w:tcW w:w="1984" w:type="dxa"/>
            <w:tcBorders>
              <w:top w:val="single" w:color="000000" w:sz="4" w:space="0"/>
              <w:left w:val="single" w:color="000000" w:sz="4" w:space="0"/>
              <w:bottom w:val="single" w:color="000000" w:sz="4" w:space="0"/>
              <w:right w:val="single" w:color="000000" w:sz="4" w:space="0"/>
            </w:tcBorders>
            <w:vAlign w:val="center"/>
          </w:tcPr>
          <w:p w14:paraId="3BA48006">
            <w:pPr>
              <w:spacing w:line="360" w:lineRule="auto"/>
              <w:jc w:val="center"/>
              <w:rPr>
                <w:rFonts w:ascii="宋体" w:hAnsi="宋体"/>
                <w:color w:val="000000"/>
                <w:kern w:val="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0B48CED">
            <w:pPr>
              <w:spacing w:line="360" w:lineRule="auto"/>
              <w:jc w:val="center"/>
              <w:rPr>
                <w:rFonts w:ascii="宋体" w:hAnsi="宋体"/>
                <w:color w:val="000000"/>
                <w:kern w:val="1"/>
                <w:szCs w:val="21"/>
                <w:highlight w:val="none"/>
              </w:rPr>
            </w:pPr>
          </w:p>
        </w:tc>
      </w:tr>
      <w:tr w14:paraId="5EEA9763">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EF19159">
            <w:pPr>
              <w:spacing w:line="360" w:lineRule="auto"/>
              <w:jc w:val="center"/>
              <w:rPr>
                <w:rFonts w:ascii="宋体" w:hAnsi="宋体"/>
                <w:color w:val="000000"/>
                <w:kern w:val="1"/>
                <w:szCs w:val="21"/>
                <w:highlight w:val="none"/>
              </w:rPr>
            </w:pPr>
            <w:r>
              <w:rPr>
                <w:rFonts w:ascii="宋体" w:hAnsi="宋体"/>
                <w:color w:val="000000"/>
                <w:kern w:val="1"/>
                <w:szCs w:val="21"/>
                <w:highlight w:val="none"/>
              </w:rPr>
              <w:t>6</w:t>
            </w:r>
          </w:p>
        </w:tc>
        <w:tc>
          <w:tcPr>
            <w:tcW w:w="2108" w:type="dxa"/>
            <w:tcBorders>
              <w:top w:val="single" w:color="000000" w:sz="4" w:space="0"/>
              <w:left w:val="single" w:color="000000" w:sz="4" w:space="0"/>
              <w:bottom w:val="single" w:color="000000" w:sz="4" w:space="0"/>
              <w:right w:val="single" w:color="000000" w:sz="4" w:space="0"/>
            </w:tcBorders>
            <w:vAlign w:val="center"/>
          </w:tcPr>
          <w:p w14:paraId="21E9D31C">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逾期竣工违约金</w:t>
            </w: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57545E58">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专用合同条款</w:t>
            </w:r>
            <w:r>
              <w:rPr>
                <w:rFonts w:ascii="宋体" w:hAnsi="宋体"/>
                <w:color w:val="000000"/>
                <w:highlight w:val="none"/>
              </w:rPr>
              <w:t xml:space="preserve">7.5.2 </w:t>
            </w:r>
          </w:p>
        </w:tc>
        <w:tc>
          <w:tcPr>
            <w:tcW w:w="1984" w:type="dxa"/>
            <w:tcBorders>
              <w:top w:val="single" w:color="000000" w:sz="4" w:space="0"/>
              <w:left w:val="single" w:color="000000" w:sz="4" w:space="0"/>
              <w:bottom w:val="single" w:color="000000" w:sz="4" w:space="0"/>
              <w:right w:val="single" w:color="000000" w:sz="4" w:space="0"/>
            </w:tcBorders>
            <w:vAlign w:val="center"/>
          </w:tcPr>
          <w:p w14:paraId="0CC6AFA1">
            <w:pPr>
              <w:spacing w:line="360" w:lineRule="auto"/>
              <w:jc w:val="center"/>
              <w:rPr>
                <w:rFonts w:ascii="宋体" w:hAnsi="宋体"/>
                <w:color w:val="000000"/>
                <w:kern w:val="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3922FA5">
            <w:pPr>
              <w:spacing w:line="360" w:lineRule="auto"/>
              <w:jc w:val="center"/>
              <w:rPr>
                <w:rFonts w:ascii="宋体" w:hAnsi="宋体"/>
                <w:color w:val="000000"/>
                <w:kern w:val="1"/>
                <w:szCs w:val="21"/>
                <w:highlight w:val="none"/>
              </w:rPr>
            </w:pPr>
          </w:p>
        </w:tc>
      </w:tr>
      <w:tr w14:paraId="6553BE17">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13FC844C">
            <w:pPr>
              <w:spacing w:line="360" w:lineRule="auto"/>
              <w:jc w:val="center"/>
              <w:rPr>
                <w:rFonts w:ascii="宋体" w:hAnsi="宋体"/>
                <w:color w:val="000000"/>
                <w:kern w:val="1"/>
                <w:szCs w:val="21"/>
                <w:highlight w:val="none"/>
              </w:rPr>
            </w:pPr>
            <w:r>
              <w:rPr>
                <w:rFonts w:ascii="宋体" w:hAnsi="宋体"/>
                <w:color w:val="000000"/>
                <w:kern w:val="1"/>
                <w:szCs w:val="21"/>
                <w:highlight w:val="none"/>
              </w:rPr>
              <w:t>7</w:t>
            </w:r>
          </w:p>
        </w:tc>
        <w:tc>
          <w:tcPr>
            <w:tcW w:w="2108" w:type="dxa"/>
            <w:tcBorders>
              <w:top w:val="single" w:color="000000" w:sz="4" w:space="0"/>
              <w:left w:val="single" w:color="000000" w:sz="4" w:space="0"/>
              <w:bottom w:val="single" w:color="000000" w:sz="4" w:space="0"/>
              <w:right w:val="single" w:color="000000" w:sz="4" w:space="0"/>
            </w:tcBorders>
            <w:vAlign w:val="center"/>
          </w:tcPr>
          <w:p w14:paraId="4EC7F5F4">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逾期竣工违约金最高限额</w:t>
            </w: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461BDCBF">
            <w:pPr>
              <w:spacing w:line="360" w:lineRule="auto"/>
              <w:jc w:val="center"/>
              <w:rPr>
                <w:rFonts w:hint="eastAsia" w:ascii="宋体" w:hAnsi="宋体"/>
                <w:color w:val="000000"/>
                <w:kern w:val="1"/>
                <w:szCs w:val="21"/>
                <w:highlight w:val="none"/>
              </w:rPr>
            </w:pPr>
            <w:r>
              <w:rPr>
                <w:rFonts w:hint="eastAsia" w:ascii="宋体" w:hAnsi="宋体"/>
                <w:color w:val="000000"/>
                <w:kern w:val="1"/>
                <w:szCs w:val="21"/>
                <w:highlight w:val="none"/>
              </w:rPr>
              <w:t>专用合同条款</w:t>
            </w:r>
            <w:r>
              <w:rPr>
                <w:rFonts w:ascii="宋体" w:hAnsi="宋体"/>
                <w:color w:val="000000"/>
                <w:highlight w:val="none"/>
              </w:rPr>
              <w:t xml:space="preserve">7.5.2 </w:t>
            </w:r>
          </w:p>
        </w:tc>
        <w:tc>
          <w:tcPr>
            <w:tcW w:w="1984" w:type="dxa"/>
            <w:tcBorders>
              <w:top w:val="single" w:color="000000" w:sz="4" w:space="0"/>
              <w:left w:val="single" w:color="000000" w:sz="4" w:space="0"/>
              <w:bottom w:val="single" w:color="000000" w:sz="4" w:space="0"/>
              <w:right w:val="single" w:color="000000" w:sz="4" w:space="0"/>
            </w:tcBorders>
            <w:vAlign w:val="center"/>
          </w:tcPr>
          <w:p w14:paraId="43F29EB7">
            <w:pPr>
              <w:spacing w:line="360" w:lineRule="auto"/>
              <w:rPr>
                <w:rFonts w:ascii="宋体" w:hAnsi="宋体"/>
                <w:color w:val="000000"/>
                <w:kern w:val="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2BADEE88">
            <w:pPr>
              <w:spacing w:line="360" w:lineRule="auto"/>
              <w:jc w:val="center"/>
              <w:rPr>
                <w:rFonts w:ascii="宋体" w:hAnsi="宋体"/>
                <w:color w:val="000000"/>
                <w:kern w:val="1"/>
                <w:szCs w:val="21"/>
                <w:highlight w:val="none"/>
              </w:rPr>
            </w:pPr>
          </w:p>
        </w:tc>
      </w:tr>
      <w:tr w14:paraId="55B6C140">
        <w:tblPrEx>
          <w:tblCellMar>
            <w:top w:w="0" w:type="dxa"/>
            <w:left w:w="108" w:type="dxa"/>
            <w:bottom w:w="0" w:type="dxa"/>
            <w:right w:w="108" w:type="dxa"/>
          </w:tblCellMar>
        </w:tblPrEx>
        <w:trPr>
          <w:trHeight w:val="56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0F01AEB">
            <w:pPr>
              <w:jc w:val="center"/>
              <w:rPr>
                <w:rFonts w:hint="eastAsia" w:ascii="宋体" w:hAnsi="宋体"/>
                <w:color w:val="000000"/>
                <w:kern w:val="1"/>
                <w:szCs w:val="21"/>
                <w:highlight w:val="none"/>
              </w:rPr>
            </w:pPr>
            <w:r>
              <w:rPr>
                <w:rFonts w:hint="eastAsia" w:ascii="宋体" w:hAnsi="宋体"/>
                <w:color w:val="000000"/>
                <w:kern w:val="1"/>
                <w:szCs w:val="21"/>
                <w:highlight w:val="none"/>
              </w:rPr>
              <w:t>……</w:t>
            </w:r>
          </w:p>
        </w:tc>
        <w:tc>
          <w:tcPr>
            <w:tcW w:w="2108" w:type="dxa"/>
            <w:tcBorders>
              <w:top w:val="single" w:color="000000" w:sz="4" w:space="0"/>
              <w:left w:val="single" w:color="000000" w:sz="4" w:space="0"/>
              <w:bottom w:val="single" w:color="000000" w:sz="4" w:space="0"/>
              <w:right w:val="single" w:color="000000" w:sz="4" w:space="0"/>
            </w:tcBorders>
            <w:vAlign w:val="center"/>
          </w:tcPr>
          <w:p w14:paraId="61788D5E">
            <w:pPr>
              <w:jc w:val="center"/>
              <w:rPr>
                <w:rFonts w:ascii="宋体" w:hAnsi="宋体"/>
                <w:color w:val="000000"/>
                <w:kern w:val="1"/>
                <w:szCs w:val="21"/>
                <w:highlight w:val="none"/>
              </w:rPr>
            </w:pPr>
          </w:p>
        </w:tc>
        <w:tc>
          <w:tcPr>
            <w:tcW w:w="2003" w:type="dxa"/>
            <w:tcBorders>
              <w:top w:val="single" w:color="000000" w:sz="4" w:space="0"/>
              <w:left w:val="single" w:color="000000" w:sz="4" w:space="0"/>
              <w:bottom w:val="single" w:color="000000" w:sz="4" w:space="0"/>
              <w:right w:val="single" w:color="000000" w:sz="4" w:space="0"/>
            </w:tcBorders>
            <w:tcMar>
              <w:left w:w="170" w:type="dxa"/>
            </w:tcMar>
            <w:vAlign w:val="center"/>
          </w:tcPr>
          <w:p w14:paraId="622F9641">
            <w:pPr>
              <w:spacing w:line="360" w:lineRule="auto"/>
              <w:rPr>
                <w:rFonts w:ascii="宋体" w:hAnsi="宋体"/>
                <w:color w:val="000000"/>
                <w:kern w:val="1"/>
                <w:szCs w:val="21"/>
                <w:highlight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0B19841">
            <w:pPr>
              <w:spacing w:line="360" w:lineRule="auto"/>
              <w:jc w:val="center"/>
              <w:rPr>
                <w:rFonts w:ascii="宋体" w:hAnsi="宋体"/>
                <w:color w:val="000000"/>
                <w:kern w:val="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1427A22">
            <w:pPr>
              <w:spacing w:line="360" w:lineRule="auto"/>
              <w:jc w:val="center"/>
              <w:rPr>
                <w:rFonts w:ascii="宋体" w:hAnsi="宋体"/>
                <w:color w:val="000000"/>
                <w:kern w:val="1"/>
                <w:szCs w:val="21"/>
                <w:highlight w:val="none"/>
              </w:rPr>
            </w:pPr>
          </w:p>
        </w:tc>
      </w:tr>
      <w:tr w14:paraId="6384E74B">
        <w:tblPrEx>
          <w:tblCellMar>
            <w:top w:w="0" w:type="dxa"/>
            <w:left w:w="108" w:type="dxa"/>
            <w:bottom w:w="0" w:type="dxa"/>
            <w:right w:w="108" w:type="dxa"/>
          </w:tblCellMar>
        </w:tblPrEx>
        <w:trPr>
          <w:trHeight w:val="926" w:hRule="atLeast"/>
        </w:trPr>
        <w:tc>
          <w:tcPr>
            <w:tcW w:w="8930" w:type="dxa"/>
            <w:gridSpan w:val="5"/>
            <w:tcBorders>
              <w:top w:val="single" w:color="000000" w:sz="4" w:space="0"/>
              <w:left w:val="single" w:color="000000" w:sz="4" w:space="0"/>
              <w:bottom w:val="single" w:color="000000" w:sz="4" w:space="0"/>
              <w:right w:val="single" w:color="000000" w:sz="4" w:space="0"/>
            </w:tcBorders>
            <w:vAlign w:val="center"/>
          </w:tcPr>
          <w:p w14:paraId="1CE5B94E">
            <w:pPr>
              <w:spacing w:line="360" w:lineRule="auto"/>
              <w:rPr>
                <w:rFonts w:hint="eastAsia" w:ascii="宋体" w:hAnsi="宋体"/>
                <w:color w:val="000000"/>
                <w:kern w:val="1"/>
                <w:szCs w:val="21"/>
                <w:highlight w:val="none"/>
              </w:rPr>
            </w:pPr>
            <w:r>
              <w:rPr>
                <w:rFonts w:hint="eastAsia" w:ascii="宋体" w:hAnsi="宋体"/>
                <w:color w:val="000000"/>
                <w:kern w:val="1"/>
                <w:szCs w:val="21"/>
                <w:highlight w:val="none"/>
              </w:rPr>
              <w:t>备注：供应商在响应磋商文件中规定的实质性要求和条件的基础上，可做出其他有利于供应商的承诺。此类承诺可在本表中予以补充填写。</w:t>
            </w:r>
          </w:p>
        </w:tc>
      </w:tr>
    </w:tbl>
    <w:p w14:paraId="70D6D601">
      <w:pPr>
        <w:spacing w:line="480" w:lineRule="exact"/>
        <w:rPr>
          <w:rFonts w:hint="eastAsia" w:ascii="宋体" w:hAnsi="宋体"/>
          <w:color w:val="000000"/>
          <w:highlight w:val="none"/>
        </w:rPr>
      </w:pPr>
    </w:p>
    <w:p w14:paraId="3E282966">
      <w:pPr>
        <w:spacing w:line="480" w:lineRule="exact"/>
        <w:rPr>
          <w:rFonts w:hint="eastAsia" w:ascii="宋体" w:hAnsi="宋体"/>
          <w:color w:val="000000"/>
          <w:highlight w:val="none"/>
        </w:rPr>
      </w:pPr>
      <w:r>
        <w:rPr>
          <w:rFonts w:hint="eastAsia" w:ascii="宋体" w:hAnsi="宋体"/>
          <w:color w:val="000000"/>
          <w:highlight w:val="none"/>
        </w:rPr>
        <w:t>供应</w:t>
      </w:r>
      <w:r>
        <w:rPr>
          <w:rFonts w:hint="eastAsia" w:ascii="宋体" w:hAnsi="宋体"/>
          <w:color w:val="000000"/>
          <w:szCs w:val="21"/>
          <w:highlight w:val="none"/>
        </w:rPr>
        <w:t>商</w:t>
      </w:r>
      <w:r>
        <w:rPr>
          <w:rFonts w:ascii="宋体" w:hAnsi="宋体"/>
          <w:color w:val="000000"/>
          <w:szCs w:val="21"/>
          <w:highlight w:val="none"/>
        </w:rPr>
        <w:t>（CA</w:t>
      </w:r>
      <w:r>
        <w:rPr>
          <w:rFonts w:hint="eastAsia" w:ascii="宋体" w:hAnsi="宋体"/>
          <w:color w:val="000000"/>
          <w:szCs w:val="21"/>
          <w:highlight w:val="none"/>
        </w:rPr>
        <w:t>电子签章</w:t>
      </w:r>
      <w:r>
        <w:rPr>
          <w:rFonts w:ascii="宋体" w:hAnsi="宋体"/>
          <w:color w:val="000000"/>
          <w:szCs w:val="21"/>
          <w:highlight w:val="none"/>
        </w:rPr>
        <w:t>）</w:t>
      </w:r>
      <w:r>
        <w:rPr>
          <w:rFonts w:hint="eastAsia" w:ascii="宋体" w:hAnsi="宋体"/>
          <w:color w:val="000000"/>
          <w:highlight w:val="none"/>
        </w:rPr>
        <w:t>：</w:t>
      </w:r>
    </w:p>
    <w:p w14:paraId="0D97409D">
      <w:pPr>
        <w:spacing w:line="480" w:lineRule="exact"/>
        <w:rPr>
          <w:rFonts w:hint="eastAsia" w:ascii="宋体" w:hAnsi="宋体"/>
          <w:color w:val="000000"/>
          <w:highlight w:val="none"/>
        </w:rPr>
      </w:pPr>
      <w:r>
        <w:rPr>
          <w:rFonts w:hint="eastAsia" w:ascii="宋体" w:hAnsi="宋体"/>
          <w:color w:val="000000"/>
          <w:highlight w:val="none"/>
        </w:rPr>
        <w:t>法人代表或委托代理人（签字或盖章）：</w:t>
      </w:r>
    </w:p>
    <w:p w14:paraId="080A5DAC">
      <w:pPr>
        <w:spacing w:line="480" w:lineRule="exact"/>
        <w:rPr>
          <w:rFonts w:hint="eastAsia" w:ascii="宋体" w:hAnsi="宋体"/>
          <w:color w:val="000000"/>
          <w:highlight w:val="none"/>
        </w:rPr>
      </w:pPr>
      <w:r>
        <w:rPr>
          <w:rFonts w:hint="eastAsia" w:ascii="宋体" w:hAnsi="宋体"/>
          <w:color w:val="000000"/>
          <w:highlight w:val="none"/>
        </w:rPr>
        <w:t>磋商日期：</w:t>
      </w:r>
    </w:p>
    <w:p w14:paraId="095E6C20">
      <w:pPr>
        <w:rPr>
          <w:rFonts w:hint="eastAsia" w:ascii="宋体" w:hAnsi="宋体"/>
          <w:b/>
          <w:color w:val="000000"/>
          <w:sz w:val="32"/>
          <w:highlight w:val="none"/>
        </w:rPr>
      </w:pPr>
      <w:r>
        <w:rPr>
          <w:rFonts w:hint="eastAsia" w:ascii="宋体" w:hAnsi="宋体"/>
          <w:b/>
          <w:color w:val="000000"/>
          <w:sz w:val="32"/>
          <w:highlight w:val="none"/>
        </w:rPr>
        <w:br w:type="page"/>
      </w:r>
    </w:p>
    <w:p w14:paraId="433573AF">
      <w:pPr>
        <w:pStyle w:val="128"/>
        <w:spacing w:line="360" w:lineRule="auto"/>
        <w:jc w:val="center"/>
        <w:outlineLvl w:val="0"/>
        <w:rPr>
          <w:rFonts w:hint="eastAsia" w:ascii="宋体" w:hAnsi="宋体"/>
          <w:b/>
          <w:color w:val="000000"/>
          <w:sz w:val="32"/>
          <w:highlight w:val="none"/>
        </w:rPr>
      </w:pPr>
      <w:bookmarkStart w:id="947" w:name="_Toc178062934"/>
      <w:bookmarkStart w:id="948" w:name="_Toc108539870"/>
      <w:bookmarkStart w:id="949" w:name="_Toc10765"/>
      <w:r>
        <w:rPr>
          <w:rFonts w:hint="eastAsia" w:ascii="宋体" w:hAnsi="宋体"/>
          <w:b/>
          <w:color w:val="000000"/>
          <w:sz w:val="32"/>
          <w:highlight w:val="none"/>
        </w:rPr>
        <w:t>三、已标价工程量清单</w:t>
      </w:r>
      <w:bookmarkEnd w:id="947"/>
      <w:bookmarkEnd w:id="948"/>
      <w:bookmarkEnd w:id="949"/>
    </w:p>
    <w:p w14:paraId="1B329C4D">
      <w:pPr>
        <w:spacing w:line="360" w:lineRule="auto"/>
        <w:ind w:firstLine="420" w:firstLineChars="200"/>
        <w:rPr>
          <w:color w:val="000000"/>
          <w:highlight w:val="none"/>
        </w:rPr>
      </w:pPr>
      <w:r>
        <w:rPr>
          <w:color w:val="000000"/>
          <w:highlight w:val="none"/>
        </w:rPr>
        <w:t xml:space="preserve">1. </w:t>
      </w:r>
      <w:r>
        <w:rPr>
          <w:rFonts w:hint="eastAsia"/>
          <w:color w:val="000000"/>
          <w:highlight w:val="none"/>
        </w:rPr>
        <w:t>已标价工程量清单应按第七章附件</w:t>
      </w:r>
      <w:r>
        <w:rPr>
          <w:color w:val="000000"/>
          <w:highlight w:val="none"/>
        </w:rPr>
        <w:t xml:space="preserve"> “</w:t>
      </w:r>
      <w:r>
        <w:rPr>
          <w:rFonts w:hint="eastAsia"/>
          <w:color w:val="000000"/>
          <w:highlight w:val="none"/>
        </w:rPr>
        <w:t>工程量清单</w:t>
      </w:r>
      <w:r>
        <w:rPr>
          <w:color w:val="000000"/>
          <w:highlight w:val="none"/>
        </w:rPr>
        <w:t>”</w:t>
      </w:r>
      <w:r>
        <w:rPr>
          <w:rFonts w:hint="eastAsia"/>
          <w:color w:val="000000"/>
          <w:highlight w:val="none"/>
        </w:rPr>
        <w:t>中的相关表格及磋商报价说明填写。构成合同文件的已标价工程量清单包括第七章附件</w:t>
      </w:r>
      <w:r>
        <w:rPr>
          <w:color w:val="000000"/>
          <w:highlight w:val="none"/>
        </w:rPr>
        <w:t xml:space="preserve"> “</w:t>
      </w:r>
      <w:r>
        <w:rPr>
          <w:rFonts w:hint="eastAsia"/>
          <w:color w:val="000000"/>
          <w:highlight w:val="none"/>
        </w:rPr>
        <w:t>工程量清单</w:t>
      </w:r>
      <w:r>
        <w:rPr>
          <w:color w:val="000000"/>
          <w:highlight w:val="none"/>
        </w:rPr>
        <w:t>”</w:t>
      </w:r>
      <w:r>
        <w:rPr>
          <w:rFonts w:hint="eastAsia"/>
          <w:color w:val="000000"/>
          <w:highlight w:val="none"/>
        </w:rPr>
        <w:t>有关工程量清单、磋商报价以及其他说明的内容。</w:t>
      </w:r>
    </w:p>
    <w:p w14:paraId="0C443C20">
      <w:pPr>
        <w:spacing w:line="360" w:lineRule="auto"/>
        <w:ind w:firstLine="420" w:firstLineChars="200"/>
        <w:rPr>
          <w:color w:val="000000"/>
          <w:highlight w:val="none"/>
        </w:rPr>
      </w:pPr>
      <w:r>
        <w:rPr>
          <w:color w:val="000000"/>
          <w:highlight w:val="none"/>
        </w:rPr>
        <w:t xml:space="preserve">2. </w:t>
      </w:r>
      <w:r>
        <w:rPr>
          <w:rFonts w:hint="eastAsia"/>
          <w:color w:val="000000"/>
          <w:highlight w:val="none"/>
        </w:rPr>
        <w:t>磋商总价封面</w:t>
      </w:r>
      <w:r>
        <w:rPr>
          <w:color w:val="000000"/>
          <w:highlight w:val="none"/>
        </w:rPr>
        <w:t>CA</w:t>
      </w:r>
      <w:r>
        <w:rPr>
          <w:rFonts w:hint="eastAsia"/>
          <w:color w:val="000000"/>
          <w:highlight w:val="none"/>
        </w:rPr>
        <w:t>电子签章，并由法定代表人签字（或盖章），同时由编制人签字，否则视为无效响应。</w:t>
      </w:r>
    </w:p>
    <w:p w14:paraId="4F887FE6">
      <w:pPr>
        <w:spacing w:line="360" w:lineRule="auto"/>
        <w:ind w:firstLine="420" w:firstLineChars="200"/>
        <w:rPr>
          <w:color w:val="000000"/>
          <w:highlight w:val="none"/>
        </w:rPr>
      </w:pPr>
      <w:r>
        <w:rPr>
          <w:color w:val="000000"/>
          <w:highlight w:val="none"/>
        </w:rPr>
        <w:t xml:space="preserve">3. </w:t>
      </w:r>
      <w:r>
        <w:rPr>
          <w:rFonts w:hint="eastAsia"/>
          <w:color w:val="000000"/>
          <w:highlight w:val="none"/>
        </w:rPr>
        <w:t>已标价工程量清单表格要严格按照招标工程量清单给出的表格要求和内容填报。</w:t>
      </w:r>
    </w:p>
    <w:p w14:paraId="7810C518">
      <w:pPr>
        <w:pStyle w:val="37"/>
        <w:spacing w:line="312" w:lineRule="auto"/>
        <w:ind w:firstLine="424" w:firstLineChars="201"/>
        <w:rPr>
          <w:rFonts w:ascii="宋体" w:hAnsi="宋体"/>
          <w:b/>
          <w:color w:val="000000"/>
          <w:szCs w:val="21"/>
          <w:highlight w:val="none"/>
        </w:rPr>
      </w:pPr>
    </w:p>
    <w:p w14:paraId="578FAB16">
      <w:pPr>
        <w:pStyle w:val="37"/>
        <w:spacing w:line="312" w:lineRule="auto"/>
        <w:ind w:firstLine="424" w:firstLineChars="201"/>
        <w:rPr>
          <w:rFonts w:ascii="宋体" w:hAnsi="宋体"/>
          <w:b/>
          <w:color w:val="000000"/>
          <w:szCs w:val="21"/>
          <w:highlight w:val="none"/>
        </w:rPr>
      </w:pPr>
    </w:p>
    <w:p w14:paraId="4F79C2F9">
      <w:pPr>
        <w:keepNext/>
        <w:keepLines/>
        <w:spacing w:before="260" w:after="260"/>
        <w:jc w:val="center"/>
        <w:outlineLvl w:val="2"/>
        <w:rPr>
          <w:rFonts w:hint="eastAsia"/>
          <w:b/>
          <w:bCs/>
          <w:color w:val="000000"/>
          <w:sz w:val="30"/>
          <w:szCs w:val="30"/>
          <w:highlight w:val="none"/>
        </w:rPr>
      </w:pPr>
      <w:bookmarkStart w:id="950" w:name="_Toc1383880777"/>
      <w:bookmarkStart w:id="951" w:name="_Toc699312645"/>
      <w:bookmarkStart w:id="952" w:name="_Toc969820101"/>
      <w:bookmarkStart w:id="953" w:name="_Toc379677361"/>
      <w:bookmarkStart w:id="954" w:name="_Toc869583722"/>
      <w:bookmarkStart w:id="955" w:name="_Toc1049699317"/>
      <w:bookmarkStart w:id="956" w:name="_Toc924361400"/>
      <w:bookmarkStart w:id="957" w:name="_Toc5745500"/>
      <w:bookmarkStart w:id="958" w:name="_Toc1790971193"/>
      <w:bookmarkStart w:id="959" w:name="_Toc911222776"/>
      <w:bookmarkStart w:id="960" w:name="_Toc1781219436"/>
      <w:bookmarkStart w:id="961" w:name="_Toc1416311017"/>
      <w:r>
        <w:rPr>
          <w:rFonts w:hint="eastAsia"/>
          <w:b/>
          <w:bCs/>
          <w:color w:val="000000"/>
          <w:sz w:val="30"/>
          <w:szCs w:val="30"/>
          <w:highlight w:val="none"/>
        </w:rPr>
        <w:br w:type="page"/>
      </w:r>
      <w:bookmarkStart w:id="962" w:name="_Toc4416"/>
      <w:r>
        <w:rPr>
          <w:rFonts w:hint="eastAsia"/>
          <w:b/>
          <w:bCs/>
          <w:color w:val="000000"/>
          <w:sz w:val="30"/>
          <w:szCs w:val="30"/>
          <w:highlight w:val="none"/>
        </w:rPr>
        <w:t>建筑材料和设备节能环保要求承诺书</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53D71699">
      <w:pPr>
        <w:spacing w:line="520" w:lineRule="exact"/>
        <w:ind w:left="-10" w:firstLine="455" w:firstLineChars="217"/>
        <w:jc w:val="left"/>
        <w:rPr>
          <w:rFonts w:ascii="宋体" w:hAnsi="宋体"/>
          <w:color w:val="000000"/>
          <w:highlight w:val="none"/>
        </w:rPr>
      </w:pPr>
      <w:r>
        <w:rPr>
          <w:rFonts w:ascii="宋体" w:hAnsi="宋体"/>
          <w:color w:val="000000"/>
          <w:highlight w:val="none"/>
        </w:rPr>
        <w:t>我方承诺，一旦</w:t>
      </w:r>
      <w:r>
        <w:rPr>
          <w:rFonts w:hint="eastAsia" w:ascii="宋体" w:hAnsi="宋体"/>
          <w:color w:val="000000"/>
          <w:highlight w:val="none"/>
        </w:rPr>
        <w:t>成交</w:t>
      </w:r>
      <w:r>
        <w:rPr>
          <w:rFonts w:ascii="宋体" w:hAnsi="宋体"/>
          <w:color w:val="000000"/>
          <w:highlight w:val="none"/>
        </w:rPr>
        <w:t>，我方保证严格执行《财政部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w:t>
      </w:r>
      <w:r>
        <w:rPr>
          <w:rFonts w:hint="eastAsia" w:ascii="宋体" w:hAnsi="宋体"/>
          <w:color w:val="000000"/>
          <w:highlight w:val="none"/>
        </w:rPr>
        <w:t>★</w:t>
      </w:r>
      <w:r>
        <w:rPr>
          <w:rFonts w:ascii="宋体" w:hAnsi="宋体"/>
          <w:color w:val="000000"/>
          <w:highlight w:val="none"/>
        </w:rPr>
        <w:t>”的产品，都使用政府强制采购的节能产品。如我方在该项目的承包中出现未按规定执行的情形，我方愿意按照相关规定接受建设单位及有关主管部门的处罚。</w:t>
      </w:r>
    </w:p>
    <w:p w14:paraId="3AE4D03E">
      <w:pPr>
        <w:tabs>
          <w:tab w:val="left" w:pos="4860"/>
        </w:tabs>
        <w:spacing w:line="360" w:lineRule="auto"/>
        <w:ind w:right="1560" w:firstLine="444" w:firstLineChars="200"/>
        <w:contextualSpacing/>
        <w:jc w:val="center"/>
        <w:rPr>
          <w:rFonts w:ascii="宋体" w:hAnsi="宋体"/>
          <w:color w:val="000000"/>
          <w:spacing w:val="6"/>
          <w:highlight w:val="none"/>
        </w:rPr>
      </w:pPr>
      <w:r>
        <w:rPr>
          <w:rFonts w:ascii="宋体" w:hAnsi="宋体"/>
          <w:color w:val="000000"/>
          <w:spacing w:val="6"/>
          <w:highlight w:val="none"/>
        </w:rPr>
        <w:t xml:space="preserve">                   </w:t>
      </w:r>
    </w:p>
    <w:p w14:paraId="7A95384D">
      <w:pPr>
        <w:tabs>
          <w:tab w:val="left" w:pos="4860"/>
        </w:tabs>
        <w:spacing w:line="360" w:lineRule="auto"/>
        <w:ind w:right="1560" w:firstLine="444" w:firstLineChars="200"/>
        <w:contextualSpacing/>
        <w:jc w:val="center"/>
        <w:rPr>
          <w:rFonts w:ascii="宋体" w:hAnsi="宋体"/>
          <w:color w:val="000000"/>
          <w:spacing w:val="6"/>
          <w:highlight w:val="none"/>
        </w:rPr>
      </w:pPr>
    </w:p>
    <w:p w14:paraId="775D9E74">
      <w:pPr>
        <w:tabs>
          <w:tab w:val="left" w:pos="4860"/>
        </w:tabs>
        <w:spacing w:line="360" w:lineRule="auto"/>
        <w:ind w:right="1560" w:firstLine="420" w:firstLineChars="200"/>
        <w:contextualSpacing/>
        <w:jc w:val="center"/>
        <w:rPr>
          <w:rFonts w:ascii="宋体" w:hAnsi="宋体"/>
          <w:color w:val="000000"/>
          <w:highlight w:val="none"/>
        </w:rPr>
      </w:pPr>
      <w:r>
        <w:rPr>
          <w:rFonts w:ascii="宋体" w:hAnsi="宋体"/>
          <w:color w:val="000000"/>
          <w:highlight w:val="none"/>
        </w:rPr>
        <w:t>单位名称（</w:t>
      </w:r>
      <w:r>
        <w:rPr>
          <w:rFonts w:hint="eastAsia" w:ascii="宋体" w:hAnsi="宋体"/>
          <w:b/>
          <w:color w:val="000000"/>
          <w:szCs w:val="21"/>
          <w:highlight w:val="none"/>
        </w:rPr>
        <w:t>CA</w:t>
      </w:r>
      <w:r>
        <w:rPr>
          <w:rFonts w:hint="eastAsia" w:ascii="宋体" w:hAnsi="宋体"/>
          <w:color w:val="000000"/>
          <w:highlight w:val="none"/>
        </w:rPr>
        <w:t>电子签</w:t>
      </w:r>
      <w:r>
        <w:rPr>
          <w:rFonts w:ascii="宋体" w:hAnsi="宋体"/>
          <w:color w:val="000000"/>
          <w:highlight w:val="none"/>
        </w:rPr>
        <w:t>章）</w:t>
      </w:r>
      <w:r>
        <w:rPr>
          <w:rFonts w:hint="eastAsia" w:ascii="宋体" w:hAnsi="宋体"/>
          <w:color w:val="000000"/>
          <w:highlight w:val="none"/>
        </w:rPr>
        <w:t>：</w:t>
      </w:r>
    </w:p>
    <w:p w14:paraId="42EEB50A">
      <w:pPr>
        <w:ind w:firstLine="444" w:firstLineChars="200"/>
        <w:jc w:val="left"/>
        <w:rPr>
          <w:rFonts w:ascii="宋体" w:hAnsi="宋体"/>
          <w:color w:val="000000"/>
          <w:spacing w:val="6"/>
          <w:highlight w:val="none"/>
        </w:rPr>
      </w:pPr>
      <w:r>
        <w:rPr>
          <w:rFonts w:ascii="宋体" w:hAnsi="宋体"/>
          <w:color w:val="000000"/>
          <w:spacing w:val="6"/>
          <w:highlight w:val="none"/>
        </w:rPr>
        <w:t xml:space="preserve">                       日  期：</w:t>
      </w:r>
    </w:p>
    <w:p w14:paraId="7F265433">
      <w:pPr>
        <w:pStyle w:val="37"/>
        <w:spacing w:line="312" w:lineRule="auto"/>
        <w:ind w:firstLine="424" w:firstLineChars="201"/>
        <w:rPr>
          <w:rFonts w:ascii="宋体" w:hAnsi="宋体"/>
          <w:b/>
          <w:color w:val="000000"/>
          <w:highlight w:val="none"/>
        </w:rPr>
      </w:pPr>
    </w:p>
    <w:p w14:paraId="1C863C92">
      <w:pPr>
        <w:pStyle w:val="37"/>
        <w:ind w:firstLine="424" w:firstLineChars="201"/>
        <w:rPr>
          <w:rFonts w:ascii="宋体" w:hAnsi="宋体"/>
          <w:b/>
          <w:color w:val="000000"/>
          <w:highlight w:val="none"/>
        </w:rPr>
      </w:pPr>
    </w:p>
    <w:p w14:paraId="43A3C1AE">
      <w:pPr>
        <w:pStyle w:val="44"/>
        <w:rPr>
          <w:rFonts w:hAnsi="宋体"/>
          <w:color w:val="000000"/>
          <w:highlight w:val="none"/>
        </w:rPr>
      </w:pPr>
      <w:r>
        <w:rPr>
          <w:rFonts w:hAnsi="宋体"/>
          <w:color w:val="000000"/>
          <w:highlight w:val="none"/>
        </w:rPr>
        <w:br w:type="page"/>
      </w:r>
      <w:r>
        <w:rPr>
          <w:rFonts w:hAnsi="宋体"/>
          <w:bCs/>
          <w:color w:val="000000"/>
          <w:sz w:val="28"/>
          <w:szCs w:val="28"/>
          <w:highlight w:val="none"/>
        </w:rPr>
        <w:t>《中小企业声明函》格式</w:t>
      </w:r>
    </w:p>
    <w:p w14:paraId="795DE71B">
      <w:pPr>
        <w:pStyle w:val="67"/>
        <w:shd w:val="clear" w:color="auto" w:fill="FFFFFF"/>
        <w:spacing w:line="482" w:lineRule="atLeast"/>
        <w:jc w:val="center"/>
        <w:rPr>
          <w:rStyle w:val="73"/>
          <w:rFonts w:hint="eastAsia"/>
          <w:color w:val="000000"/>
          <w:sz w:val="32"/>
          <w:szCs w:val="32"/>
          <w:highlight w:val="none"/>
        </w:rPr>
      </w:pPr>
      <w:r>
        <w:rPr>
          <w:rStyle w:val="73"/>
          <w:rFonts w:hint="eastAsia"/>
          <w:color w:val="000000"/>
          <w:sz w:val="32"/>
          <w:szCs w:val="32"/>
          <w:highlight w:val="none"/>
        </w:rPr>
        <w:t>中小企业声明函（工程）</w:t>
      </w:r>
    </w:p>
    <w:p w14:paraId="718E853F">
      <w:pPr>
        <w:pStyle w:val="105"/>
        <w:ind w:firstLine="600" w:firstLineChars="250"/>
        <w:rPr>
          <w:rFonts w:hint="eastAsia"/>
          <w:color w:val="000000"/>
          <w:highlight w:val="none"/>
        </w:rPr>
      </w:pPr>
      <w:r>
        <w:rPr>
          <w:rFonts w:hint="eastAsia"/>
          <w:color w:val="000000"/>
          <w:highlight w:val="none"/>
        </w:rPr>
        <w:t>本公司郑重声明，根据《政府采购促进中小企业发展管理办法》（财库﹝2020﹞46 号）的规定，本公司参加</w:t>
      </w:r>
      <w:r>
        <w:rPr>
          <w:rFonts w:hint="eastAsia"/>
          <w:color w:val="000000"/>
          <w:highlight w:val="none"/>
          <w:u w:val="single"/>
        </w:rPr>
        <w:t>（采购单位名称）</w:t>
      </w:r>
      <w:r>
        <w:rPr>
          <w:rFonts w:hint="eastAsia"/>
          <w:color w:val="000000"/>
          <w:highlight w:val="none"/>
        </w:rPr>
        <w:t>的</w:t>
      </w:r>
      <w:r>
        <w:rPr>
          <w:rFonts w:hint="eastAsia"/>
          <w:color w:val="000000"/>
          <w:highlight w:val="none"/>
          <w:u w:val="single"/>
        </w:rPr>
        <w:t>（项目名称）</w:t>
      </w:r>
      <w:r>
        <w:rPr>
          <w:rFonts w:hint="eastAsia"/>
          <w:color w:val="000000"/>
          <w:highlight w:val="none"/>
        </w:rPr>
        <w:t>采购活动，工程的施工单位全部为符合政策要求的中小企业。相关企业（含联合体中的中小企业、签订分包意向协议的中小企业）的具体情况如下：</w:t>
      </w:r>
    </w:p>
    <w:p w14:paraId="1F032F47">
      <w:pPr>
        <w:pStyle w:val="105"/>
        <w:numPr>
          <w:ilvl w:val="0"/>
          <w:numId w:val="8"/>
        </w:numPr>
        <w:ind w:firstLine="600" w:firstLineChars="250"/>
        <w:rPr>
          <w:rFonts w:hint="eastAsia"/>
          <w:color w:val="000000"/>
          <w:highlight w:val="none"/>
          <w:u w:val="single"/>
        </w:rPr>
      </w:pPr>
      <w:r>
        <w:rPr>
          <w:rFonts w:hint="eastAsia"/>
          <w:color w:val="000000"/>
          <w:highlight w:val="none"/>
          <w:u w:val="single"/>
        </w:rPr>
        <w:t xml:space="preserve">（标的名称） </w:t>
      </w:r>
      <w:r>
        <w:rPr>
          <w:rFonts w:hint="eastAsia"/>
          <w:color w:val="000000"/>
          <w:highlight w:val="none"/>
        </w:rPr>
        <w:t>，属于</w:t>
      </w:r>
      <w:r>
        <w:rPr>
          <w:rFonts w:hint="eastAsia"/>
          <w:color w:val="000000"/>
          <w:highlight w:val="none"/>
          <w:u w:val="single"/>
        </w:rPr>
        <w:t>（采购文件中明确的所属行业）</w:t>
      </w:r>
      <w:r>
        <w:rPr>
          <w:rFonts w:hint="eastAsia"/>
          <w:color w:val="000000"/>
          <w:highlight w:val="none"/>
        </w:rPr>
        <w:t>； 承建（承接）企业为</w:t>
      </w:r>
      <w:r>
        <w:rPr>
          <w:rFonts w:hint="eastAsia"/>
          <w:color w:val="000000"/>
          <w:highlight w:val="none"/>
          <w:u w:val="single"/>
        </w:rPr>
        <w:t>（企业名称）</w:t>
      </w:r>
      <w:r>
        <w:rPr>
          <w:rFonts w:hint="eastAsia"/>
          <w:color w:val="000000"/>
          <w:highlight w:val="none"/>
        </w:rPr>
        <w:t>，从业人员</w:t>
      </w:r>
      <w:r>
        <w:rPr>
          <w:rFonts w:hint="eastAsia"/>
          <w:color w:val="000000"/>
          <w:highlight w:val="none"/>
          <w:u w:val="single"/>
        </w:rPr>
        <w:t xml:space="preserve">   </w:t>
      </w:r>
      <w:r>
        <w:rPr>
          <w:rFonts w:hint="eastAsia"/>
          <w:color w:val="000000"/>
          <w:highlight w:val="none"/>
        </w:rPr>
        <w:t>人，营业 收入为</w:t>
      </w:r>
      <w:r>
        <w:rPr>
          <w:rFonts w:hint="eastAsia"/>
          <w:color w:val="000000"/>
          <w:highlight w:val="none"/>
          <w:u w:val="single"/>
        </w:rPr>
        <w:t xml:space="preserve">    </w:t>
      </w:r>
      <w:r>
        <w:rPr>
          <w:rFonts w:hint="eastAsia"/>
          <w:color w:val="000000"/>
          <w:highlight w:val="none"/>
        </w:rPr>
        <w:t>万元，资产总额为</w:t>
      </w:r>
      <w:r>
        <w:rPr>
          <w:rFonts w:hint="eastAsia"/>
          <w:color w:val="000000"/>
          <w:highlight w:val="none"/>
          <w:u w:val="single"/>
        </w:rPr>
        <w:t xml:space="preserve">     </w:t>
      </w:r>
      <w:r>
        <w:rPr>
          <w:rFonts w:hint="eastAsia"/>
          <w:color w:val="000000"/>
          <w:highlight w:val="none"/>
        </w:rPr>
        <w:t>万元，属于</w:t>
      </w:r>
      <w:r>
        <w:rPr>
          <w:rFonts w:hint="eastAsia"/>
          <w:color w:val="000000"/>
          <w:highlight w:val="none"/>
          <w:u w:val="single"/>
        </w:rPr>
        <w:t>（中型企业、小型企业、微型企业）</w:t>
      </w:r>
      <w:r>
        <w:rPr>
          <w:rFonts w:hint="eastAsia"/>
          <w:color w:val="000000"/>
          <w:highlight w:val="none"/>
        </w:rPr>
        <w:t>。</w:t>
      </w:r>
    </w:p>
    <w:p w14:paraId="1523BC2F">
      <w:pPr>
        <w:pStyle w:val="105"/>
        <w:numPr>
          <w:ilvl w:val="0"/>
          <w:numId w:val="8"/>
        </w:numPr>
        <w:ind w:firstLine="600" w:firstLineChars="250"/>
        <w:rPr>
          <w:rFonts w:hint="eastAsia"/>
          <w:color w:val="000000"/>
          <w:highlight w:val="none"/>
          <w:u w:val="single"/>
        </w:rPr>
      </w:pPr>
      <w:r>
        <w:rPr>
          <w:rFonts w:hint="eastAsia"/>
          <w:color w:val="000000"/>
          <w:highlight w:val="none"/>
          <w:u w:val="single"/>
        </w:rPr>
        <w:t xml:space="preserve">（标的名称） </w:t>
      </w:r>
      <w:r>
        <w:rPr>
          <w:rFonts w:hint="eastAsia"/>
          <w:color w:val="000000"/>
          <w:highlight w:val="none"/>
        </w:rPr>
        <w:t>，属于</w:t>
      </w:r>
      <w:r>
        <w:rPr>
          <w:rFonts w:hint="eastAsia"/>
          <w:color w:val="000000"/>
          <w:highlight w:val="none"/>
          <w:u w:val="single"/>
        </w:rPr>
        <w:t>（采购文件中明确的所属行业）</w:t>
      </w:r>
      <w:r>
        <w:rPr>
          <w:rFonts w:hint="eastAsia"/>
          <w:color w:val="000000"/>
          <w:highlight w:val="none"/>
        </w:rPr>
        <w:t>； 承建（承接）企业为</w:t>
      </w:r>
      <w:r>
        <w:rPr>
          <w:rFonts w:hint="eastAsia"/>
          <w:color w:val="000000"/>
          <w:highlight w:val="none"/>
          <w:u w:val="single"/>
        </w:rPr>
        <w:t>（企业名称）</w:t>
      </w:r>
      <w:r>
        <w:rPr>
          <w:rFonts w:hint="eastAsia"/>
          <w:color w:val="000000"/>
          <w:highlight w:val="none"/>
        </w:rPr>
        <w:t>，从业人员</w:t>
      </w:r>
      <w:r>
        <w:rPr>
          <w:rFonts w:hint="eastAsia"/>
          <w:color w:val="000000"/>
          <w:highlight w:val="none"/>
          <w:u w:val="single"/>
        </w:rPr>
        <w:t xml:space="preserve">   </w:t>
      </w:r>
      <w:r>
        <w:rPr>
          <w:rFonts w:hint="eastAsia"/>
          <w:color w:val="000000"/>
          <w:highlight w:val="none"/>
        </w:rPr>
        <w:t>人，营业 收入为</w:t>
      </w:r>
      <w:r>
        <w:rPr>
          <w:rFonts w:hint="eastAsia"/>
          <w:color w:val="000000"/>
          <w:highlight w:val="none"/>
          <w:u w:val="single"/>
        </w:rPr>
        <w:t xml:space="preserve">    </w:t>
      </w:r>
      <w:r>
        <w:rPr>
          <w:rFonts w:hint="eastAsia"/>
          <w:color w:val="000000"/>
          <w:highlight w:val="none"/>
        </w:rPr>
        <w:t>万元，资产总额为</w:t>
      </w:r>
      <w:r>
        <w:rPr>
          <w:rFonts w:hint="eastAsia"/>
          <w:color w:val="000000"/>
          <w:highlight w:val="none"/>
          <w:u w:val="single"/>
        </w:rPr>
        <w:t xml:space="preserve">     </w:t>
      </w:r>
      <w:r>
        <w:rPr>
          <w:rFonts w:hint="eastAsia"/>
          <w:color w:val="000000"/>
          <w:highlight w:val="none"/>
        </w:rPr>
        <w:t>万元，属于</w:t>
      </w:r>
      <w:r>
        <w:rPr>
          <w:rFonts w:hint="eastAsia"/>
          <w:color w:val="000000"/>
          <w:highlight w:val="none"/>
          <w:u w:val="single"/>
        </w:rPr>
        <w:t>（中型企业、小型企业、微型企业）</w:t>
      </w:r>
      <w:r>
        <w:rPr>
          <w:rFonts w:hint="eastAsia"/>
          <w:color w:val="000000"/>
          <w:highlight w:val="none"/>
        </w:rPr>
        <w:t>。</w:t>
      </w:r>
    </w:p>
    <w:p w14:paraId="04730220">
      <w:pPr>
        <w:pStyle w:val="105"/>
        <w:ind w:firstLine="720" w:firstLineChars="300"/>
        <w:rPr>
          <w:rFonts w:hint="eastAsia"/>
          <w:color w:val="000000"/>
          <w:highlight w:val="none"/>
        </w:rPr>
      </w:pPr>
      <w:r>
        <w:rPr>
          <w:rFonts w:hint="eastAsia"/>
          <w:color w:val="000000"/>
          <w:highlight w:val="none"/>
        </w:rPr>
        <w:t>......</w:t>
      </w:r>
    </w:p>
    <w:p w14:paraId="4B797BEE">
      <w:pPr>
        <w:pStyle w:val="105"/>
        <w:ind w:firstLine="600" w:firstLineChars="250"/>
        <w:rPr>
          <w:rFonts w:hint="eastAsia"/>
          <w:color w:val="000000"/>
          <w:highlight w:val="none"/>
        </w:rPr>
      </w:pPr>
      <w:r>
        <w:rPr>
          <w:rFonts w:hint="eastAsia"/>
          <w:color w:val="000000"/>
          <w:highlight w:val="none"/>
        </w:rPr>
        <w:t xml:space="preserve">以上企业，不属于大企业的分支机构，不存在控股股东为大企业的情形，也不存在与大企业的负责人为同一人的情形。 </w:t>
      </w:r>
    </w:p>
    <w:p w14:paraId="4E82E943">
      <w:pPr>
        <w:pStyle w:val="67"/>
        <w:shd w:val="clear" w:color="auto" w:fill="FFFFFF"/>
        <w:spacing w:before="0" w:beforeAutospacing="0" w:after="0" w:afterAutospacing="0" w:line="460" w:lineRule="exact"/>
        <w:ind w:firstLine="539"/>
        <w:rPr>
          <w:rFonts w:hint="eastAsia"/>
          <w:color w:val="000000"/>
          <w:highlight w:val="none"/>
        </w:rPr>
      </w:pPr>
      <w:r>
        <w:rPr>
          <w:rFonts w:hint="eastAsia"/>
          <w:color w:val="000000"/>
          <w:highlight w:val="none"/>
        </w:rPr>
        <w:t>本企业对上述声明内容的真实性负责。如有虚假，将依法承担相应责任。</w:t>
      </w:r>
    </w:p>
    <w:p w14:paraId="6A171568">
      <w:pPr>
        <w:pStyle w:val="67"/>
        <w:shd w:val="clear" w:color="auto" w:fill="FFFFFF"/>
        <w:spacing w:before="0" w:beforeAutospacing="0" w:after="0" w:afterAutospacing="0" w:line="460" w:lineRule="exact"/>
        <w:ind w:firstLine="539"/>
        <w:rPr>
          <w:color w:val="000000"/>
          <w:highlight w:val="none"/>
        </w:rPr>
      </w:pPr>
    </w:p>
    <w:p w14:paraId="4510DF53">
      <w:pPr>
        <w:pStyle w:val="67"/>
        <w:shd w:val="clear" w:color="auto" w:fill="FFFFFF"/>
        <w:spacing w:before="0" w:beforeAutospacing="0" w:after="0" w:afterAutospacing="0" w:line="460" w:lineRule="exact"/>
        <w:ind w:firstLine="4140"/>
        <w:rPr>
          <w:color w:val="000000"/>
          <w:highlight w:val="none"/>
        </w:rPr>
      </w:pPr>
    </w:p>
    <w:p w14:paraId="48BD6021">
      <w:pPr>
        <w:pStyle w:val="67"/>
        <w:shd w:val="clear" w:color="auto" w:fill="FFFFFF"/>
        <w:spacing w:before="0" w:beforeAutospacing="0" w:after="0" w:afterAutospacing="0" w:line="460" w:lineRule="exact"/>
        <w:ind w:firstLine="4140"/>
        <w:rPr>
          <w:rFonts w:hint="eastAsia"/>
          <w:color w:val="000000"/>
          <w:highlight w:val="none"/>
        </w:rPr>
      </w:pPr>
      <w:r>
        <w:rPr>
          <w:rFonts w:hint="eastAsia"/>
          <w:color w:val="000000"/>
          <w:highlight w:val="none"/>
        </w:rPr>
        <w:t>企业名称（加盖CA电子公章）：</w:t>
      </w:r>
    </w:p>
    <w:p w14:paraId="7A2C6DC4">
      <w:pPr>
        <w:pStyle w:val="67"/>
        <w:shd w:val="clear" w:color="auto" w:fill="FFFFFF"/>
        <w:spacing w:before="0" w:beforeAutospacing="0" w:after="0" w:afterAutospacing="0" w:line="460" w:lineRule="exact"/>
        <w:ind w:firstLine="4140"/>
        <w:rPr>
          <w:rFonts w:hint="eastAsia"/>
          <w:color w:val="000000"/>
          <w:highlight w:val="none"/>
        </w:rPr>
      </w:pPr>
      <w:r>
        <w:rPr>
          <w:rFonts w:hint="eastAsia"/>
          <w:color w:val="000000"/>
          <w:highlight w:val="none"/>
        </w:rPr>
        <w:t xml:space="preserve">日    期： </w:t>
      </w:r>
    </w:p>
    <w:p w14:paraId="150538E8">
      <w:pPr>
        <w:pStyle w:val="67"/>
        <w:shd w:val="clear" w:color="auto" w:fill="FFFFFF"/>
        <w:spacing w:before="0" w:beforeAutospacing="0" w:after="0" w:afterAutospacing="0" w:line="460" w:lineRule="exact"/>
        <w:ind w:firstLine="4140"/>
        <w:rPr>
          <w:color w:val="000000"/>
          <w:highlight w:val="none"/>
        </w:rPr>
      </w:pPr>
    </w:p>
    <w:p w14:paraId="1B3022F4">
      <w:pPr>
        <w:spacing w:line="400" w:lineRule="exact"/>
        <w:ind w:firstLine="210" w:firstLineChars="100"/>
        <w:rPr>
          <w:rFonts w:ascii="宋体" w:hAnsi="宋体"/>
          <w:color w:val="000000"/>
          <w:highlight w:val="none"/>
        </w:rPr>
      </w:pPr>
    </w:p>
    <w:p w14:paraId="08A8A488">
      <w:pPr>
        <w:spacing w:line="360" w:lineRule="auto"/>
        <w:contextualSpacing/>
        <w:jc w:val="left"/>
        <w:rPr>
          <w:rFonts w:hint="eastAsia" w:ascii="宋体" w:hAnsi="宋体"/>
          <w:b/>
          <w:color w:val="000000"/>
          <w:highlight w:val="none"/>
        </w:rPr>
      </w:pPr>
      <w:r>
        <w:rPr>
          <w:rFonts w:hint="eastAsia" w:ascii="宋体" w:hAnsi="宋体"/>
          <w:b/>
          <w:color w:val="000000"/>
          <w:highlight w:val="none"/>
        </w:rPr>
        <w:t>注：从业人员、营业收入、资产总额填报上一年度数据，无上一年度数据的新成立企业可不填报。</w:t>
      </w:r>
    </w:p>
    <w:p w14:paraId="46606FB4">
      <w:pPr>
        <w:widowControl/>
        <w:jc w:val="left"/>
        <w:rPr>
          <w:rFonts w:ascii="宋体" w:hAnsi="宋体"/>
          <w:b/>
          <w:color w:val="000000"/>
          <w:sz w:val="32"/>
          <w:szCs w:val="32"/>
          <w:highlight w:val="none"/>
        </w:rPr>
      </w:pPr>
      <w:r>
        <w:rPr>
          <w:rFonts w:ascii="宋体" w:hAnsi="宋体"/>
          <w:b/>
          <w:color w:val="000000"/>
          <w:sz w:val="32"/>
          <w:szCs w:val="32"/>
          <w:highlight w:val="none"/>
        </w:rPr>
        <w:br w:type="page"/>
      </w:r>
    </w:p>
    <w:p w14:paraId="1A5297F5">
      <w:pPr>
        <w:pStyle w:val="129"/>
        <w:shd w:val="clear" w:color="auto" w:fill="FFFFFF"/>
        <w:spacing w:before="0" w:beforeAutospacing="0" w:after="0" w:afterAutospacing="0"/>
        <w:jc w:val="center"/>
        <w:rPr>
          <w:rFonts w:hint="eastAsia"/>
          <w:b/>
          <w:color w:val="000000"/>
          <w:sz w:val="32"/>
          <w:szCs w:val="32"/>
          <w:highlight w:val="none"/>
        </w:rPr>
      </w:pPr>
      <w:r>
        <w:rPr>
          <w:rFonts w:hint="eastAsia"/>
          <w:b/>
          <w:color w:val="000000"/>
          <w:sz w:val="32"/>
          <w:szCs w:val="32"/>
          <w:highlight w:val="none"/>
        </w:rPr>
        <w:t>残疾人福利性单位声明函（如有时）</w:t>
      </w:r>
    </w:p>
    <w:p w14:paraId="73D5DC3B">
      <w:pPr>
        <w:pStyle w:val="67"/>
        <w:shd w:val="clear" w:color="auto" w:fill="FFFFFF"/>
        <w:spacing w:before="0" w:beforeAutospacing="0" w:after="0" w:afterAutospacing="0" w:line="460" w:lineRule="exact"/>
        <w:ind w:firstLine="539"/>
        <w:rPr>
          <w:color w:val="000000"/>
          <w:highlight w:val="none"/>
        </w:rPr>
      </w:pPr>
    </w:p>
    <w:p w14:paraId="039270EE">
      <w:pPr>
        <w:pStyle w:val="67"/>
        <w:shd w:val="clear" w:color="auto" w:fill="FFFFFF"/>
        <w:spacing w:before="0" w:beforeAutospacing="0" w:after="0" w:afterAutospacing="0" w:line="460" w:lineRule="exact"/>
        <w:ind w:firstLine="539"/>
        <w:rPr>
          <w:color w:val="000000"/>
          <w:highlight w:val="none"/>
        </w:rPr>
      </w:pPr>
      <w:r>
        <w:rPr>
          <w:color w:val="000000"/>
          <w:highlight w:val="none"/>
        </w:rPr>
        <w:t>本单位郑重声明，根据《财政部 民政部 中国残疾人联合会关于促进残疾人就业政府采购政策的通知》（财库</w:t>
      </w:r>
      <w:r>
        <w:rPr>
          <w:rFonts w:hint="eastAsia"/>
          <w:color w:val="000000"/>
          <w:highlight w:val="none"/>
        </w:rPr>
        <w:t>〔</w:t>
      </w:r>
      <w:r>
        <w:rPr>
          <w:color w:val="000000"/>
          <w:highlight w:val="none"/>
        </w:rPr>
        <w:t>2017</w:t>
      </w:r>
      <w:r>
        <w:rPr>
          <w:rFonts w:hint="eastAsia"/>
          <w:color w:val="000000"/>
          <w:highlight w:val="none"/>
        </w:rPr>
        <w:t>〕</w:t>
      </w:r>
      <w:r>
        <w:rPr>
          <w:color w:val="000000"/>
          <w:highlight w:val="none"/>
        </w:rPr>
        <w:t>141号）的规定，本单位为符合条件的残疾人福利性单位，且本单位参加</w:t>
      </w:r>
      <w:r>
        <w:rPr>
          <w:rFonts w:hint="eastAsia"/>
          <w:color w:val="000000"/>
          <w:highlight w:val="none"/>
          <w:u w:val="single"/>
        </w:rPr>
        <w:t xml:space="preserve">      </w:t>
      </w:r>
      <w:r>
        <w:rPr>
          <w:color w:val="000000"/>
          <w:highlight w:val="none"/>
        </w:rPr>
        <w:t>单位的</w:t>
      </w:r>
      <w:r>
        <w:rPr>
          <w:rFonts w:hint="eastAsia"/>
          <w:color w:val="000000"/>
          <w:highlight w:val="none"/>
          <w:u w:val="single"/>
        </w:rPr>
        <w:t xml:space="preserve">           </w:t>
      </w:r>
      <w:r>
        <w:rPr>
          <w:color w:val="000000"/>
          <w:highlight w:val="none"/>
        </w:rPr>
        <w:t>项目采购活动提供本单位制造的货物（由本单位承担工程/提供服务），或者提供其他残疾人福利性单位制造的货物（不包括使用非残疾人福利性单位注册商标的货物）。</w:t>
      </w:r>
    </w:p>
    <w:p w14:paraId="225066EF">
      <w:pPr>
        <w:pStyle w:val="67"/>
        <w:shd w:val="clear" w:color="auto" w:fill="FFFFFF"/>
        <w:spacing w:before="0" w:beforeAutospacing="0" w:after="0" w:afterAutospacing="0" w:line="460" w:lineRule="exact"/>
        <w:ind w:firstLine="539"/>
        <w:rPr>
          <w:color w:val="000000"/>
          <w:highlight w:val="none"/>
        </w:rPr>
      </w:pPr>
      <w:r>
        <w:rPr>
          <w:color w:val="000000"/>
          <w:highlight w:val="none"/>
        </w:rPr>
        <w:t>本单位对上述声明的真实性负责。如有虚假，将依法承担相应责任。</w:t>
      </w:r>
    </w:p>
    <w:p w14:paraId="1D5BF8D3">
      <w:pPr>
        <w:pStyle w:val="67"/>
        <w:shd w:val="clear" w:color="auto" w:fill="FFFFFF"/>
        <w:spacing w:before="0" w:beforeAutospacing="0" w:after="0" w:afterAutospacing="0" w:line="460" w:lineRule="exact"/>
        <w:ind w:firstLine="539"/>
        <w:rPr>
          <w:color w:val="000000"/>
          <w:highlight w:val="none"/>
        </w:rPr>
      </w:pPr>
    </w:p>
    <w:p w14:paraId="2FDF93FD">
      <w:pPr>
        <w:pStyle w:val="67"/>
        <w:shd w:val="clear" w:color="auto" w:fill="FFFFFF"/>
        <w:spacing w:before="0" w:beforeAutospacing="0" w:after="0" w:afterAutospacing="0" w:line="460" w:lineRule="exact"/>
        <w:ind w:firstLine="4377" w:firstLineChars="1824"/>
        <w:rPr>
          <w:color w:val="000000"/>
          <w:highlight w:val="none"/>
        </w:rPr>
      </w:pPr>
      <w:r>
        <w:rPr>
          <w:color w:val="000000"/>
          <w:highlight w:val="none"/>
        </w:rPr>
        <w:t>单位名称（</w:t>
      </w:r>
      <w:r>
        <w:rPr>
          <w:rFonts w:hint="eastAsia"/>
          <w:b/>
          <w:color w:val="000000"/>
          <w:szCs w:val="21"/>
          <w:highlight w:val="none"/>
        </w:rPr>
        <w:t>CA</w:t>
      </w:r>
      <w:r>
        <w:rPr>
          <w:rFonts w:hint="eastAsia"/>
          <w:color w:val="000000"/>
          <w:highlight w:val="none"/>
        </w:rPr>
        <w:t>电子签</w:t>
      </w:r>
      <w:r>
        <w:rPr>
          <w:color w:val="000000"/>
          <w:highlight w:val="none"/>
        </w:rPr>
        <w:t>章）：</w:t>
      </w:r>
    </w:p>
    <w:p w14:paraId="7548594A">
      <w:pPr>
        <w:pStyle w:val="67"/>
        <w:shd w:val="clear" w:color="auto" w:fill="FFFFFF"/>
        <w:spacing w:before="0" w:beforeAutospacing="0" w:after="0" w:afterAutospacing="0" w:line="460" w:lineRule="exact"/>
        <w:ind w:firstLine="4377" w:firstLineChars="1824"/>
        <w:rPr>
          <w:color w:val="000000"/>
          <w:highlight w:val="none"/>
        </w:rPr>
      </w:pPr>
      <w:r>
        <w:rPr>
          <w:color w:val="000000"/>
          <w:highlight w:val="none"/>
        </w:rPr>
        <w:t>日  期：</w:t>
      </w:r>
    </w:p>
    <w:p w14:paraId="61BD4A1F">
      <w:pPr>
        <w:pStyle w:val="129"/>
        <w:shd w:val="clear" w:color="auto" w:fill="FFFFFF"/>
        <w:spacing w:before="0" w:beforeAutospacing="0" w:after="0" w:afterAutospacing="0"/>
        <w:rPr>
          <w:b/>
          <w:color w:val="000000"/>
          <w:highlight w:val="none"/>
        </w:rPr>
      </w:pPr>
    </w:p>
    <w:p w14:paraId="767A27E7">
      <w:pPr>
        <w:pStyle w:val="129"/>
        <w:shd w:val="clear" w:color="auto" w:fill="FFFFFF"/>
        <w:spacing w:before="0" w:beforeAutospacing="0" w:after="0" w:afterAutospacing="0"/>
        <w:rPr>
          <w:b/>
          <w:color w:val="000000"/>
          <w:highlight w:val="none"/>
        </w:rPr>
      </w:pPr>
    </w:p>
    <w:p w14:paraId="79D864F7">
      <w:pPr>
        <w:pStyle w:val="129"/>
        <w:shd w:val="clear" w:color="auto" w:fill="FFFFFF"/>
        <w:spacing w:before="0" w:beforeAutospacing="0" w:after="0" w:afterAutospacing="0"/>
        <w:rPr>
          <w:b/>
          <w:color w:val="000000"/>
          <w:highlight w:val="none"/>
        </w:rPr>
      </w:pPr>
    </w:p>
    <w:p w14:paraId="65635F39">
      <w:pPr>
        <w:pStyle w:val="129"/>
        <w:shd w:val="clear" w:color="auto" w:fill="FFFFFF"/>
        <w:spacing w:before="0" w:beforeAutospacing="0" w:after="0" w:afterAutospacing="0"/>
        <w:rPr>
          <w:b/>
          <w:color w:val="000000"/>
          <w:highlight w:val="none"/>
        </w:rPr>
      </w:pPr>
    </w:p>
    <w:p w14:paraId="30138DB8">
      <w:pPr>
        <w:pStyle w:val="129"/>
        <w:shd w:val="clear" w:color="auto" w:fill="FFFFFF"/>
        <w:spacing w:before="0" w:beforeAutospacing="0" w:after="0" w:afterAutospacing="0"/>
        <w:rPr>
          <w:b/>
          <w:color w:val="000000"/>
          <w:highlight w:val="none"/>
        </w:rPr>
      </w:pPr>
    </w:p>
    <w:p w14:paraId="042EE498">
      <w:pPr>
        <w:pStyle w:val="129"/>
        <w:shd w:val="clear" w:color="auto" w:fill="FFFFFF"/>
        <w:spacing w:before="0" w:beforeAutospacing="0" w:after="0" w:afterAutospacing="0"/>
        <w:rPr>
          <w:b/>
          <w:color w:val="000000"/>
          <w:highlight w:val="none"/>
        </w:rPr>
      </w:pPr>
    </w:p>
    <w:p w14:paraId="139ADE2E">
      <w:pPr>
        <w:pStyle w:val="129"/>
        <w:shd w:val="clear" w:color="auto" w:fill="FFFFFF"/>
        <w:spacing w:before="0" w:beforeAutospacing="0" w:after="0" w:afterAutospacing="0"/>
        <w:rPr>
          <w:b/>
          <w:color w:val="000000"/>
          <w:highlight w:val="none"/>
        </w:rPr>
      </w:pPr>
    </w:p>
    <w:p w14:paraId="1C7F56D4">
      <w:pPr>
        <w:pStyle w:val="129"/>
        <w:shd w:val="clear" w:color="auto" w:fill="FFFFFF"/>
        <w:spacing w:before="0" w:beforeAutospacing="0" w:after="0" w:afterAutospacing="0"/>
        <w:rPr>
          <w:b/>
          <w:color w:val="000000"/>
          <w:highlight w:val="none"/>
        </w:rPr>
      </w:pPr>
    </w:p>
    <w:p w14:paraId="7C7E3DFA">
      <w:pPr>
        <w:pStyle w:val="129"/>
        <w:shd w:val="clear" w:color="auto" w:fill="FFFFFF"/>
        <w:spacing w:before="0" w:beforeAutospacing="0" w:after="0" w:afterAutospacing="0"/>
        <w:rPr>
          <w:b/>
          <w:color w:val="000000"/>
          <w:highlight w:val="none"/>
        </w:rPr>
      </w:pPr>
    </w:p>
    <w:p w14:paraId="5CA44A6A">
      <w:pPr>
        <w:pStyle w:val="129"/>
        <w:shd w:val="clear" w:color="auto" w:fill="FFFFFF"/>
        <w:spacing w:before="0" w:beforeAutospacing="0" w:after="0" w:afterAutospacing="0"/>
        <w:rPr>
          <w:b/>
          <w:color w:val="000000"/>
          <w:highlight w:val="none"/>
        </w:rPr>
      </w:pPr>
    </w:p>
    <w:p w14:paraId="394C12EE">
      <w:pPr>
        <w:pStyle w:val="129"/>
        <w:shd w:val="clear" w:color="auto" w:fill="FFFFFF"/>
        <w:spacing w:before="0" w:beforeAutospacing="0" w:after="0" w:afterAutospacing="0"/>
        <w:rPr>
          <w:b/>
          <w:color w:val="000000"/>
          <w:highlight w:val="none"/>
        </w:rPr>
      </w:pPr>
    </w:p>
    <w:p w14:paraId="77FC6AD9">
      <w:pPr>
        <w:pStyle w:val="129"/>
        <w:shd w:val="clear" w:color="auto" w:fill="FFFFFF"/>
        <w:spacing w:before="0" w:beforeAutospacing="0" w:after="0" w:afterAutospacing="0"/>
        <w:rPr>
          <w:b/>
          <w:color w:val="000000"/>
          <w:highlight w:val="none"/>
        </w:rPr>
      </w:pPr>
    </w:p>
    <w:p w14:paraId="36882001">
      <w:pPr>
        <w:pStyle w:val="129"/>
        <w:shd w:val="clear" w:color="auto" w:fill="FFFFFF"/>
        <w:spacing w:before="0" w:beforeAutospacing="0" w:after="0" w:afterAutospacing="0"/>
        <w:rPr>
          <w:b/>
          <w:color w:val="000000"/>
          <w:highlight w:val="none"/>
        </w:rPr>
      </w:pPr>
    </w:p>
    <w:p w14:paraId="4467407C">
      <w:pPr>
        <w:pStyle w:val="129"/>
        <w:shd w:val="clear" w:color="auto" w:fill="FFFFFF"/>
        <w:spacing w:before="0" w:beforeAutospacing="0" w:after="0" w:afterAutospacing="0"/>
        <w:rPr>
          <w:b/>
          <w:color w:val="000000"/>
          <w:highlight w:val="none"/>
        </w:rPr>
      </w:pPr>
    </w:p>
    <w:p w14:paraId="4FE462A0">
      <w:pPr>
        <w:pStyle w:val="129"/>
        <w:shd w:val="clear" w:color="auto" w:fill="FFFFFF"/>
        <w:spacing w:before="0" w:beforeAutospacing="0" w:after="0" w:afterAutospacing="0"/>
        <w:rPr>
          <w:b/>
          <w:color w:val="000000"/>
          <w:highlight w:val="none"/>
        </w:rPr>
      </w:pPr>
    </w:p>
    <w:p w14:paraId="1FB015E5">
      <w:pPr>
        <w:pStyle w:val="129"/>
        <w:shd w:val="clear" w:color="auto" w:fill="FFFFFF"/>
        <w:spacing w:before="0" w:beforeAutospacing="0" w:after="0" w:afterAutospacing="0"/>
        <w:rPr>
          <w:b/>
          <w:color w:val="000000"/>
          <w:highlight w:val="none"/>
        </w:rPr>
      </w:pPr>
    </w:p>
    <w:p w14:paraId="50A8A806">
      <w:pPr>
        <w:pStyle w:val="129"/>
        <w:shd w:val="clear" w:color="auto" w:fill="FFFFFF"/>
        <w:spacing w:before="0" w:beforeAutospacing="0" w:after="0" w:afterAutospacing="0"/>
        <w:rPr>
          <w:b/>
          <w:color w:val="000000"/>
          <w:highlight w:val="none"/>
        </w:rPr>
      </w:pPr>
    </w:p>
    <w:p w14:paraId="7196FD7B">
      <w:pPr>
        <w:pStyle w:val="129"/>
        <w:pBdr>
          <w:bottom w:val="single" w:color="auto" w:sz="6" w:space="1"/>
        </w:pBdr>
        <w:shd w:val="clear" w:color="auto" w:fill="FFFFFF"/>
        <w:spacing w:before="0" w:beforeAutospacing="0" w:after="0" w:afterAutospacing="0"/>
        <w:rPr>
          <w:b/>
          <w:color w:val="000000"/>
          <w:highlight w:val="none"/>
        </w:rPr>
      </w:pPr>
    </w:p>
    <w:p w14:paraId="2C645DA5">
      <w:pPr>
        <w:spacing w:line="360" w:lineRule="auto"/>
        <w:contextualSpacing/>
        <w:rPr>
          <w:rFonts w:hint="eastAsia" w:ascii="宋体" w:hAnsi="宋体"/>
          <w:b/>
          <w:color w:val="000000"/>
          <w:sz w:val="24"/>
          <w:highlight w:val="none"/>
        </w:rPr>
      </w:pPr>
      <w:r>
        <w:rPr>
          <w:rFonts w:hint="eastAsia" w:ascii="宋体" w:hAnsi="宋体"/>
          <w:b/>
          <w:color w:val="000000"/>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D3925A2">
      <w:pPr>
        <w:pStyle w:val="44"/>
        <w:spacing w:line="400" w:lineRule="exact"/>
        <w:ind w:firstLine="430"/>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006BCAAE">
      <w:pPr>
        <w:spacing w:line="400" w:lineRule="exact"/>
        <w:rPr>
          <w:rFonts w:ascii="宋体" w:hAnsi="宋体"/>
          <w:bCs/>
          <w:color w:val="000000"/>
          <w:sz w:val="28"/>
          <w:szCs w:val="28"/>
          <w:highlight w:val="none"/>
        </w:rPr>
      </w:pPr>
      <w:r>
        <w:rPr>
          <w:rFonts w:ascii="宋体" w:hAnsi="宋体"/>
          <w:bCs/>
          <w:color w:val="000000"/>
          <w:sz w:val="28"/>
          <w:szCs w:val="28"/>
          <w:highlight w:val="none"/>
        </w:rPr>
        <w:t>根据《财政部、司法部关于印发&lt;政府采购关于支持监狱企业发展有关问题&gt;》的通知（财库〔2014〕68号），监狱企业参加政府采购活动时，应当提供由省级以上监狱管理局、戒毒管理局（含新疆生产建设兵团）出具的属于监狱企业的证明文件。</w:t>
      </w:r>
    </w:p>
    <w:p w14:paraId="7DFABB49">
      <w:pPr>
        <w:spacing w:line="400" w:lineRule="exact"/>
        <w:jc w:val="center"/>
        <w:rPr>
          <w:rFonts w:ascii="宋体" w:hAnsi="宋体"/>
          <w:b/>
          <w:color w:val="000000"/>
          <w:sz w:val="32"/>
          <w:szCs w:val="32"/>
          <w:highlight w:val="none"/>
        </w:rPr>
      </w:pPr>
    </w:p>
    <w:p w14:paraId="220D47CB">
      <w:pPr>
        <w:spacing w:line="400" w:lineRule="exact"/>
        <w:jc w:val="center"/>
        <w:rPr>
          <w:rFonts w:ascii="宋体" w:hAnsi="宋体"/>
          <w:b/>
          <w:color w:val="000000"/>
          <w:sz w:val="32"/>
          <w:szCs w:val="32"/>
          <w:highlight w:val="none"/>
        </w:rPr>
      </w:pPr>
    </w:p>
    <w:p w14:paraId="1904BC65">
      <w:pPr>
        <w:spacing w:line="400" w:lineRule="exact"/>
        <w:jc w:val="center"/>
        <w:rPr>
          <w:rFonts w:ascii="宋体" w:hAnsi="宋体"/>
          <w:b/>
          <w:color w:val="000000"/>
          <w:sz w:val="32"/>
          <w:szCs w:val="32"/>
          <w:highlight w:val="none"/>
        </w:rPr>
      </w:pPr>
    </w:p>
    <w:p w14:paraId="51EC4857">
      <w:pPr>
        <w:spacing w:line="400" w:lineRule="exact"/>
        <w:jc w:val="center"/>
        <w:rPr>
          <w:rFonts w:ascii="宋体" w:hAnsi="宋体"/>
          <w:b/>
          <w:color w:val="000000"/>
          <w:sz w:val="32"/>
          <w:szCs w:val="32"/>
          <w:highlight w:val="none"/>
        </w:rPr>
      </w:pPr>
    </w:p>
    <w:p w14:paraId="104EA09A">
      <w:pPr>
        <w:spacing w:line="400" w:lineRule="exact"/>
        <w:jc w:val="center"/>
        <w:rPr>
          <w:rFonts w:ascii="宋体" w:hAnsi="宋体"/>
          <w:b/>
          <w:color w:val="000000"/>
          <w:sz w:val="32"/>
          <w:szCs w:val="32"/>
          <w:highlight w:val="none"/>
        </w:rPr>
      </w:pPr>
    </w:p>
    <w:p w14:paraId="48665DC0">
      <w:pPr>
        <w:spacing w:line="400" w:lineRule="exact"/>
        <w:jc w:val="center"/>
        <w:rPr>
          <w:rFonts w:ascii="宋体" w:hAnsi="宋体"/>
          <w:b/>
          <w:color w:val="000000"/>
          <w:sz w:val="32"/>
          <w:szCs w:val="32"/>
          <w:highlight w:val="none"/>
        </w:rPr>
      </w:pPr>
    </w:p>
    <w:p w14:paraId="37A4C173">
      <w:pPr>
        <w:spacing w:line="400" w:lineRule="exact"/>
        <w:jc w:val="center"/>
        <w:rPr>
          <w:rFonts w:ascii="宋体" w:hAnsi="宋体"/>
          <w:b/>
          <w:color w:val="000000"/>
          <w:sz w:val="32"/>
          <w:szCs w:val="32"/>
          <w:highlight w:val="none"/>
        </w:rPr>
      </w:pPr>
    </w:p>
    <w:p w14:paraId="44029B53">
      <w:pPr>
        <w:spacing w:line="400" w:lineRule="exact"/>
        <w:jc w:val="center"/>
        <w:rPr>
          <w:rFonts w:ascii="宋体" w:hAnsi="宋体"/>
          <w:b/>
          <w:color w:val="000000"/>
          <w:sz w:val="32"/>
          <w:szCs w:val="32"/>
          <w:highlight w:val="none"/>
        </w:rPr>
      </w:pPr>
    </w:p>
    <w:p w14:paraId="230D56DB">
      <w:pPr>
        <w:spacing w:line="400" w:lineRule="exact"/>
        <w:jc w:val="center"/>
        <w:rPr>
          <w:rFonts w:ascii="宋体" w:hAnsi="宋体"/>
          <w:b/>
          <w:color w:val="000000"/>
          <w:sz w:val="32"/>
          <w:szCs w:val="32"/>
          <w:highlight w:val="none"/>
        </w:rPr>
      </w:pPr>
    </w:p>
    <w:p w14:paraId="75A8FF66">
      <w:pPr>
        <w:spacing w:line="400" w:lineRule="exact"/>
        <w:jc w:val="center"/>
        <w:rPr>
          <w:rFonts w:ascii="宋体" w:hAnsi="宋体"/>
          <w:b/>
          <w:color w:val="000000"/>
          <w:sz w:val="32"/>
          <w:szCs w:val="32"/>
          <w:highlight w:val="none"/>
        </w:rPr>
      </w:pPr>
    </w:p>
    <w:p w14:paraId="78E72406">
      <w:pPr>
        <w:spacing w:line="400" w:lineRule="exact"/>
        <w:jc w:val="center"/>
        <w:rPr>
          <w:rFonts w:ascii="宋体" w:hAnsi="宋体"/>
          <w:b/>
          <w:color w:val="000000"/>
          <w:sz w:val="32"/>
          <w:szCs w:val="32"/>
          <w:highlight w:val="none"/>
        </w:rPr>
      </w:pPr>
    </w:p>
    <w:p w14:paraId="02187B93">
      <w:pPr>
        <w:spacing w:line="400" w:lineRule="exact"/>
        <w:jc w:val="center"/>
        <w:rPr>
          <w:rFonts w:ascii="宋体" w:hAnsi="宋体"/>
          <w:b/>
          <w:color w:val="000000"/>
          <w:sz w:val="32"/>
          <w:szCs w:val="32"/>
          <w:highlight w:val="none"/>
        </w:rPr>
      </w:pPr>
    </w:p>
    <w:p w14:paraId="7BFA2E12">
      <w:pPr>
        <w:spacing w:line="400" w:lineRule="exact"/>
        <w:jc w:val="center"/>
        <w:rPr>
          <w:rFonts w:ascii="宋体" w:hAnsi="宋体"/>
          <w:b/>
          <w:color w:val="000000"/>
          <w:sz w:val="32"/>
          <w:szCs w:val="32"/>
          <w:highlight w:val="none"/>
        </w:rPr>
      </w:pPr>
    </w:p>
    <w:p w14:paraId="1F93B3BA">
      <w:pPr>
        <w:spacing w:line="400" w:lineRule="exact"/>
        <w:jc w:val="center"/>
        <w:rPr>
          <w:rFonts w:ascii="宋体" w:hAnsi="宋体"/>
          <w:b/>
          <w:color w:val="000000"/>
          <w:sz w:val="32"/>
          <w:szCs w:val="32"/>
          <w:highlight w:val="none"/>
        </w:rPr>
      </w:pPr>
    </w:p>
    <w:p w14:paraId="5EAD30C8">
      <w:pPr>
        <w:spacing w:line="400" w:lineRule="exact"/>
        <w:jc w:val="center"/>
        <w:rPr>
          <w:rFonts w:ascii="宋体" w:hAnsi="宋体"/>
          <w:b/>
          <w:color w:val="000000"/>
          <w:sz w:val="32"/>
          <w:szCs w:val="32"/>
          <w:highlight w:val="none"/>
        </w:rPr>
      </w:pPr>
    </w:p>
    <w:p w14:paraId="506F1847">
      <w:pPr>
        <w:spacing w:line="400" w:lineRule="exact"/>
        <w:jc w:val="center"/>
        <w:rPr>
          <w:rFonts w:ascii="宋体" w:hAnsi="宋体"/>
          <w:b/>
          <w:color w:val="000000"/>
          <w:sz w:val="32"/>
          <w:szCs w:val="32"/>
          <w:highlight w:val="none"/>
        </w:rPr>
      </w:pPr>
    </w:p>
    <w:p w14:paraId="51C7E392">
      <w:pPr>
        <w:spacing w:line="400" w:lineRule="exact"/>
        <w:jc w:val="center"/>
        <w:rPr>
          <w:rFonts w:ascii="宋体" w:hAnsi="宋体"/>
          <w:b/>
          <w:color w:val="000000"/>
          <w:sz w:val="32"/>
          <w:szCs w:val="32"/>
          <w:highlight w:val="none"/>
        </w:rPr>
      </w:pPr>
    </w:p>
    <w:p w14:paraId="2E8CBA60">
      <w:pPr>
        <w:spacing w:line="400" w:lineRule="exact"/>
        <w:jc w:val="center"/>
        <w:rPr>
          <w:rFonts w:ascii="宋体" w:hAnsi="宋体"/>
          <w:b/>
          <w:color w:val="000000"/>
          <w:sz w:val="32"/>
          <w:szCs w:val="32"/>
          <w:highlight w:val="none"/>
        </w:rPr>
      </w:pPr>
    </w:p>
    <w:p w14:paraId="6F34565E">
      <w:pPr>
        <w:spacing w:line="400" w:lineRule="exact"/>
        <w:jc w:val="center"/>
        <w:rPr>
          <w:rFonts w:ascii="宋体" w:hAnsi="宋体"/>
          <w:b/>
          <w:color w:val="000000"/>
          <w:sz w:val="32"/>
          <w:szCs w:val="32"/>
          <w:highlight w:val="none"/>
        </w:rPr>
      </w:pPr>
    </w:p>
    <w:p w14:paraId="4E800596">
      <w:pPr>
        <w:spacing w:line="400" w:lineRule="exact"/>
        <w:rPr>
          <w:rFonts w:ascii="宋体" w:hAnsi="宋体"/>
          <w:b/>
          <w:color w:val="000000"/>
          <w:sz w:val="32"/>
          <w:szCs w:val="32"/>
          <w:highlight w:val="none"/>
        </w:rPr>
      </w:pPr>
    </w:p>
    <w:p w14:paraId="6FD48CF7">
      <w:pPr>
        <w:spacing w:line="400" w:lineRule="exact"/>
        <w:jc w:val="center"/>
        <w:rPr>
          <w:rFonts w:ascii="宋体" w:hAnsi="宋体"/>
          <w:b/>
          <w:color w:val="000000"/>
          <w:sz w:val="32"/>
          <w:szCs w:val="32"/>
          <w:highlight w:val="none"/>
        </w:rPr>
      </w:pPr>
    </w:p>
    <w:p w14:paraId="38BD7A5B">
      <w:pPr>
        <w:pStyle w:val="37"/>
        <w:rPr>
          <w:color w:val="000000"/>
          <w:highlight w:val="none"/>
        </w:rPr>
      </w:pPr>
    </w:p>
    <w:p w14:paraId="75E32C60">
      <w:pPr>
        <w:pStyle w:val="37"/>
        <w:rPr>
          <w:color w:val="000000"/>
          <w:highlight w:val="none"/>
        </w:rPr>
      </w:pPr>
    </w:p>
    <w:p w14:paraId="269EF8A7">
      <w:pPr>
        <w:pStyle w:val="37"/>
        <w:rPr>
          <w:color w:val="000000"/>
          <w:highlight w:val="none"/>
        </w:rPr>
      </w:pPr>
    </w:p>
    <w:p w14:paraId="2E8E99C6">
      <w:pPr>
        <w:pStyle w:val="37"/>
        <w:rPr>
          <w:color w:val="000000"/>
          <w:highlight w:val="none"/>
        </w:rPr>
      </w:pPr>
    </w:p>
    <w:p w14:paraId="45E4611D">
      <w:pPr>
        <w:pStyle w:val="37"/>
        <w:rPr>
          <w:color w:val="000000"/>
          <w:highlight w:val="none"/>
        </w:rPr>
      </w:pPr>
    </w:p>
    <w:p w14:paraId="1DB88FAB">
      <w:pPr>
        <w:spacing w:line="400" w:lineRule="exact"/>
        <w:rPr>
          <w:rFonts w:ascii="宋体" w:hAnsi="宋体"/>
          <w:b/>
          <w:color w:val="000000"/>
          <w:sz w:val="32"/>
          <w:szCs w:val="32"/>
          <w:highlight w:val="none"/>
        </w:rPr>
      </w:pPr>
    </w:p>
    <w:p w14:paraId="42541266">
      <w:pPr>
        <w:spacing w:line="400" w:lineRule="exact"/>
        <w:jc w:val="center"/>
        <w:rPr>
          <w:rFonts w:ascii="宋体" w:hAnsi="宋体"/>
          <w:b/>
          <w:color w:val="000000"/>
          <w:sz w:val="32"/>
          <w:szCs w:val="32"/>
          <w:highlight w:val="none"/>
        </w:rPr>
      </w:pPr>
    </w:p>
    <w:p w14:paraId="0B7729B5">
      <w:pPr>
        <w:spacing w:line="400" w:lineRule="exact"/>
        <w:jc w:val="center"/>
        <w:rPr>
          <w:rFonts w:hint="eastAsia" w:ascii="宋体" w:hAnsi="宋体"/>
          <w:b/>
          <w:color w:val="000000"/>
          <w:sz w:val="32"/>
          <w:szCs w:val="32"/>
          <w:highlight w:val="none"/>
        </w:rPr>
      </w:pPr>
    </w:p>
    <w:p w14:paraId="4D7083AB">
      <w:pPr>
        <w:spacing w:line="400" w:lineRule="exact"/>
        <w:jc w:val="center"/>
        <w:rPr>
          <w:rFonts w:hint="eastAsia" w:ascii="宋体" w:hAnsi="宋体"/>
          <w:b/>
          <w:color w:val="000000"/>
          <w:sz w:val="32"/>
          <w:szCs w:val="32"/>
          <w:highlight w:val="none"/>
        </w:rPr>
      </w:pPr>
    </w:p>
    <w:p w14:paraId="4695D7D7">
      <w:pPr>
        <w:spacing w:line="400" w:lineRule="exact"/>
        <w:jc w:val="center"/>
        <w:rPr>
          <w:rFonts w:hint="eastAsia" w:ascii="宋体" w:hAnsi="宋体"/>
          <w:b/>
          <w:color w:val="000000"/>
          <w:sz w:val="32"/>
          <w:szCs w:val="32"/>
          <w:highlight w:val="none"/>
        </w:rPr>
      </w:pPr>
    </w:p>
    <w:p w14:paraId="4A92F4E7">
      <w:pPr>
        <w:spacing w:line="400" w:lineRule="exact"/>
        <w:jc w:val="center"/>
        <w:rPr>
          <w:rFonts w:hint="eastAsia" w:ascii="宋体" w:hAnsi="宋体"/>
          <w:b/>
          <w:color w:val="000000"/>
          <w:sz w:val="32"/>
          <w:szCs w:val="32"/>
          <w:highlight w:val="none"/>
        </w:rPr>
      </w:pPr>
      <w:r>
        <w:rPr>
          <w:rFonts w:hint="eastAsia" w:ascii="宋体" w:hAnsi="宋体"/>
          <w:b/>
          <w:color w:val="000000"/>
          <w:sz w:val="32"/>
          <w:szCs w:val="32"/>
          <w:highlight w:val="none"/>
        </w:rPr>
        <w:t>法定代表人（负责人）身份证明书（格式）</w:t>
      </w:r>
    </w:p>
    <w:p w14:paraId="625C1886">
      <w:pPr>
        <w:spacing w:line="500" w:lineRule="exact"/>
        <w:ind w:firstLine="560" w:firstLineChars="200"/>
        <w:rPr>
          <w:rFonts w:ascii="宋体" w:hAnsi="宋体"/>
          <w:color w:val="000000"/>
          <w:sz w:val="28"/>
          <w:szCs w:val="28"/>
          <w:highlight w:val="none"/>
          <w:u w:val="single"/>
        </w:rPr>
      </w:pPr>
    </w:p>
    <w:p w14:paraId="60AC4B9E">
      <w:pPr>
        <w:spacing w:line="600" w:lineRule="exact"/>
        <w:ind w:firstLine="1120" w:firstLineChars="400"/>
        <w:rPr>
          <w:rFonts w:hint="eastAsia" w:ascii="宋体" w:hAnsi="宋体"/>
          <w:color w:val="000000"/>
          <w:sz w:val="28"/>
          <w:szCs w:val="28"/>
          <w:highlight w:val="none"/>
          <w:u w:val="single"/>
        </w:rPr>
      </w:pPr>
      <w:r>
        <w:rPr>
          <w:rFonts w:hint="eastAsia" w:ascii="宋体" w:hAnsi="宋体"/>
          <w:color w:val="000000"/>
          <w:sz w:val="28"/>
          <w:szCs w:val="28"/>
          <w:highlight w:val="none"/>
          <w:u w:val="single"/>
        </w:rPr>
        <w:t>（名字）（身份证号码）</w:t>
      </w:r>
      <w:r>
        <w:rPr>
          <w:rFonts w:hint="eastAsia" w:ascii="宋体" w:hAnsi="宋体"/>
          <w:color w:val="000000"/>
          <w:sz w:val="28"/>
          <w:szCs w:val="28"/>
          <w:highlight w:val="none"/>
        </w:rPr>
        <w:t>在我</w:t>
      </w:r>
      <w:r>
        <w:rPr>
          <w:rFonts w:hint="eastAsia" w:ascii="宋体" w:hAnsi="宋体"/>
          <w:color w:val="000000"/>
          <w:sz w:val="28"/>
          <w:szCs w:val="28"/>
          <w:highlight w:val="none"/>
          <w:u w:val="single"/>
        </w:rPr>
        <w:t xml:space="preserve"> （供应商名称） </w:t>
      </w:r>
      <w:r>
        <w:rPr>
          <w:rFonts w:hint="eastAsia" w:ascii="宋体" w:hAnsi="宋体"/>
          <w:color w:val="000000"/>
          <w:sz w:val="28"/>
          <w:szCs w:val="28"/>
          <w:highlight w:val="none"/>
        </w:rPr>
        <w:t>任职务，是我</w:t>
      </w:r>
      <w:r>
        <w:rPr>
          <w:rFonts w:hint="eastAsia" w:ascii="宋体" w:hAnsi="宋体"/>
          <w:color w:val="000000"/>
          <w:sz w:val="28"/>
          <w:szCs w:val="28"/>
          <w:highlight w:val="none"/>
          <w:u w:val="single"/>
        </w:rPr>
        <w:t xml:space="preserve"> （供应商名称） </w:t>
      </w:r>
      <w:r>
        <w:rPr>
          <w:rFonts w:hint="eastAsia" w:ascii="宋体" w:hAnsi="宋体"/>
          <w:color w:val="000000"/>
          <w:sz w:val="28"/>
          <w:szCs w:val="28"/>
          <w:highlight w:val="none"/>
        </w:rPr>
        <w:t>的法定代表人（负责人）。</w:t>
      </w:r>
    </w:p>
    <w:p w14:paraId="5B727A13">
      <w:pPr>
        <w:spacing w:line="500" w:lineRule="exact"/>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特此证明。</w:t>
      </w:r>
    </w:p>
    <w:p w14:paraId="1EE11C44">
      <w:pPr>
        <w:tabs>
          <w:tab w:val="left" w:leader="hyphen" w:pos="7088"/>
        </w:tabs>
        <w:snapToGrid w:val="0"/>
        <w:spacing w:line="500" w:lineRule="exact"/>
        <w:ind w:firstLine="588" w:firstLineChars="210"/>
        <w:rPr>
          <w:rFonts w:ascii="宋体" w:hAnsi="宋体"/>
          <w:bCs/>
          <w:color w:val="000000"/>
          <w:sz w:val="28"/>
          <w:szCs w:val="28"/>
          <w:highlight w:val="none"/>
        </w:rPr>
      </w:pPr>
    </w:p>
    <w:p w14:paraId="5385E4EB">
      <w:pPr>
        <w:spacing w:line="500" w:lineRule="exact"/>
        <w:ind w:firstLine="2520" w:firstLineChars="900"/>
        <w:rPr>
          <w:rFonts w:hint="eastAsia" w:ascii="宋体" w:hAnsi="宋体"/>
          <w:color w:val="000000"/>
          <w:sz w:val="28"/>
          <w:szCs w:val="28"/>
          <w:highlight w:val="none"/>
        </w:rPr>
      </w:pPr>
      <w:r>
        <w:rPr>
          <w:rFonts w:hint="eastAsia" w:ascii="宋体" w:hAnsi="宋体"/>
          <w:color w:val="000000"/>
          <w:sz w:val="28"/>
          <w:szCs w:val="28"/>
          <w:highlight w:val="none"/>
        </w:rPr>
        <w:t>单位名称（单位公章）：</w:t>
      </w:r>
    </w:p>
    <w:p w14:paraId="7A974F87">
      <w:pPr>
        <w:spacing w:line="500" w:lineRule="exact"/>
        <w:ind w:firstLine="5040" w:firstLineChars="1800"/>
        <w:rPr>
          <w:rFonts w:ascii="宋体" w:hAnsi="宋体"/>
          <w:color w:val="000000"/>
          <w:sz w:val="28"/>
          <w:szCs w:val="28"/>
          <w:highlight w:val="none"/>
        </w:rPr>
      </w:pPr>
    </w:p>
    <w:p w14:paraId="4C920FE9">
      <w:pPr>
        <w:spacing w:line="500" w:lineRule="exact"/>
        <w:ind w:firstLine="4317" w:firstLineChars="1542"/>
        <w:rPr>
          <w:rFonts w:hint="eastAsia" w:ascii="宋体" w:hAnsi="宋体"/>
          <w:color w:val="000000"/>
          <w:sz w:val="28"/>
          <w:szCs w:val="28"/>
          <w:highlight w:val="none"/>
        </w:rPr>
      </w:pPr>
      <w:r>
        <w:rPr>
          <w:rFonts w:hint="eastAsia" w:ascii="宋体" w:hAnsi="宋体"/>
          <w:color w:val="000000"/>
          <w:sz w:val="28"/>
          <w:szCs w:val="28"/>
          <w:highlight w:val="none"/>
        </w:rPr>
        <w:t>年    月    日</w:t>
      </w:r>
    </w:p>
    <w:p w14:paraId="41B083B1">
      <w:pPr>
        <w:tabs>
          <w:tab w:val="left" w:leader="hyphen" w:pos="7088"/>
        </w:tabs>
        <w:snapToGrid w:val="0"/>
        <w:spacing w:line="360" w:lineRule="exact"/>
        <w:ind w:firstLine="588" w:firstLineChars="210"/>
        <w:rPr>
          <w:rFonts w:ascii="宋体" w:hAnsi="宋体"/>
          <w:bCs/>
          <w:color w:val="000000"/>
          <w:sz w:val="28"/>
          <w:szCs w:val="28"/>
          <w:highlight w:val="none"/>
        </w:rPr>
      </w:pPr>
    </w:p>
    <w:p w14:paraId="445C9F6D">
      <w:pPr>
        <w:tabs>
          <w:tab w:val="left" w:leader="hyphen" w:pos="7088"/>
        </w:tabs>
        <w:snapToGrid w:val="0"/>
        <w:spacing w:line="360" w:lineRule="exact"/>
        <w:ind w:firstLine="588" w:firstLineChars="210"/>
        <w:rPr>
          <w:rFonts w:ascii="宋体" w:hAnsi="宋体"/>
          <w:bCs/>
          <w:color w:val="000000"/>
          <w:sz w:val="28"/>
          <w:szCs w:val="28"/>
          <w:highlight w:val="none"/>
        </w:rPr>
      </w:pPr>
    </w:p>
    <w:p w14:paraId="603F929E">
      <w:pPr>
        <w:spacing w:line="500" w:lineRule="exact"/>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法定代表人（负责人）身份证号码：</w:t>
      </w:r>
    </w:p>
    <w:p w14:paraId="68EF5827">
      <w:pPr>
        <w:spacing w:line="500" w:lineRule="exact"/>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住    址：</w:t>
      </w:r>
    </w:p>
    <w:p w14:paraId="263A4F3E">
      <w:pPr>
        <w:spacing w:line="500" w:lineRule="exact"/>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联系电话：</w:t>
      </w:r>
    </w:p>
    <w:p w14:paraId="2A67CF78">
      <w:pPr>
        <w:tabs>
          <w:tab w:val="left" w:leader="hyphen" w:pos="7088"/>
        </w:tabs>
        <w:snapToGrid w:val="0"/>
        <w:spacing w:line="360" w:lineRule="exact"/>
        <w:ind w:firstLine="588" w:firstLineChars="210"/>
        <w:rPr>
          <w:rFonts w:ascii="宋体" w:hAnsi="宋体"/>
          <w:bCs/>
          <w:color w:val="000000"/>
          <w:sz w:val="28"/>
          <w:szCs w:val="28"/>
          <w:highlight w:val="none"/>
        </w:rPr>
      </w:pPr>
    </w:p>
    <w:p w14:paraId="66EBA02B">
      <w:pPr>
        <w:spacing w:line="50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附法定代表人（负责人）身份证（正、背面）扫描件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729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jc w:val="center"/>
        </w:trPr>
        <w:tc>
          <w:tcPr>
            <w:tcW w:w="8758" w:type="dxa"/>
            <w:vAlign w:val="top"/>
          </w:tcPr>
          <w:p w14:paraId="6AA49B1D">
            <w:pPr>
              <w:spacing w:line="500" w:lineRule="exact"/>
              <w:rPr>
                <w:rFonts w:ascii="宋体" w:hAnsi="宋体"/>
                <w:bCs/>
                <w:color w:val="000000"/>
                <w:sz w:val="24"/>
                <w:highlight w:val="none"/>
              </w:rPr>
            </w:pPr>
          </w:p>
        </w:tc>
      </w:tr>
    </w:tbl>
    <w:p w14:paraId="245FDD12">
      <w:pPr>
        <w:pStyle w:val="44"/>
        <w:spacing w:line="200" w:lineRule="exact"/>
        <w:rPr>
          <w:rFonts w:hAnsi="宋体"/>
          <w:color w:val="000000"/>
          <w:sz w:val="28"/>
          <w:szCs w:val="28"/>
          <w:highlight w:val="none"/>
        </w:rPr>
      </w:pPr>
      <w:r>
        <w:rPr>
          <w:rFonts w:hAnsi="宋体"/>
          <w:color w:val="000000"/>
          <w:sz w:val="28"/>
          <w:szCs w:val="28"/>
          <w:highlight w:val="none"/>
        </w:rPr>
        <w:br w:type="page"/>
      </w:r>
    </w:p>
    <w:p w14:paraId="66B806A1">
      <w:pPr>
        <w:spacing w:line="400" w:lineRule="exact"/>
        <w:jc w:val="center"/>
        <w:rPr>
          <w:rFonts w:hint="eastAsia" w:ascii="宋体" w:hAnsi="宋体"/>
          <w:b/>
          <w:color w:val="000000"/>
          <w:sz w:val="32"/>
          <w:szCs w:val="32"/>
          <w:highlight w:val="none"/>
        </w:rPr>
      </w:pPr>
      <w:r>
        <w:rPr>
          <w:rFonts w:hint="eastAsia" w:ascii="宋体" w:hAnsi="宋体"/>
          <w:b/>
          <w:color w:val="000000"/>
          <w:sz w:val="32"/>
          <w:szCs w:val="32"/>
          <w:highlight w:val="none"/>
        </w:rPr>
        <w:t>法定代表人（负责人）授权委托书</w:t>
      </w:r>
      <w:r>
        <w:rPr>
          <w:rFonts w:hint="eastAsia" w:ascii="宋体" w:hAnsi="宋体"/>
          <w:b/>
          <w:color w:val="000000"/>
          <w:sz w:val="32"/>
          <w:highlight w:val="none"/>
        </w:rPr>
        <w:t>（格式）</w:t>
      </w:r>
    </w:p>
    <w:p w14:paraId="61D4EE91">
      <w:pPr>
        <w:pStyle w:val="44"/>
        <w:spacing w:line="200" w:lineRule="exact"/>
        <w:rPr>
          <w:rFonts w:hAnsi="宋体"/>
          <w:color w:val="000000"/>
          <w:sz w:val="24"/>
          <w:szCs w:val="24"/>
          <w:highlight w:val="none"/>
        </w:rPr>
      </w:pPr>
    </w:p>
    <w:p w14:paraId="4EC17C2E">
      <w:pPr>
        <w:pStyle w:val="44"/>
        <w:spacing w:line="400" w:lineRule="exact"/>
        <w:ind w:firstLine="420"/>
        <w:rPr>
          <w:rFonts w:hAnsi="宋体"/>
          <w:color w:val="000000"/>
          <w:sz w:val="24"/>
          <w:szCs w:val="24"/>
          <w:highlight w:val="none"/>
        </w:rPr>
      </w:pPr>
      <w:r>
        <w:rPr>
          <w:rFonts w:hAnsi="宋体"/>
          <w:color w:val="000000"/>
          <w:sz w:val="24"/>
          <w:szCs w:val="24"/>
          <w:highlight w:val="none"/>
        </w:rPr>
        <w:t>本授权委托书声明：我（姓名）系</w:t>
      </w:r>
      <w:r>
        <w:rPr>
          <w:rFonts w:hAnsi="宋体"/>
          <w:color w:val="000000"/>
          <w:sz w:val="24"/>
          <w:szCs w:val="24"/>
          <w:highlight w:val="none"/>
          <w:u w:val="single"/>
        </w:rPr>
        <w:t>（供应商名称）</w:t>
      </w:r>
      <w:r>
        <w:rPr>
          <w:rFonts w:hAnsi="宋体"/>
          <w:color w:val="000000"/>
          <w:sz w:val="24"/>
          <w:szCs w:val="24"/>
          <w:highlight w:val="none"/>
        </w:rPr>
        <w:t>的法定代表人（负责人），现授权委托</w:t>
      </w:r>
      <w:r>
        <w:rPr>
          <w:rFonts w:hAnsi="宋体"/>
          <w:color w:val="000000"/>
          <w:sz w:val="24"/>
          <w:szCs w:val="24"/>
          <w:highlight w:val="none"/>
          <w:u w:val="single"/>
        </w:rPr>
        <w:t>（供应商名称）</w:t>
      </w:r>
      <w:r>
        <w:rPr>
          <w:rFonts w:hAnsi="宋体"/>
          <w:color w:val="000000"/>
          <w:sz w:val="24"/>
          <w:szCs w:val="24"/>
          <w:highlight w:val="none"/>
        </w:rPr>
        <w:t>的</w:t>
      </w:r>
      <w:r>
        <w:rPr>
          <w:rFonts w:hAnsi="宋体"/>
          <w:color w:val="000000"/>
          <w:sz w:val="24"/>
          <w:szCs w:val="24"/>
          <w:highlight w:val="none"/>
          <w:u w:val="single"/>
        </w:rPr>
        <w:t>（姓名）</w:t>
      </w:r>
      <w:r>
        <w:rPr>
          <w:rFonts w:hAnsi="宋体"/>
          <w:color w:val="000000"/>
          <w:sz w:val="24"/>
          <w:szCs w:val="24"/>
          <w:highlight w:val="none"/>
        </w:rPr>
        <w:t>为我公司被授权人，以本公司的名义参加</w:t>
      </w:r>
      <w:r>
        <w:rPr>
          <w:rFonts w:hint="eastAsia" w:hAnsi="宋体"/>
          <w:color w:val="000000"/>
          <w:sz w:val="24"/>
          <w:szCs w:val="24"/>
          <w:highlight w:val="none"/>
          <w:lang w:eastAsia="zh-CN"/>
        </w:rPr>
        <w:t>梧州市丰胜工程咨询有限公司</w:t>
      </w:r>
      <w:r>
        <w:rPr>
          <w:rFonts w:hAnsi="宋体"/>
          <w:color w:val="000000"/>
          <w:sz w:val="24"/>
          <w:szCs w:val="24"/>
          <w:highlight w:val="none"/>
        </w:rPr>
        <w:t>组织实施的</w:t>
      </w:r>
      <w:r>
        <w:rPr>
          <w:rFonts w:hAnsi="宋体"/>
          <w:color w:val="000000"/>
          <w:sz w:val="24"/>
          <w:szCs w:val="24"/>
          <w:highlight w:val="none"/>
          <w:u w:val="single"/>
        </w:rPr>
        <w:t>（项目名称及项目编号）</w:t>
      </w:r>
      <w:r>
        <w:rPr>
          <w:rFonts w:hAnsi="宋体"/>
          <w:color w:val="000000"/>
          <w:sz w:val="24"/>
          <w:szCs w:val="24"/>
          <w:highlight w:val="none"/>
        </w:rPr>
        <w:t>的采购活动。被授权人在开标、评标、合同磋商过程中所签署的一切文件和处理与这有关的一切事务，我均予以承认。</w:t>
      </w:r>
    </w:p>
    <w:p w14:paraId="15FAEE8B">
      <w:pPr>
        <w:pStyle w:val="44"/>
        <w:spacing w:line="400" w:lineRule="exact"/>
        <w:ind w:firstLine="420"/>
        <w:rPr>
          <w:rFonts w:hAnsi="宋体"/>
          <w:color w:val="000000"/>
          <w:sz w:val="24"/>
          <w:szCs w:val="24"/>
          <w:highlight w:val="none"/>
        </w:rPr>
      </w:pPr>
      <w:r>
        <w:rPr>
          <w:rFonts w:hAnsi="宋体"/>
          <w:color w:val="000000"/>
          <w:sz w:val="24"/>
          <w:szCs w:val="24"/>
          <w:highlight w:val="none"/>
        </w:rPr>
        <w:t>被授权人在授权委托书有效期内签署的所有文件不因授权委托的撤销而失效，除非有撤销授权委托的书面通知，本授权委托书自磋商开始至合同履行完毕止。</w:t>
      </w:r>
    </w:p>
    <w:p w14:paraId="08EED7C4">
      <w:pPr>
        <w:pStyle w:val="44"/>
        <w:spacing w:line="400" w:lineRule="exact"/>
        <w:ind w:firstLine="420"/>
        <w:rPr>
          <w:rFonts w:hAnsi="宋体"/>
          <w:color w:val="000000"/>
          <w:sz w:val="24"/>
          <w:szCs w:val="24"/>
          <w:highlight w:val="none"/>
        </w:rPr>
      </w:pPr>
      <w:r>
        <w:rPr>
          <w:rFonts w:hAnsi="宋体"/>
          <w:color w:val="000000"/>
          <w:sz w:val="24"/>
          <w:szCs w:val="24"/>
          <w:highlight w:val="none"/>
        </w:rPr>
        <w:t>被授权人无转委托权。特此委托。</w:t>
      </w:r>
    </w:p>
    <w:p w14:paraId="5C2D9DE7">
      <w:pPr>
        <w:pStyle w:val="44"/>
        <w:spacing w:line="400" w:lineRule="exact"/>
        <w:ind w:firstLine="420"/>
        <w:rPr>
          <w:rFonts w:hAnsi="宋体"/>
          <w:color w:val="000000"/>
          <w:sz w:val="24"/>
          <w:szCs w:val="24"/>
          <w:highlight w:val="none"/>
        </w:rPr>
      </w:pPr>
      <w:r>
        <w:rPr>
          <w:rFonts w:hAnsi="宋体"/>
          <w:color w:val="000000"/>
          <w:sz w:val="24"/>
          <w:szCs w:val="24"/>
          <w:highlight w:val="none"/>
        </w:rPr>
        <w:t>委托单位：</w:t>
      </w:r>
      <w:r>
        <w:rPr>
          <w:rFonts w:hAnsi="宋体"/>
          <w:color w:val="000000"/>
          <w:sz w:val="24"/>
          <w:szCs w:val="24"/>
          <w:highlight w:val="none"/>
          <w:u w:val="single"/>
        </w:rPr>
        <w:t xml:space="preserve">          （盖单位公章）</w:t>
      </w:r>
      <w:r>
        <w:rPr>
          <w:rFonts w:hAnsi="宋体"/>
          <w:color w:val="000000"/>
          <w:sz w:val="24"/>
          <w:szCs w:val="24"/>
          <w:highlight w:val="none"/>
        </w:rPr>
        <w:t xml:space="preserve">       </w:t>
      </w:r>
    </w:p>
    <w:p w14:paraId="59D1A2AF">
      <w:pPr>
        <w:pStyle w:val="44"/>
        <w:spacing w:line="400" w:lineRule="exact"/>
        <w:ind w:firstLine="420"/>
        <w:rPr>
          <w:rFonts w:hAnsi="宋体"/>
          <w:color w:val="000000"/>
          <w:sz w:val="24"/>
          <w:szCs w:val="24"/>
          <w:highlight w:val="none"/>
        </w:rPr>
      </w:pPr>
      <w:r>
        <w:rPr>
          <w:rFonts w:hAnsi="宋体"/>
          <w:color w:val="000000"/>
          <w:sz w:val="24"/>
          <w:szCs w:val="24"/>
          <w:highlight w:val="none"/>
        </w:rPr>
        <w:t>法定代表人（负责人）：</w:t>
      </w:r>
      <w:r>
        <w:rPr>
          <w:rFonts w:hAnsi="宋体"/>
          <w:color w:val="000000"/>
          <w:sz w:val="24"/>
          <w:szCs w:val="24"/>
          <w:highlight w:val="none"/>
          <w:u w:val="single"/>
        </w:rPr>
        <w:t xml:space="preserve">     （签字或私章）</w:t>
      </w:r>
    </w:p>
    <w:p w14:paraId="1EBDF4AC">
      <w:pPr>
        <w:pStyle w:val="44"/>
        <w:pBdr>
          <w:bottom w:val="single" w:color="auto" w:sz="6" w:space="1"/>
        </w:pBdr>
        <w:spacing w:line="400" w:lineRule="exact"/>
        <w:ind w:firstLine="420"/>
        <w:rPr>
          <w:rFonts w:hAnsi="宋体"/>
          <w:color w:val="000000"/>
          <w:sz w:val="24"/>
          <w:szCs w:val="24"/>
          <w:highlight w:val="none"/>
        </w:rPr>
      </w:pPr>
      <w:r>
        <w:rPr>
          <w:rFonts w:hAnsi="宋体"/>
          <w:color w:val="000000"/>
          <w:sz w:val="24"/>
          <w:szCs w:val="24"/>
          <w:highlight w:val="none"/>
        </w:rPr>
        <w:t>签发日期：    年   月   日</w:t>
      </w:r>
    </w:p>
    <w:p w14:paraId="0CA1AE66">
      <w:pPr>
        <w:pStyle w:val="44"/>
        <w:pBdr>
          <w:bottom w:val="single" w:color="auto" w:sz="6" w:space="1"/>
        </w:pBdr>
        <w:spacing w:line="340" w:lineRule="exact"/>
        <w:ind w:firstLine="420"/>
        <w:rPr>
          <w:rFonts w:hAnsi="宋体"/>
          <w:color w:val="000000"/>
          <w:sz w:val="24"/>
          <w:szCs w:val="24"/>
          <w:highlight w:val="none"/>
        </w:rPr>
      </w:pPr>
    </w:p>
    <w:p w14:paraId="0F452364">
      <w:pPr>
        <w:pStyle w:val="44"/>
        <w:spacing w:line="200" w:lineRule="exact"/>
        <w:rPr>
          <w:rFonts w:hAnsi="宋体"/>
          <w:color w:val="000000"/>
          <w:sz w:val="24"/>
          <w:szCs w:val="24"/>
          <w:highlight w:val="none"/>
        </w:rPr>
      </w:pPr>
    </w:p>
    <w:p w14:paraId="42F168F7">
      <w:pPr>
        <w:pStyle w:val="44"/>
        <w:tabs>
          <w:tab w:val="left" w:pos="5768"/>
        </w:tabs>
        <w:spacing w:line="340" w:lineRule="exact"/>
        <w:ind w:firstLine="420"/>
        <w:rPr>
          <w:rFonts w:hAnsi="宋体"/>
          <w:color w:val="000000"/>
          <w:sz w:val="24"/>
          <w:szCs w:val="24"/>
          <w:highlight w:val="none"/>
        </w:rPr>
      </w:pPr>
      <w:r>
        <w:rPr>
          <w:rFonts w:hAnsi="宋体"/>
          <w:color w:val="000000"/>
          <w:sz w:val="24"/>
          <w:szCs w:val="24"/>
          <w:highlight w:val="none"/>
        </w:rPr>
        <w:t>附：1、被授权人工作单位：</w:t>
      </w:r>
      <w:r>
        <w:rPr>
          <w:rFonts w:hAnsi="宋体"/>
          <w:color w:val="000000"/>
          <w:sz w:val="24"/>
          <w:szCs w:val="24"/>
          <w:highlight w:val="none"/>
        </w:rPr>
        <w:tab/>
      </w:r>
      <w:r>
        <w:rPr>
          <w:rFonts w:hAnsi="宋体"/>
          <w:color w:val="000000"/>
          <w:sz w:val="24"/>
          <w:szCs w:val="24"/>
          <w:highlight w:val="none"/>
        </w:rPr>
        <w:t>职务：</w:t>
      </w:r>
    </w:p>
    <w:p w14:paraId="42B11C1E">
      <w:pPr>
        <w:pStyle w:val="44"/>
        <w:tabs>
          <w:tab w:val="left" w:pos="5768"/>
        </w:tabs>
        <w:spacing w:line="340" w:lineRule="exact"/>
        <w:ind w:firstLine="1155"/>
        <w:rPr>
          <w:rFonts w:hAnsi="宋体"/>
          <w:color w:val="000000"/>
          <w:sz w:val="24"/>
          <w:szCs w:val="24"/>
          <w:highlight w:val="none"/>
        </w:rPr>
      </w:pPr>
      <w:r>
        <w:rPr>
          <w:rFonts w:hAnsi="宋体"/>
          <w:color w:val="000000"/>
          <w:sz w:val="24"/>
          <w:szCs w:val="24"/>
          <w:highlight w:val="none"/>
        </w:rPr>
        <w:t>身份证号码：</w:t>
      </w:r>
      <w:r>
        <w:rPr>
          <w:rFonts w:hAnsi="宋体"/>
          <w:color w:val="000000"/>
          <w:sz w:val="24"/>
          <w:szCs w:val="24"/>
          <w:highlight w:val="none"/>
        </w:rPr>
        <w:tab/>
      </w:r>
      <w:r>
        <w:rPr>
          <w:rFonts w:hAnsi="宋体"/>
          <w:color w:val="000000"/>
          <w:sz w:val="24"/>
          <w:szCs w:val="24"/>
          <w:highlight w:val="none"/>
        </w:rPr>
        <w:t>性别：          年龄：</w:t>
      </w:r>
    </w:p>
    <w:p w14:paraId="7383966A">
      <w:pPr>
        <w:pStyle w:val="44"/>
        <w:spacing w:line="340" w:lineRule="exact"/>
        <w:ind w:firstLine="840"/>
        <w:rPr>
          <w:rFonts w:hAnsi="宋体"/>
          <w:color w:val="000000"/>
          <w:sz w:val="24"/>
          <w:szCs w:val="24"/>
          <w:highlight w:val="none"/>
        </w:rPr>
      </w:pPr>
      <w:r>
        <w:rPr>
          <w:rFonts w:hAnsi="宋体"/>
          <w:color w:val="000000"/>
          <w:sz w:val="24"/>
          <w:szCs w:val="24"/>
          <w:highlight w:val="none"/>
        </w:rPr>
        <w:t>2、委托人企业法人营业执照号码：</w:t>
      </w:r>
    </w:p>
    <w:p w14:paraId="696050FE">
      <w:pPr>
        <w:pStyle w:val="44"/>
        <w:tabs>
          <w:tab w:val="left" w:pos="5768"/>
        </w:tabs>
        <w:spacing w:line="340" w:lineRule="exact"/>
        <w:ind w:firstLine="1155"/>
        <w:rPr>
          <w:rFonts w:hAnsi="宋体"/>
          <w:color w:val="000000"/>
          <w:sz w:val="24"/>
          <w:szCs w:val="24"/>
          <w:highlight w:val="none"/>
        </w:rPr>
      </w:pPr>
      <w:r>
        <w:rPr>
          <w:rFonts w:hAnsi="宋体"/>
          <w:color w:val="000000"/>
          <w:sz w:val="24"/>
          <w:szCs w:val="24"/>
          <w:highlight w:val="none"/>
        </w:rPr>
        <w:t>地    址：</w:t>
      </w:r>
      <w:r>
        <w:rPr>
          <w:rFonts w:hAnsi="宋体"/>
          <w:color w:val="000000"/>
          <w:sz w:val="24"/>
          <w:szCs w:val="24"/>
          <w:highlight w:val="none"/>
        </w:rPr>
        <w:tab/>
      </w:r>
      <w:r>
        <w:rPr>
          <w:rFonts w:hAnsi="宋体"/>
          <w:color w:val="000000"/>
          <w:sz w:val="24"/>
          <w:szCs w:val="24"/>
          <w:highlight w:val="none"/>
        </w:rPr>
        <w:t>经济性质：</w:t>
      </w:r>
    </w:p>
    <w:p w14:paraId="3C59C79B">
      <w:pPr>
        <w:pStyle w:val="44"/>
        <w:tabs>
          <w:tab w:val="left" w:pos="5768"/>
        </w:tabs>
        <w:spacing w:line="340" w:lineRule="exact"/>
        <w:ind w:firstLine="1155"/>
        <w:rPr>
          <w:rFonts w:hAnsi="宋体"/>
          <w:color w:val="000000"/>
          <w:sz w:val="24"/>
          <w:szCs w:val="24"/>
          <w:highlight w:val="none"/>
        </w:rPr>
      </w:pPr>
      <w:r>
        <w:rPr>
          <w:rFonts w:hAnsi="宋体"/>
          <w:color w:val="000000"/>
          <w:sz w:val="24"/>
          <w:szCs w:val="24"/>
          <w:highlight w:val="none"/>
        </w:rPr>
        <w:t>注册资金：</w:t>
      </w:r>
      <w:r>
        <w:rPr>
          <w:rFonts w:hAnsi="宋体"/>
          <w:color w:val="000000"/>
          <w:sz w:val="24"/>
          <w:szCs w:val="24"/>
          <w:highlight w:val="none"/>
        </w:rPr>
        <w:tab/>
      </w:r>
      <w:r>
        <w:rPr>
          <w:rFonts w:hAnsi="宋体"/>
          <w:color w:val="000000"/>
          <w:sz w:val="24"/>
          <w:szCs w:val="24"/>
          <w:highlight w:val="none"/>
        </w:rPr>
        <w:t>经营方式：</w:t>
      </w:r>
    </w:p>
    <w:p w14:paraId="0F0ECBC7">
      <w:pPr>
        <w:pStyle w:val="44"/>
        <w:tabs>
          <w:tab w:val="left" w:pos="5768"/>
        </w:tabs>
        <w:spacing w:line="340" w:lineRule="exact"/>
        <w:ind w:firstLine="1155"/>
        <w:rPr>
          <w:rFonts w:hAnsi="宋体"/>
          <w:color w:val="000000"/>
          <w:sz w:val="24"/>
          <w:szCs w:val="24"/>
          <w:highlight w:val="none"/>
        </w:rPr>
      </w:pPr>
      <w:r>
        <w:rPr>
          <w:rFonts w:hAnsi="宋体"/>
          <w:color w:val="000000"/>
          <w:sz w:val="24"/>
          <w:szCs w:val="24"/>
          <w:highlight w:val="none"/>
        </w:rPr>
        <w:t>经营范围：</w:t>
      </w:r>
    </w:p>
    <w:p w14:paraId="77569477">
      <w:pPr>
        <w:pStyle w:val="44"/>
        <w:spacing w:line="340" w:lineRule="exact"/>
        <w:ind w:firstLine="840"/>
        <w:rPr>
          <w:rFonts w:hAnsi="宋体"/>
          <w:color w:val="000000"/>
          <w:sz w:val="24"/>
          <w:szCs w:val="24"/>
          <w:highlight w:val="none"/>
        </w:rPr>
      </w:pPr>
      <w:r>
        <w:rPr>
          <w:rFonts w:hAnsi="宋体"/>
          <w:color w:val="000000"/>
          <w:sz w:val="24"/>
          <w:szCs w:val="24"/>
          <w:highlight w:val="none"/>
        </w:rPr>
        <w:t>3、法定代表人（负责人）身份证</w:t>
      </w:r>
      <w:r>
        <w:rPr>
          <w:rFonts w:hAnsi="宋体"/>
          <w:bCs/>
          <w:color w:val="000000"/>
          <w:sz w:val="24"/>
          <w:highlight w:val="none"/>
        </w:rPr>
        <w:t>（正、背面）</w:t>
      </w:r>
      <w:r>
        <w:rPr>
          <w:rFonts w:hAnsi="宋体"/>
          <w:color w:val="000000"/>
          <w:sz w:val="24"/>
          <w:szCs w:val="24"/>
          <w:highlight w:val="none"/>
        </w:rPr>
        <w:t>、委托代理人身份证</w:t>
      </w:r>
      <w:r>
        <w:rPr>
          <w:rFonts w:hAnsi="宋体"/>
          <w:bCs/>
          <w:color w:val="000000"/>
          <w:sz w:val="24"/>
          <w:highlight w:val="none"/>
        </w:rPr>
        <w:t>（正、背面）</w:t>
      </w:r>
      <w:r>
        <w:rPr>
          <w:rFonts w:hAnsi="宋体"/>
          <w:color w:val="000000"/>
          <w:sz w:val="24"/>
          <w:szCs w:val="24"/>
          <w:highlight w:val="none"/>
        </w:rPr>
        <w:t>扫描件</w:t>
      </w:r>
    </w:p>
    <w:p w14:paraId="1DFC837E">
      <w:pPr>
        <w:spacing w:line="340" w:lineRule="exact"/>
        <w:rPr>
          <w:rFonts w:ascii="宋体" w:hAnsi="宋体"/>
          <w:color w:val="000000"/>
          <w:szCs w:val="21"/>
          <w:highlight w:val="none"/>
        </w:rPr>
      </w:pPr>
    </w:p>
    <w:tbl>
      <w:tblPr>
        <w:tblStyle w:val="7"/>
        <w:tblW w:w="0" w:type="auto"/>
        <w:tblInd w:w="-108" w:type="dxa"/>
        <w:tblLayout w:type="fixed"/>
        <w:tblCellMar>
          <w:top w:w="0" w:type="dxa"/>
          <w:left w:w="108" w:type="dxa"/>
          <w:bottom w:w="0" w:type="dxa"/>
          <w:right w:w="108" w:type="dxa"/>
        </w:tblCellMar>
      </w:tblPr>
      <w:tblGrid>
        <w:gridCol w:w="4608"/>
        <w:gridCol w:w="416"/>
        <w:gridCol w:w="4604"/>
      </w:tblGrid>
      <w:tr w14:paraId="3C572A34">
        <w:tblPrEx>
          <w:tblCellMar>
            <w:top w:w="0" w:type="dxa"/>
            <w:left w:w="108" w:type="dxa"/>
            <w:bottom w:w="0" w:type="dxa"/>
            <w:right w:w="108" w:type="dxa"/>
          </w:tblCellMar>
        </w:tblPrEx>
        <w:trPr>
          <w:trHeight w:val="4668" w:hRule="atLeast"/>
        </w:trPr>
        <w:tc>
          <w:tcPr>
            <w:tcW w:w="4608" w:type="dxa"/>
            <w:tcBorders>
              <w:top w:val="single" w:color="auto" w:sz="4" w:space="0"/>
              <w:left w:val="single" w:color="auto" w:sz="4" w:space="0"/>
              <w:bottom w:val="single" w:color="auto" w:sz="4" w:space="0"/>
              <w:right w:val="single" w:color="auto" w:sz="4" w:space="0"/>
            </w:tcBorders>
            <w:vAlign w:val="center"/>
          </w:tcPr>
          <w:p w14:paraId="60D6600E">
            <w:pPr>
              <w:rPr>
                <w:rFonts w:hint="eastAsia" w:ascii="宋体" w:hAnsi="宋体"/>
                <w:color w:val="000000"/>
                <w:szCs w:val="21"/>
                <w:highlight w:val="none"/>
              </w:rPr>
            </w:pPr>
            <w:r>
              <w:rPr>
                <w:rFonts w:hint="eastAsia" w:ascii="宋体" w:hAnsi="宋体"/>
                <w:color w:val="000000"/>
                <w:szCs w:val="21"/>
                <w:highlight w:val="none"/>
              </w:rPr>
              <w:t>附法定代表人（负责人）身份证(正、背)面扫描件</w:t>
            </w:r>
          </w:p>
          <w:p w14:paraId="55D64A62">
            <w:pPr>
              <w:spacing w:line="340" w:lineRule="exact"/>
              <w:jc w:val="center"/>
              <w:rPr>
                <w:rFonts w:hint="eastAsia" w:ascii="宋体" w:hAnsi="宋体"/>
                <w:color w:val="000000"/>
                <w:szCs w:val="21"/>
                <w:highlight w:val="none"/>
              </w:rPr>
            </w:pPr>
            <w:r>
              <w:rPr>
                <w:rFonts w:hint="eastAsia" w:ascii="宋体" w:hAnsi="宋体"/>
                <w:color w:val="000000"/>
                <w:szCs w:val="21"/>
                <w:highlight w:val="none"/>
              </w:rPr>
              <w:t>（加盖单位公章）</w:t>
            </w:r>
          </w:p>
        </w:tc>
        <w:tc>
          <w:tcPr>
            <w:tcW w:w="416" w:type="dxa"/>
            <w:tcBorders>
              <w:left w:val="single" w:color="auto" w:sz="4" w:space="0"/>
              <w:right w:val="single" w:color="auto" w:sz="4" w:space="0"/>
            </w:tcBorders>
            <w:vAlign w:val="top"/>
          </w:tcPr>
          <w:p w14:paraId="302EB799">
            <w:pPr>
              <w:spacing w:line="340" w:lineRule="exact"/>
              <w:rPr>
                <w:rFonts w:ascii="宋体" w:hAnsi="宋体"/>
                <w:color w:val="000000"/>
                <w:szCs w:val="21"/>
                <w:highlight w:val="none"/>
              </w:rPr>
            </w:pPr>
          </w:p>
        </w:tc>
        <w:tc>
          <w:tcPr>
            <w:tcW w:w="4604" w:type="dxa"/>
            <w:tcBorders>
              <w:top w:val="single" w:color="auto" w:sz="4" w:space="0"/>
              <w:left w:val="single" w:color="auto" w:sz="4" w:space="0"/>
              <w:bottom w:val="single" w:color="auto" w:sz="4" w:space="0"/>
              <w:right w:val="single" w:color="auto" w:sz="4" w:space="0"/>
            </w:tcBorders>
            <w:vAlign w:val="center"/>
          </w:tcPr>
          <w:p w14:paraId="5B6037F6">
            <w:pPr>
              <w:jc w:val="center"/>
              <w:rPr>
                <w:rFonts w:hint="eastAsia" w:ascii="宋体" w:hAnsi="宋体"/>
                <w:color w:val="000000"/>
                <w:szCs w:val="21"/>
                <w:highlight w:val="none"/>
              </w:rPr>
            </w:pPr>
            <w:r>
              <w:rPr>
                <w:rFonts w:hint="eastAsia" w:ascii="宋体" w:hAnsi="宋体"/>
                <w:color w:val="000000"/>
                <w:szCs w:val="21"/>
                <w:highlight w:val="none"/>
              </w:rPr>
              <w:t>附</w:t>
            </w:r>
            <w:r>
              <w:rPr>
                <w:rFonts w:ascii="宋体" w:hAnsi="宋体"/>
                <w:color w:val="000000"/>
                <w:szCs w:val="21"/>
                <w:highlight w:val="none"/>
              </w:rPr>
              <w:t>被授权人</w:t>
            </w:r>
            <w:r>
              <w:rPr>
                <w:rFonts w:hint="eastAsia" w:ascii="宋体" w:hAnsi="宋体"/>
                <w:color w:val="000000"/>
                <w:szCs w:val="21"/>
                <w:highlight w:val="none"/>
              </w:rPr>
              <w:t>身份证(正、背)面扫描件</w:t>
            </w:r>
          </w:p>
          <w:p w14:paraId="7773C86E">
            <w:pPr>
              <w:spacing w:line="340" w:lineRule="exact"/>
              <w:jc w:val="center"/>
              <w:rPr>
                <w:rFonts w:hint="eastAsia" w:ascii="宋体" w:hAnsi="宋体"/>
                <w:color w:val="000000"/>
                <w:szCs w:val="21"/>
                <w:highlight w:val="none"/>
              </w:rPr>
            </w:pPr>
            <w:r>
              <w:rPr>
                <w:rFonts w:hint="eastAsia" w:ascii="宋体" w:hAnsi="宋体"/>
                <w:color w:val="000000"/>
                <w:szCs w:val="21"/>
                <w:highlight w:val="none"/>
              </w:rPr>
              <w:t>（加盖单位公章）</w:t>
            </w:r>
          </w:p>
        </w:tc>
      </w:tr>
    </w:tbl>
    <w:p w14:paraId="39F74DDC">
      <w:pPr>
        <w:spacing w:line="400" w:lineRule="exact"/>
        <w:rPr>
          <w:rFonts w:ascii="宋体" w:hAnsi="宋体"/>
          <w:color w:val="000000"/>
          <w:highlight w:val="none"/>
        </w:rPr>
      </w:pPr>
    </w:p>
    <w:p w14:paraId="2AC35CA0">
      <w:pPr>
        <w:pStyle w:val="37"/>
        <w:rPr>
          <w:color w:val="000000"/>
          <w:highlight w:val="none"/>
        </w:rPr>
      </w:pPr>
    </w:p>
    <w:p w14:paraId="086657F0">
      <w:pPr>
        <w:pStyle w:val="128"/>
        <w:spacing w:line="360" w:lineRule="auto"/>
        <w:jc w:val="center"/>
        <w:outlineLvl w:val="0"/>
        <w:rPr>
          <w:rFonts w:hint="eastAsia" w:ascii="宋体" w:hAnsi="宋体"/>
          <w:b/>
          <w:color w:val="000000"/>
          <w:sz w:val="32"/>
          <w:highlight w:val="none"/>
        </w:rPr>
      </w:pPr>
      <w:bookmarkStart w:id="963" w:name="_Toc9008"/>
      <w:r>
        <w:rPr>
          <w:rFonts w:hint="eastAsia" w:ascii="宋体" w:hAnsi="宋体"/>
          <w:b/>
          <w:color w:val="000000"/>
          <w:sz w:val="32"/>
          <w:highlight w:val="none"/>
        </w:rPr>
        <w:t>三、已标价工程量清单</w:t>
      </w:r>
      <w:bookmarkEnd w:id="963"/>
    </w:p>
    <w:p w14:paraId="5B2A1A9B">
      <w:pPr>
        <w:spacing w:line="360" w:lineRule="auto"/>
        <w:ind w:firstLine="420" w:firstLineChars="200"/>
        <w:rPr>
          <w:color w:val="000000"/>
          <w:highlight w:val="none"/>
        </w:rPr>
      </w:pPr>
      <w:r>
        <w:rPr>
          <w:color w:val="000000"/>
          <w:highlight w:val="none"/>
        </w:rPr>
        <w:t xml:space="preserve">1. </w:t>
      </w:r>
      <w:r>
        <w:rPr>
          <w:rFonts w:hint="eastAsia"/>
          <w:color w:val="000000"/>
          <w:highlight w:val="none"/>
        </w:rPr>
        <w:t>已标价工程量清单应按第七章附件</w:t>
      </w:r>
      <w:r>
        <w:rPr>
          <w:color w:val="000000"/>
          <w:highlight w:val="none"/>
        </w:rPr>
        <w:t xml:space="preserve"> “</w:t>
      </w:r>
      <w:r>
        <w:rPr>
          <w:rFonts w:hint="eastAsia"/>
          <w:color w:val="000000"/>
          <w:highlight w:val="none"/>
        </w:rPr>
        <w:t>工程量清单</w:t>
      </w:r>
      <w:r>
        <w:rPr>
          <w:color w:val="000000"/>
          <w:highlight w:val="none"/>
        </w:rPr>
        <w:t>”</w:t>
      </w:r>
      <w:r>
        <w:rPr>
          <w:rFonts w:hint="eastAsia"/>
          <w:color w:val="000000"/>
          <w:highlight w:val="none"/>
        </w:rPr>
        <w:t>中的相关表格及磋商报价说明填写。构成合同文件的已标价工程量清单包括第七章附件</w:t>
      </w:r>
      <w:r>
        <w:rPr>
          <w:color w:val="000000"/>
          <w:highlight w:val="none"/>
        </w:rPr>
        <w:t xml:space="preserve"> “</w:t>
      </w:r>
      <w:r>
        <w:rPr>
          <w:rFonts w:hint="eastAsia"/>
          <w:color w:val="000000"/>
          <w:highlight w:val="none"/>
        </w:rPr>
        <w:t>工程量清单</w:t>
      </w:r>
      <w:r>
        <w:rPr>
          <w:color w:val="000000"/>
          <w:highlight w:val="none"/>
        </w:rPr>
        <w:t>”</w:t>
      </w:r>
      <w:r>
        <w:rPr>
          <w:rFonts w:hint="eastAsia"/>
          <w:color w:val="000000"/>
          <w:highlight w:val="none"/>
        </w:rPr>
        <w:t>有关工程量清单、磋商报价以及其他说明的内容。</w:t>
      </w:r>
    </w:p>
    <w:p w14:paraId="5BD502EE">
      <w:pPr>
        <w:spacing w:line="360" w:lineRule="auto"/>
        <w:ind w:firstLine="420" w:firstLineChars="200"/>
        <w:rPr>
          <w:color w:val="000000"/>
          <w:highlight w:val="none"/>
        </w:rPr>
      </w:pPr>
      <w:r>
        <w:rPr>
          <w:color w:val="000000"/>
          <w:highlight w:val="none"/>
        </w:rPr>
        <w:t xml:space="preserve">2. </w:t>
      </w:r>
      <w:r>
        <w:rPr>
          <w:rFonts w:hint="eastAsia"/>
          <w:color w:val="000000"/>
          <w:highlight w:val="none"/>
        </w:rPr>
        <w:t>磋商总价封面</w:t>
      </w:r>
      <w:r>
        <w:rPr>
          <w:color w:val="000000"/>
          <w:highlight w:val="none"/>
        </w:rPr>
        <w:t>CA</w:t>
      </w:r>
      <w:r>
        <w:rPr>
          <w:rFonts w:hint="eastAsia"/>
          <w:color w:val="000000"/>
          <w:highlight w:val="none"/>
        </w:rPr>
        <w:t>电子签章，并由法定代表人签字（或盖章），同时由编制人签字，否则视为无效响应。</w:t>
      </w:r>
    </w:p>
    <w:p w14:paraId="47631E77">
      <w:pPr>
        <w:spacing w:line="360" w:lineRule="auto"/>
        <w:ind w:firstLine="420" w:firstLineChars="200"/>
        <w:rPr>
          <w:color w:val="000000"/>
          <w:highlight w:val="none"/>
        </w:rPr>
      </w:pPr>
      <w:r>
        <w:rPr>
          <w:color w:val="000000"/>
          <w:highlight w:val="none"/>
        </w:rPr>
        <w:t xml:space="preserve">3. </w:t>
      </w:r>
      <w:r>
        <w:rPr>
          <w:rFonts w:hint="eastAsia"/>
          <w:color w:val="000000"/>
          <w:highlight w:val="none"/>
        </w:rPr>
        <w:t>已标价工程量清单表格要严格按照招标工程量清单给出的表格要求和内容填报。</w:t>
      </w:r>
    </w:p>
    <w:p w14:paraId="7A0AE56A">
      <w:pPr>
        <w:pStyle w:val="37"/>
        <w:rPr>
          <w:color w:val="000000"/>
          <w:highlight w:val="none"/>
        </w:rPr>
      </w:pPr>
    </w:p>
    <w:p w14:paraId="68C118F8">
      <w:pPr>
        <w:spacing w:line="320" w:lineRule="exact"/>
        <w:jc w:val="center"/>
        <w:rPr>
          <w:rFonts w:hint="eastAsia"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供应商直接控股、管理关系信息表</w:t>
      </w:r>
    </w:p>
    <w:p w14:paraId="13438830">
      <w:pPr>
        <w:snapToGrid w:val="0"/>
        <w:spacing w:before="120" w:after="50" w:line="360" w:lineRule="auto"/>
        <w:jc w:val="center"/>
        <w:rPr>
          <w:rFonts w:ascii="宋体" w:hAnsi="宋体"/>
          <w:b/>
          <w:color w:val="000000"/>
          <w:sz w:val="24"/>
          <w:highlight w:val="none"/>
        </w:rPr>
      </w:pPr>
    </w:p>
    <w:p w14:paraId="44173658">
      <w:pPr>
        <w:spacing w:line="360" w:lineRule="auto"/>
        <w:contextualSpacing/>
        <w:jc w:val="center"/>
        <w:rPr>
          <w:rFonts w:hint="eastAsia" w:ascii="宋体" w:hAnsi="宋体"/>
          <w:b/>
          <w:color w:val="000000"/>
          <w:sz w:val="32"/>
          <w:szCs w:val="32"/>
          <w:highlight w:val="none"/>
        </w:rPr>
      </w:pPr>
      <w:r>
        <w:rPr>
          <w:rFonts w:hint="eastAsia" w:ascii="宋体" w:hAnsi="宋体"/>
          <w:b/>
          <w:color w:val="000000"/>
          <w:sz w:val="32"/>
          <w:szCs w:val="32"/>
          <w:highlight w:val="none"/>
        </w:rPr>
        <w:t>供应商直接控股股东信息表</w:t>
      </w:r>
    </w:p>
    <w:p w14:paraId="1EEE0EC6">
      <w:pPr>
        <w:spacing w:line="360" w:lineRule="auto"/>
        <w:contextualSpacing/>
        <w:jc w:val="center"/>
        <w:rPr>
          <w:rFonts w:ascii="宋体" w:hAnsi="宋体"/>
          <w:b/>
          <w:color w:val="000000"/>
          <w:sz w:val="24"/>
          <w:highlight w:val="none"/>
        </w:rPr>
      </w:pPr>
    </w:p>
    <w:tbl>
      <w:tblPr>
        <w:tblStyle w:val="7"/>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12F4D02B">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7A0CA7">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0CFF1C">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9A3653">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9EB398">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297699">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备注</w:t>
            </w:r>
          </w:p>
        </w:tc>
      </w:tr>
      <w:tr w14:paraId="70A2999B">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F633D9">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218F08">
            <w:pPr>
              <w:widowControl/>
              <w:spacing w:line="360" w:lineRule="auto"/>
              <w:contextualSpacing/>
              <w:jc w:val="center"/>
              <w:rPr>
                <w:rFonts w:ascii="宋体" w:hAnsi="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E232D5">
            <w:pPr>
              <w:widowControl/>
              <w:spacing w:line="360" w:lineRule="auto"/>
              <w:contextualSpacing/>
              <w:jc w:val="center"/>
              <w:rPr>
                <w:rFonts w:ascii="宋体" w:hAnsi="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96B127">
            <w:pPr>
              <w:widowControl/>
              <w:spacing w:line="360" w:lineRule="auto"/>
              <w:contextualSpacing/>
              <w:jc w:val="center"/>
              <w:rPr>
                <w:rFonts w:ascii="宋体" w:hAnsi="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4A0D3D">
            <w:pPr>
              <w:widowControl/>
              <w:spacing w:line="360" w:lineRule="auto"/>
              <w:contextualSpacing/>
              <w:jc w:val="center"/>
              <w:rPr>
                <w:rFonts w:ascii="宋体" w:hAnsi="宋体"/>
                <w:color w:val="000000"/>
                <w:kern w:val="0"/>
                <w:sz w:val="24"/>
                <w:highlight w:val="none"/>
              </w:rPr>
            </w:pPr>
          </w:p>
        </w:tc>
      </w:tr>
      <w:tr w14:paraId="2C52FB8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DC3FC7">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EE2482">
            <w:pPr>
              <w:widowControl/>
              <w:spacing w:line="360" w:lineRule="auto"/>
              <w:contextualSpacing/>
              <w:jc w:val="center"/>
              <w:rPr>
                <w:rFonts w:ascii="宋体" w:hAnsi="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7BB340">
            <w:pPr>
              <w:widowControl/>
              <w:spacing w:line="360" w:lineRule="auto"/>
              <w:contextualSpacing/>
              <w:jc w:val="center"/>
              <w:rPr>
                <w:rFonts w:ascii="宋体" w:hAnsi="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0C9A6D">
            <w:pPr>
              <w:widowControl/>
              <w:spacing w:line="360" w:lineRule="auto"/>
              <w:contextualSpacing/>
              <w:jc w:val="center"/>
              <w:rPr>
                <w:rFonts w:ascii="宋体" w:hAnsi="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915C89">
            <w:pPr>
              <w:widowControl/>
              <w:spacing w:line="360" w:lineRule="auto"/>
              <w:contextualSpacing/>
              <w:jc w:val="center"/>
              <w:rPr>
                <w:rFonts w:ascii="宋体" w:hAnsi="宋体"/>
                <w:color w:val="000000"/>
                <w:kern w:val="0"/>
                <w:sz w:val="24"/>
                <w:highlight w:val="none"/>
              </w:rPr>
            </w:pPr>
          </w:p>
        </w:tc>
      </w:tr>
      <w:tr w14:paraId="37DB80E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395838">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70985">
            <w:pPr>
              <w:widowControl/>
              <w:spacing w:line="360" w:lineRule="auto"/>
              <w:contextualSpacing/>
              <w:jc w:val="center"/>
              <w:rPr>
                <w:rFonts w:ascii="宋体" w:hAnsi="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39545">
            <w:pPr>
              <w:widowControl/>
              <w:spacing w:line="360" w:lineRule="auto"/>
              <w:contextualSpacing/>
              <w:jc w:val="center"/>
              <w:rPr>
                <w:rFonts w:ascii="宋体" w:hAnsi="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EB7361">
            <w:pPr>
              <w:widowControl/>
              <w:spacing w:line="360" w:lineRule="auto"/>
              <w:contextualSpacing/>
              <w:jc w:val="center"/>
              <w:rPr>
                <w:rFonts w:ascii="宋体" w:hAnsi="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548718">
            <w:pPr>
              <w:widowControl/>
              <w:spacing w:line="360" w:lineRule="auto"/>
              <w:contextualSpacing/>
              <w:jc w:val="center"/>
              <w:rPr>
                <w:rFonts w:ascii="宋体" w:hAnsi="宋体"/>
                <w:color w:val="000000"/>
                <w:kern w:val="0"/>
                <w:sz w:val="24"/>
                <w:highlight w:val="none"/>
              </w:rPr>
            </w:pPr>
          </w:p>
        </w:tc>
      </w:tr>
      <w:tr w14:paraId="101FA60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F03F74">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50A8D3">
            <w:pPr>
              <w:widowControl/>
              <w:spacing w:line="360" w:lineRule="auto"/>
              <w:contextualSpacing/>
              <w:jc w:val="center"/>
              <w:rPr>
                <w:rFonts w:ascii="宋体" w:hAnsi="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C145B">
            <w:pPr>
              <w:widowControl/>
              <w:spacing w:line="360" w:lineRule="auto"/>
              <w:contextualSpacing/>
              <w:jc w:val="center"/>
              <w:rPr>
                <w:rFonts w:ascii="宋体" w:hAnsi="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05EA1A">
            <w:pPr>
              <w:widowControl/>
              <w:spacing w:line="360" w:lineRule="auto"/>
              <w:contextualSpacing/>
              <w:jc w:val="center"/>
              <w:rPr>
                <w:rFonts w:ascii="宋体" w:hAnsi="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E709AF">
            <w:pPr>
              <w:widowControl/>
              <w:spacing w:line="360" w:lineRule="auto"/>
              <w:contextualSpacing/>
              <w:jc w:val="center"/>
              <w:rPr>
                <w:rFonts w:ascii="宋体" w:hAnsi="宋体"/>
                <w:color w:val="000000"/>
                <w:kern w:val="0"/>
                <w:sz w:val="24"/>
                <w:highlight w:val="none"/>
              </w:rPr>
            </w:pPr>
          </w:p>
        </w:tc>
      </w:tr>
    </w:tbl>
    <w:p w14:paraId="72FE52D7">
      <w:pPr>
        <w:spacing w:line="360" w:lineRule="auto"/>
        <w:contextualSpacing/>
        <w:jc w:val="left"/>
        <w:rPr>
          <w:rFonts w:hint="eastAsia" w:ascii="宋体" w:hAnsi="宋体"/>
          <w:color w:val="000000"/>
          <w:sz w:val="24"/>
          <w:highlight w:val="none"/>
        </w:rPr>
      </w:pPr>
      <w:r>
        <w:rPr>
          <w:rFonts w:hint="eastAsia" w:ascii="宋体" w:hAnsi="宋体"/>
          <w:color w:val="000000"/>
          <w:sz w:val="24"/>
          <w:highlight w:val="none"/>
        </w:rPr>
        <w:t>注：</w:t>
      </w:r>
    </w:p>
    <w:p w14:paraId="6CF718EB">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6647D1B">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2.本表所指的控股关系仅限于直接控股关系，不包括间接的控股关系。公司实际控制人与公司之间的关系不属于本表所指的直接控股关系。</w:t>
      </w:r>
    </w:p>
    <w:p w14:paraId="28B33F42">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3.供应商不存在直接控股股东的，则填“无”。</w:t>
      </w:r>
    </w:p>
    <w:p w14:paraId="035C480E">
      <w:pPr>
        <w:snapToGrid w:val="0"/>
        <w:spacing w:line="360" w:lineRule="auto"/>
        <w:jc w:val="left"/>
        <w:rPr>
          <w:rFonts w:ascii="宋体" w:hAnsi="宋体"/>
          <w:color w:val="000000"/>
          <w:sz w:val="24"/>
          <w:highlight w:val="none"/>
        </w:rPr>
      </w:pPr>
    </w:p>
    <w:p w14:paraId="388DBF07">
      <w:pPr>
        <w:snapToGrid w:val="0"/>
        <w:spacing w:line="360" w:lineRule="auto"/>
        <w:jc w:val="left"/>
        <w:rPr>
          <w:rFonts w:ascii="宋体" w:hAnsi="宋体"/>
          <w:color w:val="000000"/>
          <w:sz w:val="24"/>
          <w:highlight w:val="none"/>
        </w:rPr>
      </w:pPr>
    </w:p>
    <w:p w14:paraId="27F402FE">
      <w:pPr>
        <w:snapToGrid w:val="0"/>
        <w:spacing w:line="360" w:lineRule="auto"/>
        <w:jc w:val="left"/>
        <w:rPr>
          <w:rFonts w:ascii="宋体" w:hAnsi="宋体"/>
          <w:color w:val="000000"/>
          <w:sz w:val="24"/>
          <w:highlight w:val="none"/>
        </w:rPr>
      </w:pPr>
    </w:p>
    <w:p w14:paraId="63A7FFED">
      <w:pPr>
        <w:spacing w:line="480" w:lineRule="exact"/>
        <w:rPr>
          <w:rFonts w:hint="eastAsia" w:ascii="宋体" w:hAnsi="宋体"/>
          <w:color w:val="000000"/>
          <w:sz w:val="24"/>
          <w:highlight w:val="none"/>
        </w:rPr>
      </w:pPr>
      <w:r>
        <w:rPr>
          <w:rFonts w:hint="eastAsia" w:ascii="宋体" w:hAnsi="宋体"/>
          <w:color w:val="000000"/>
          <w:sz w:val="24"/>
          <w:highlight w:val="none"/>
        </w:rPr>
        <w:t>供应商</w:t>
      </w:r>
      <w:r>
        <w:rPr>
          <w:rFonts w:ascii="宋体" w:hAnsi="宋体"/>
          <w:color w:val="000000"/>
          <w:sz w:val="24"/>
          <w:highlight w:val="none"/>
        </w:rPr>
        <w:t>（CA</w:t>
      </w:r>
      <w:r>
        <w:rPr>
          <w:rFonts w:hint="eastAsia" w:ascii="宋体" w:hAnsi="宋体"/>
          <w:color w:val="000000"/>
          <w:sz w:val="24"/>
          <w:highlight w:val="none"/>
        </w:rPr>
        <w:t>电子签章</w:t>
      </w:r>
      <w:r>
        <w:rPr>
          <w:rFonts w:ascii="宋体" w:hAnsi="宋体"/>
          <w:color w:val="000000"/>
          <w:sz w:val="24"/>
          <w:highlight w:val="none"/>
        </w:rPr>
        <w:t>）</w:t>
      </w:r>
      <w:r>
        <w:rPr>
          <w:rFonts w:hint="eastAsia" w:ascii="宋体" w:hAnsi="宋体"/>
          <w:color w:val="000000"/>
          <w:sz w:val="24"/>
          <w:highlight w:val="none"/>
        </w:rPr>
        <w:t>：</w:t>
      </w:r>
    </w:p>
    <w:p w14:paraId="05EB5D9F">
      <w:pPr>
        <w:spacing w:line="480" w:lineRule="exact"/>
        <w:rPr>
          <w:rFonts w:hint="eastAsia" w:ascii="宋体" w:hAnsi="宋体"/>
          <w:color w:val="000000"/>
          <w:sz w:val="24"/>
          <w:highlight w:val="none"/>
        </w:rPr>
      </w:pPr>
      <w:r>
        <w:rPr>
          <w:rFonts w:hint="eastAsia" w:ascii="宋体" w:hAnsi="宋体"/>
          <w:color w:val="000000"/>
          <w:sz w:val="24"/>
          <w:highlight w:val="none"/>
        </w:rPr>
        <w:t>法人代表或委托代理人（签字或盖章）：</w:t>
      </w:r>
    </w:p>
    <w:p w14:paraId="60FB1EC7">
      <w:pPr>
        <w:spacing w:line="480" w:lineRule="exact"/>
        <w:rPr>
          <w:rFonts w:hint="eastAsia" w:ascii="宋体" w:hAnsi="宋体"/>
          <w:color w:val="000000"/>
          <w:sz w:val="24"/>
          <w:highlight w:val="none"/>
        </w:rPr>
      </w:pPr>
      <w:r>
        <w:rPr>
          <w:rFonts w:hint="eastAsia" w:ascii="宋体" w:hAnsi="宋体"/>
          <w:color w:val="000000"/>
          <w:sz w:val="24"/>
          <w:highlight w:val="none"/>
        </w:rPr>
        <w:t>磋商日期：</w:t>
      </w:r>
    </w:p>
    <w:p w14:paraId="4BFBCF0A">
      <w:pPr>
        <w:snapToGrid w:val="0"/>
        <w:jc w:val="center"/>
        <w:rPr>
          <w:rFonts w:ascii="宋体" w:hAnsi="宋体"/>
          <w:b/>
          <w:color w:val="000000"/>
          <w:sz w:val="28"/>
          <w:szCs w:val="28"/>
          <w:highlight w:val="none"/>
        </w:rPr>
      </w:pPr>
      <w:r>
        <w:rPr>
          <w:rFonts w:ascii="宋体" w:hAnsi="宋体"/>
          <w:b/>
          <w:color w:val="000000"/>
          <w:sz w:val="28"/>
          <w:szCs w:val="28"/>
          <w:highlight w:val="none"/>
        </w:rPr>
        <w:br w:type="page"/>
      </w:r>
    </w:p>
    <w:p w14:paraId="6AFEC731">
      <w:pPr>
        <w:spacing w:line="320" w:lineRule="exact"/>
        <w:jc w:val="center"/>
        <w:rPr>
          <w:rFonts w:ascii="宋体" w:hAnsi="宋体"/>
          <w:b/>
          <w:color w:val="000000"/>
          <w:sz w:val="32"/>
          <w:szCs w:val="32"/>
          <w:highlight w:val="none"/>
        </w:rPr>
      </w:pPr>
    </w:p>
    <w:p w14:paraId="2AA9E247">
      <w:pPr>
        <w:spacing w:line="320" w:lineRule="exact"/>
        <w:jc w:val="center"/>
        <w:rPr>
          <w:rFonts w:hint="eastAsia" w:ascii="宋体" w:hAnsi="宋体"/>
          <w:b/>
          <w:color w:val="000000"/>
          <w:sz w:val="32"/>
          <w:szCs w:val="32"/>
          <w:highlight w:val="none"/>
        </w:rPr>
      </w:pPr>
      <w:r>
        <w:rPr>
          <w:rFonts w:hint="eastAsia" w:ascii="宋体" w:hAnsi="宋体"/>
          <w:b/>
          <w:color w:val="000000"/>
          <w:sz w:val="32"/>
          <w:szCs w:val="32"/>
          <w:highlight w:val="none"/>
        </w:rPr>
        <w:t>供应商直接管理关系信息表</w:t>
      </w:r>
    </w:p>
    <w:p w14:paraId="4D043B0C">
      <w:pPr>
        <w:snapToGrid w:val="0"/>
        <w:spacing w:line="360" w:lineRule="auto"/>
        <w:jc w:val="center"/>
        <w:rPr>
          <w:rFonts w:ascii="宋体" w:hAnsi="宋体"/>
          <w:b/>
          <w:color w:val="000000"/>
          <w:sz w:val="24"/>
          <w:highlight w:val="none"/>
        </w:rPr>
      </w:pPr>
    </w:p>
    <w:tbl>
      <w:tblPr>
        <w:tblStyle w:val="7"/>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57E16F2D">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26688">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379A0F">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1E3945">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74AD08">
            <w:pPr>
              <w:widowControl/>
              <w:spacing w:line="360" w:lineRule="auto"/>
              <w:contextualSpacing/>
              <w:jc w:val="center"/>
              <w:rPr>
                <w:rFonts w:hint="eastAsia" w:ascii="宋体" w:hAnsi="宋体"/>
                <w:b/>
                <w:bCs/>
                <w:color w:val="000000"/>
                <w:kern w:val="0"/>
                <w:sz w:val="24"/>
                <w:highlight w:val="none"/>
              </w:rPr>
            </w:pPr>
            <w:r>
              <w:rPr>
                <w:rFonts w:hint="eastAsia" w:ascii="宋体" w:hAnsi="宋体"/>
                <w:b/>
                <w:bCs/>
                <w:color w:val="000000"/>
                <w:kern w:val="0"/>
                <w:sz w:val="24"/>
                <w:highlight w:val="none"/>
              </w:rPr>
              <w:t>备注</w:t>
            </w:r>
          </w:p>
        </w:tc>
      </w:tr>
      <w:tr w14:paraId="55746282">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65D104">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33C045">
            <w:pPr>
              <w:widowControl/>
              <w:spacing w:line="360" w:lineRule="auto"/>
              <w:contextualSpacing/>
              <w:jc w:val="center"/>
              <w:rPr>
                <w:rFonts w:ascii="宋体" w:hAnsi="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13C471">
            <w:pPr>
              <w:widowControl/>
              <w:spacing w:line="360" w:lineRule="auto"/>
              <w:contextualSpacing/>
              <w:jc w:val="center"/>
              <w:rPr>
                <w:rFonts w:ascii="宋体" w:hAnsi="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5BE62A">
            <w:pPr>
              <w:widowControl/>
              <w:spacing w:line="360" w:lineRule="auto"/>
              <w:contextualSpacing/>
              <w:jc w:val="center"/>
              <w:rPr>
                <w:rFonts w:ascii="宋体" w:hAnsi="宋体"/>
                <w:color w:val="000000"/>
                <w:kern w:val="0"/>
                <w:sz w:val="24"/>
                <w:highlight w:val="none"/>
              </w:rPr>
            </w:pPr>
          </w:p>
        </w:tc>
      </w:tr>
      <w:tr w14:paraId="7FA75682">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4D532C">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88A131">
            <w:pPr>
              <w:widowControl/>
              <w:spacing w:line="360" w:lineRule="auto"/>
              <w:contextualSpacing/>
              <w:jc w:val="center"/>
              <w:rPr>
                <w:rFonts w:ascii="宋体" w:hAnsi="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3C3EA">
            <w:pPr>
              <w:widowControl/>
              <w:spacing w:line="360" w:lineRule="auto"/>
              <w:contextualSpacing/>
              <w:jc w:val="center"/>
              <w:rPr>
                <w:rFonts w:ascii="宋体" w:hAnsi="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04C3A3">
            <w:pPr>
              <w:widowControl/>
              <w:spacing w:line="360" w:lineRule="auto"/>
              <w:contextualSpacing/>
              <w:jc w:val="center"/>
              <w:rPr>
                <w:rFonts w:ascii="宋体" w:hAnsi="宋体"/>
                <w:color w:val="000000"/>
                <w:kern w:val="0"/>
                <w:sz w:val="24"/>
                <w:highlight w:val="none"/>
              </w:rPr>
            </w:pPr>
          </w:p>
        </w:tc>
      </w:tr>
      <w:tr w14:paraId="11B76B7D">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0CB13B">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07C048">
            <w:pPr>
              <w:widowControl/>
              <w:spacing w:line="360" w:lineRule="auto"/>
              <w:contextualSpacing/>
              <w:jc w:val="center"/>
              <w:rPr>
                <w:rFonts w:ascii="宋体" w:hAnsi="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F2FDC4">
            <w:pPr>
              <w:widowControl/>
              <w:spacing w:line="360" w:lineRule="auto"/>
              <w:contextualSpacing/>
              <w:jc w:val="center"/>
              <w:rPr>
                <w:rFonts w:ascii="宋体" w:hAnsi="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128690">
            <w:pPr>
              <w:widowControl/>
              <w:spacing w:line="360" w:lineRule="auto"/>
              <w:contextualSpacing/>
              <w:jc w:val="center"/>
              <w:rPr>
                <w:rFonts w:ascii="宋体" w:hAnsi="宋体"/>
                <w:color w:val="000000"/>
                <w:kern w:val="0"/>
                <w:sz w:val="24"/>
                <w:highlight w:val="none"/>
              </w:rPr>
            </w:pPr>
          </w:p>
        </w:tc>
      </w:tr>
      <w:tr w14:paraId="4277FF7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DC8095">
            <w:pPr>
              <w:widowControl/>
              <w:spacing w:line="360" w:lineRule="auto"/>
              <w:contextualSpacing/>
              <w:jc w:val="center"/>
              <w:rPr>
                <w:rFonts w:hint="eastAsia" w:ascii="宋体" w:hAnsi="宋体"/>
                <w:color w:val="000000"/>
                <w:kern w:val="0"/>
                <w:sz w:val="24"/>
                <w:highlight w:val="none"/>
              </w:rPr>
            </w:pPr>
            <w:r>
              <w:rPr>
                <w:rFonts w:hint="eastAsia" w:ascii="宋体" w:hAnsi="宋体"/>
                <w:color w:val="000000"/>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7B73CB">
            <w:pPr>
              <w:widowControl/>
              <w:spacing w:line="360" w:lineRule="auto"/>
              <w:contextualSpacing/>
              <w:jc w:val="center"/>
              <w:rPr>
                <w:rFonts w:ascii="宋体" w:hAnsi="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B6BA4B">
            <w:pPr>
              <w:widowControl/>
              <w:spacing w:line="360" w:lineRule="auto"/>
              <w:contextualSpacing/>
              <w:jc w:val="center"/>
              <w:rPr>
                <w:rFonts w:ascii="宋体" w:hAnsi="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D82984">
            <w:pPr>
              <w:widowControl/>
              <w:spacing w:line="360" w:lineRule="auto"/>
              <w:contextualSpacing/>
              <w:jc w:val="center"/>
              <w:rPr>
                <w:rFonts w:ascii="宋体" w:hAnsi="宋体"/>
                <w:color w:val="000000"/>
                <w:kern w:val="0"/>
                <w:sz w:val="24"/>
                <w:highlight w:val="none"/>
              </w:rPr>
            </w:pPr>
          </w:p>
        </w:tc>
      </w:tr>
    </w:tbl>
    <w:p w14:paraId="271F636F">
      <w:pPr>
        <w:spacing w:line="360" w:lineRule="auto"/>
        <w:contextualSpacing/>
        <w:jc w:val="left"/>
        <w:rPr>
          <w:rFonts w:hint="eastAsia" w:ascii="宋体" w:hAnsi="宋体"/>
          <w:color w:val="000000"/>
          <w:sz w:val="24"/>
          <w:highlight w:val="none"/>
        </w:rPr>
      </w:pPr>
      <w:r>
        <w:rPr>
          <w:rFonts w:hint="eastAsia" w:ascii="宋体" w:hAnsi="宋体"/>
          <w:color w:val="000000"/>
          <w:sz w:val="24"/>
          <w:highlight w:val="none"/>
        </w:rPr>
        <w:t>注：</w:t>
      </w:r>
    </w:p>
    <w:p w14:paraId="1248710A">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1.管理关系：是指不具有出资持股关系的其他单位之间存在的管理与被管理关系，如一些上下级关系的事业单位和团体组织。</w:t>
      </w:r>
    </w:p>
    <w:p w14:paraId="0FE49536">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pacing w:val="-6"/>
          <w:sz w:val="24"/>
          <w:highlight w:val="none"/>
        </w:rPr>
        <w:t>本表所指的管理关系仅限于直接管理关系，不包括间接的管理关系。</w:t>
      </w:r>
    </w:p>
    <w:p w14:paraId="7D47AADF">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3.供应商不存在直接管理关系的，则填“无”。</w:t>
      </w:r>
    </w:p>
    <w:p w14:paraId="224D213B">
      <w:pPr>
        <w:spacing w:line="360" w:lineRule="auto"/>
        <w:contextualSpacing/>
        <w:jc w:val="left"/>
        <w:rPr>
          <w:rFonts w:ascii="宋体" w:hAnsi="宋体"/>
          <w:color w:val="000000"/>
          <w:sz w:val="24"/>
          <w:highlight w:val="none"/>
        </w:rPr>
      </w:pPr>
    </w:p>
    <w:p w14:paraId="0F39B929">
      <w:pPr>
        <w:spacing w:line="360" w:lineRule="auto"/>
        <w:contextualSpacing/>
        <w:jc w:val="left"/>
        <w:rPr>
          <w:rFonts w:ascii="宋体" w:hAnsi="宋体"/>
          <w:color w:val="000000"/>
          <w:sz w:val="24"/>
          <w:highlight w:val="none"/>
        </w:rPr>
      </w:pPr>
    </w:p>
    <w:p w14:paraId="283AE177">
      <w:pPr>
        <w:spacing w:line="360" w:lineRule="auto"/>
        <w:contextualSpacing/>
        <w:jc w:val="left"/>
        <w:rPr>
          <w:color w:val="000000"/>
          <w:sz w:val="24"/>
          <w:highlight w:val="none"/>
        </w:rPr>
      </w:pPr>
    </w:p>
    <w:p w14:paraId="24B505C0">
      <w:pPr>
        <w:spacing w:line="360" w:lineRule="auto"/>
        <w:contextualSpacing/>
        <w:jc w:val="left"/>
        <w:rPr>
          <w:color w:val="000000"/>
          <w:sz w:val="24"/>
          <w:highlight w:val="none"/>
        </w:rPr>
      </w:pPr>
    </w:p>
    <w:p w14:paraId="1D4C0E21">
      <w:pPr>
        <w:spacing w:line="360" w:lineRule="auto"/>
        <w:contextualSpacing/>
        <w:jc w:val="left"/>
        <w:rPr>
          <w:color w:val="000000"/>
          <w:sz w:val="24"/>
          <w:highlight w:val="none"/>
        </w:rPr>
      </w:pPr>
    </w:p>
    <w:p w14:paraId="1477FEDB">
      <w:pPr>
        <w:spacing w:line="360" w:lineRule="auto"/>
        <w:contextualSpacing/>
        <w:jc w:val="left"/>
        <w:rPr>
          <w:rFonts w:ascii="宋体" w:hAnsi="宋体"/>
          <w:color w:val="000000"/>
          <w:sz w:val="24"/>
          <w:highlight w:val="none"/>
        </w:rPr>
      </w:pPr>
    </w:p>
    <w:p w14:paraId="771A509A">
      <w:pPr>
        <w:spacing w:line="480" w:lineRule="exact"/>
        <w:rPr>
          <w:rFonts w:hint="eastAsia" w:ascii="宋体" w:hAnsi="宋体"/>
          <w:color w:val="000000"/>
          <w:sz w:val="24"/>
          <w:highlight w:val="none"/>
        </w:rPr>
      </w:pPr>
      <w:r>
        <w:rPr>
          <w:rFonts w:hint="eastAsia" w:ascii="宋体" w:hAnsi="宋体"/>
          <w:color w:val="000000"/>
          <w:sz w:val="24"/>
          <w:highlight w:val="none"/>
        </w:rPr>
        <w:t>供应商</w:t>
      </w:r>
      <w:r>
        <w:rPr>
          <w:rFonts w:ascii="宋体" w:hAnsi="宋体"/>
          <w:color w:val="000000"/>
          <w:sz w:val="24"/>
          <w:highlight w:val="none"/>
        </w:rPr>
        <w:t>（CA</w:t>
      </w:r>
      <w:r>
        <w:rPr>
          <w:rFonts w:hint="eastAsia" w:ascii="宋体" w:hAnsi="宋体"/>
          <w:color w:val="000000"/>
          <w:sz w:val="24"/>
          <w:highlight w:val="none"/>
        </w:rPr>
        <w:t>电子签章</w:t>
      </w:r>
      <w:r>
        <w:rPr>
          <w:rFonts w:ascii="宋体" w:hAnsi="宋体"/>
          <w:color w:val="000000"/>
          <w:sz w:val="24"/>
          <w:highlight w:val="none"/>
        </w:rPr>
        <w:t>）</w:t>
      </w:r>
      <w:r>
        <w:rPr>
          <w:rFonts w:hint="eastAsia" w:ascii="宋体" w:hAnsi="宋体"/>
          <w:color w:val="000000"/>
          <w:sz w:val="24"/>
          <w:highlight w:val="none"/>
        </w:rPr>
        <w:t>：</w:t>
      </w:r>
    </w:p>
    <w:p w14:paraId="619B1D27">
      <w:pPr>
        <w:spacing w:line="480" w:lineRule="exact"/>
        <w:rPr>
          <w:rFonts w:hint="eastAsia" w:ascii="宋体" w:hAnsi="宋体"/>
          <w:color w:val="000000"/>
          <w:sz w:val="24"/>
          <w:highlight w:val="none"/>
        </w:rPr>
      </w:pPr>
      <w:r>
        <w:rPr>
          <w:rFonts w:hint="eastAsia" w:ascii="宋体" w:hAnsi="宋体"/>
          <w:color w:val="000000"/>
          <w:sz w:val="24"/>
          <w:highlight w:val="none"/>
        </w:rPr>
        <w:t>法人代表或委托代理人（签字或盖章）：</w:t>
      </w:r>
    </w:p>
    <w:p w14:paraId="2BACE3B1">
      <w:pPr>
        <w:spacing w:line="480" w:lineRule="exact"/>
        <w:rPr>
          <w:rFonts w:hint="eastAsia" w:ascii="宋体" w:hAnsi="宋体"/>
          <w:color w:val="000000"/>
          <w:sz w:val="24"/>
          <w:highlight w:val="none"/>
        </w:rPr>
      </w:pPr>
      <w:r>
        <w:rPr>
          <w:rFonts w:hint="eastAsia" w:ascii="宋体" w:hAnsi="宋体"/>
          <w:color w:val="000000"/>
          <w:sz w:val="24"/>
          <w:highlight w:val="none"/>
        </w:rPr>
        <w:t>磋商日期：</w:t>
      </w:r>
    </w:p>
    <w:p w14:paraId="410B73BD">
      <w:pPr>
        <w:rPr>
          <w:color w:val="000000"/>
          <w:highlight w:val="none"/>
        </w:rPr>
      </w:pPr>
    </w:p>
    <w:p w14:paraId="432051D6">
      <w:pPr>
        <w:pStyle w:val="44"/>
        <w:ind w:firstLine="562"/>
        <w:jc w:val="center"/>
        <w:rPr>
          <w:b/>
          <w:color w:val="000000"/>
          <w:sz w:val="28"/>
          <w:szCs w:val="28"/>
          <w:highlight w:val="none"/>
        </w:rPr>
      </w:pPr>
      <w:r>
        <w:rPr>
          <w:b/>
          <w:color w:val="000000"/>
          <w:sz w:val="28"/>
          <w:szCs w:val="28"/>
          <w:highlight w:val="none"/>
        </w:rPr>
        <w:br w:type="page"/>
      </w:r>
      <w:r>
        <w:rPr>
          <w:b/>
          <w:color w:val="000000"/>
          <w:sz w:val="28"/>
          <w:szCs w:val="28"/>
          <w:highlight w:val="none"/>
        </w:rPr>
        <w:t>供应商参加本项目无围标串标行为的承诺函</w:t>
      </w:r>
    </w:p>
    <w:p w14:paraId="5A30415C">
      <w:pPr>
        <w:snapToGrid w:val="0"/>
        <w:spacing w:before="120" w:after="50"/>
        <w:jc w:val="left"/>
        <w:rPr>
          <w:rFonts w:hint="eastAsia" w:ascii="宋体" w:hAnsi="宋体"/>
          <w:b/>
          <w:color w:val="000000"/>
          <w:sz w:val="24"/>
          <w:highlight w:val="none"/>
        </w:rPr>
      </w:pPr>
      <w:r>
        <w:rPr>
          <w:rFonts w:hint="eastAsia" w:ascii="宋体" w:hAnsi="宋体"/>
          <w:b/>
          <w:color w:val="000000"/>
          <w:sz w:val="24"/>
          <w:highlight w:val="none"/>
        </w:rPr>
        <w:t>一、我公司承诺无下列相互串通投标的情形：</w:t>
      </w:r>
    </w:p>
    <w:p w14:paraId="00560DA3">
      <w:pPr>
        <w:snapToGrid w:val="0"/>
        <w:spacing w:line="440" w:lineRule="exact"/>
        <w:ind w:firstLine="470" w:firstLineChars="196"/>
        <w:jc w:val="left"/>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不同供应商的响应文件由同一单位或者个人编制；或不同供应商报名（或上传响应文件）的 IP 地址一致的；</w:t>
      </w:r>
    </w:p>
    <w:p w14:paraId="18B0BAE3">
      <w:pPr>
        <w:snapToGrid w:val="0"/>
        <w:spacing w:line="440" w:lineRule="exact"/>
        <w:ind w:firstLine="470" w:firstLineChars="196"/>
        <w:jc w:val="left"/>
        <w:rPr>
          <w:rFonts w:ascii="宋体" w:hAnsi="宋体"/>
          <w:color w:val="000000"/>
          <w:sz w:val="24"/>
          <w:highlight w:val="none"/>
        </w:rPr>
      </w:pPr>
      <w:r>
        <w:rPr>
          <w:rFonts w:ascii="宋体" w:hAnsi="宋体"/>
          <w:color w:val="000000"/>
          <w:sz w:val="24"/>
          <w:highlight w:val="none"/>
        </w:rPr>
        <w:t>（2）不同</w:t>
      </w:r>
      <w:r>
        <w:rPr>
          <w:rFonts w:hint="eastAsia" w:ascii="宋体" w:hAnsi="宋体"/>
          <w:color w:val="000000"/>
          <w:sz w:val="24"/>
          <w:highlight w:val="none"/>
        </w:rPr>
        <w:t>供应商</w:t>
      </w:r>
      <w:r>
        <w:rPr>
          <w:rFonts w:ascii="宋体" w:hAnsi="宋体"/>
          <w:color w:val="000000"/>
          <w:sz w:val="24"/>
          <w:highlight w:val="none"/>
        </w:rPr>
        <w:t>委托同一单位或者个人办理磋商事宜；</w:t>
      </w:r>
    </w:p>
    <w:p w14:paraId="7EB2AA5D">
      <w:pPr>
        <w:snapToGrid w:val="0"/>
        <w:spacing w:line="440" w:lineRule="exact"/>
        <w:ind w:firstLine="470" w:firstLineChars="196"/>
        <w:jc w:val="left"/>
        <w:rPr>
          <w:rFonts w:ascii="宋体" w:hAnsi="宋体"/>
          <w:color w:val="000000"/>
          <w:sz w:val="24"/>
          <w:highlight w:val="none"/>
        </w:rPr>
      </w:pPr>
      <w:r>
        <w:rPr>
          <w:rFonts w:ascii="宋体" w:hAnsi="宋体"/>
          <w:color w:val="000000"/>
          <w:sz w:val="24"/>
          <w:highlight w:val="none"/>
        </w:rPr>
        <w:t>（3）不同</w:t>
      </w:r>
      <w:r>
        <w:rPr>
          <w:rFonts w:hint="eastAsia" w:ascii="宋体" w:hAnsi="宋体"/>
          <w:color w:val="000000"/>
          <w:sz w:val="24"/>
          <w:highlight w:val="none"/>
        </w:rPr>
        <w:t>供应商</w:t>
      </w:r>
      <w:r>
        <w:rPr>
          <w:rFonts w:ascii="宋体" w:hAnsi="宋体"/>
          <w:color w:val="000000"/>
          <w:sz w:val="24"/>
          <w:highlight w:val="none"/>
        </w:rPr>
        <w:t>的响应文件载明的项目管理成员（项目经办人）为同一人；</w:t>
      </w:r>
    </w:p>
    <w:p w14:paraId="30454C3B">
      <w:pPr>
        <w:snapToGrid w:val="0"/>
        <w:spacing w:line="440" w:lineRule="exact"/>
        <w:ind w:firstLine="470" w:firstLineChars="196"/>
        <w:jc w:val="left"/>
        <w:rPr>
          <w:rFonts w:ascii="宋体" w:hAnsi="宋体"/>
          <w:color w:val="000000"/>
          <w:sz w:val="24"/>
          <w:highlight w:val="none"/>
        </w:rPr>
      </w:pPr>
      <w:r>
        <w:rPr>
          <w:rFonts w:ascii="宋体" w:hAnsi="宋体"/>
          <w:color w:val="000000"/>
          <w:sz w:val="24"/>
          <w:highlight w:val="none"/>
        </w:rPr>
        <w:t>（4）不同</w:t>
      </w:r>
      <w:r>
        <w:rPr>
          <w:rFonts w:hint="eastAsia" w:ascii="宋体" w:hAnsi="宋体"/>
          <w:color w:val="000000"/>
          <w:sz w:val="24"/>
          <w:highlight w:val="none"/>
        </w:rPr>
        <w:t>供应商</w:t>
      </w:r>
      <w:r>
        <w:rPr>
          <w:rFonts w:ascii="宋体" w:hAnsi="宋体"/>
          <w:color w:val="000000"/>
          <w:sz w:val="24"/>
          <w:highlight w:val="none"/>
        </w:rPr>
        <w:t>的响应文件异常一致或者磋商报价呈规律性差异；</w:t>
      </w:r>
    </w:p>
    <w:p w14:paraId="5F2EF803">
      <w:pPr>
        <w:snapToGrid w:val="0"/>
        <w:spacing w:line="440" w:lineRule="exact"/>
        <w:ind w:firstLine="470" w:firstLineChars="196"/>
        <w:jc w:val="left"/>
        <w:rPr>
          <w:rFonts w:ascii="宋体" w:hAnsi="宋体"/>
          <w:color w:val="000000"/>
          <w:sz w:val="24"/>
          <w:highlight w:val="none"/>
        </w:rPr>
      </w:pPr>
      <w:r>
        <w:rPr>
          <w:rFonts w:ascii="宋体" w:hAnsi="宋体"/>
          <w:color w:val="000000"/>
          <w:sz w:val="24"/>
          <w:highlight w:val="none"/>
        </w:rPr>
        <w:t>（5）不同</w:t>
      </w:r>
      <w:r>
        <w:rPr>
          <w:rFonts w:hint="eastAsia" w:ascii="宋体" w:hAnsi="宋体"/>
          <w:color w:val="000000"/>
          <w:sz w:val="24"/>
          <w:highlight w:val="none"/>
        </w:rPr>
        <w:t>供应商</w:t>
      </w:r>
      <w:r>
        <w:rPr>
          <w:rFonts w:ascii="宋体" w:hAnsi="宋体"/>
          <w:color w:val="000000"/>
          <w:sz w:val="24"/>
          <w:highlight w:val="none"/>
        </w:rPr>
        <w:t>的响应文件相互混装；</w:t>
      </w:r>
    </w:p>
    <w:p w14:paraId="6ADDB3E2">
      <w:pPr>
        <w:snapToGrid w:val="0"/>
        <w:spacing w:line="440" w:lineRule="exact"/>
        <w:ind w:firstLine="470" w:firstLineChars="196"/>
        <w:jc w:val="left"/>
        <w:rPr>
          <w:rFonts w:ascii="宋体" w:hAnsi="宋体"/>
          <w:color w:val="000000"/>
          <w:sz w:val="24"/>
          <w:highlight w:val="none"/>
        </w:rPr>
      </w:pPr>
      <w:r>
        <w:rPr>
          <w:rFonts w:ascii="宋体" w:hAnsi="宋体"/>
          <w:color w:val="000000"/>
          <w:sz w:val="24"/>
          <w:highlight w:val="none"/>
        </w:rPr>
        <w:t>（6）不同</w:t>
      </w:r>
      <w:r>
        <w:rPr>
          <w:rFonts w:hint="eastAsia" w:ascii="宋体" w:hAnsi="宋体"/>
          <w:color w:val="000000"/>
          <w:sz w:val="24"/>
          <w:highlight w:val="none"/>
        </w:rPr>
        <w:t>供应商</w:t>
      </w:r>
      <w:r>
        <w:rPr>
          <w:rFonts w:ascii="宋体" w:hAnsi="宋体"/>
          <w:color w:val="000000"/>
          <w:sz w:val="24"/>
          <w:highlight w:val="none"/>
        </w:rPr>
        <w:t>的磋商保证金从同一单位或者个人的账户转出。</w:t>
      </w:r>
    </w:p>
    <w:p w14:paraId="223ACD46">
      <w:pPr>
        <w:snapToGrid w:val="0"/>
        <w:spacing w:before="120" w:after="50"/>
        <w:jc w:val="left"/>
        <w:rPr>
          <w:rFonts w:hint="eastAsia" w:ascii="宋体" w:hAnsi="宋体"/>
          <w:b/>
          <w:color w:val="000000"/>
          <w:sz w:val="24"/>
          <w:highlight w:val="none"/>
        </w:rPr>
      </w:pPr>
      <w:r>
        <w:rPr>
          <w:rFonts w:hint="eastAsia" w:ascii="宋体" w:hAnsi="宋体"/>
          <w:b/>
          <w:color w:val="000000"/>
          <w:sz w:val="24"/>
          <w:highlight w:val="none"/>
        </w:rPr>
        <w:t>二、我公司承诺无下列恶意串通的情形：</w:t>
      </w:r>
    </w:p>
    <w:p w14:paraId="0334A7D1">
      <w:pPr>
        <w:snapToGrid w:val="0"/>
        <w:spacing w:before="120" w:after="50"/>
        <w:ind w:firstLine="470" w:firstLineChars="196"/>
        <w:jc w:val="left"/>
        <w:rPr>
          <w:rFonts w:hint="eastAsia" w:ascii="宋体" w:hAnsi="宋体"/>
          <w:color w:val="000000"/>
          <w:sz w:val="24"/>
          <w:highlight w:val="none"/>
        </w:rPr>
      </w:pPr>
      <w:r>
        <w:rPr>
          <w:rFonts w:hint="eastAsia" w:ascii="宋体" w:hAnsi="宋体"/>
          <w:color w:val="000000"/>
          <w:sz w:val="24"/>
          <w:highlight w:val="none"/>
        </w:rPr>
        <w:t>1.供应商直接或者间接从采购人或者采购代理机构处获得其他供应商的相关信息并修改其响应文件或者响应文件；</w:t>
      </w:r>
    </w:p>
    <w:p w14:paraId="56B7F806">
      <w:pPr>
        <w:snapToGrid w:val="0"/>
        <w:spacing w:before="120" w:after="50"/>
        <w:ind w:firstLine="470" w:firstLineChars="196"/>
        <w:jc w:val="left"/>
        <w:rPr>
          <w:rFonts w:hint="eastAsia" w:ascii="宋体" w:hAnsi="宋体"/>
          <w:color w:val="000000"/>
          <w:sz w:val="24"/>
          <w:highlight w:val="none"/>
        </w:rPr>
      </w:pPr>
      <w:r>
        <w:rPr>
          <w:rFonts w:hint="eastAsia" w:ascii="宋体" w:hAnsi="宋体"/>
          <w:color w:val="000000"/>
          <w:sz w:val="24"/>
          <w:highlight w:val="none"/>
        </w:rPr>
        <w:t>2.供应商按照采购人或者采购代理机构的授意撤换、修改响应文件或者响应文件；</w:t>
      </w:r>
    </w:p>
    <w:p w14:paraId="6198EB3C">
      <w:pPr>
        <w:snapToGrid w:val="0"/>
        <w:spacing w:before="120" w:after="50"/>
        <w:ind w:firstLine="470" w:firstLineChars="196"/>
        <w:jc w:val="left"/>
        <w:rPr>
          <w:rFonts w:hint="eastAsia" w:ascii="宋体" w:hAnsi="宋体"/>
          <w:color w:val="000000"/>
          <w:sz w:val="24"/>
          <w:highlight w:val="none"/>
        </w:rPr>
      </w:pPr>
      <w:r>
        <w:rPr>
          <w:rFonts w:hint="eastAsia" w:ascii="宋体" w:hAnsi="宋体"/>
          <w:color w:val="000000"/>
          <w:sz w:val="24"/>
          <w:highlight w:val="none"/>
        </w:rPr>
        <w:t>3.供应商之间协商报价、技术方案等响应文件或者响应文件的实质性内容；</w:t>
      </w:r>
    </w:p>
    <w:p w14:paraId="6608E275">
      <w:pPr>
        <w:snapToGrid w:val="0"/>
        <w:spacing w:before="120" w:after="50"/>
        <w:ind w:firstLine="470" w:firstLineChars="196"/>
        <w:jc w:val="left"/>
        <w:rPr>
          <w:rFonts w:hint="eastAsia" w:ascii="宋体" w:hAnsi="宋体"/>
          <w:color w:val="000000"/>
          <w:sz w:val="24"/>
          <w:highlight w:val="none"/>
        </w:rPr>
      </w:pPr>
      <w:r>
        <w:rPr>
          <w:rFonts w:hint="eastAsia" w:ascii="宋体" w:hAnsi="宋体"/>
          <w:color w:val="000000"/>
          <w:sz w:val="24"/>
          <w:highlight w:val="none"/>
        </w:rPr>
        <w:t>4.属于同一集团、协会、商会等组织成员的供应商按照该组织要求协同参加政府采购活动；</w:t>
      </w:r>
    </w:p>
    <w:p w14:paraId="7DEFDE3F">
      <w:pPr>
        <w:snapToGrid w:val="0"/>
        <w:spacing w:before="120" w:after="50"/>
        <w:ind w:firstLine="470" w:firstLineChars="196"/>
        <w:jc w:val="left"/>
        <w:rPr>
          <w:rFonts w:hint="eastAsia" w:ascii="宋体" w:hAnsi="宋体"/>
          <w:color w:val="000000"/>
          <w:sz w:val="24"/>
          <w:highlight w:val="none"/>
        </w:rPr>
      </w:pPr>
      <w:r>
        <w:rPr>
          <w:rFonts w:hint="eastAsia" w:ascii="宋体" w:hAnsi="宋体"/>
          <w:color w:val="000000"/>
          <w:sz w:val="24"/>
          <w:highlight w:val="none"/>
        </w:rPr>
        <w:t>5.供应商之间事先约定一致抬高或者压低投标报价,或者在招标项目中事先约定轮流以高价位或者低价位成交,或者事先约定由某一特定供应商成交,然后再参加采购；</w:t>
      </w:r>
    </w:p>
    <w:p w14:paraId="08B518A5">
      <w:pPr>
        <w:snapToGrid w:val="0"/>
        <w:spacing w:before="120" w:after="50"/>
        <w:ind w:firstLine="470" w:firstLineChars="196"/>
        <w:jc w:val="left"/>
        <w:rPr>
          <w:rFonts w:hint="eastAsia" w:ascii="宋体" w:hAnsi="宋体"/>
          <w:color w:val="000000"/>
          <w:sz w:val="24"/>
          <w:highlight w:val="none"/>
        </w:rPr>
      </w:pPr>
      <w:r>
        <w:rPr>
          <w:rFonts w:hint="eastAsia" w:ascii="宋体" w:hAnsi="宋体"/>
          <w:color w:val="000000"/>
          <w:sz w:val="24"/>
          <w:highlight w:val="none"/>
        </w:rPr>
        <w:t>6.供应商之间商定部分供应商放弃参加政府采购活动或者放弃成交；</w:t>
      </w:r>
    </w:p>
    <w:p w14:paraId="028F58BC">
      <w:pPr>
        <w:snapToGrid w:val="0"/>
        <w:spacing w:before="120" w:after="50"/>
        <w:ind w:firstLine="470" w:firstLineChars="196"/>
        <w:jc w:val="left"/>
        <w:rPr>
          <w:rFonts w:hint="eastAsia" w:ascii="宋体" w:hAnsi="宋体"/>
          <w:color w:val="000000"/>
          <w:sz w:val="24"/>
          <w:highlight w:val="none"/>
        </w:rPr>
      </w:pPr>
      <w:r>
        <w:rPr>
          <w:rFonts w:hint="eastAsia" w:ascii="宋体" w:hAnsi="宋体"/>
          <w:color w:val="000000"/>
          <w:sz w:val="24"/>
          <w:highlight w:val="none"/>
        </w:rPr>
        <w:t>7.供应商与采购人或者采购代理机构之间、供应商相互之间，为谋求特定供应商中标或者排斥其他供应商的其他串通行为。</w:t>
      </w:r>
    </w:p>
    <w:p w14:paraId="4FD76C94">
      <w:pPr>
        <w:snapToGrid w:val="0"/>
        <w:spacing w:before="120" w:after="50"/>
        <w:ind w:firstLine="470" w:firstLineChars="196"/>
        <w:jc w:val="left"/>
        <w:rPr>
          <w:rFonts w:hint="eastAsia" w:ascii="宋体" w:hAnsi="宋体"/>
          <w:color w:val="000000"/>
          <w:sz w:val="24"/>
          <w:highlight w:val="none"/>
        </w:rPr>
      </w:pPr>
    </w:p>
    <w:p w14:paraId="1D519737">
      <w:pPr>
        <w:snapToGrid w:val="0"/>
        <w:spacing w:before="120" w:after="50"/>
        <w:ind w:firstLine="472" w:firstLineChars="196"/>
        <w:jc w:val="left"/>
        <w:rPr>
          <w:rFonts w:hint="eastAsia" w:ascii="宋体" w:hAnsi="宋体"/>
          <w:b/>
          <w:color w:val="000000"/>
          <w:sz w:val="24"/>
          <w:highlight w:val="none"/>
        </w:rPr>
      </w:pPr>
      <w:r>
        <w:rPr>
          <w:rFonts w:hint="eastAsia" w:ascii="宋体" w:hAnsi="宋体"/>
          <w:b/>
          <w:color w:val="000000"/>
          <w:sz w:val="24"/>
          <w:highlight w:val="none"/>
        </w:rPr>
        <w:t>以上情形一经核查属实，我方愿意承担一切后果，并不再寻求任何旨在减轻或免除法律责任的辩解。</w:t>
      </w:r>
    </w:p>
    <w:p w14:paraId="1F9D5366">
      <w:pPr>
        <w:pStyle w:val="44"/>
        <w:snapToGrid w:val="0"/>
        <w:spacing w:before="295" w:after="295" w:line="320" w:lineRule="exact"/>
        <w:ind w:firstLine="5985" w:firstLineChars="2850"/>
        <w:rPr>
          <w:color w:val="000000"/>
          <w:szCs w:val="24"/>
          <w:highlight w:val="none"/>
        </w:rPr>
      </w:pPr>
    </w:p>
    <w:p w14:paraId="65AB858D">
      <w:pPr>
        <w:pStyle w:val="44"/>
        <w:spacing w:line="500" w:lineRule="exact"/>
        <w:jc w:val="center"/>
        <w:rPr>
          <w:color w:val="000000"/>
          <w:szCs w:val="24"/>
          <w:highlight w:val="none"/>
        </w:rPr>
      </w:pPr>
      <w:r>
        <w:rPr>
          <w:color w:val="000000"/>
          <w:szCs w:val="24"/>
          <w:highlight w:val="none"/>
        </w:rPr>
        <w:t>供应商（盖CA电子签章）：</w:t>
      </w:r>
    </w:p>
    <w:p w14:paraId="1314B708">
      <w:pPr>
        <w:pStyle w:val="44"/>
        <w:spacing w:line="500" w:lineRule="exact"/>
        <w:jc w:val="center"/>
        <w:rPr>
          <w:color w:val="000000"/>
          <w:szCs w:val="24"/>
          <w:highlight w:val="none"/>
        </w:rPr>
      </w:pPr>
      <w:r>
        <w:rPr>
          <w:color w:val="000000"/>
          <w:szCs w:val="24"/>
          <w:highlight w:val="none"/>
        </w:rPr>
        <w:t>磋商日期：</w:t>
      </w:r>
    </w:p>
    <w:p w14:paraId="65547A45">
      <w:pPr>
        <w:widowControl/>
        <w:jc w:val="left"/>
        <w:rPr>
          <w:rFonts w:ascii="宋体" w:hAnsi="宋体"/>
          <w:color w:val="000000"/>
          <w:highlight w:val="none"/>
        </w:rPr>
        <w:sectPr>
          <w:footerReference r:id="rId9" w:type="first"/>
          <w:footerReference r:id="rId8" w:type="default"/>
          <w:pgSz w:w="11905" w:h="16838"/>
          <w:pgMar w:top="1440" w:right="1448" w:bottom="1440" w:left="1417" w:header="850" w:footer="850" w:gutter="0"/>
          <w:pgNumType w:fmt="decimal" w:start="1"/>
          <w:cols w:space="720" w:num="1"/>
          <w:docGrid w:linePitch="312" w:charSpace="0"/>
        </w:sectPr>
      </w:pPr>
    </w:p>
    <w:p w14:paraId="163D6460">
      <w:pPr>
        <w:pStyle w:val="128"/>
        <w:jc w:val="center"/>
        <w:outlineLvl w:val="0"/>
        <w:rPr>
          <w:rFonts w:hint="eastAsia" w:ascii="宋体" w:hAnsi="宋体"/>
          <w:b/>
          <w:bCs/>
          <w:color w:val="000000"/>
          <w:sz w:val="24"/>
          <w:szCs w:val="24"/>
          <w:highlight w:val="none"/>
        </w:rPr>
      </w:pPr>
      <w:bookmarkStart w:id="964" w:name="_Toc15959"/>
      <w:bookmarkStart w:id="965" w:name="_Toc6080"/>
      <w:bookmarkStart w:id="966" w:name="_Toc15796"/>
      <w:bookmarkStart w:id="967" w:name="_Toc389065360"/>
      <w:bookmarkStart w:id="968" w:name="_Toc26743"/>
      <w:bookmarkStart w:id="969" w:name="_Toc108539872"/>
      <w:r>
        <w:rPr>
          <w:rFonts w:hint="eastAsia" w:ascii="宋体" w:hAnsi="宋体"/>
          <w:b/>
          <w:bCs/>
          <w:color w:val="000000"/>
          <w:sz w:val="24"/>
          <w:szCs w:val="24"/>
          <w:highlight w:val="none"/>
        </w:rPr>
        <w:t>施工组织设计</w:t>
      </w:r>
      <w:bookmarkEnd w:id="964"/>
      <w:bookmarkEnd w:id="965"/>
      <w:bookmarkEnd w:id="966"/>
      <w:bookmarkEnd w:id="967"/>
      <w:bookmarkEnd w:id="968"/>
      <w:bookmarkEnd w:id="969"/>
    </w:p>
    <w:p w14:paraId="2DE9138F">
      <w:pPr>
        <w:spacing w:line="460" w:lineRule="exact"/>
        <w:ind w:firstLine="420" w:firstLineChars="200"/>
        <w:rPr>
          <w:rFonts w:hint="eastAsia" w:ascii="宋体" w:hAnsi="宋体"/>
          <w:color w:val="000000"/>
          <w:highlight w:val="none"/>
        </w:rPr>
      </w:pPr>
      <w:r>
        <w:rPr>
          <w:rFonts w:hint="eastAsia" w:ascii="宋体" w:hAnsi="宋体"/>
          <w:color w:val="000000"/>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F50BF0E">
      <w:pPr>
        <w:spacing w:line="460" w:lineRule="exact"/>
        <w:ind w:firstLine="420" w:firstLineChars="200"/>
        <w:rPr>
          <w:rFonts w:hint="eastAsia" w:ascii="宋体" w:hAnsi="宋体"/>
          <w:color w:val="000000"/>
          <w:highlight w:val="none"/>
        </w:rPr>
      </w:pPr>
      <w:r>
        <w:rPr>
          <w:rFonts w:hint="eastAsia" w:ascii="宋体" w:hAnsi="宋体"/>
          <w:color w:val="000000"/>
          <w:highlight w:val="none"/>
        </w:rPr>
        <w:t>2．施工组织设计除采用文字表述外可附下列图表，图表及格式要求附后。</w:t>
      </w:r>
    </w:p>
    <w:p w14:paraId="15A795C9">
      <w:pPr>
        <w:spacing w:line="460" w:lineRule="exact"/>
        <w:ind w:firstLine="420" w:firstLineChars="200"/>
        <w:rPr>
          <w:rFonts w:hint="eastAsia" w:ascii="宋体" w:hAnsi="宋体"/>
          <w:color w:val="000000"/>
          <w:highlight w:val="none"/>
        </w:rPr>
      </w:pPr>
      <w:r>
        <w:rPr>
          <w:rFonts w:hint="eastAsia" w:ascii="宋体" w:hAnsi="宋体"/>
          <w:color w:val="000000"/>
          <w:highlight w:val="none"/>
        </w:rPr>
        <w:t>附表一拟投入本工程的主要施工设备表</w:t>
      </w:r>
    </w:p>
    <w:p w14:paraId="3D94F73C">
      <w:pPr>
        <w:spacing w:line="460" w:lineRule="exact"/>
        <w:ind w:firstLine="420" w:firstLineChars="200"/>
        <w:rPr>
          <w:rFonts w:hint="eastAsia" w:ascii="宋体" w:hAnsi="宋体"/>
          <w:color w:val="000000"/>
          <w:highlight w:val="none"/>
        </w:rPr>
      </w:pPr>
      <w:r>
        <w:rPr>
          <w:rFonts w:hint="eastAsia" w:ascii="宋体" w:hAnsi="宋体"/>
          <w:color w:val="000000"/>
          <w:highlight w:val="none"/>
        </w:rPr>
        <w:t>附表二劳动力计划表</w:t>
      </w:r>
    </w:p>
    <w:p w14:paraId="4520B065">
      <w:pPr>
        <w:spacing w:line="460" w:lineRule="exact"/>
        <w:ind w:firstLine="420" w:firstLineChars="200"/>
        <w:rPr>
          <w:rFonts w:hint="eastAsia" w:ascii="宋体" w:hAnsi="宋体"/>
          <w:color w:val="000000"/>
          <w:highlight w:val="none"/>
        </w:rPr>
      </w:pPr>
      <w:r>
        <w:rPr>
          <w:rFonts w:hint="eastAsia" w:ascii="宋体" w:hAnsi="宋体"/>
          <w:color w:val="000000"/>
          <w:highlight w:val="none"/>
        </w:rPr>
        <w:t>附表三计划开、竣工日期和施工进度网络图</w:t>
      </w:r>
    </w:p>
    <w:p w14:paraId="2E8A0B31">
      <w:pPr>
        <w:spacing w:line="460" w:lineRule="exact"/>
        <w:ind w:firstLine="420" w:firstLineChars="200"/>
        <w:rPr>
          <w:rFonts w:ascii="宋体" w:hAnsi="宋体"/>
          <w:color w:val="000000"/>
          <w:highlight w:val="none"/>
        </w:rPr>
      </w:pPr>
    </w:p>
    <w:p w14:paraId="181C47D6">
      <w:pPr>
        <w:rPr>
          <w:rFonts w:hint="eastAsia" w:ascii="宋体" w:hAnsi="宋体"/>
          <w:color w:val="000000"/>
          <w:highlight w:val="none"/>
        </w:rPr>
      </w:pPr>
      <w:r>
        <w:rPr>
          <w:rFonts w:hint="eastAsia" w:ascii="宋体" w:hAnsi="宋体"/>
          <w:color w:val="000000"/>
          <w:highlight w:val="none"/>
        </w:rPr>
        <w:t>附表一：拟投入本工程的主要施工设备表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B57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62A8BE67">
            <w:pPr>
              <w:jc w:val="center"/>
              <w:rPr>
                <w:rFonts w:hint="eastAsia" w:ascii="宋体" w:hAnsi="宋体"/>
                <w:color w:val="000000"/>
                <w:highlight w:val="none"/>
              </w:rPr>
            </w:pPr>
            <w:r>
              <w:rPr>
                <w:rFonts w:hint="eastAsia" w:ascii="宋体" w:hAnsi="宋体"/>
                <w:color w:val="000000"/>
                <w:highlight w:val="none"/>
              </w:rPr>
              <w:t>序号</w:t>
            </w:r>
          </w:p>
        </w:tc>
        <w:tc>
          <w:tcPr>
            <w:tcW w:w="1226" w:type="dxa"/>
            <w:vAlign w:val="center"/>
          </w:tcPr>
          <w:p w14:paraId="12CF99E5">
            <w:pPr>
              <w:jc w:val="center"/>
              <w:rPr>
                <w:rFonts w:hint="eastAsia" w:ascii="宋体" w:hAnsi="宋体"/>
                <w:color w:val="000000"/>
                <w:highlight w:val="none"/>
              </w:rPr>
            </w:pPr>
            <w:r>
              <w:rPr>
                <w:rFonts w:hint="eastAsia" w:ascii="宋体" w:hAnsi="宋体"/>
                <w:color w:val="000000"/>
                <w:highlight w:val="none"/>
              </w:rPr>
              <w:t>设备名称</w:t>
            </w:r>
          </w:p>
        </w:tc>
        <w:tc>
          <w:tcPr>
            <w:tcW w:w="851" w:type="dxa"/>
            <w:vAlign w:val="center"/>
          </w:tcPr>
          <w:p w14:paraId="2381FE83">
            <w:pPr>
              <w:jc w:val="center"/>
              <w:rPr>
                <w:rFonts w:hint="eastAsia" w:ascii="宋体" w:hAnsi="宋体"/>
                <w:color w:val="000000"/>
                <w:highlight w:val="none"/>
              </w:rPr>
            </w:pPr>
            <w:r>
              <w:rPr>
                <w:rFonts w:hint="eastAsia" w:ascii="宋体" w:hAnsi="宋体"/>
                <w:color w:val="000000"/>
                <w:highlight w:val="none"/>
              </w:rPr>
              <w:t>型号</w:t>
            </w:r>
          </w:p>
          <w:p w14:paraId="2E4C7DCB">
            <w:pPr>
              <w:jc w:val="center"/>
              <w:rPr>
                <w:rFonts w:hint="eastAsia" w:ascii="宋体" w:hAnsi="宋体"/>
                <w:color w:val="000000"/>
                <w:highlight w:val="none"/>
              </w:rPr>
            </w:pPr>
            <w:r>
              <w:rPr>
                <w:rFonts w:hint="eastAsia" w:ascii="宋体" w:hAnsi="宋体"/>
                <w:color w:val="000000"/>
                <w:highlight w:val="none"/>
              </w:rPr>
              <w:t>规格</w:t>
            </w:r>
          </w:p>
        </w:tc>
        <w:tc>
          <w:tcPr>
            <w:tcW w:w="708" w:type="dxa"/>
            <w:vAlign w:val="center"/>
          </w:tcPr>
          <w:p w14:paraId="3C8DEF49">
            <w:pPr>
              <w:jc w:val="center"/>
              <w:rPr>
                <w:rFonts w:hint="eastAsia" w:ascii="宋体" w:hAnsi="宋体"/>
                <w:color w:val="000000"/>
                <w:highlight w:val="none"/>
              </w:rPr>
            </w:pPr>
            <w:r>
              <w:rPr>
                <w:rFonts w:hint="eastAsia" w:ascii="宋体" w:hAnsi="宋体"/>
                <w:color w:val="000000"/>
                <w:highlight w:val="none"/>
              </w:rPr>
              <w:t>数量</w:t>
            </w:r>
          </w:p>
        </w:tc>
        <w:tc>
          <w:tcPr>
            <w:tcW w:w="709" w:type="dxa"/>
            <w:vAlign w:val="center"/>
          </w:tcPr>
          <w:p w14:paraId="69ACDF3A">
            <w:pPr>
              <w:jc w:val="center"/>
              <w:rPr>
                <w:rFonts w:hint="eastAsia" w:ascii="宋体" w:hAnsi="宋体"/>
                <w:color w:val="000000"/>
                <w:highlight w:val="none"/>
              </w:rPr>
            </w:pPr>
            <w:r>
              <w:rPr>
                <w:rFonts w:hint="eastAsia" w:ascii="宋体" w:hAnsi="宋体"/>
                <w:color w:val="000000"/>
                <w:highlight w:val="none"/>
              </w:rPr>
              <w:t>国别</w:t>
            </w:r>
          </w:p>
          <w:p w14:paraId="6D8B82B5">
            <w:pPr>
              <w:jc w:val="center"/>
              <w:rPr>
                <w:rFonts w:hint="eastAsia" w:ascii="宋体" w:hAnsi="宋体"/>
                <w:color w:val="000000"/>
                <w:highlight w:val="none"/>
              </w:rPr>
            </w:pPr>
            <w:r>
              <w:rPr>
                <w:rFonts w:hint="eastAsia" w:ascii="宋体" w:hAnsi="宋体"/>
                <w:color w:val="000000"/>
                <w:highlight w:val="none"/>
              </w:rPr>
              <w:t>产地</w:t>
            </w:r>
          </w:p>
        </w:tc>
        <w:tc>
          <w:tcPr>
            <w:tcW w:w="851" w:type="dxa"/>
            <w:vAlign w:val="center"/>
          </w:tcPr>
          <w:p w14:paraId="588FB62E">
            <w:pPr>
              <w:jc w:val="center"/>
              <w:rPr>
                <w:rFonts w:hint="eastAsia" w:ascii="宋体" w:hAnsi="宋体"/>
                <w:color w:val="000000"/>
                <w:highlight w:val="none"/>
              </w:rPr>
            </w:pPr>
            <w:r>
              <w:rPr>
                <w:rFonts w:hint="eastAsia" w:ascii="宋体" w:hAnsi="宋体"/>
                <w:color w:val="000000"/>
                <w:highlight w:val="none"/>
              </w:rPr>
              <w:t>制造</w:t>
            </w:r>
          </w:p>
          <w:p w14:paraId="2E9D5B39">
            <w:pPr>
              <w:jc w:val="center"/>
              <w:rPr>
                <w:rFonts w:hint="eastAsia" w:ascii="宋体" w:hAnsi="宋体"/>
                <w:color w:val="000000"/>
                <w:highlight w:val="none"/>
              </w:rPr>
            </w:pPr>
            <w:r>
              <w:rPr>
                <w:rFonts w:hint="eastAsia" w:ascii="宋体" w:hAnsi="宋体"/>
                <w:color w:val="000000"/>
                <w:highlight w:val="none"/>
              </w:rPr>
              <w:t>年份</w:t>
            </w:r>
          </w:p>
        </w:tc>
        <w:tc>
          <w:tcPr>
            <w:tcW w:w="1134" w:type="dxa"/>
            <w:vAlign w:val="center"/>
          </w:tcPr>
          <w:p w14:paraId="472CAAE2">
            <w:pPr>
              <w:jc w:val="center"/>
              <w:rPr>
                <w:rFonts w:hint="eastAsia" w:ascii="宋体" w:hAnsi="宋体"/>
                <w:color w:val="000000"/>
                <w:highlight w:val="none"/>
              </w:rPr>
            </w:pPr>
            <w:r>
              <w:rPr>
                <w:rFonts w:hint="eastAsia" w:ascii="宋体" w:hAnsi="宋体"/>
                <w:color w:val="000000"/>
                <w:highlight w:val="none"/>
              </w:rPr>
              <w:t>额定功率</w:t>
            </w:r>
          </w:p>
          <w:p w14:paraId="25B26368">
            <w:pPr>
              <w:jc w:val="center"/>
              <w:rPr>
                <w:rFonts w:hint="eastAsia" w:ascii="宋体" w:hAnsi="宋体"/>
                <w:color w:val="000000"/>
                <w:highlight w:val="none"/>
              </w:rPr>
            </w:pPr>
            <w:r>
              <w:rPr>
                <w:rFonts w:hint="eastAsia" w:ascii="宋体" w:hAnsi="宋体"/>
                <w:color w:val="000000"/>
                <w:highlight w:val="none"/>
              </w:rPr>
              <w:t>（KW）</w:t>
            </w:r>
          </w:p>
        </w:tc>
        <w:tc>
          <w:tcPr>
            <w:tcW w:w="992" w:type="dxa"/>
            <w:vAlign w:val="center"/>
          </w:tcPr>
          <w:p w14:paraId="592D0E4B">
            <w:pPr>
              <w:jc w:val="center"/>
              <w:rPr>
                <w:rFonts w:hint="eastAsia" w:ascii="宋体" w:hAnsi="宋体"/>
                <w:color w:val="000000"/>
                <w:highlight w:val="none"/>
              </w:rPr>
            </w:pPr>
            <w:r>
              <w:rPr>
                <w:rFonts w:hint="eastAsia" w:ascii="宋体" w:hAnsi="宋体"/>
                <w:color w:val="000000"/>
                <w:highlight w:val="none"/>
              </w:rPr>
              <w:t>生产</w:t>
            </w:r>
          </w:p>
          <w:p w14:paraId="22B077C4">
            <w:pPr>
              <w:jc w:val="center"/>
              <w:rPr>
                <w:rFonts w:hint="eastAsia" w:ascii="宋体" w:hAnsi="宋体"/>
                <w:color w:val="000000"/>
                <w:highlight w:val="none"/>
              </w:rPr>
            </w:pPr>
            <w:r>
              <w:rPr>
                <w:rFonts w:hint="eastAsia" w:ascii="宋体" w:hAnsi="宋体"/>
                <w:color w:val="000000"/>
                <w:highlight w:val="none"/>
              </w:rPr>
              <w:t>能力</w:t>
            </w:r>
          </w:p>
        </w:tc>
        <w:tc>
          <w:tcPr>
            <w:tcW w:w="1134" w:type="dxa"/>
            <w:vAlign w:val="center"/>
          </w:tcPr>
          <w:p w14:paraId="2D84AC59">
            <w:pPr>
              <w:jc w:val="center"/>
              <w:rPr>
                <w:rFonts w:hint="eastAsia" w:ascii="宋体" w:hAnsi="宋体"/>
                <w:color w:val="000000"/>
                <w:highlight w:val="none"/>
              </w:rPr>
            </w:pPr>
            <w:r>
              <w:rPr>
                <w:rFonts w:hint="eastAsia" w:ascii="宋体" w:hAnsi="宋体"/>
                <w:color w:val="000000"/>
                <w:highlight w:val="none"/>
              </w:rPr>
              <w:t>用于施</w:t>
            </w:r>
          </w:p>
          <w:p w14:paraId="2EED7F10">
            <w:pPr>
              <w:jc w:val="center"/>
              <w:rPr>
                <w:rFonts w:hint="eastAsia" w:ascii="宋体" w:hAnsi="宋体"/>
                <w:color w:val="000000"/>
                <w:highlight w:val="none"/>
              </w:rPr>
            </w:pPr>
            <w:r>
              <w:rPr>
                <w:rFonts w:hint="eastAsia" w:ascii="宋体" w:hAnsi="宋体"/>
                <w:color w:val="000000"/>
                <w:highlight w:val="none"/>
              </w:rPr>
              <w:t>工部位</w:t>
            </w:r>
          </w:p>
        </w:tc>
        <w:tc>
          <w:tcPr>
            <w:tcW w:w="992" w:type="dxa"/>
            <w:vAlign w:val="center"/>
          </w:tcPr>
          <w:p w14:paraId="157BB521">
            <w:pPr>
              <w:jc w:val="center"/>
              <w:rPr>
                <w:rFonts w:hint="eastAsia" w:ascii="宋体" w:hAnsi="宋体"/>
                <w:color w:val="000000"/>
                <w:highlight w:val="none"/>
              </w:rPr>
            </w:pPr>
            <w:r>
              <w:rPr>
                <w:rFonts w:hint="eastAsia" w:ascii="宋体" w:hAnsi="宋体"/>
                <w:color w:val="000000"/>
                <w:highlight w:val="none"/>
              </w:rPr>
              <w:t>备注</w:t>
            </w:r>
          </w:p>
        </w:tc>
      </w:tr>
      <w:tr w14:paraId="708C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4410DFEF">
            <w:pPr>
              <w:spacing w:line="360" w:lineRule="auto"/>
              <w:rPr>
                <w:rFonts w:ascii="宋体" w:hAnsi="宋体"/>
                <w:color w:val="000000"/>
                <w:highlight w:val="none"/>
              </w:rPr>
            </w:pPr>
          </w:p>
        </w:tc>
        <w:tc>
          <w:tcPr>
            <w:tcW w:w="1226" w:type="dxa"/>
            <w:vAlign w:val="top"/>
          </w:tcPr>
          <w:p w14:paraId="2BADCCC9">
            <w:pPr>
              <w:spacing w:line="360" w:lineRule="auto"/>
              <w:ind w:firstLine="420" w:firstLineChars="200"/>
              <w:rPr>
                <w:rFonts w:ascii="宋体" w:hAnsi="宋体"/>
                <w:color w:val="000000"/>
                <w:highlight w:val="none"/>
              </w:rPr>
            </w:pPr>
          </w:p>
        </w:tc>
        <w:tc>
          <w:tcPr>
            <w:tcW w:w="851" w:type="dxa"/>
            <w:vAlign w:val="top"/>
          </w:tcPr>
          <w:p w14:paraId="7C041520">
            <w:pPr>
              <w:spacing w:line="360" w:lineRule="auto"/>
              <w:rPr>
                <w:rFonts w:ascii="宋体" w:hAnsi="宋体"/>
                <w:color w:val="000000"/>
                <w:highlight w:val="none"/>
              </w:rPr>
            </w:pPr>
          </w:p>
        </w:tc>
        <w:tc>
          <w:tcPr>
            <w:tcW w:w="708" w:type="dxa"/>
            <w:vAlign w:val="top"/>
          </w:tcPr>
          <w:p w14:paraId="394A7068">
            <w:pPr>
              <w:spacing w:line="360" w:lineRule="auto"/>
              <w:rPr>
                <w:rFonts w:ascii="宋体" w:hAnsi="宋体"/>
                <w:color w:val="000000"/>
                <w:highlight w:val="none"/>
              </w:rPr>
            </w:pPr>
          </w:p>
        </w:tc>
        <w:tc>
          <w:tcPr>
            <w:tcW w:w="709" w:type="dxa"/>
            <w:vAlign w:val="top"/>
          </w:tcPr>
          <w:p w14:paraId="56FE8DFB">
            <w:pPr>
              <w:spacing w:line="360" w:lineRule="auto"/>
              <w:rPr>
                <w:rFonts w:ascii="宋体" w:hAnsi="宋体"/>
                <w:color w:val="000000"/>
                <w:highlight w:val="none"/>
              </w:rPr>
            </w:pPr>
          </w:p>
        </w:tc>
        <w:tc>
          <w:tcPr>
            <w:tcW w:w="851" w:type="dxa"/>
            <w:vAlign w:val="top"/>
          </w:tcPr>
          <w:p w14:paraId="2FF422C6">
            <w:pPr>
              <w:spacing w:line="360" w:lineRule="auto"/>
              <w:rPr>
                <w:rFonts w:ascii="宋体" w:hAnsi="宋体"/>
                <w:color w:val="000000"/>
                <w:highlight w:val="none"/>
              </w:rPr>
            </w:pPr>
          </w:p>
        </w:tc>
        <w:tc>
          <w:tcPr>
            <w:tcW w:w="1134" w:type="dxa"/>
            <w:vAlign w:val="top"/>
          </w:tcPr>
          <w:p w14:paraId="07F5B821">
            <w:pPr>
              <w:spacing w:line="360" w:lineRule="auto"/>
              <w:rPr>
                <w:rFonts w:ascii="宋体" w:hAnsi="宋体"/>
                <w:color w:val="000000"/>
                <w:highlight w:val="none"/>
              </w:rPr>
            </w:pPr>
          </w:p>
        </w:tc>
        <w:tc>
          <w:tcPr>
            <w:tcW w:w="992" w:type="dxa"/>
            <w:vAlign w:val="top"/>
          </w:tcPr>
          <w:p w14:paraId="046EA9B4">
            <w:pPr>
              <w:spacing w:line="360" w:lineRule="auto"/>
              <w:rPr>
                <w:rFonts w:ascii="宋体" w:hAnsi="宋体"/>
                <w:color w:val="000000"/>
                <w:highlight w:val="none"/>
              </w:rPr>
            </w:pPr>
          </w:p>
        </w:tc>
        <w:tc>
          <w:tcPr>
            <w:tcW w:w="1134" w:type="dxa"/>
            <w:vAlign w:val="top"/>
          </w:tcPr>
          <w:p w14:paraId="02D76A34">
            <w:pPr>
              <w:spacing w:line="360" w:lineRule="auto"/>
              <w:rPr>
                <w:rFonts w:ascii="宋体" w:hAnsi="宋体"/>
                <w:color w:val="000000"/>
                <w:highlight w:val="none"/>
              </w:rPr>
            </w:pPr>
          </w:p>
        </w:tc>
        <w:tc>
          <w:tcPr>
            <w:tcW w:w="992" w:type="dxa"/>
            <w:vAlign w:val="top"/>
          </w:tcPr>
          <w:p w14:paraId="615BFED0">
            <w:pPr>
              <w:spacing w:line="360" w:lineRule="auto"/>
              <w:rPr>
                <w:rFonts w:ascii="宋体" w:hAnsi="宋体"/>
                <w:color w:val="000000"/>
                <w:highlight w:val="none"/>
              </w:rPr>
            </w:pPr>
          </w:p>
        </w:tc>
      </w:tr>
      <w:tr w14:paraId="422F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7443FE77">
            <w:pPr>
              <w:spacing w:line="360" w:lineRule="auto"/>
              <w:rPr>
                <w:rFonts w:ascii="宋体" w:hAnsi="宋体"/>
                <w:color w:val="000000"/>
                <w:highlight w:val="none"/>
              </w:rPr>
            </w:pPr>
          </w:p>
        </w:tc>
        <w:tc>
          <w:tcPr>
            <w:tcW w:w="1226" w:type="dxa"/>
            <w:vAlign w:val="top"/>
          </w:tcPr>
          <w:p w14:paraId="129013DA">
            <w:pPr>
              <w:spacing w:line="360" w:lineRule="auto"/>
              <w:rPr>
                <w:rFonts w:ascii="宋体" w:hAnsi="宋体"/>
                <w:color w:val="000000"/>
                <w:highlight w:val="none"/>
              </w:rPr>
            </w:pPr>
          </w:p>
        </w:tc>
        <w:tc>
          <w:tcPr>
            <w:tcW w:w="851" w:type="dxa"/>
            <w:vAlign w:val="top"/>
          </w:tcPr>
          <w:p w14:paraId="1F5EB452">
            <w:pPr>
              <w:spacing w:line="360" w:lineRule="auto"/>
              <w:rPr>
                <w:rFonts w:ascii="宋体" w:hAnsi="宋体"/>
                <w:color w:val="000000"/>
                <w:highlight w:val="none"/>
              </w:rPr>
            </w:pPr>
          </w:p>
        </w:tc>
        <w:tc>
          <w:tcPr>
            <w:tcW w:w="708" w:type="dxa"/>
            <w:vAlign w:val="top"/>
          </w:tcPr>
          <w:p w14:paraId="3FF8FCD0">
            <w:pPr>
              <w:spacing w:line="360" w:lineRule="auto"/>
              <w:rPr>
                <w:rFonts w:ascii="宋体" w:hAnsi="宋体"/>
                <w:color w:val="000000"/>
                <w:highlight w:val="none"/>
              </w:rPr>
            </w:pPr>
          </w:p>
        </w:tc>
        <w:tc>
          <w:tcPr>
            <w:tcW w:w="709" w:type="dxa"/>
            <w:vAlign w:val="top"/>
          </w:tcPr>
          <w:p w14:paraId="6F76AEDA">
            <w:pPr>
              <w:spacing w:line="360" w:lineRule="auto"/>
              <w:rPr>
                <w:rFonts w:ascii="宋体" w:hAnsi="宋体"/>
                <w:color w:val="000000"/>
                <w:highlight w:val="none"/>
              </w:rPr>
            </w:pPr>
          </w:p>
        </w:tc>
        <w:tc>
          <w:tcPr>
            <w:tcW w:w="851" w:type="dxa"/>
            <w:vAlign w:val="top"/>
          </w:tcPr>
          <w:p w14:paraId="064D3CAD">
            <w:pPr>
              <w:spacing w:line="360" w:lineRule="auto"/>
              <w:rPr>
                <w:rFonts w:ascii="宋体" w:hAnsi="宋体"/>
                <w:color w:val="000000"/>
                <w:highlight w:val="none"/>
              </w:rPr>
            </w:pPr>
          </w:p>
        </w:tc>
        <w:tc>
          <w:tcPr>
            <w:tcW w:w="1134" w:type="dxa"/>
            <w:vAlign w:val="top"/>
          </w:tcPr>
          <w:p w14:paraId="77076D58">
            <w:pPr>
              <w:spacing w:line="360" w:lineRule="auto"/>
              <w:rPr>
                <w:rFonts w:ascii="宋体" w:hAnsi="宋体"/>
                <w:color w:val="000000"/>
                <w:highlight w:val="none"/>
              </w:rPr>
            </w:pPr>
          </w:p>
        </w:tc>
        <w:tc>
          <w:tcPr>
            <w:tcW w:w="992" w:type="dxa"/>
            <w:vAlign w:val="top"/>
          </w:tcPr>
          <w:p w14:paraId="5AE47D46">
            <w:pPr>
              <w:spacing w:line="360" w:lineRule="auto"/>
              <w:rPr>
                <w:rFonts w:ascii="宋体" w:hAnsi="宋体"/>
                <w:color w:val="000000"/>
                <w:highlight w:val="none"/>
              </w:rPr>
            </w:pPr>
          </w:p>
        </w:tc>
        <w:tc>
          <w:tcPr>
            <w:tcW w:w="1134" w:type="dxa"/>
            <w:vAlign w:val="top"/>
          </w:tcPr>
          <w:p w14:paraId="418952A0">
            <w:pPr>
              <w:spacing w:line="360" w:lineRule="auto"/>
              <w:rPr>
                <w:rFonts w:ascii="宋体" w:hAnsi="宋体"/>
                <w:color w:val="000000"/>
                <w:highlight w:val="none"/>
              </w:rPr>
            </w:pPr>
          </w:p>
        </w:tc>
        <w:tc>
          <w:tcPr>
            <w:tcW w:w="992" w:type="dxa"/>
            <w:vAlign w:val="top"/>
          </w:tcPr>
          <w:p w14:paraId="0F73C6B9">
            <w:pPr>
              <w:spacing w:line="360" w:lineRule="auto"/>
              <w:rPr>
                <w:rFonts w:ascii="宋体" w:hAnsi="宋体"/>
                <w:color w:val="000000"/>
                <w:highlight w:val="none"/>
              </w:rPr>
            </w:pPr>
          </w:p>
        </w:tc>
      </w:tr>
      <w:tr w14:paraId="6705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153A3113">
            <w:pPr>
              <w:spacing w:line="360" w:lineRule="auto"/>
              <w:rPr>
                <w:rFonts w:ascii="宋体" w:hAnsi="宋体"/>
                <w:color w:val="000000"/>
                <w:highlight w:val="none"/>
              </w:rPr>
            </w:pPr>
          </w:p>
        </w:tc>
        <w:tc>
          <w:tcPr>
            <w:tcW w:w="1226" w:type="dxa"/>
            <w:vAlign w:val="top"/>
          </w:tcPr>
          <w:p w14:paraId="55F816F8">
            <w:pPr>
              <w:spacing w:line="360" w:lineRule="auto"/>
              <w:rPr>
                <w:rFonts w:ascii="宋体" w:hAnsi="宋体"/>
                <w:color w:val="000000"/>
                <w:highlight w:val="none"/>
              </w:rPr>
            </w:pPr>
          </w:p>
        </w:tc>
        <w:tc>
          <w:tcPr>
            <w:tcW w:w="851" w:type="dxa"/>
            <w:vAlign w:val="top"/>
          </w:tcPr>
          <w:p w14:paraId="2D2EF0FA">
            <w:pPr>
              <w:spacing w:line="360" w:lineRule="auto"/>
              <w:rPr>
                <w:rFonts w:ascii="宋体" w:hAnsi="宋体"/>
                <w:color w:val="000000"/>
                <w:highlight w:val="none"/>
              </w:rPr>
            </w:pPr>
          </w:p>
        </w:tc>
        <w:tc>
          <w:tcPr>
            <w:tcW w:w="708" w:type="dxa"/>
            <w:vAlign w:val="top"/>
          </w:tcPr>
          <w:p w14:paraId="027DD2FB">
            <w:pPr>
              <w:spacing w:line="360" w:lineRule="auto"/>
              <w:rPr>
                <w:rFonts w:ascii="宋体" w:hAnsi="宋体"/>
                <w:color w:val="000000"/>
                <w:highlight w:val="none"/>
              </w:rPr>
            </w:pPr>
          </w:p>
        </w:tc>
        <w:tc>
          <w:tcPr>
            <w:tcW w:w="709" w:type="dxa"/>
            <w:vAlign w:val="top"/>
          </w:tcPr>
          <w:p w14:paraId="12C728FC">
            <w:pPr>
              <w:spacing w:line="360" w:lineRule="auto"/>
              <w:rPr>
                <w:rFonts w:ascii="宋体" w:hAnsi="宋体"/>
                <w:color w:val="000000"/>
                <w:highlight w:val="none"/>
              </w:rPr>
            </w:pPr>
          </w:p>
        </w:tc>
        <w:tc>
          <w:tcPr>
            <w:tcW w:w="851" w:type="dxa"/>
            <w:vAlign w:val="top"/>
          </w:tcPr>
          <w:p w14:paraId="20CEA1F8">
            <w:pPr>
              <w:spacing w:line="360" w:lineRule="auto"/>
              <w:rPr>
                <w:rFonts w:ascii="宋体" w:hAnsi="宋体"/>
                <w:color w:val="000000"/>
                <w:highlight w:val="none"/>
              </w:rPr>
            </w:pPr>
          </w:p>
        </w:tc>
        <w:tc>
          <w:tcPr>
            <w:tcW w:w="1134" w:type="dxa"/>
            <w:vAlign w:val="top"/>
          </w:tcPr>
          <w:p w14:paraId="7A083B99">
            <w:pPr>
              <w:spacing w:line="360" w:lineRule="auto"/>
              <w:rPr>
                <w:rFonts w:ascii="宋体" w:hAnsi="宋体"/>
                <w:color w:val="000000"/>
                <w:highlight w:val="none"/>
              </w:rPr>
            </w:pPr>
          </w:p>
        </w:tc>
        <w:tc>
          <w:tcPr>
            <w:tcW w:w="992" w:type="dxa"/>
            <w:vAlign w:val="top"/>
          </w:tcPr>
          <w:p w14:paraId="46B9E4E2">
            <w:pPr>
              <w:spacing w:line="360" w:lineRule="auto"/>
              <w:rPr>
                <w:rFonts w:ascii="宋体" w:hAnsi="宋体"/>
                <w:color w:val="000000"/>
                <w:highlight w:val="none"/>
              </w:rPr>
            </w:pPr>
          </w:p>
        </w:tc>
        <w:tc>
          <w:tcPr>
            <w:tcW w:w="1134" w:type="dxa"/>
            <w:vAlign w:val="top"/>
          </w:tcPr>
          <w:p w14:paraId="03AFF1B6">
            <w:pPr>
              <w:spacing w:line="360" w:lineRule="auto"/>
              <w:rPr>
                <w:rFonts w:ascii="宋体" w:hAnsi="宋体"/>
                <w:color w:val="000000"/>
                <w:highlight w:val="none"/>
              </w:rPr>
            </w:pPr>
          </w:p>
        </w:tc>
        <w:tc>
          <w:tcPr>
            <w:tcW w:w="992" w:type="dxa"/>
            <w:vAlign w:val="top"/>
          </w:tcPr>
          <w:p w14:paraId="282D8F3A">
            <w:pPr>
              <w:spacing w:line="360" w:lineRule="auto"/>
              <w:rPr>
                <w:rFonts w:ascii="宋体" w:hAnsi="宋体"/>
                <w:color w:val="000000"/>
                <w:highlight w:val="none"/>
              </w:rPr>
            </w:pPr>
          </w:p>
        </w:tc>
      </w:tr>
      <w:tr w14:paraId="483F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248305B5">
            <w:pPr>
              <w:spacing w:line="360" w:lineRule="auto"/>
              <w:rPr>
                <w:rFonts w:ascii="宋体" w:hAnsi="宋体"/>
                <w:color w:val="000000"/>
                <w:highlight w:val="none"/>
              </w:rPr>
            </w:pPr>
          </w:p>
        </w:tc>
        <w:tc>
          <w:tcPr>
            <w:tcW w:w="1226" w:type="dxa"/>
            <w:vAlign w:val="top"/>
          </w:tcPr>
          <w:p w14:paraId="4220384C">
            <w:pPr>
              <w:spacing w:line="360" w:lineRule="auto"/>
              <w:rPr>
                <w:rFonts w:ascii="宋体" w:hAnsi="宋体"/>
                <w:color w:val="000000"/>
                <w:highlight w:val="none"/>
              </w:rPr>
            </w:pPr>
          </w:p>
        </w:tc>
        <w:tc>
          <w:tcPr>
            <w:tcW w:w="851" w:type="dxa"/>
            <w:vAlign w:val="top"/>
          </w:tcPr>
          <w:p w14:paraId="4FA40814">
            <w:pPr>
              <w:spacing w:line="360" w:lineRule="auto"/>
              <w:rPr>
                <w:rFonts w:ascii="宋体" w:hAnsi="宋体"/>
                <w:color w:val="000000"/>
                <w:highlight w:val="none"/>
              </w:rPr>
            </w:pPr>
          </w:p>
        </w:tc>
        <w:tc>
          <w:tcPr>
            <w:tcW w:w="708" w:type="dxa"/>
            <w:vAlign w:val="top"/>
          </w:tcPr>
          <w:p w14:paraId="1F1B1111">
            <w:pPr>
              <w:spacing w:line="360" w:lineRule="auto"/>
              <w:rPr>
                <w:rFonts w:ascii="宋体" w:hAnsi="宋体"/>
                <w:color w:val="000000"/>
                <w:highlight w:val="none"/>
              </w:rPr>
            </w:pPr>
          </w:p>
        </w:tc>
        <w:tc>
          <w:tcPr>
            <w:tcW w:w="709" w:type="dxa"/>
            <w:vAlign w:val="top"/>
          </w:tcPr>
          <w:p w14:paraId="022EA97A">
            <w:pPr>
              <w:spacing w:line="360" w:lineRule="auto"/>
              <w:rPr>
                <w:rFonts w:ascii="宋体" w:hAnsi="宋体"/>
                <w:color w:val="000000"/>
                <w:highlight w:val="none"/>
              </w:rPr>
            </w:pPr>
          </w:p>
        </w:tc>
        <w:tc>
          <w:tcPr>
            <w:tcW w:w="851" w:type="dxa"/>
            <w:vAlign w:val="top"/>
          </w:tcPr>
          <w:p w14:paraId="3A9F3BD3">
            <w:pPr>
              <w:spacing w:line="360" w:lineRule="auto"/>
              <w:rPr>
                <w:rFonts w:ascii="宋体" w:hAnsi="宋体"/>
                <w:color w:val="000000"/>
                <w:highlight w:val="none"/>
              </w:rPr>
            </w:pPr>
          </w:p>
        </w:tc>
        <w:tc>
          <w:tcPr>
            <w:tcW w:w="1134" w:type="dxa"/>
            <w:vAlign w:val="top"/>
          </w:tcPr>
          <w:p w14:paraId="5DE79893">
            <w:pPr>
              <w:spacing w:line="360" w:lineRule="auto"/>
              <w:rPr>
                <w:rFonts w:ascii="宋体" w:hAnsi="宋体"/>
                <w:color w:val="000000"/>
                <w:highlight w:val="none"/>
              </w:rPr>
            </w:pPr>
          </w:p>
        </w:tc>
        <w:tc>
          <w:tcPr>
            <w:tcW w:w="992" w:type="dxa"/>
            <w:vAlign w:val="top"/>
          </w:tcPr>
          <w:p w14:paraId="76DA1E28">
            <w:pPr>
              <w:spacing w:line="360" w:lineRule="auto"/>
              <w:rPr>
                <w:rFonts w:ascii="宋体" w:hAnsi="宋体"/>
                <w:color w:val="000000"/>
                <w:highlight w:val="none"/>
              </w:rPr>
            </w:pPr>
          </w:p>
        </w:tc>
        <w:tc>
          <w:tcPr>
            <w:tcW w:w="1134" w:type="dxa"/>
            <w:vAlign w:val="top"/>
          </w:tcPr>
          <w:p w14:paraId="562E1219">
            <w:pPr>
              <w:spacing w:line="360" w:lineRule="auto"/>
              <w:rPr>
                <w:rFonts w:ascii="宋体" w:hAnsi="宋体"/>
                <w:color w:val="000000"/>
                <w:highlight w:val="none"/>
              </w:rPr>
            </w:pPr>
          </w:p>
        </w:tc>
        <w:tc>
          <w:tcPr>
            <w:tcW w:w="992" w:type="dxa"/>
            <w:vAlign w:val="top"/>
          </w:tcPr>
          <w:p w14:paraId="251564D6">
            <w:pPr>
              <w:spacing w:line="360" w:lineRule="auto"/>
              <w:rPr>
                <w:rFonts w:ascii="宋体" w:hAnsi="宋体"/>
                <w:color w:val="000000"/>
                <w:highlight w:val="none"/>
              </w:rPr>
            </w:pPr>
          </w:p>
        </w:tc>
      </w:tr>
      <w:tr w14:paraId="42F7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vAlign w:val="top"/>
          </w:tcPr>
          <w:p w14:paraId="293ECE08">
            <w:pPr>
              <w:spacing w:line="360" w:lineRule="auto"/>
              <w:rPr>
                <w:rFonts w:ascii="宋体" w:hAnsi="宋体"/>
                <w:color w:val="000000"/>
                <w:highlight w:val="none"/>
              </w:rPr>
            </w:pPr>
          </w:p>
        </w:tc>
        <w:tc>
          <w:tcPr>
            <w:tcW w:w="1226" w:type="dxa"/>
            <w:vAlign w:val="top"/>
          </w:tcPr>
          <w:p w14:paraId="697A204C">
            <w:pPr>
              <w:spacing w:line="360" w:lineRule="auto"/>
              <w:rPr>
                <w:rFonts w:ascii="宋体" w:hAnsi="宋体"/>
                <w:color w:val="000000"/>
                <w:highlight w:val="none"/>
              </w:rPr>
            </w:pPr>
          </w:p>
        </w:tc>
        <w:tc>
          <w:tcPr>
            <w:tcW w:w="851" w:type="dxa"/>
            <w:vAlign w:val="top"/>
          </w:tcPr>
          <w:p w14:paraId="4D7B0C07">
            <w:pPr>
              <w:spacing w:line="360" w:lineRule="auto"/>
              <w:rPr>
                <w:rFonts w:ascii="宋体" w:hAnsi="宋体"/>
                <w:color w:val="000000"/>
                <w:highlight w:val="none"/>
              </w:rPr>
            </w:pPr>
          </w:p>
        </w:tc>
        <w:tc>
          <w:tcPr>
            <w:tcW w:w="708" w:type="dxa"/>
            <w:vAlign w:val="top"/>
          </w:tcPr>
          <w:p w14:paraId="14E69790">
            <w:pPr>
              <w:spacing w:line="360" w:lineRule="auto"/>
              <w:rPr>
                <w:rFonts w:ascii="宋体" w:hAnsi="宋体"/>
                <w:color w:val="000000"/>
                <w:highlight w:val="none"/>
              </w:rPr>
            </w:pPr>
          </w:p>
        </w:tc>
        <w:tc>
          <w:tcPr>
            <w:tcW w:w="709" w:type="dxa"/>
            <w:vAlign w:val="top"/>
          </w:tcPr>
          <w:p w14:paraId="28697B69">
            <w:pPr>
              <w:spacing w:line="360" w:lineRule="auto"/>
              <w:rPr>
                <w:rFonts w:ascii="宋体" w:hAnsi="宋体"/>
                <w:color w:val="000000"/>
                <w:highlight w:val="none"/>
              </w:rPr>
            </w:pPr>
          </w:p>
        </w:tc>
        <w:tc>
          <w:tcPr>
            <w:tcW w:w="851" w:type="dxa"/>
            <w:vAlign w:val="top"/>
          </w:tcPr>
          <w:p w14:paraId="79E5DDBF">
            <w:pPr>
              <w:spacing w:line="360" w:lineRule="auto"/>
              <w:rPr>
                <w:rFonts w:ascii="宋体" w:hAnsi="宋体"/>
                <w:color w:val="000000"/>
                <w:highlight w:val="none"/>
              </w:rPr>
            </w:pPr>
          </w:p>
        </w:tc>
        <w:tc>
          <w:tcPr>
            <w:tcW w:w="1134" w:type="dxa"/>
            <w:vAlign w:val="top"/>
          </w:tcPr>
          <w:p w14:paraId="698EDE8E">
            <w:pPr>
              <w:spacing w:line="360" w:lineRule="auto"/>
              <w:rPr>
                <w:rFonts w:ascii="宋体" w:hAnsi="宋体"/>
                <w:color w:val="000000"/>
                <w:highlight w:val="none"/>
              </w:rPr>
            </w:pPr>
          </w:p>
        </w:tc>
        <w:tc>
          <w:tcPr>
            <w:tcW w:w="992" w:type="dxa"/>
            <w:vAlign w:val="top"/>
          </w:tcPr>
          <w:p w14:paraId="3388DB56">
            <w:pPr>
              <w:spacing w:line="360" w:lineRule="auto"/>
              <w:rPr>
                <w:rFonts w:ascii="宋体" w:hAnsi="宋体"/>
                <w:color w:val="000000"/>
                <w:highlight w:val="none"/>
              </w:rPr>
            </w:pPr>
          </w:p>
        </w:tc>
        <w:tc>
          <w:tcPr>
            <w:tcW w:w="1134" w:type="dxa"/>
            <w:vAlign w:val="top"/>
          </w:tcPr>
          <w:p w14:paraId="3421DEA0">
            <w:pPr>
              <w:spacing w:line="360" w:lineRule="auto"/>
              <w:rPr>
                <w:rFonts w:ascii="宋体" w:hAnsi="宋体"/>
                <w:color w:val="000000"/>
                <w:highlight w:val="none"/>
              </w:rPr>
            </w:pPr>
          </w:p>
        </w:tc>
        <w:tc>
          <w:tcPr>
            <w:tcW w:w="992" w:type="dxa"/>
            <w:vAlign w:val="top"/>
          </w:tcPr>
          <w:p w14:paraId="17FA6363">
            <w:pPr>
              <w:spacing w:line="360" w:lineRule="auto"/>
              <w:rPr>
                <w:rFonts w:ascii="宋体" w:hAnsi="宋体"/>
                <w:color w:val="000000"/>
                <w:highlight w:val="none"/>
              </w:rPr>
            </w:pPr>
          </w:p>
        </w:tc>
      </w:tr>
    </w:tbl>
    <w:p w14:paraId="2A83AA73">
      <w:pPr>
        <w:rPr>
          <w:rFonts w:ascii="宋体" w:hAnsi="宋体"/>
          <w:color w:val="000000"/>
          <w:highlight w:val="none"/>
        </w:rPr>
      </w:pPr>
    </w:p>
    <w:p w14:paraId="41CEEBF2">
      <w:pPr>
        <w:rPr>
          <w:rFonts w:ascii="宋体" w:hAnsi="宋体"/>
          <w:color w:val="000000"/>
          <w:highlight w:val="none"/>
        </w:rPr>
      </w:pPr>
    </w:p>
    <w:p w14:paraId="41AD264B">
      <w:pPr>
        <w:rPr>
          <w:rFonts w:hint="eastAsia" w:ascii="宋体" w:hAnsi="宋体"/>
          <w:color w:val="000000"/>
          <w:highlight w:val="none"/>
        </w:rPr>
      </w:pPr>
      <w:r>
        <w:rPr>
          <w:rFonts w:hint="eastAsia" w:ascii="宋体" w:hAnsi="宋体"/>
          <w:color w:val="000000"/>
          <w:highlight w:val="none"/>
        </w:rPr>
        <w:t>附表二：劳动力计划表</w:t>
      </w:r>
    </w:p>
    <w:p w14:paraId="20EA217E">
      <w:pPr>
        <w:ind w:firstLine="7245" w:firstLineChars="3450"/>
        <w:rPr>
          <w:rFonts w:hint="eastAsia" w:ascii="宋体" w:hAnsi="宋体"/>
          <w:color w:val="000000"/>
          <w:highlight w:val="none"/>
        </w:rPr>
      </w:pPr>
      <w:r>
        <w:rPr>
          <w:rFonts w:hint="eastAsia" w:ascii="宋体" w:hAnsi="宋体"/>
          <w:color w:val="000000"/>
          <w:highlight w:val="none"/>
        </w:rPr>
        <w:t>单位：人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69A8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28965CE">
            <w:pPr>
              <w:spacing w:line="360" w:lineRule="auto"/>
              <w:jc w:val="center"/>
              <w:rPr>
                <w:rFonts w:hint="eastAsia" w:ascii="宋体" w:hAnsi="宋体"/>
                <w:color w:val="000000"/>
                <w:highlight w:val="none"/>
              </w:rPr>
            </w:pPr>
            <w:r>
              <w:rPr>
                <w:rFonts w:hint="eastAsia" w:ascii="宋体" w:hAnsi="宋体"/>
                <w:color w:val="000000"/>
                <w:highlight w:val="none"/>
              </w:rPr>
              <w:t>工种</w:t>
            </w:r>
          </w:p>
        </w:tc>
        <w:tc>
          <w:tcPr>
            <w:tcW w:w="8506" w:type="dxa"/>
            <w:gridSpan w:val="7"/>
            <w:vAlign w:val="center"/>
          </w:tcPr>
          <w:p w14:paraId="4840B5FA">
            <w:pPr>
              <w:spacing w:line="360" w:lineRule="auto"/>
              <w:jc w:val="center"/>
              <w:rPr>
                <w:rFonts w:hint="eastAsia" w:ascii="宋体" w:hAnsi="宋体"/>
                <w:color w:val="000000"/>
                <w:highlight w:val="none"/>
              </w:rPr>
            </w:pPr>
            <w:r>
              <w:rPr>
                <w:rFonts w:hint="eastAsia" w:ascii="宋体" w:hAnsi="宋体"/>
                <w:color w:val="000000"/>
                <w:highlight w:val="none"/>
              </w:rPr>
              <w:t>按工程施工阶段投入劳动力情况</w:t>
            </w:r>
          </w:p>
        </w:tc>
      </w:tr>
      <w:tr w14:paraId="5869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C17F650">
            <w:pPr>
              <w:spacing w:line="360" w:lineRule="auto"/>
              <w:jc w:val="center"/>
              <w:rPr>
                <w:rFonts w:ascii="宋体" w:hAnsi="宋体"/>
                <w:color w:val="000000"/>
                <w:highlight w:val="none"/>
              </w:rPr>
            </w:pPr>
          </w:p>
        </w:tc>
        <w:tc>
          <w:tcPr>
            <w:tcW w:w="961" w:type="dxa"/>
            <w:vAlign w:val="center"/>
          </w:tcPr>
          <w:p w14:paraId="7BD2BD02">
            <w:pPr>
              <w:spacing w:line="360" w:lineRule="auto"/>
              <w:jc w:val="center"/>
              <w:rPr>
                <w:rFonts w:ascii="宋体" w:hAnsi="宋体"/>
                <w:color w:val="000000"/>
                <w:highlight w:val="none"/>
              </w:rPr>
            </w:pPr>
          </w:p>
        </w:tc>
        <w:tc>
          <w:tcPr>
            <w:tcW w:w="1257" w:type="dxa"/>
            <w:vAlign w:val="center"/>
          </w:tcPr>
          <w:p w14:paraId="3F49E2F0">
            <w:pPr>
              <w:spacing w:line="360" w:lineRule="auto"/>
              <w:jc w:val="center"/>
              <w:rPr>
                <w:rFonts w:ascii="宋体" w:hAnsi="宋体"/>
                <w:color w:val="000000"/>
                <w:highlight w:val="none"/>
              </w:rPr>
            </w:pPr>
          </w:p>
        </w:tc>
        <w:tc>
          <w:tcPr>
            <w:tcW w:w="1258" w:type="dxa"/>
            <w:vAlign w:val="center"/>
          </w:tcPr>
          <w:p w14:paraId="7A73E057">
            <w:pPr>
              <w:spacing w:line="360" w:lineRule="auto"/>
              <w:jc w:val="center"/>
              <w:rPr>
                <w:rFonts w:ascii="宋体" w:hAnsi="宋体"/>
                <w:color w:val="000000"/>
                <w:highlight w:val="none"/>
              </w:rPr>
            </w:pPr>
          </w:p>
        </w:tc>
        <w:tc>
          <w:tcPr>
            <w:tcW w:w="1257" w:type="dxa"/>
            <w:vAlign w:val="center"/>
          </w:tcPr>
          <w:p w14:paraId="3BC54DD0">
            <w:pPr>
              <w:spacing w:line="360" w:lineRule="auto"/>
              <w:jc w:val="center"/>
              <w:rPr>
                <w:rFonts w:ascii="宋体" w:hAnsi="宋体"/>
                <w:color w:val="000000"/>
                <w:highlight w:val="none"/>
              </w:rPr>
            </w:pPr>
          </w:p>
        </w:tc>
        <w:tc>
          <w:tcPr>
            <w:tcW w:w="1258" w:type="dxa"/>
            <w:vAlign w:val="center"/>
          </w:tcPr>
          <w:p w14:paraId="7124C3E1">
            <w:pPr>
              <w:spacing w:line="360" w:lineRule="auto"/>
              <w:jc w:val="center"/>
              <w:rPr>
                <w:rFonts w:ascii="宋体" w:hAnsi="宋体"/>
                <w:color w:val="000000"/>
                <w:highlight w:val="none"/>
              </w:rPr>
            </w:pPr>
          </w:p>
        </w:tc>
        <w:tc>
          <w:tcPr>
            <w:tcW w:w="1257" w:type="dxa"/>
            <w:vAlign w:val="center"/>
          </w:tcPr>
          <w:p w14:paraId="70AFC32B">
            <w:pPr>
              <w:spacing w:line="360" w:lineRule="auto"/>
              <w:jc w:val="center"/>
              <w:rPr>
                <w:rFonts w:ascii="宋体" w:hAnsi="宋体"/>
                <w:color w:val="000000"/>
                <w:highlight w:val="none"/>
              </w:rPr>
            </w:pPr>
          </w:p>
        </w:tc>
        <w:tc>
          <w:tcPr>
            <w:tcW w:w="1258" w:type="dxa"/>
            <w:vAlign w:val="center"/>
          </w:tcPr>
          <w:p w14:paraId="44CA87E6">
            <w:pPr>
              <w:spacing w:line="360" w:lineRule="auto"/>
              <w:jc w:val="center"/>
              <w:rPr>
                <w:rFonts w:ascii="宋体" w:hAnsi="宋体"/>
                <w:color w:val="000000"/>
                <w:highlight w:val="none"/>
              </w:rPr>
            </w:pPr>
          </w:p>
        </w:tc>
      </w:tr>
      <w:tr w14:paraId="006A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65B991E">
            <w:pPr>
              <w:spacing w:line="360" w:lineRule="auto"/>
              <w:jc w:val="center"/>
              <w:rPr>
                <w:rFonts w:ascii="宋体" w:hAnsi="宋体"/>
                <w:color w:val="000000"/>
                <w:highlight w:val="none"/>
              </w:rPr>
            </w:pPr>
          </w:p>
        </w:tc>
        <w:tc>
          <w:tcPr>
            <w:tcW w:w="961" w:type="dxa"/>
            <w:vAlign w:val="center"/>
          </w:tcPr>
          <w:p w14:paraId="5D348914">
            <w:pPr>
              <w:spacing w:line="360" w:lineRule="auto"/>
              <w:jc w:val="center"/>
              <w:rPr>
                <w:rFonts w:ascii="宋体" w:hAnsi="宋体"/>
                <w:color w:val="000000"/>
                <w:highlight w:val="none"/>
              </w:rPr>
            </w:pPr>
          </w:p>
        </w:tc>
        <w:tc>
          <w:tcPr>
            <w:tcW w:w="1257" w:type="dxa"/>
            <w:vAlign w:val="center"/>
          </w:tcPr>
          <w:p w14:paraId="744830E8">
            <w:pPr>
              <w:spacing w:line="360" w:lineRule="auto"/>
              <w:jc w:val="center"/>
              <w:rPr>
                <w:rFonts w:ascii="宋体" w:hAnsi="宋体"/>
                <w:color w:val="000000"/>
                <w:highlight w:val="none"/>
              </w:rPr>
            </w:pPr>
          </w:p>
        </w:tc>
        <w:tc>
          <w:tcPr>
            <w:tcW w:w="1258" w:type="dxa"/>
            <w:vAlign w:val="center"/>
          </w:tcPr>
          <w:p w14:paraId="17379582">
            <w:pPr>
              <w:spacing w:line="360" w:lineRule="auto"/>
              <w:jc w:val="center"/>
              <w:rPr>
                <w:rFonts w:ascii="宋体" w:hAnsi="宋体"/>
                <w:color w:val="000000"/>
                <w:highlight w:val="none"/>
              </w:rPr>
            </w:pPr>
          </w:p>
        </w:tc>
        <w:tc>
          <w:tcPr>
            <w:tcW w:w="1257" w:type="dxa"/>
            <w:vAlign w:val="center"/>
          </w:tcPr>
          <w:p w14:paraId="7014D526">
            <w:pPr>
              <w:spacing w:line="360" w:lineRule="auto"/>
              <w:jc w:val="center"/>
              <w:rPr>
                <w:rFonts w:ascii="宋体" w:hAnsi="宋体"/>
                <w:color w:val="000000"/>
                <w:highlight w:val="none"/>
              </w:rPr>
            </w:pPr>
          </w:p>
        </w:tc>
        <w:tc>
          <w:tcPr>
            <w:tcW w:w="1258" w:type="dxa"/>
            <w:vAlign w:val="center"/>
          </w:tcPr>
          <w:p w14:paraId="51BBE76F">
            <w:pPr>
              <w:spacing w:line="360" w:lineRule="auto"/>
              <w:jc w:val="center"/>
              <w:rPr>
                <w:rFonts w:ascii="宋体" w:hAnsi="宋体"/>
                <w:color w:val="000000"/>
                <w:highlight w:val="none"/>
              </w:rPr>
            </w:pPr>
          </w:p>
        </w:tc>
        <w:tc>
          <w:tcPr>
            <w:tcW w:w="1257" w:type="dxa"/>
            <w:vAlign w:val="center"/>
          </w:tcPr>
          <w:p w14:paraId="668DD48D">
            <w:pPr>
              <w:spacing w:line="360" w:lineRule="auto"/>
              <w:jc w:val="center"/>
              <w:rPr>
                <w:rFonts w:ascii="宋体" w:hAnsi="宋体"/>
                <w:color w:val="000000"/>
                <w:highlight w:val="none"/>
              </w:rPr>
            </w:pPr>
          </w:p>
        </w:tc>
        <w:tc>
          <w:tcPr>
            <w:tcW w:w="1258" w:type="dxa"/>
            <w:vAlign w:val="center"/>
          </w:tcPr>
          <w:p w14:paraId="50A85B7B">
            <w:pPr>
              <w:spacing w:line="360" w:lineRule="auto"/>
              <w:jc w:val="center"/>
              <w:rPr>
                <w:rFonts w:ascii="宋体" w:hAnsi="宋体"/>
                <w:color w:val="000000"/>
                <w:highlight w:val="none"/>
              </w:rPr>
            </w:pPr>
          </w:p>
        </w:tc>
      </w:tr>
      <w:tr w14:paraId="423B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472B5C3">
            <w:pPr>
              <w:spacing w:line="360" w:lineRule="auto"/>
              <w:jc w:val="center"/>
              <w:rPr>
                <w:rFonts w:ascii="宋体" w:hAnsi="宋体"/>
                <w:color w:val="000000"/>
                <w:highlight w:val="none"/>
              </w:rPr>
            </w:pPr>
          </w:p>
        </w:tc>
        <w:tc>
          <w:tcPr>
            <w:tcW w:w="961" w:type="dxa"/>
            <w:vAlign w:val="center"/>
          </w:tcPr>
          <w:p w14:paraId="5C3A8EE1">
            <w:pPr>
              <w:spacing w:line="360" w:lineRule="auto"/>
              <w:jc w:val="center"/>
              <w:rPr>
                <w:rFonts w:ascii="宋体" w:hAnsi="宋体"/>
                <w:color w:val="000000"/>
                <w:highlight w:val="none"/>
              </w:rPr>
            </w:pPr>
          </w:p>
        </w:tc>
        <w:tc>
          <w:tcPr>
            <w:tcW w:w="1257" w:type="dxa"/>
            <w:vAlign w:val="center"/>
          </w:tcPr>
          <w:p w14:paraId="019F7592">
            <w:pPr>
              <w:spacing w:line="360" w:lineRule="auto"/>
              <w:jc w:val="center"/>
              <w:rPr>
                <w:rFonts w:ascii="宋体" w:hAnsi="宋体"/>
                <w:color w:val="000000"/>
                <w:highlight w:val="none"/>
              </w:rPr>
            </w:pPr>
          </w:p>
        </w:tc>
        <w:tc>
          <w:tcPr>
            <w:tcW w:w="1258" w:type="dxa"/>
            <w:vAlign w:val="center"/>
          </w:tcPr>
          <w:p w14:paraId="269B310C">
            <w:pPr>
              <w:spacing w:line="360" w:lineRule="auto"/>
              <w:jc w:val="center"/>
              <w:rPr>
                <w:rFonts w:ascii="宋体" w:hAnsi="宋体"/>
                <w:color w:val="000000"/>
                <w:highlight w:val="none"/>
              </w:rPr>
            </w:pPr>
          </w:p>
        </w:tc>
        <w:tc>
          <w:tcPr>
            <w:tcW w:w="1257" w:type="dxa"/>
            <w:vAlign w:val="center"/>
          </w:tcPr>
          <w:p w14:paraId="2BAC1D4A">
            <w:pPr>
              <w:spacing w:line="360" w:lineRule="auto"/>
              <w:jc w:val="center"/>
              <w:rPr>
                <w:rFonts w:ascii="宋体" w:hAnsi="宋体"/>
                <w:color w:val="000000"/>
                <w:highlight w:val="none"/>
              </w:rPr>
            </w:pPr>
          </w:p>
        </w:tc>
        <w:tc>
          <w:tcPr>
            <w:tcW w:w="1258" w:type="dxa"/>
            <w:vAlign w:val="center"/>
          </w:tcPr>
          <w:p w14:paraId="12EC3A4F">
            <w:pPr>
              <w:spacing w:line="360" w:lineRule="auto"/>
              <w:jc w:val="center"/>
              <w:rPr>
                <w:rFonts w:ascii="宋体" w:hAnsi="宋体"/>
                <w:color w:val="000000"/>
                <w:highlight w:val="none"/>
              </w:rPr>
            </w:pPr>
          </w:p>
        </w:tc>
        <w:tc>
          <w:tcPr>
            <w:tcW w:w="1257" w:type="dxa"/>
            <w:vAlign w:val="center"/>
          </w:tcPr>
          <w:p w14:paraId="126A511F">
            <w:pPr>
              <w:spacing w:line="360" w:lineRule="auto"/>
              <w:jc w:val="center"/>
              <w:rPr>
                <w:rFonts w:ascii="宋体" w:hAnsi="宋体"/>
                <w:color w:val="000000"/>
                <w:highlight w:val="none"/>
              </w:rPr>
            </w:pPr>
          </w:p>
        </w:tc>
        <w:tc>
          <w:tcPr>
            <w:tcW w:w="1258" w:type="dxa"/>
            <w:vAlign w:val="center"/>
          </w:tcPr>
          <w:p w14:paraId="7B9BB110">
            <w:pPr>
              <w:spacing w:line="360" w:lineRule="auto"/>
              <w:jc w:val="center"/>
              <w:rPr>
                <w:rFonts w:ascii="宋体" w:hAnsi="宋体"/>
                <w:color w:val="000000"/>
                <w:highlight w:val="none"/>
              </w:rPr>
            </w:pPr>
          </w:p>
        </w:tc>
      </w:tr>
      <w:tr w14:paraId="1081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2362412">
            <w:pPr>
              <w:spacing w:line="360" w:lineRule="auto"/>
              <w:jc w:val="center"/>
              <w:rPr>
                <w:rFonts w:ascii="宋体" w:hAnsi="宋体"/>
                <w:color w:val="000000"/>
                <w:highlight w:val="none"/>
              </w:rPr>
            </w:pPr>
          </w:p>
        </w:tc>
        <w:tc>
          <w:tcPr>
            <w:tcW w:w="961" w:type="dxa"/>
            <w:vAlign w:val="center"/>
          </w:tcPr>
          <w:p w14:paraId="08BC9594">
            <w:pPr>
              <w:spacing w:line="360" w:lineRule="auto"/>
              <w:jc w:val="center"/>
              <w:rPr>
                <w:rFonts w:ascii="宋体" w:hAnsi="宋体"/>
                <w:color w:val="000000"/>
                <w:highlight w:val="none"/>
              </w:rPr>
            </w:pPr>
          </w:p>
        </w:tc>
        <w:tc>
          <w:tcPr>
            <w:tcW w:w="1257" w:type="dxa"/>
            <w:vAlign w:val="center"/>
          </w:tcPr>
          <w:p w14:paraId="3C414911">
            <w:pPr>
              <w:spacing w:line="360" w:lineRule="auto"/>
              <w:jc w:val="center"/>
              <w:rPr>
                <w:rFonts w:ascii="宋体" w:hAnsi="宋体"/>
                <w:color w:val="000000"/>
                <w:highlight w:val="none"/>
              </w:rPr>
            </w:pPr>
          </w:p>
        </w:tc>
        <w:tc>
          <w:tcPr>
            <w:tcW w:w="1258" w:type="dxa"/>
            <w:vAlign w:val="center"/>
          </w:tcPr>
          <w:p w14:paraId="39C63F34">
            <w:pPr>
              <w:spacing w:line="360" w:lineRule="auto"/>
              <w:jc w:val="center"/>
              <w:rPr>
                <w:rFonts w:ascii="宋体" w:hAnsi="宋体"/>
                <w:color w:val="000000"/>
                <w:highlight w:val="none"/>
              </w:rPr>
            </w:pPr>
          </w:p>
        </w:tc>
        <w:tc>
          <w:tcPr>
            <w:tcW w:w="1257" w:type="dxa"/>
            <w:vAlign w:val="center"/>
          </w:tcPr>
          <w:p w14:paraId="701F5D83">
            <w:pPr>
              <w:spacing w:line="360" w:lineRule="auto"/>
              <w:jc w:val="center"/>
              <w:rPr>
                <w:rFonts w:ascii="宋体" w:hAnsi="宋体"/>
                <w:color w:val="000000"/>
                <w:highlight w:val="none"/>
              </w:rPr>
            </w:pPr>
          </w:p>
        </w:tc>
        <w:tc>
          <w:tcPr>
            <w:tcW w:w="1258" w:type="dxa"/>
            <w:vAlign w:val="center"/>
          </w:tcPr>
          <w:p w14:paraId="1BC1C5CD">
            <w:pPr>
              <w:spacing w:line="360" w:lineRule="auto"/>
              <w:jc w:val="center"/>
              <w:rPr>
                <w:rFonts w:ascii="宋体" w:hAnsi="宋体"/>
                <w:color w:val="000000"/>
                <w:highlight w:val="none"/>
              </w:rPr>
            </w:pPr>
          </w:p>
        </w:tc>
        <w:tc>
          <w:tcPr>
            <w:tcW w:w="1257" w:type="dxa"/>
            <w:vAlign w:val="center"/>
          </w:tcPr>
          <w:p w14:paraId="42EED332">
            <w:pPr>
              <w:spacing w:line="360" w:lineRule="auto"/>
              <w:jc w:val="center"/>
              <w:rPr>
                <w:rFonts w:ascii="宋体" w:hAnsi="宋体"/>
                <w:color w:val="000000"/>
                <w:highlight w:val="none"/>
              </w:rPr>
            </w:pPr>
          </w:p>
        </w:tc>
        <w:tc>
          <w:tcPr>
            <w:tcW w:w="1258" w:type="dxa"/>
            <w:vAlign w:val="center"/>
          </w:tcPr>
          <w:p w14:paraId="13FE05FE">
            <w:pPr>
              <w:spacing w:line="360" w:lineRule="auto"/>
              <w:jc w:val="center"/>
              <w:rPr>
                <w:rFonts w:ascii="宋体" w:hAnsi="宋体"/>
                <w:color w:val="000000"/>
                <w:highlight w:val="none"/>
              </w:rPr>
            </w:pPr>
          </w:p>
        </w:tc>
      </w:tr>
      <w:tr w14:paraId="185B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20683B0">
            <w:pPr>
              <w:spacing w:line="360" w:lineRule="auto"/>
              <w:jc w:val="center"/>
              <w:rPr>
                <w:rFonts w:ascii="宋体" w:hAnsi="宋体"/>
                <w:color w:val="000000"/>
                <w:highlight w:val="none"/>
              </w:rPr>
            </w:pPr>
          </w:p>
        </w:tc>
        <w:tc>
          <w:tcPr>
            <w:tcW w:w="961" w:type="dxa"/>
            <w:vAlign w:val="center"/>
          </w:tcPr>
          <w:p w14:paraId="5984157B">
            <w:pPr>
              <w:spacing w:line="360" w:lineRule="auto"/>
              <w:jc w:val="center"/>
              <w:rPr>
                <w:rFonts w:ascii="宋体" w:hAnsi="宋体"/>
                <w:color w:val="000000"/>
                <w:highlight w:val="none"/>
              </w:rPr>
            </w:pPr>
          </w:p>
        </w:tc>
        <w:tc>
          <w:tcPr>
            <w:tcW w:w="1257" w:type="dxa"/>
            <w:vAlign w:val="center"/>
          </w:tcPr>
          <w:p w14:paraId="0D95317D">
            <w:pPr>
              <w:spacing w:line="360" w:lineRule="auto"/>
              <w:jc w:val="center"/>
              <w:rPr>
                <w:rFonts w:ascii="宋体" w:hAnsi="宋体"/>
                <w:color w:val="000000"/>
                <w:highlight w:val="none"/>
              </w:rPr>
            </w:pPr>
          </w:p>
        </w:tc>
        <w:tc>
          <w:tcPr>
            <w:tcW w:w="1258" w:type="dxa"/>
            <w:vAlign w:val="center"/>
          </w:tcPr>
          <w:p w14:paraId="725B7390">
            <w:pPr>
              <w:spacing w:line="360" w:lineRule="auto"/>
              <w:jc w:val="center"/>
              <w:rPr>
                <w:rFonts w:ascii="宋体" w:hAnsi="宋体"/>
                <w:color w:val="000000"/>
                <w:highlight w:val="none"/>
              </w:rPr>
            </w:pPr>
          </w:p>
        </w:tc>
        <w:tc>
          <w:tcPr>
            <w:tcW w:w="1257" w:type="dxa"/>
            <w:vAlign w:val="center"/>
          </w:tcPr>
          <w:p w14:paraId="3CBD14F3">
            <w:pPr>
              <w:spacing w:line="360" w:lineRule="auto"/>
              <w:jc w:val="center"/>
              <w:rPr>
                <w:rFonts w:ascii="宋体" w:hAnsi="宋体"/>
                <w:color w:val="000000"/>
                <w:highlight w:val="none"/>
              </w:rPr>
            </w:pPr>
          </w:p>
        </w:tc>
        <w:tc>
          <w:tcPr>
            <w:tcW w:w="1258" w:type="dxa"/>
            <w:vAlign w:val="center"/>
          </w:tcPr>
          <w:p w14:paraId="2ACF20C3">
            <w:pPr>
              <w:spacing w:line="360" w:lineRule="auto"/>
              <w:jc w:val="center"/>
              <w:rPr>
                <w:rFonts w:ascii="宋体" w:hAnsi="宋体"/>
                <w:color w:val="000000"/>
                <w:highlight w:val="none"/>
              </w:rPr>
            </w:pPr>
          </w:p>
        </w:tc>
        <w:tc>
          <w:tcPr>
            <w:tcW w:w="1257" w:type="dxa"/>
            <w:vAlign w:val="center"/>
          </w:tcPr>
          <w:p w14:paraId="61B3B9F0">
            <w:pPr>
              <w:spacing w:line="360" w:lineRule="auto"/>
              <w:jc w:val="center"/>
              <w:rPr>
                <w:rFonts w:ascii="宋体" w:hAnsi="宋体"/>
                <w:color w:val="000000"/>
                <w:highlight w:val="none"/>
              </w:rPr>
            </w:pPr>
          </w:p>
        </w:tc>
        <w:tc>
          <w:tcPr>
            <w:tcW w:w="1258" w:type="dxa"/>
            <w:vAlign w:val="center"/>
          </w:tcPr>
          <w:p w14:paraId="285A05FB">
            <w:pPr>
              <w:spacing w:line="360" w:lineRule="auto"/>
              <w:jc w:val="center"/>
              <w:rPr>
                <w:rFonts w:ascii="宋体" w:hAnsi="宋体"/>
                <w:color w:val="000000"/>
                <w:highlight w:val="none"/>
              </w:rPr>
            </w:pPr>
          </w:p>
        </w:tc>
      </w:tr>
      <w:tr w14:paraId="3802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DFFF0ED">
            <w:pPr>
              <w:spacing w:line="360" w:lineRule="auto"/>
              <w:jc w:val="center"/>
              <w:rPr>
                <w:rFonts w:ascii="宋体" w:hAnsi="宋体"/>
                <w:color w:val="000000"/>
                <w:highlight w:val="none"/>
              </w:rPr>
            </w:pPr>
          </w:p>
        </w:tc>
        <w:tc>
          <w:tcPr>
            <w:tcW w:w="961" w:type="dxa"/>
            <w:vAlign w:val="center"/>
          </w:tcPr>
          <w:p w14:paraId="2BCA3848">
            <w:pPr>
              <w:spacing w:line="360" w:lineRule="auto"/>
              <w:jc w:val="center"/>
              <w:rPr>
                <w:rFonts w:ascii="宋体" w:hAnsi="宋体"/>
                <w:color w:val="000000"/>
                <w:highlight w:val="none"/>
              </w:rPr>
            </w:pPr>
          </w:p>
        </w:tc>
        <w:tc>
          <w:tcPr>
            <w:tcW w:w="1257" w:type="dxa"/>
            <w:vAlign w:val="center"/>
          </w:tcPr>
          <w:p w14:paraId="7854E3A3">
            <w:pPr>
              <w:spacing w:line="360" w:lineRule="auto"/>
              <w:jc w:val="center"/>
              <w:rPr>
                <w:rFonts w:ascii="宋体" w:hAnsi="宋体"/>
                <w:color w:val="000000"/>
                <w:highlight w:val="none"/>
              </w:rPr>
            </w:pPr>
          </w:p>
        </w:tc>
        <w:tc>
          <w:tcPr>
            <w:tcW w:w="1258" w:type="dxa"/>
            <w:vAlign w:val="center"/>
          </w:tcPr>
          <w:p w14:paraId="5C761DB4">
            <w:pPr>
              <w:spacing w:line="360" w:lineRule="auto"/>
              <w:jc w:val="center"/>
              <w:rPr>
                <w:rFonts w:ascii="宋体" w:hAnsi="宋体"/>
                <w:color w:val="000000"/>
                <w:highlight w:val="none"/>
              </w:rPr>
            </w:pPr>
          </w:p>
        </w:tc>
        <w:tc>
          <w:tcPr>
            <w:tcW w:w="1257" w:type="dxa"/>
            <w:vAlign w:val="center"/>
          </w:tcPr>
          <w:p w14:paraId="557067F1">
            <w:pPr>
              <w:spacing w:line="360" w:lineRule="auto"/>
              <w:jc w:val="center"/>
              <w:rPr>
                <w:rFonts w:ascii="宋体" w:hAnsi="宋体"/>
                <w:color w:val="000000"/>
                <w:highlight w:val="none"/>
              </w:rPr>
            </w:pPr>
          </w:p>
        </w:tc>
        <w:tc>
          <w:tcPr>
            <w:tcW w:w="1258" w:type="dxa"/>
            <w:vAlign w:val="center"/>
          </w:tcPr>
          <w:p w14:paraId="326A62BD">
            <w:pPr>
              <w:spacing w:line="360" w:lineRule="auto"/>
              <w:jc w:val="center"/>
              <w:rPr>
                <w:rFonts w:ascii="宋体" w:hAnsi="宋体"/>
                <w:color w:val="000000"/>
                <w:highlight w:val="none"/>
              </w:rPr>
            </w:pPr>
          </w:p>
        </w:tc>
        <w:tc>
          <w:tcPr>
            <w:tcW w:w="1257" w:type="dxa"/>
            <w:vAlign w:val="center"/>
          </w:tcPr>
          <w:p w14:paraId="24AF714C">
            <w:pPr>
              <w:spacing w:line="360" w:lineRule="auto"/>
              <w:jc w:val="center"/>
              <w:rPr>
                <w:rFonts w:ascii="宋体" w:hAnsi="宋体"/>
                <w:color w:val="000000"/>
                <w:highlight w:val="none"/>
              </w:rPr>
            </w:pPr>
          </w:p>
        </w:tc>
        <w:tc>
          <w:tcPr>
            <w:tcW w:w="1258" w:type="dxa"/>
            <w:vAlign w:val="center"/>
          </w:tcPr>
          <w:p w14:paraId="02306EB7">
            <w:pPr>
              <w:spacing w:line="360" w:lineRule="auto"/>
              <w:jc w:val="center"/>
              <w:rPr>
                <w:rFonts w:ascii="宋体" w:hAnsi="宋体"/>
                <w:color w:val="000000"/>
                <w:highlight w:val="none"/>
              </w:rPr>
            </w:pPr>
          </w:p>
        </w:tc>
      </w:tr>
      <w:tr w14:paraId="0915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3092271">
            <w:pPr>
              <w:spacing w:line="360" w:lineRule="auto"/>
              <w:jc w:val="center"/>
              <w:rPr>
                <w:rFonts w:ascii="宋体" w:hAnsi="宋体"/>
                <w:color w:val="000000"/>
                <w:highlight w:val="none"/>
              </w:rPr>
            </w:pPr>
          </w:p>
        </w:tc>
        <w:tc>
          <w:tcPr>
            <w:tcW w:w="961" w:type="dxa"/>
            <w:vAlign w:val="center"/>
          </w:tcPr>
          <w:p w14:paraId="04D97A0C">
            <w:pPr>
              <w:spacing w:line="360" w:lineRule="auto"/>
              <w:jc w:val="center"/>
              <w:rPr>
                <w:rFonts w:ascii="宋体" w:hAnsi="宋体"/>
                <w:color w:val="000000"/>
                <w:highlight w:val="none"/>
              </w:rPr>
            </w:pPr>
          </w:p>
        </w:tc>
        <w:tc>
          <w:tcPr>
            <w:tcW w:w="1257" w:type="dxa"/>
            <w:vAlign w:val="center"/>
          </w:tcPr>
          <w:p w14:paraId="5E4EDC12">
            <w:pPr>
              <w:spacing w:line="360" w:lineRule="auto"/>
              <w:jc w:val="center"/>
              <w:rPr>
                <w:rFonts w:ascii="宋体" w:hAnsi="宋体"/>
                <w:color w:val="000000"/>
                <w:highlight w:val="none"/>
              </w:rPr>
            </w:pPr>
          </w:p>
        </w:tc>
        <w:tc>
          <w:tcPr>
            <w:tcW w:w="1258" w:type="dxa"/>
            <w:vAlign w:val="center"/>
          </w:tcPr>
          <w:p w14:paraId="34BD799D">
            <w:pPr>
              <w:spacing w:line="360" w:lineRule="auto"/>
              <w:jc w:val="center"/>
              <w:rPr>
                <w:rFonts w:ascii="宋体" w:hAnsi="宋体"/>
                <w:color w:val="000000"/>
                <w:highlight w:val="none"/>
              </w:rPr>
            </w:pPr>
          </w:p>
        </w:tc>
        <w:tc>
          <w:tcPr>
            <w:tcW w:w="1257" w:type="dxa"/>
            <w:vAlign w:val="center"/>
          </w:tcPr>
          <w:p w14:paraId="23C77046">
            <w:pPr>
              <w:spacing w:line="360" w:lineRule="auto"/>
              <w:jc w:val="center"/>
              <w:rPr>
                <w:rFonts w:ascii="宋体" w:hAnsi="宋体"/>
                <w:color w:val="000000"/>
                <w:highlight w:val="none"/>
              </w:rPr>
            </w:pPr>
          </w:p>
        </w:tc>
        <w:tc>
          <w:tcPr>
            <w:tcW w:w="1258" w:type="dxa"/>
            <w:vAlign w:val="center"/>
          </w:tcPr>
          <w:p w14:paraId="721645D7">
            <w:pPr>
              <w:spacing w:line="360" w:lineRule="auto"/>
              <w:jc w:val="center"/>
              <w:rPr>
                <w:rFonts w:ascii="宋体" w:hAnsi="宋体"/>
                <w:color w:val="000000"/>
                <w:highlight w:val="none"/>
              </w:rPr>
            </w:pPr>
          </w:p>
        </w:tc>
        <w:tc>
          <w:tcPr>
            <w:tcW w:w="1257" w:type="dxa"/>
            <w:vAlign w:val="center"/>
          </w:tcPr>
          <w:p w14:paraId="0F1B781F">
            <w:pPr>
              <w:spacing w:line="360" w:lineRule="auto"/>
              <w:jc w:val="center"/>
              <w:rPr>
                <w:rFonts w:ascii="宋体" w:hAnsi="宋体"/>
                <w:color w:val="000000"/>
                <w:highlight w:val="none"/>
              </w:rPr>
            </w:pPr>
          </w:p>
        </w:tc>
        <w:tc>
          <w:tcPr>
            <w:tcW w:w="1258" w:type="dxa"/>
            <w:vAlign w:val="center"/>
          </w:tcPr>
          <w:p w14:paraId="6C3476EA">
            <w:pPr>
              <w:spacing w:line="360" w:lineRule="auto"/>
              <w:jc w:val="center"/>
              <w:rPr>
                <w:rFonts w:ascii="宋体" w:hAnsi="宋体"/>
                <w:color w:val="000000"/>
                <w:highlight w:val="none"/>
              </w:rPr>
            </w:pPr>
          </w:p>
        </w:tc>
      </w:tr>
    </w:tbl>
    <w:p w14:paraId="0D6ADD0D">
      <w:pPr>
        <w:rPr>
          <w:rFonts w:ascii="宋体" w:hAnsi="宋体"/>
          <w:color w:val="000000"/>
          <w:highlight w:val="none"/>
        </w:rPr>
      </w:pPr>
    </w:p>
    <w:p w14:paraId="57AF34E2">
      <w:pPr>
        <w:rPr>
          <w:rFonts w:ascii="宋体" w:hAnsi="宋体"/>
          <w:b/>
          <w:bCs/>
          <w:color w:val="000000"/>
          <w:highlight w:val="none"/>
        </w:rPr>
      </w:pPr>
    </w:p>
    <w:p w14:paraId="3E37776F">
      <w:pPr>
        <w:rPr>
          <w:rFonts w:ascii="宋体" w:hAnsi="宋体"/>
          <w:color w:val="000000"/>
          <w:highlight w:val="none"/>
        </w:rPr>
      </w:pPr>
    </w:p>
    <w:p w14:paraId="7989138E">
      <w:pPr>
        <w:rPr>
          <w:rFonts w:hint="eastAsia" w:ascii="宋体" w:hAnsi="宋体"/>
          <w:color w:val="000000"/>
          <w:highlight w:val="none"/>
        </w:rPr>
      </w:pPr>
      <w:r>
        <w:rPr>
          <w:rFonts w:hint="eastAsia" w:ascii="宋体" w:hAnsi="宋体"/>
          <w:color w:val="000000"/>
          <w:highlight w:val="none"/>
        </w:rPr>
        <w:t>附表三：计划开、竣工日期和施工进度计划（网络图或横道图）</w:t>
      </w:r>
    </w:p>
    <w:p w14:paraId="1856F29A">
      <w:pPr>
        <w:spacing w:line="460" w:lineRule="exact"/>
        <w:ind w:left="-6" w:firstLine="420"/>
        <w:rPr>
          <w:rFonts w:hint="eastAsia" w:ascii="宋体" w:hAnsi="宋体"/>
          <w:color w:val="000000"/>
          <w:highlight w:val="none"/>
        </w:rPr>
      </w:pPr>
      <w:r>
        <w:rPr>
          <w:rFonts w:hint="eastAsia" w:ascii="宋体" w:hAnsi="宋体"/>
          <w:color w:val="000000"/>
          <w:highlight w:val="none"/>
        </w:rPr>
        <w:t>1. 供应商应提交施工进度计划，说明按磋商文件要求的工期进行施工的各个关键日期。成交的供应商还应按合同条件有关条款的要求提交详细的施工进度计划。</w:t>
      </w:r>
    </w:p>
    <w:p w14:paraId="065882E0">
      <w:pPr>
        <w:spacing w:line="460" w:lineRule="exact"/>
        <w:ind w:left="-6" w:firstLine="420"/>
        <w:rPr>
          <w:rFonts w:hint="eastAsia" w:ascii="宋体" w:hAnsi="宋体"/>
          <w:color w:val="000000"/>
          <w:highlight w:val="none"/>
        </w:rPr>
      </w:pPr>
      <w:r>
        <w:rPr>
          <w:rFonts w:hint="eastAsia" w:ascii="宋体" w:hAnsi="宋体"/>
          <w:color w:val="000000"/>
          <w:highlight w:val="none"/>
        </w:rPr>
        <w:t>2. 施工进度计划可采用网络图（或横道图）表示，说明计划开工日期和各分项工程各阶段的完工日期和分包合同签订的日期。</w:t>
      </w:r>
    </w:p>
    <w:p w14:paraId="4D461AC6">
      <w:pPr>
        <w:spacing w:line="460" w:lineRule="exact"/>
        <w:ind w:left="-6" w:firstLine="420"/>
        <w:rPr>
          <w:rFonts w:hint="eastAsia" w:ascii="宋体" w:hAnsi="宋体"/>
          <w:color w:val="000000"/>
          <w:highlight w:val="none"/>
        </w:rPr>
      </w:pPr>
      <w:r>
        <w:rPr>
          <w:rFonts w:hint="eastAsia" w:ascii="宋体" w:hAnsi="宋体"/>
          <w:color w:val="000000"/>
          <w:highlight w:val="none"/>
        </w:rPr>
        <w:t>3. 施工进度计划应与施工组织设计相适应。</w:t>
      </w:r>
    </w:p>
    <w:p w14:paraId="3C276836">
      <w:pPr>
        <w:pStyle w:val="128"/>
        <w:jc w:val="center"/>
        <w:rPr>
          <w:rFonts w:hint="eastAsia" w:ascii="宋体" w:hAnsi="宋体"/>
          <w:color w:val="000000"/>
          <w:highlight w:val="none"/>
        </w:rPr>
      </w:pPr>
      <w:r>
        <w:rPr>
          <w:rFonts w:hint="eastAsia" w:ascii="宋体" w:hAnsi="宋体"/>
          <w:color w:val="000000"/>
          <w:highlight w:val="none"/>
        </w:rPr>
        <w:br w:type="page"/>
      </w:r>
      <w:r>
        <w:rPr>
          <w:rFonts w:hint="eastAsia" w:ascii="宋体" w:hAnsi="宋体"/>
          <w:b/>
          <w:bCs/>
          <w:color w:val="000000"/>
          <w:sz w:val="24"/>
          <w:szCs w:val="24"/>
          <w:highlight w:val="none"/>
        </w:rPr>
        <w:t>项目管理机构配备情况表</w:t>
      </w:r>
    </w:p>
    <w:p w14:paraId="72955C79">
      <w:pPr>
        <w:pStyle w:val="128"/>
        <w:rPr>
          <w:rFonts w:ascii="宋体" w:hAnsi="宋体"/>
          <w:color w:val="000000"/>
          <w:highlight w:val="none"/>
          <w:u w:val="single"/>
        </w:rPr>
      </w:pPr>
    </w:p>
    <w:p w14:paraId="2DB79A0B">
      <w:pPr>
        <w:pStyle w:val="128"/>
        <w:rPr>
          <w:rFonts w:hint="eastAsia" w:ascii="宋体" w:hAnsi="宋体"/>
          <w:color w:val="000000"/>
          <w:highlight w:val="none"/>
        </w:rPr>
      </w:pPr>
      <w:r>
        <w:rPr>
          <w:rFonts w:hint="eastAsia" w:ascii="宋体" w:hAnsi="宋体"/>
          <w:color w:val="000000"/>
          <w:highlight w:val="none"/>
        </w:rPr>
        <w:t>项目名称：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D50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EDA0F2F">
            <w:pPr>
              <w:ind w:left="223" w:hanging="222" w:hangingChars="106"/>
              <w:jc w:val="center"/>
              <w:rPr>
                <w:rFonts w:hint="eastAsia" w:ascii="宋体" w:hAnsi="宋体"/>
                <w:color w:val="000000"/>
                <w:highlight w:val="none"/>
              </w:rPr>
            </w:pPr>
            <w:r>
              <w:rPr>
                <w:rFonts w:hint="eastAsia" w:ascii="宋体" w:hAnsi="宋体"/>
                <w:color w:val="000000"/>
                <w:highlight w:val="none"/>
              </w:rPr>
              <w:t>岗位</w:t>
            </w:r>
          </w:p>
        </w:tc>
        <w:tc>
          <w:tcPr>
            <w:tcW w:w="829" w:type="dxa"/>
            <w:vMerge w:val="restart"/>
            <w:vAlign w:val="center"/>
          </w:tcPr>
          <w:p w14:paraId="18E96091">
            <w:pPr>
              <w:ind w:left="223" w:hanging="222" w:hangingChars="106"/>
              <w:jc w:val="center"/>
              <w:rPr>
                <w:rFonts w:hint="eastAsia" w:ascii="宋体" w:hAnsi="宋体"/>
                <w:color w:val="000000"/>
                <w:highlight w:val="none"/>
              </w:rPr>
            </w:pPr>
            <w:bookmarkStart w:id="970" w:name="_Toc251052187"/>
            <w:r>
              <w:rPr>
                <w:rFonts w:hint="eastAsia" w:ascii="宋体" w:hAnsi="宋体"/>
                <w:color w:val="000000"/>
                <w:highlight w:val="none"/>
              </w:rPr>
              <w:t>姓名</w:t>
            </w:r>
            <w:bookmarkEnd w:id="970"/>
          </w:p>
        </w:tc>
        <w:tc>
          <w:tcPr>
            <w:tcW w:w="816" w:type="dxa"/>
            <w:vMerge w:val="restart"/>
            <w:vAlign w:val="center"/>
          </w:tcPr>
          <w:p w14:paraId="6E126546">
            <w:pPr>
              <w:ind w:left="223" w:hanging="222" w:hangingChars="106"/>
              <w:jc w:val="center"/>
              <w:rPr>
                <w:rFonts w:hint="eastAsia" w:ascii="宋体" w:hAnsi="宋体"/>
                <w:color w:val="000000"/>
                <w:highlight w:val="none"/>
              </w:rPr>
            </w:pPr>
            <w:bookmarkStart w:id="971" w:name="_Toc251052188"/>
            <w:r>
              <w:rPr>
                <w:rFonts w:hint="eastAsia" w:ascii="宋体" w:hAnsi="宋体"/>
                <w:color w:val="000000"/>
                <w:highlight w:val="none"/>
              </w:rPr>
              <w:t>职称</w:t>
            </w:r>
            <w:bookmarkEnd w:id="971"/>
          </w:p>
        </w:tc>
        <w:tc>
          <w:tcPr>
            <w:tcW w:w="4592" w:type="dxa"/>
            <w:gridSpan w:val="4"/>
            <w:vAlign w:val="center"/>
          </w:tcPr>
          <w:p w14:paraId="57A39ABC">
            <w:pPr>
              <w:ind w:left="223" w:hanging="222" w:hangingChars="106"/>
              <w:jc w:val="center"/>
              <w:rPr>
                <w:rFonts w:hint="eastAsia" w:ascii="宋体" w:hAnsi="宋体"/>
                <w:color w:val="000000"/>
                <w:highlight w:val="none"/>
              </w:rPr>
            </w:pPr>
            <w:bookmarkStart w:id="972" w:name="_Toc251052189"/>
            <w:r>
              <w:rPr>
                <w:rFonts w:hint="eastAsia" w:ascii="宋体" w:hAnsi="宋体"/>
                <w:color w:val="000000"/>
                <w:highlight w:val="none"/>
              </w:rPr>
              <w:t>执业或职业资格证明</w:t>
            </w:r>
            <w:bookmarkEnd w:id="972"/>
          </w:p>
        </w:tc>
        <w:tc>
          <w:tcPr>
            <w:tcW w:w="2126" w:type="dxa"/>
            <w:gridSpan w:val="2"/>
            <w:vAlign w:val="center"/>
          </w:tcPr>
          <w:p w14:paraId="3C51557F">
            <w:pPr>
              <w:ind w:left="223" w:hanging="222" w:hangingChars="106"/>
              <w:jc w:val="center"/>
              <w:rPr>
                <w:rFonts w:hint="eastAsia" w:ascii="宋体" w:hAnsi="宋体"/>
                <w:color w:val="000000"/>
                <w:highlight w:val="none"/>
              </w:rPr>
            </w:pPr>
            <w:bookmarkStart w:id="973" w:name="_Toc251052190"/>
            <w:r>
              <w:rPr>
                <w:rFonts w:hint="eastAsia" w:ascii="宋体" w:hAnsi="宋体"/>
                <w:color w:val="000000"/>
                <w:highlight w:val="none"/>
              </w:rPr>
              <w:t>承担完工</w:t>
            </w:r>
            <w:bookmarkEnd w:id="973"/>
            <w:bookmarkStart w:id="974" w:name="_Toc251052191"/>
            <w:r>
              <w:rPr>
                <w:rFonts w:hint="eastAsia" w:ascii="宋体" w:hAnsi="宋体"/>
                <w:color w:val="000000"/>
                <w:highlight w:val="none"/>
              </w:rPr>
              <w:t>工程情况</w:t>
            </w:r>
            <w:bookmarkEnd w:id="974"/>
          </w:p>
        </w:tc>
      </w:tr>
      <w:tr w14:paraId="5100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491302C5">
            <w:pPr>
              <w:keepNext w:val="0"/>
              <w:ind w:left="223" w:hanging="223" w:hangingChars="106"/>
              <w:jc w:val="center"/>
              <w:outlineLvl w:val="9"/>
              <w:rPr>
                <w:rFonts w:ascii="宋体" w:hAnsi="宋体"/>
                <w:b/>
                <w:color w:val="000000"/>
                <w:highlight w:val="none"/>
              </w:rPr>
            </w:pPr>
          </w:p>
        </w:tc>
        <w:tc>
          <w:tcPr>
            <w:tcW w:w="829" w:type="dxa"/>
            <w:vMerge w:val="continue"/>
            <w:vAlign w:val="center"/>
          </w:tcPr>
          <w:p w14:paraId="5F9605C8">
            <w:pPr>
              <w:keepNext w:val="0"/>
              <w:ind w:left="223" w:hanging="223" w:hangingChars="106"/>
              <w:jc w:val="center"/>
              <w:outlineLvl w:val="9"/>
              <w:rPr>
                <w:rFonts w:ascii="宋体" w:hAnsi="宋体"/>
                <w:b/>
                <w:color w:val="000000"/>
                <w:highlight w:val="none"/>
              </w:rPr>
            </w:pPr>
          </w:p>
        </w:tc>
        <w:tc>
          <w:tcPr>
            <w:tcW w:w="816" w:type="dxa"/>
            <w:vMerge w:val="continue"/>
            <w:vAlign w:val="center"/>
          </w:tcPr>
          <w:p w14:paraId="6ACDBB0B">
            <w:pPr>
              <w:keepNext w:val="0"/>
              <w:ind w:left="223" w:hanging="223" w:hangingChars="106"/>
              <w:jc w:val="center"/>
              <w:outlineLvl w:val="9"/>
              <w:rPr>
                <w:rFonts w:ascii="宋体" w:hAnsi="宋体"/>
                <w:b/>
                <w:color w:val="000000"/>
                <w:highlight w:val="none"/>
              </w:rPr>
            </w:pPr>
          </w:p>
        </w:tc>
        <w:tc>
          <w:tcPr>
            <w:tcW w:w="1148" w:type="dxa"/>
            <w:vAlign w:val="center"/>
          </w:tcPr>
          <w:p w14:paraId="29F3637B">
            <w:pPr>
              <w:ind w:left="223" w:hanging="222" w:hangingChars="106"/>
              <w:jc w:val="center"/>
              <w:rPr>
                <w:rFonts w:hint="eastAsia" w:ascii="宋体" w:hAnsi="宋体"/>
                <w:color w:val="000000"/>
                <w:highlight w:val="none"/>
              </w:rPr>
            </w:pPr>
            <w:bookmarkStart w:id="975" w:name="_Toc251052192"/>
            <w:r>
              <w:rPr>
                <w:rFonts w:hint="eastAsia" w:ascii="宋体" w:hAnsi="宋体"/>
                <w:color w:val="000000"/>
                <w:highlight w:val="none"/>
              </w:rPr>
              <w:t>证书名称</w:t>
            </w:r>
            <w:bookmarkEnd w:id="975"/>
          </w:p>
        </w:tc>
        <w:tc>
          <w:tcPr>
            <w:tcW w:w="1148" w:type="dxa"/>
            <w:vAlign w:val="center"/>
          </w:tcPr>
          <w:p w14:paraId="50C92685">
            <w:pPr>
              <w:ind w:left="223" w:hanging="222" w:hangingChars="106"/>
              <w:jc w:val="center"/>
              <w:rPr>
                <w:rFonts w:hint="eastAsia" w:ascii="宋体" w:hAnsi="宋体"/>
                <w:color w:val="000000"/>
                <w:highlight w:val="none"/>
              </w:rPr>
            </w:pPr>
            <w:bookmarkStart w:id="976" w:name="_Toc251052193"/>
            <w:r>
              <w:rPr>
                <w:rFonts w:hint="eastAsia" w:ascii="宋体" w:hAnsi="宋体"/>
                <w:color w:val="000000"/>
                <w:highlight w:val="none"/>
              </w:rPr>
              <w:t>级别</w:t>
            </w:r>
            <w:bookmarkEnd w:id="976"/>
          </w:p>
        </w:tc>
        <w:tc>
          <w:tcPr>
            <w:tcW w:w="1148" w:type="dxa"/>
            <w:vAlign w:val="center"/>
          </w:tcPr>
          <w:p w14:paraId="2DEE6189">
            <w:pPr>
              <w:ind w:left="223" w:hanging="222" w:hangingChars="106"/>
              <w:jc w:val="center"/>
              <w:rPr>
                <w:rFonts w:hint="eastAsia" w:ascii="宋体" w:hAnsi="宋体"/>
                <w:color w:val="000000"/>
                <w:highlight w:val="none"/>
              </w:rPr>
            </w:pPr>
            <w:bookmarkStart w:id="977" w:name="_Toc251052194"/>
            <w:r>
              <w:rPr>
                <w:rFonts w:hint="eastAsia" w:ascii="宋体" w:hAnsi="宋体"/>
                <w:color w:val="000000"/>
                <w:highlight w:val="none"/>
              </w:rPr>
              <w:t>证号</w:t>
            </w:r>
            <w:bookmarkEnd w:id="977"/>
          </w:p>
        </w:tc>
        <w:tc>
          <w:tcPr>
            <w:tcW w:w="1148" w:type="dxa"/>
            <w:vAlign w:val="center"/>
          </w:tcPr>
          <w:p w14:paraId="14EB5478">
            <w:pPr>
              <w:ind w:left="223" w:hanging="222" w:hangingChars="106"/>
              <w:jc w:val="center"/>
              <w:rPr>
                <w:rFonts w:hint="eastAsia" w:ascii="宋体" w:hAnsi="宋体"/>
                <w:color w:val="000000"/>
                <w:highlight w:val="none"/>
              </w:rPr>
            </w:pPr>
            <w:bookmarkStart w:id="978" w:name="_Toc251052195"/>
            <w:r>
              <w:rPr>
                <w:rFonts w:hint="eastAsia" w:ascii="宋体" w:hAnsi="宋体"/>
                <w:color w:val="000000"/>
                <w:highlight w:val="none"/>
              </w:rPr>
              <w:t>专业</w:t>
            </w:r>
            <w:bookmarkEnd w:id="978"/>
          </w:p>
        </w:tc>
        <w:tc>
          <w:tcPr>
            <w:tcW w:w="850" w:type="dxa"/>
            <w:vAlign w:val="center"/>
          </w:tcPr>
          <w:p w14:paraId="7E4915F9">
            <w:pPr>
              <w:ind w:left="223" w:hanging="222" w:hangingChars="106"/>
              <w:jc w:val="center"/>
              <w:rPr>
                <w:rFonts w:hint="eastAsia" w:ascii="宋体" w:hAnsi="宋体"/>
                <w:color w:val="000000"/>
                <w:highlight w:val="none"/>
              </w:rPr>
            </w:pPr>
            <w:bookmarkStart w:id="979" w:name="_Toc251052197"/>
            <w:r>
              <w:rPr>
                <w:rFonts w:hint="eastAsia" w:ascii="宋体" w:hAnsi="宋体"/>
                <w:color w:val="000000"/>
                <w:highlight w:val="none"/>
              </w:rPr>
              <w:t>项目数</w:t>
            </w:r>
            <w:bookmarkEnd w:id="979"/>
          </w:p>
        </w:tc>
        <w:tc>
          <w:tcPr>
            <w:tcW w:w="1276" w:type="dxa"/>
            <w:vAlign w:val="center"/>
          </w:tcPr>
          <w:p w14:paraId="566B7461">
            <w:pPr>
              <w:ind w:left="223" w:hanging="222" w:hangingChars="106"/>
              <w:jc w:val="center"/>
              <w:rPr>
                <w:rFonts w:hint="eastAsia" w:ascii="宋体" w:hAnsi="宋体"/>
                <w:color w:val="000000"/>
                <w:highlight w:val="none"/>
              </w:rPr>
            </w:pPr>
            <w:bookmarkStart w:id="980" w:name="_Toc251052198"/>
            <w:r>
              <w:rPr>
                <w:rFonts w:hint="eastAsia" w:ascii="宋体" w:hAnsi="宋体"/>
                <w:color w:val="000000"/>
                <w:highlight w:val="none"/>
              </w:rPr>
              <w:t>主要项目</w:t>
            </w:r>
          </w:p>
          <w:p w14:paraId="3975413F">
            <w:pPr>
              <w:ind w:left="223" w:hanging="222" w:hangingChars="106"/>
              <w:jc w:val="center"/>
              <w:rPr>
                <w:rFonts w:hint="eastAsia" w:ascii="宋体" w:hAnsi="宋体"/>
                <w:color w:val="000000"/>
                <w:highlight w:val="none"/>
              </w:rPr>
            </w:pPr>
            <w:r>
              <w:rPr>
                <w:rFonts w:hint="eastAsia" w:ascii="宋体" w:hAnsi="宋体"/>
                <w:color w:val="000000"/>
                <w:highlight w:val="none"/>
              </w:rPr>
              <w:t>名称</w:t>
            </w:r>
            <w:bookmarkEnd w:id="980"/>
          </w:p>
        </w:tc>
      </w:tr>
      <w:tr w14:paraId="79FA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466F25D">
            <w:pPr>
              <w:ind w:left="223" w:hanging="222" w:hangingChars="106"/>
              <w:jc w:val="center"/>
              <w:rPr>
                <w:rFonts w:ascii="宋体" w:hAnsi="宋体"/>
                <w:color w:val="000000"/>
                <w:highlight w:val="none"/>
              </w:rPr>
            </w:pPr>
          </w:p>
        </w:tc>
        <w:tc>
          <w:tcPr>
            <w:tcW w:w="829" w:type="dxa"/>
            <w:vAlign w:val="center"/>
          </w:tcPr>
          <w:p w14:paraId="4F2443C5">
            <w:pPr>
              <w:ind w:left="223" w:hanging="223" w:hangingChars="106"/>
              <w:jc w:val="center"/>
              <w:rPr>
                <w:rFonts w:ascii="宋体" w:hAnsi="宋体"/>
                <w:b/>
                <w:color w:val="000000"/>
                <w:highlight w:val="none"/>
              </w:rPr>
            </w:pPr>
          </w:p>
        </w:tc>
        <w:tc>
          <w:tcPr>
            <w:tcW w:w="816" w:type="dxa"/>
            <w:vAlign w:val="center"/>
          </w:tcPr>
          <w:p w14:paraId="2C2639C4">
            <w:pPr>
              <w:ind w:left="223" w:hanging="223" w:hangingChars="106"/>
              <w:jc w:val="center"/>
              <w:rPr>
                <w:rFonts w:ascii="宋体" w:hAnsi="宋体"/>
                <w:b/>
                <w:color w:val="000000"/>
                <w:highlight w:val="none"/>
              </w:rPr>
            </w:pPr>
          </w:p>
        </w:tc>
        <w:tc>
          <w:tcPr>
            <w:tcW w:w="1148" w:type="dxa"/>
            <w:vAlign w:val="center"/>
          </w:tcPr>
          <w:p w14:paraId="303AD34F">
            <w:pPr>
              <w:ind w:left="223" w:hanging="223" w:hangingChars="106"/>
              <w:jc w:val="center"/>
              <w:rPr>
                <w:rFonts w:ascii="宋体" w:hAnsi="宋体"/>
                <w:b/>
                <w:color w:val="000000"/>
                <w:highlight w:val="none"/>
              </w:rPr>
            </w:pPr>
          </w:p>
        </w:tc>
        <w:tc>
          <w:tcPr>
            <w:tcW w:w="1148" w:type="dxa"/>
            <w:vAlign w:val="center"/>
          </w:tcPr>
          <w:p w14:paraId="7BCE8EEA">
            <w:pPr>
              <w:ind w:left="223" w:hanging="223" w:hangingChars="106"/>
              <w:jc w:val="center"/>
              <w:rPr>
                <w:rFonts w:ascii="宋体" w:hAnsi="宋体"/>
                <w:b/>
                <w:color w:val="000000"/>
                <w:highlight w:val="none"/>
              </w:rPr>
            </w:pPr>
          </w:p>
        </w:tc>
        <w:tc>
          <w:tcPr>
            <w:tcW w:w="1148" w:type="dxa"/>
            <w:vAlign w:val="center"/>
          </w:tcPr>
          <w:p w14:paraId="43A940F6">
            <w:pPr>
              <w:ind w:left="223" w:hanging="223" w:hangingChars="106"/>
              <w:jc w:val="center"/>
              <w:rPr>
                <w:rFonts w:ascii="宋体" w:hAnsi="宋体"/>
                <w:b/>
                <w:color w:val="000000"/>
                <w:highlight w:val="none"/>
              </w:rPr>
            </w:pPr>
          </w:p>
        </w:tc>
        <w:tc>
          <w:tcPr>
            <w:tcW w:w="1148" w:type="dxa"/>
            <w:vAlign w:val="center"/>
          </w:tcPr>
          <w:p w14:paraId="7ADDAFEF">
            <w:pPr>
              <w:ind w:left="223" w:hanging="223" w:hangingChars="106"/>
              <w:jc w:val="center"/>
              <w:rPr>
                <w:rFonts w:ascii="宋体" w:hAnsi="宋体"/>
                <w:b/>
                <w:color w:val="000000"/>
                <w:highlight w:val="none"/>
              </w:rPr>
            </w:pPr>
          </w:p>
        </w:tc>
        <w:tc>
          <w:tcPr>
            <w:tcW w:w="850" w:type="dxa"/>
            <w:vAlign w:val="center"/>
          </w:tcPr>
          <w:p w14:paraId="5BE7F228">
            <w:pPr>
              <w:ind w:left="223" w:hanging="223" w:hangingChars="106"/>
              <w:jc w:val="center"/>
              <w:rPr>
                <w:rFonts w:ascii="宋体" w:hAnsi="宋体"/>
                <w:b/>
                <w:color w:val="000000"/>
                <w:highlight w:val="none"/>
              </w:rPr>
            </w:pPr>
          </w:p>
        </w:tc>
        <w:tc>
          <w:tcPr>
            <w:tcW w:w="1276" w:type="dxa"/>
            <w:vAlign w:val="center"/>
          </w:tcPr>
          <w:p w14:paraId="2A67E474">
            <w:pPr>
              <w:ind w:left="223" w:hanging="223" w:hangingChars="106"/>
              <w:jc w:val="center"/>
              <w:rPr>
                <w:rFonts w:ascii="宋体" w:hAnsi="宋体"/>
                <w:b/>
                <w:color w:val="000000"/>
                <w:highlight w:val="none"/>
              </w:rPr>
            </w:pPr>
          </w:p>
        </w:tc>
      </w:tr>
      <w:tr w14:paraId="1929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A8E3C67">
            <w:pPr>
              <w:ind w:left="223" w:hanging="222" w:hangingChars="106"/>
              <w:jc w:val="center"/>
              <w:rPr>
                <w:rFonts w:ascii="宋体" w:hAnsi="宋体"/>
                <w:color w:val="000000"/>
                <w:highlight w:val="none"/>
              </w:rPr>
            </w:pPr>
          </w:p>
        </w:tc>
        <w:tc>
          <w:tcPr>
            <w:tcW w:w="829" w:type="dxa"/>
            <w:vAlign w:val="center"/>
          </w:tcPr>
          <w:p w14:paraId="283B875C">
            <w:pPr>
              <w:ind w:left="223" w:hanging="223" w:hangingChars="106"/>
              <w:jc w:val="center"/>
              <w:rPr>
                <w:rFonts w:ascii="宋体" w:hAnsi="宋体"/>
                <w:b/>
                <w:color w:val="000000"/>
                <w:highlight w:val="none"/>
              </w:rPr>
            </w:pPr>
          </w:p>
        </w:tc>
        <w:tc>
          <w:tcPr>
            <w:tcW w:w="816" w:type="dxa"/>
            <w:vAlign w:val="center"/>
          </w:tcPr>
          <w:p w14:paraId="25FEAE3D">
            <w:pPr>
              <w:ind w:left="223" w:hanging="223" w:hangingChars="106"/>
              <w:jc w:val="center"/>
              <w:rPr>
                <w:rFonts w:ascii="宋体" w:hAnsi="宋体"/>
                <w:b/>
                <w:color w:val="000000"/>
                <w:highlight w:val="none"/>
              </w:rPr>
            </w:pPr>
          </w:p>
        </w:tc>
        <w:tc>
          <w:tcPr>
            <w:tcW w:w="1148" w:type="dxa"/>
            <w:vAlign w:val="center"/>
          </w:tcPr>
          <w:p w14:paraId="3348DEDC">
            <w:pPr>
              <w:ind w:left="223" w:hanging="223" w:hangingChars="106"/>
              <w:jc w:val="center"/>
              <w:rPr>
                <w:rFonts w:ascii="宋体" w:hAnsi="宋体"/>
                <w:b/>
                <w:color w:val="000000"/>
                <w:highlight w:val="none"/>
              </w:rPr>
            </w:pPr>
          </w:p>
        </w:tc>
        <w:tc>
          <w:tcPr>
            <w:tcW w:w="1148" w:type="dxa"/>
            <w:vAlign w:val="center"/>
          </w:tcPr>
          <w:p w14:paraId="64091E6F">
            <w:pPr>
              <w:ind w:left="223" w:hanging="223" w:hangingChars="106"/>
              <w:jc w:val="center"/>
              <w:rPr>
                <w:rFonts w:ascii="宋体" w:hAnsi="宋体"/>
                <w:b/>
                <w:color w:val="000000"/>
                <w:highlight w:val="none"/>
              </w:rPr>
            </w:pPr>
          </w:p>
        </w:tc>
        <w:tc>
          <w:tcPr>
            <w:tcW w:w="1148" w:type="dxa"/>
            <w:vAlign w:val="center"/>
          </w:tcPr>
          <w:p w14:paraId="3064A233">
            <w:pPr>
              <w:ind w:left="223" w:hanging="223" w:hangingChars="106"/>
              <w:jc w:val="center"/>
              <w:rPr>
                <w:rFonts w:ascii="宋体" w:hAnsi="宋体"/>
                <w:b/>
                <w:color w:val="000000"/>
                <w:highlight w:val="none"/>
              </w:rPr>
            </w:pPr>
          </w:p>
        </w:tc>
        <w:tc>
          <w:tcPr>
            <w:tcW w:w="1148" w:type="dxa"/>
            <w:vAlign w:val="center"/>
          </w:tcPr>
          <w:p w14:paraId="6B906C47">
            <w:pPr>
              <w:ind w:left="223" w:hanging="223" w:hangingChars="106"/>
              <w:jc w:val="center"/>
              <w:rPr>
                <w:rFonts w:ascii="宋体" w:hAnsi="宋体"/>
                <w:b/>
                <w:color w:val="000000"/>
                <w:highlight w:val="none"/>
              </w:rPr>
            </w:pPr>
          </w:p>
        </w:tc>
        <w:tc>
          <w:tcPr>
            <w:tcW w:w="850" w:type="dxa"/>
            <w:vAlign w:val="center"/>
          </w:tcPr>
          <w:p w14:paraId="1C231902">
            <w:pPr>
              <w:ind w:left="223" w:hanging="223" w:hangingChars="106"/>
              <w:jc w:val="center"/>
              <w:rPr>
                <w:rFonts w:ascii="宋体" w:hAnsi="宋体"/>
                <w:b/>
                <w:color w:val="000000"/>
                <w:highlight w:val="none"/>
              </w:rPr>
            </w:pPr>
          </w:p>
        </w:tc>
        <w:tc>
          <w:tcPr>
            <w:tcW w:w="1276" w:type="dxa"/>
            <w:vAlign w:val="center"/>
          </w:tcPr>
          <w:p w14:paraId="06C30ABC">
            <w:pPr>
              <w:ind w:left="223" w:hanging="223" w:hangingChars="106"/>
              <w:jc w:val="center"/>
              <w:rPr>
                <w:rFonts w:ascii="宋体" w:hAnsi="宋体"/>
                <w:b/>
                <w:color w:val="000000"/>
                <w:highlight w:val="none"/>
              </w:rPr>
            </w:pPr>
          </w:p>
        </w:tc>
      </w:tr>
      <w:tr w14:paraId="06E1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3CF3861">
            <w:pPr>
              <w:ind w:left="223" w:hanging="222" w:hangingChars="106"/>
              <w:jc w:val="center"/>
              <w:rPr>
                <w:rFonts w:ascii="宋体" w:hAnsi="宋体"/>
                <w:color w:val="000000"/>
                <w:highlight w:val="none"/>
              </w:rPr>
            </w:pPr>
          </w:p>
        </w:tc>
        <w:tc>
          <w:tcPr>
            <w:tcW w:w="829" w:type="dxa"/>
            <w:vAlign w:val="center"/>
          </w:tcPr>
          <w:p w14:paraId="5390BBF4">
            <w:pPr>
              <w:ind w:left="223" w:hanging="223" w:hangingChars="106"/>
              <w:jc w:val="center"/>
              <w:rPr>
                <w:rFonts w:ascii="宋体" w:hAnsi="宋体"/>
                <w:b/>
                <w:color w:val="000000"/>
                <w:highlight w:val="none"/>
              </w:rPr>
            </w:pPr>
          </w:p>
        </w:tc>
        <w:tc>
          <w:tcPr>
            <w:tcW w:w="816" w:type="dxa"/>
            <w:vAlign w:val="center"/>
          </w:tcPr>
          <w:p w14:paraId="76970045">
            <w:pPr>
              <w:ind w:left="223" w:hanging="223" w:hangingChars="106"/>
              <w:jc w:val="center"/>
              <w:rPr>
                <w:rFonts w:ascii="宋体" w:hAnsi="宋体"/>
                <w:b/>
                <w:color w:val="000000"/>
                <w:highlight w:val="none"/>
              </w:rPr>
            </w:pPr>
          </w:p>
        </w:tc>
        <w:tc>
          <w:tcPr>
            <w:tcW w:w="1148" w:type="dxa"/>
            <w:vAlign w:val="center"/>
          </w:tcPr>
          <w:p w14:paraId="44B2BCA5">
            <w:pPr>
              <w:ind w:left="223" w:hanging="223" w:hangingChars="106"/>
              <w:jc w:val="center"/>
              <w:rPr>
                <w:rFonts w:ascii="宋体" w:hAnsi="宋体"/>
                <w:b/>
                <w:color w:val="000000"/>
                <w:highlight w:val="none"/>
              </w:rPr>
            </w:pPr>
          </w:p>
        </w:tc>
        <w:tc>
          <w:tcPr>
            <w:tcW w:w="1148" w:type="dxa"/>
            <w:vAlign w:val="center"/>
          </w:tcPr>
          <w:p w14:paraId="46AE85E6">
            <w:pPr>
              <w:ind w:left="223" w:hanging="223" w:hangingChars="106"/>
              <w:jc w:val="center"/>
              <w:rPr>
                <w:rFonts w:ascii="宋体" w:hAnsi="宋体"/>
                <w:b/>
                <w:color w:val="000000"/>
                <w:highlight w:val="none"/>
              </w:rPr>
            </w:pPr>
          </w:p>
        </w:tc>
        <w:tc>
          <w:tcPr>
            <w:tcW w:w="1148" w:type="dxa"/>
            <w:vAlign w:val="center"/>
          </w:tcPr>
          <w:p w14:paraId="782E5A8C">
            <w:pPr>
              <w:ind w:left="223" w:hanging="223" w:hangingChars="106"/>
              <w:jc w:val="center"/>
              <w:rPr>
                <w:rFonts w:ascii="宋体" w:hAnsi="宋体"/>
                <w:b/>
                <w:color w:val="000000"/>
                <w:highlight w:val="none"/>
              </w:rPr>
            </w:pPr>
          </w:p>
        </w:tc>
        <w:tc>
          <w:tcPr>
            <w:tcW w:w="1148" w:type="dxa"/>
            <w:vAlign w:val="center"/>
          </w:tcPr>
          <w:p w14:paraId="449AEE79">
            <w:pPr>
              <w:ind w:left="223" w:hanging="223" w:hangingChars="106"/>
              <w:jc w:val="center"/>
              <w:rPr>
                <w:rFonts w:ascii="宋体" w:hAnsi="宋体"/>
                <w:b/>
                <w:color w:val="000000"/>
                <w:highlight w:val="none"/>
              </w:rPr>
            </w:pPr>
          </w:p>
        </w:tc>
        <w:tc>
          <w:tcPr>
            <w:tcW w:w="850" w:type="dxa"/>
            <w:vAlign w:val="center"/>
          </w:tcPr>
          <w:p w14:paraId="5473E92B">
            <w:pPr>
              <w:ind w:left="223" w:hanging="223" w:hangingChars="106"/>
              <w:jc w:val="center"/>
              <w:rPr>
                <w:rFonts w:ascii="宋体" w:hAnsi="宋体"/>
                <w:b/>
                <w:color w:val="000000"/>
                <w:highlight w:val="none"/>
              </w:rPr>
            </w:pPr>
          </w:p>
        </w:tc>
        <w:tc>
          <w:tcPr>
            <w:tcW w:w="1276" w:type="dxa"/>
            <w:vAlign w:val="center"/>
          </w:tcPr>
          <w:p w14:paraId="03915F53">
            <w:pPr>
              <w:ind w:left="223" w:hanging="223" w:hangingChars="106"/>
              <w:jc w:val="center"/>
              <w:rPr>
                <w:rFonts w:ascii="宋体" w:hAnsi="宋体"/>
                <w:b/>
                <w:color w:val="000000"/>
                <w:highlight w:val="none"/>
              </w:rPr>
            </w:pPr>
          </w:p>
        </w:tc>
      </w:tr>
      <w:tr w14:paraId="528C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EFB158A">
            <w:pPr>
              <w:ind w:left="223" w:hanging="222" w:hangingChars="106"/>
              <w:jc w:val="center"/>
              <w:rPr>
                <w:rFonts w:ascii="宋体" w:hAnsi="宋体"/>
                <w:color w:val="000000"/>
                <w:highlight w:val="none"/>
              </w:rPr>
            </w:pPr>
          </w:p>
        </w:tc>
        <w:tc>
          <w:tcPr>
            <w:tcW w:w="829" w:type="dxa"/>
            <w:vAlign w:val="center"/>
          </w:tcPr>
          <w:p w14:paraId="453065B6">
            <w:pPr>
              <w:ind w:left="223" w:hanging="223" w:hangingChars="106"/>
              <w:jc w:val="center"/>
              <w:rPr>
                <w:rFonts w:ascii="宋体" w:hAnsi="宋体"/>
                <w:b/>
                <w:color w:val="000000"/>
                <w:highlight w:val="none"/>
              </w:rPr>
            </w:pPr>
          </w:p>
        </w:tc>
        <w:tc>
          <w:tcPr>
            <w:tcW w:w="816" w:type="dxa"/>
            <w:vAlign w:val="center"/>
          </w:tcPr>
          <w:p w14:paraId="4A23378E">
            <w:pPr>
              <w:ind w:left="223" w:hanging="223" w:hangingChars="106"/>
              <w:jc w:val="center"/>
              <w:rPr>
                <w:rFonts w:ascii="宋体" w:hAnsi="宋体"/>
                <w:b/>
                <w:color w:val="000000"/>
                <w:highlight w:val="none"/>
              </w:rPr>
            </w:pPr>
          </w:p>
        </w:tc>
        <w:tc>
          <w:tcPr>
            <w:tcW w:w="1148" w:type="dxa"/>
            <w:vAlign w:val="center"/>
          </w:tcPr>
          <w:p w14:paraId="2A00EFA9">
            <w:pPr>
              <w:ind w:left="223" w:hanging="223" w:hangingChars="106"/>
              <w:jc w:val="center"/>
              <w:rPr>
                <w:rFonts w:ascii="宋体" w:hAnsi="宋体"/>
                <w:b/>
                <w:color w:val="000000"/>
                <w:highlight w:val="none"/>
              </w:rPr>
            </w:pPr>
          </w:p>
        </w:tc>
        <w:tc>
          <w:tcPr>
            <w:tcW w:w="1148" w:type="dxa"/>
            <w:vAlign w:val="center"/>
          </w:tcPr>
          <w:p w14:paraId="30E2B3C3">
            <w:pPr>
              <w:ind w:left="223" w:hanging="223" w:hangingChars="106"/>
              <w:jc w:val="center"/>
              <w:rPr>
                <w:rFonts w:ascii="宋体" w:hAnsi="宋体"/>
                <w:b/>
                <w:color w:val="000000"/>
                <w:highlight w:val="none"/>
              </w:rPr>
            </w:pPr>
          </w:p>
        </w:tc>
        <w:tc>
          <w:tcPr>
            <w:tcW w:w="1148" w:type="dxa"/>
            <w:vAlign w:val="center"/>
          </w:tcPr>
          <w:p w14:paraId="1AC15395">
            <w:pPr>
              <w:ind w:left="223" w:hanging="223" w:hangingChars="106"/>
              <w:jc w:val="center"/>
              <w:rPr>
                <w:rFonts w:ascii="宋体" w:hAnsi="宋体"/>
                <w:b/>
                <w:color w:val="000000"/>
                <w:highlight w:val="none"/>
              </w:rPr>
            </w:pPr>
          </w:p>
        </w:tc>
        <w:tc>
          <w:tcPr>
            <w:tcW w:w="1148" w:type="dxa"/>
            <w:vAlign w:val="center"/>
          </w:tcPr>
          <w:p w14:paraId="03A86D6B">
            <w:pPr>
              <w:ind w:left="223" w:hanging="223" w:hangingChars="106"/>
              <w:jc w:val="center"/>
              <w:rPr>
                <w:rFonts w:ascii="宋体" w:hAnsi="宋体"/>
                <w:b/>
                <w:color w:val="000000"/>
                <w:highlight w:val="none"/>
              </w:rPr>
            </w:pPr>
          </w:p>
        </w:tc>
        <w:tc>
          <w:tcPr>
            <w:tcW w:w="850" w:type="dxa"/>
            <w:vAlign w:val="center"/>
          </w:tcPr>
          <w:p w14:paraId="387A99A7">
            <w:pPr>
              <w:ind w:left="223" w:hanging="223" w:hangingChars="106"/>
              <w:jc w:val="center"/>
              <w:rPr>
                <w:rFonts w:ascii="宋体" w:hAnsi="宋体"/>
                <w:b/>
                <w:color w:val="000000"/>
                <w:highlight w:val="none"/>
              </w:rPr>
            </w:pPr>
          </w:p>
        </w:tc>
        <w:tc>
          <w:tcPr>
            <w:tcW w:w="1276" w:type="dxa"/>
            <w:vAlign w:val="center"/>
          </w:tcPr>
          <w:p w14:paraId="7195FF81">
            <w:pPr>
              <w:ind w:left="223" w:hanging="223" w:hangingChars="106"/>
              <w:jc w:val="center"/>
              <w:rPr>
                <w:rFonts w:ascii="宋体" w:hAnsi="宋体"/>
                <w:b/>
                <w:color w:val="000000"/>
                <w:highlight w:val="none"/>
              </w:rPr>
            </w:pPr>
          </w:p>
        </w:tc>
      </w:tr>
      <w:tr w14:paraId="05CC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A4273C1">
            <w:pPr>
              <w:ind w:left="223" w:hanging="222" w:hangingChars="106"/>
              <w:jc w:val="center"/>
              <w:rPr>
                <w:rFonts w:ascii="宋体" w:hAnsi="宋体"/>
                <w:color w:val="000000"/>
                <w:highlight w:val="none"/>
              </w:rPr>
            </w:pPr>
          </w:p>
        </w:tc>
        <w:tc>
          <w:tcPr>
            <w:tcW w:w="829" w:type="dxa"/>
            <w:vAlign w:val="center"/>
          </w:tcPr>
          <w:p w14:paraId="58FC2DFA">
            <w:pPr>
              <w:ind w:left="223" w:hanging="223" w:hangingChars="106"/>
              <w:jc w:val="center"/>
              <w:rPr>
                <w:rFonts w:ascii="宋体" w:hAnsi="宋体"/>
                <w:b/>
                <w:color w:val="000000"/>
                <w:highlight w:val="none"/>
              </w:rPr>
            </w:pPr>
          </w:p>
        </w:tc>
        <w:tc>
          <w:tcPr>
            <w:tcW w:w="816" w:type="dxa"/>
            <w:vAlign w:val="center"/>
          </w:tcPr>
          <w:p w14:paraId="68C2B04B">
            <w:pPr>
              <w:ind w:left="223" w:hanging="223" w:hangingChars="106"/>
              <w:jc w:val="center"/>
              <w:rPr>
                <w:rFonts w:ascii="宋体" w:hAnsi="宋体"/>
                <w:b/>
                <w:color w:val="000000"/>
                <w:highlight w:val="none"/>
              </w:rPr>
            </w:pPr>
          </w:p>
        </w:tc>
        <w:tc>
          <w:tcPr>
            <w:tcW w:w="1148" w:type="dxa"/>
            <w:vAlign w:val="center"/>
          </w:tcPr>
          <w:p w14:paraId="35C73EAB">
            <w:pPr>
              <w:ind w:left="223" w:hanging="223" w:hangingChars="106"/>
              <w:jc w:val="center"/>
              <w:rPr>
                <w:rFonts w:ascii="宋体" w:hAnsi="宋体"/>
                <w:b/>
                <w:color w:val="000000"/>
                <w:highlight w:val="none"/>
              </w:rPr>
            </w:pPr>
          </w:p>
        </w:tc>
        <w:tc>
          <w:tcPr>
            <w:tcW w:w="1148" w:type="dxa"/>
            <w:vAlign w:val="center"/>
          </w:tcPr>
          <w:p w14:paraId="21EE49D7">
            <w:pPr>
              <w:ind w:left="223" w:hanging="223" w:hangingChars="106"/>
              <w:jc w:val="center"/>
              <w:rPr>
                <w:rFonts w:ascii="宋体" w:hAnsi="宋体"/>
                <w:b/>
                <w:color w:val="000000"/>
                <w:highlight w:val="none"/>
              </w:rPr>
            </w:pPr>
          </w:p>
        </w:tc>
        <w:tc>
          <w:tcPr>
            <w:tcW w:w="1148" w:type="dxa"/>
            <w:vAlign w:val="center"/>
          </w:tcPr>
          <w:p w14:paraId="0D774CBA">
            <w:pPr>
              <w:ind w:left="223" w:hanging="223" w:hangingChars="106"/>
              <w:jc w:val="center"/>
              <w:rPr>
                <w:rFonts w:ascii="宋体" w:hAnsi="宋体"/>
                <w:b/>
                <w:color w:val="000000"/>
                <w:highlight w:val="none"/>
              </w:rPr>
            </w:pPr>
          </w:p>
        </w:tc>
        <w:tc>
          <w:tcPr>
            <w:tcW w:w="1148" w:type="dxa"/>
            <w:vAlign w:val="center"/>
          </w:tcPr>
          <w:p w14:paraId="2809C600">
            <w:pPr>
              <w:ind w:left="223" w:hanging="223" w:hangingChars="106"/>
              <w:jc w:val="center"/>
              <w:rPr>
                <w:rFonts w:ascii="宋体" w:hAnsi="宋体"/>
                <w:b/>
                <w:color w:val="000000"/>
                <w:highlight w:val="none"/>
              </w:rPr>
            </w:pPr>
          </w:p>
        </w:tc>
        <w:tc>
          <w:tcPr>
            <w:tcW w:w="850" w:type="dxa"/>
            <w:vAlign w:val="center"/>
          </w:tcPr>
          <w:p w14:paraId="3179EA27">
            <w:pPr>
              <w:ind w:left="223" w:hanging="223" w:hangingChars="106"/>
              <w:jc w:val="center"/>
              <w:rPr>
                <w:rFonts w:ascii="宋体" w:hAnsi="宋体"/>
                <w:b/>
                <w:color w:val="000000"/>
                <w:highlight w:val="none"/>
              </w:rPr>
            </w:pPr>
          </w:p>
        </w:tc>
        <w:tc>
          <w:tcPr>
            <w:tcW w:w="1276" w:type="dxa"/>
            <w:vAlign w:val="center"/>
          </w:tcPr>
          <w:p w14:paraId="50624210">
            <w:pPr>
              <w:ind w:left="223" w:hanging="223" w:hangingChars="106"/>
              <w:jc w:val="center"/>
              <w:rPr>
                <w:rFonts w:ascii="宋体" w:hAnsi="宋体"/>
                <w:b/>
                <w:color w:val="000000"/>
                <w:highlight w:val="none"/>
              </w:rPr>
            </w:pPr>
          </w:p>
        </w:tc>
      </w:tr>
      <w:tr w14:paraId="30BA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5E60C0">
            <w:pPr>
              <w:ind w:left="223" w:hanging="222" w:hangingChars="106"/>
              <w:jc w:val="center"/>
              <w:rPr>
                <w:rFonts w:ascii="宋体" w:hAnsi="宋体"/>
                <w:color w:val="000000"/>
                <w:highlight w:val="none"/>
              </w:rPr>
            </w:pPr>
          </w:p>
        </w:tc>
        <w:tc>
          <w:tcPr>
            <w:tcW w:w="829" w:type="dxa"/>
            <w:vAlign w:val="center"/>
          </w:tcPr>
          <w:p w14:paraId="23EB184D">
            <w:pPr>
              <w:ind w:left="223" w:hanging="223" w:hangingChars="106"/>
              <w:jc w:val="center"/>
              <w:rPr>
                <w:rFonts w:ascii="宋体" w:hAnsi="宋体"/>
                <w:b/>
                <w:color w:val="000000"/>
                <w:highlight w:val="none"/>
              </w:rPr>
            </w:pPr>
          </w:p>
        </w:tc>
        <w:tc>
          <w:tcPr>
            <w:tcW w:w="816" w:type="dxa"/>
            <w:vAlign w:val="center"/>
          </w:tcPr>
          <w:p w14:paraId="02EBE2C6">
            <w:pPr>
              <w:ind w:left="223" w:hanging="223" w:hangingChars="106"/>
              <w:jc w:val="center"/>
              <w:rPr>
                <w:rFonts w:ascii="宋体" w:hAnsi="宋体"/>
                <w:b/>
                <w:color w:val="000000"/>
                <w:highlight w:val="none"/>
              </w:rPr>
            </w:pPr>
          </w:p>
        </w:tc>
        <w:tc>
          <w:tcPr>
            <w:tcW w:w="1148" w:type="dxa"/>
            <w:vAlign w:val="center"/>
          </w:tcPr>
          <w:p w14:paraId="5DF906F9">
            <w:pPr>
              <w:ind w:left="223" w:hanging="223" w:hangingChars="106"/>
              <w:jc w:val="center"/>
              <w:rPr>
                <w:rFonts w:ascii="宋体" w:hAnsi="宋体"/>
                <w:b/>
                <w:color w:val="000000"/>
                <w:highlight w:val="none"/>
              </w:rPr>
            </w:pPr>
          </w:p>
        </w:tc>
        <w:tc>
          <w:tcPr>
            <w:tcW w:w="1148" w:type="dxa"/>
            <w:vAlign w:val="center"/>
          </w:tcPr>
          <w:p w14:paraId="5752E44C">
            <w:pPr>
              <w:ind w:left="223" w:hanging="223" w:hangingChars="106"/>
              <w:jc w:val="center"/>
              <w:rPr>
                <w:rFonts w:ascii="宋体" w:hAnsi="宋体"/>
                <w:b/>
                <w:color w:val="000000"/>
                <w:highlight w:val="none"/>
              </w:rPr>
            </w:pPr>
          </w:p>
        </w:tc>
        <w:tc>
          <w:tcPr>
            <w:tcW w:w="1148" w:type="dxa"/>
            <w:vAlign w:val="center"/>
          </w:tcPr>
          <w:p w14:paraId="63F3205E">
            <w:pPr>
              <w:ind w:left="223" w:hanging="223" w:hangingChars="106"/>
              <w:jc w:val="center"/>
              <w:rPr>
                <w:rFonts w:ascii="宋体" w:hAnsi="宋体"/>
                <w:b/>
                <w:color w:val="000000"/>
                <w:highlight w:val="none"/>
              </w:rPr>
            </w:pPr>
          </w:p>
        </w:tc>
        <w:tc>
          <w:tcPr>
            <w:tcW w:w="1148" w:type="dxa"/>
            <w:vAlign w:val="center"/>
          </w:tcPr>
          <w:p w14:paraId="02C22865">
            <w:pPr>
              <w:ind w:left="223" w:hanging="223" w:hangingChars="106"/>
              <w:jc w:val="center"/>
              <w:rPr>
                <w:rFonts w:ascii="宋体" w:hAnsi="宋体"/>
                <w:b/>
                <w:color w:val="000000"/>
                <w:highlight w:val="none"/>
              </w:rPr>
            </w:pPr>
          </w:p>
        </w:tc>
        <w:tc>
          <w:tcPr>
            <w:tcW w:w="850" w:type="dxa"/>
            <w:vAlign w:val="center"/>
          </w:tcPr>
          <w:p w14:paraId="0385D16E">
            <w:pPr>
              <w:ind w:left="223" w:hanging="223" w:hangingChars="106"/>
              <w:jc w:val="center"/>
              <w:rPr>
                <w:rFonts w:ascii="宋体" w:hAnsi="宋体"/>
                <w:b/>
                <w:color w:val="000000"/>
                <w:highlight w:val="none"/>
              </w:rPr>
            </w:pPr>
          </w:p>
        </w:tc>
        <w:tc>
          <w:tcPr>
            <w:tcW w:w="1276" w:type="dxa"/>
            <w:vAlign w:val="center"/>
          </w:tcPr>
          <w:p w14:paraId="68ABA410">
            <w:pPr>
              <w:ind w:left="223" w:hanging="223" w:hangingChars="106"/>
              <w:jc w:val="center"/>
              <w:rPr>
                <w:rFonts w:ascii="宋体" w:hAnsi="宋体"/>
                <w:b/>
                <w:color w:val="000000"/>
                <w:highlight w:val="none"/>
              </w:rPr>
            </w:pPr>
          </w:p>
        </w:tc>
      </w:tr>
      <w:tr w14:paraId="2F27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4BC8E1C">
            <w:pPr>
              <w:ind w:left="223" w:hanging="222" w:hangingChars="106"/>
              <w:jc w:val="center"/>
              <w:rPr>
                <w:rFonts w:ascii="宋体" w:hAnsi="宋体"/>
                <w:color w:val="000000"/>
                <w:highlight w:val="none"/>
              </w:rPr>
            </w:pPr>
          </w:p>
        </w:tc>
        <w:tc>
          <w:tcPr>
            <w:tcW w:w="829" w:type="dxa"/>
            <w:vAlign w:val="center"/>
          </w:tcPr>
          <w:p w14:paraId="37D2EB39">
            <w:pPr>
              <w:ind w:left="223" w:hanging="223" w:hangingChars="106"/>
              <w:jc w:val="center"/>
              <w:rPr>
                <w:rFonts w:ascii="宋体" w:hAnsi="宋体"/>
                <w:b/>
                <w:color w:val="000000"/>
                <w:highlight w:val="none"/>
              </w:rPr>
            </w:pPr>
          </w:p>
        </w:tc>
        <w:tc>
          <w:tcPr>
            <w:tcW w:w="816" w:type="dxa"/>
            <w:vAlign w:val="center"/>
          </w:tcPr>
          <w:p w14:paraId="5978001D">
            <w:pPr>
              <w:ind w:left="223" w:hanging="223" w:hangingChars="106"/>
              <w:jc w:val="center"/>
              <w:rPr>
                <w:rFonts w:ascii="宋体" w:hAnsi="宋体"/>
                <w:b/>
                <w:color w:val="000000"/>
                <w:highlight w:val="none"/>
              </w:rPr>
            </w:pPr>
          </w:p>
        </w:tc>
        <w:tc>
          <w:tcPr>
            <w:tcW w:w="1148" w:type="dxa"/>
            <w:vAlign w:val="center"/>
          </w:tcPr>
          <w:p w14:paraId="38B235FE">
            <w:pPr>
              <w:ind w:left="223" w:hanging="223" w:hangingChars="106"/>
              <w:jc w:val="center"/>
              <w:rPr>
                <w:rFonts w:ascii="宋体" w:hAnsi="宋体"/>
                <w:b/>
                <w:color w:val="000000"/>
                <w:highlight w:val="none"/>
              </w:rPr>
            </w:pPr>
          </w:p>
        </w:tc>
        <w:tc>
          <w:tcPr>
            <w:tcW w:w="1148" w:type="dxa"/>
            <w:vAlign w:val="center"/>
          </w:tcPr>
          <w:p w14:paraId="6066C3C2">
            <w:pPr>
              <w:ind w:left="223" w:hanging="223" w:hangingChars="106"/>
              <w:jc w:val="center"/>
              <w:rPr>
                <w:rFonts w:ascii="宋体" w:hAnsi="宋体"/>
                <w:b/>
                <w:color w:val="000000"/>
                <w:highlight w:val="none"/>
              </w:rPr>
            </w:pPr>
          </w:p>
        </w:tc>
        <w:tc>
          <w:tcPr>
            <w:tcW w:w="1148" w:type="dxa"/>
            <w:vAlign w:val="center"/>
          </w:tcPr>
          <w:p w14:paraId="57B6B403">
            <w:pPr>
              <w:ind w:left="223" w:hanging="223" w:hangingChars="106"/>
              <w:jc w:val="center"/>
              <w:rPr>
                <w:rFonts w:ascii="宋体" w:hAnsi="宋体"/>
                <w:b/>
                <w:color w:val="000000"/>
                <w:highlight w:val="none"/>
              </w:rPr>
            </w:pPr>
          </w:p>
        </w:tc>
        <w:tc>
          <w:tcPr>
            <w:tcW w:w="1148" w:type="dxa"/>
            <w:vAlign w:val="center"/>
          </w:tcPr>
          <w:p w14:paraId="198D66E2">
            <w:pPr>
              <w:ind w:left="223" w:hanging="223" w:hangingChars="106"/>
              <w:jc w:val="center"/>
              <w:rPr>
                <w:rFonts w:ascii="宋体" w:hAnsi="宋体"/>
                <w:b/>
                <w:color w:val="000000"/>
                <w:highlight w:val="none"/>
              </w:rPr>
            </w:pPr>
          </w:p>
        </w:tc>
        <w:tc>
          <w:tcPr>
            <w:tcW w:w="850" w:type="dxa"/>
            <w:vAlign w:val="center"/>
          </w:tcPr>
          <w:p w14:paraId="02115229">
            <w:pPr>
              <w:ind w:left="223" w:hanging="223" w:hangingChars="106"/>
              <w:jc w:val="center"/>
              <w:rPr>
                <w:rFonts w:ascii="宋体" w:hAnsi="宋体"/>
                <w:b/>
                <w:color w:val="000000"/>
                <w:highlight w:val="none"/>
              </w:rPr>
            </w:pPr>
          </w:p>
        </w:tc>
        <w:tc>
          <w:tcPr>
            <w:tcW w:w="1276" w:type="dxa"/>
            <w:vAlign w:val="center"/>
          </w:tcPr>
          <w:p w14:paraId="14B3A9BF">
            <w:pPr>
              <w:ind w:left="223" w:hanging="223" w:hangingChars="106"/>
              <w:jc w:val="center"/>
              <w:rPr>
                <w:rFonts w:ascii="宋体" w:hAnsi="宋体"/>
                <w:b/>
                <w:color w:val="000000"/>
                <w:highlight w:val="none"/>
              </w:rPr>
            </w:pPr>
          </w:p>
        </w:tc>
      </w:tr>
      <w:tr w14:paraId="4721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DB83ED1">
            <w:pPr>
              <w:ind w:left="223" w:hanging="222" w:hangingChars="106"/>
              <w:jc w:val="center"/>
              <w:rPr>
                <w:rFonts w:hint="eastAsia" w:ascii="宋体" w:hAnsi="宋体"/>
                <w:color w:val="000000"/>
                <w:highlight w:val="none"/>
              </w:rPr>
            </w:pPr>
            <w:r>
              <w:rPr>
                <w:rFonts w:hint="eastAsia" w:ascii="宋体" w:hAnsi="宋体"/>
                <w:color w:val="000000"/>
                <w:highlight w:val="none"/>
              </w:rPr>
              <w:t>……</w:t>
            </w:r>
          </w:p>
        </w:tc>
        <w:tc>
          <w:tcPr>
            <w:tcW w:w="829" w:type="dxa"/>
            <w:vAlign w:val="center"/>
          </w:tcPr>
          <w:p w14:paraId="3D4367FD">
            <w:pPr>
              <w:ind w:left="223" w:hanging="223" w:hangingChars="106"/>
              <w:jc w:val="center"/>
              <w:rPr>
                <w:rFonts w:ascii="宋体" w:hAnsi="宋体"/>
                <w:b/>
                <w:color w:val="000000"/>
                <w:highlight w:val="none"/>
              </w:rPr>
            </w:pPr>
          </w:p>
        </w:tc>
        <w:tc>
          <w:tcPr>
            <w:tcW w:w="816" w:type="dxa"/>
            <w:vAlign w:val="center"/>
          </w:tcPr>
          <w:p w14:paraId="1556585B">
            <w:pPr>
              <w:ind w:left="223" w:hanging="223" w:hangingChars="106"/>
              <w:jc w:val="center"/>
              <w:rPr>
                <w:rFonts w:ascii="宋体" w:hAnsi="宋体"/>
                <w:b/>
                <w:color w:val="000000"/>
                <w:highlight w:val="none"/>
              </w:rPr>
            </w:pPr>
          </w:p>
        </w:tc>
        <w:tc>
          <w:tcPr>
            <w:tcW w:w="1148" w:type="dxa"/>
            <w:vAlign w:val="center"/>
          </w:tcPr>
          <w:p w14:paraId="0C75DAE0">
            <w:pPr>
              <w:ind w:left="223" w:hanging="223" w:hangingChars="106"/>
              <w:jc w:val="center"/>
              <w:rPr>
                <w:rFonts w:ascii="宋体" w:hAnsi="宋体"/>
                <w:b/>
                <w:color w:val="000000"/>
                <w:highlight w:val="none"/>
              </w:rPr>
            </w:pPr>
          </w:p>
        </w:tc>
        <w:tc>
          <w:tcPr>
            <w:tcW w:w="1148" w:type="dxa"/>
            <w:vAlign w:val="center"/>
          </w:tcPr>
          <w:p w14:paraId="46E8DBB6">
            <w:pPr>
              <w:ind w:left="223" w:hanging="223" w:hangingChars="106"/>
              <w:jc w:val="center"/>
              <w:rPr>
                <w:rFonts w:ascii="宋体" w:hAnsi="宋体"/>
                <w:b/>
                <w:color w:val="000000"/>
                <w:highlight w:val="none"/>
              </w:rPr>
            </w:pPr>
          </w:p>
        </w:tc>
        <w:tc>
          <w:tcPr>
            <w:tcW w:w="1148" w:type="dxa"/>
            <w:vAlign w:val="center"/>
          </w:tcPr>
          <w:p w14:paraId="6B4FF197">
            <w:pPr>
              <w:ind w:left="223" w:hanging="223" w:hangingChars="106"/>
              <w:jc w:val="center"/>
              <w:rPr>
                <w:rFonts w:ascii="宋体" w:hAnsi="宋体"/>
                <w:b/>
                <w:color w:val="000000"/>
                <w:highlight w:val="none"/>
              </w:rPr>
            </w:pPr>
          </w:p>
        </w:tc>
        <w:tc>
          <w:tcPr>
            <w:tcW w:w="1148" w:type="dxa"/>
            <w:vAlign w:val="center"/>
          </w:tcPr>
          <w:p w14:paraId="0B272CA7">
            <w:pPr>
              <w:ind w:left="223" w:hanging="223" w:hangingChars="106"/>
              <w:jc w:val="center"/>
              <w:rPr>
                <w:rFonts w:ascii="宋体" w:hAnsi="宋体"/>
                <w:b/>
                <w:color w:val="000000"/>
                <w:highlight w:val="none"/>
              </w:rPr>
            </w:pPr>
          </w:p>
        </w:tc>
        <w:tc>
          <w:tcPr>
            <w:tcW w:w="850" w:type="dxa"/>
            <w:vAlign w:val="center"/>
          </w:tcPr>
          <w:p w14:paraId="3B3ACF5E">
            <w:pPr>
              <w:ind w:left="223" w:hanging="223" w:hangingChars="106"/>
              <w:jc w:val="center"/>
              <w:rPr>
                <w:rFonts w:ascii="宋体" w:hAnsi="宋体"/>
                <w:b/>
                <w:color w:val="000000"/>
                <w:highlight w:val="none"/>
              </w:rPr>
            </w:pPr>
          </w:p>
        </w:tc>
        <w:tc>
          <w:tcPr>
            <w:tcW w:w="1276" w:type="dxa"/>
            <w:vAlign w:val="center"/>
          </w:tcPr>
          <w:p w14:paraId="7EC7A974">
            <w:pPr>
              <w:ind w:left="223" w:hanging="223" w:hangingChars="106"/>
              <w:jc w:val="center"/>
              <w:rPr>
                <w:rFonts w:ascii="宋体" w:hAnsi="宋体"/>
                <w:b/>
                <w:color w:val="000000"/>
                <w:highlight w:val="none"/>
              </w:rPr>
            </w:pPr>
          </w:p>
        </w:tc>
      </w:tr>
      <w:tr w14:paraId="18DC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7B5FA24A">
            <w:pPr>
              <w:spacing w:line="360" w:lineRule="auto"/>
              <w:rPr>
                <w:rFonts w:hint="eastAsia" w:ascii="宋体" w:hAnsi="宋体"/>
                <w:color w:val="000000"/>
                <w:highlight w:val="none"/>
              </w:rPr>
            </w:pPr>
            <w:bookmarkStart w:id="981" w:name="_Toc251052199"/>
            <w:r>
              <w:rPr>
                <w:rFonts w:hint="eastAsia" w:ascii="宋体" w:hAnsi="宋体"/>
                <w:color w:val="000000"/>
                <w:highlight w:val="none"/>
              </w:rPr>
              <w:t>一旦我单位成交，我方保证并配备上述项目管理机构。上述填报内容真实，若不真实，愿按有关规定接受处理。项目管理班子机构设置、职责分工等情况另附资料说明。</w:t>
            </w:r>
            <w:bookmarkEnd w:id="981"/>
          </w:p>
        </w:tc>
      </w:tr>
    </w:tbl>
    <w:p w14:paraId="1109EAC9">
      <w:pPr>
        <w:tabs>
          <w:tab w:val="left" w:pos="0"/>
        </w:tabs>
        <w:spacing w:line="360" w:lineRule="auto"/>
        <w:ind w:right="-210"/>
        <w:rPr>
          <w:rFonts w:ascii="宋体" w:hAnsi="宋体"/>
          <w:color w:val="000000"/>
          <w:highlight w:val="none"/>
        </w:rPr>
      </w:pPr>
    </w:p>
    <w:p w14:paraId="2290D77B">
      <w:pPr>
        <w:tabs>
          <w:tab w:val="left" w:pos="0"/>
        </w:tabs>
        <w:spacing w:line="360" w:lineRule="auto"/>
        <w:ind w:right="-210"/>
        <w:rPr>
          <w:rFonts w:ascii="宋体" w:hAnsi="宋体"/>
          <w:color w:val="000000"/>
          <w:highlight w:val="none"/>
        </w:rPr>
      </w:pPr>
    </w:p>
    <w:p w14:paraId="65A4F894">
      <w:pPr>
        <w:tabs>
          <w:tab w:val="left" w:pos="0"/>
        </w:tabs>
        <w:spacing w:line="360" w:lineRule="auto"/>
        <w:ind w:right="-210"/>
        <w:rPr>
          <w:rFonts w:ascii="宋体" w:hAnsi="宋体"/>
          <w:b/>
          <w:color w:val="000000"/>
          <w:highlight w:val="none"/>
        </w:rPr>
      </w:pPr>
    </w:p>
    <w:p w14:paraId="7044A2DD">
      <w:pPr>
        <w:pStyle w:val="44"/>
        <w:spacing w:line="400" w:lineRule="exact"/>
        <w:ind w:firstLine="3968" w:firstLineChars="1890"/>
        <w:rPr>
          <w:rFonts w:hAnsi="宋体"/>
          <w:color w:val="000000"/>
          <w:highlight w:val="none"/>
        </w:rPr>
      </w:pPr>
      <w:r>
        <w:rPr>
          <w:rFonts w:hAnsi="宋体"/>
          <w:color w:val="000000"/>
          <w:highlight w:val="none"/>
        </w:rPr>
        <w:t>供应商（加盖公章）：</w:t>
      </w:r>
    </w:p>
    <w:p w14:paraId="2FCEDA50">
      <w:pPr>
        <w:pStyle w:val="44"/>
        <w:spacing w:line="400" w:lineRule="exact"/>
        <w:ind w:firstLine="3968" w:firstLineChars="1890"/>
        <w:rPr>
          <w:rFonts w:hAnsi="宋体"/>
          <w:color w:val="000000"/>
          <w:highlight w:val="none"/>
        </w:rPr>
      </w:pPr>
      <w:r>
        <w:rPr>
          <w:rFonts w:hAnsi="宋体"/>
          <w:color w:val="000000"/>
          <w:highlight w:val="none"/>
        </w:rPr>
        <w:t>法定代表人 (负责人)或委托代理人（签字）：</w:t>
      </w:r>
    </w:p>
    <w:p w14:paraId="1D7C24D7">
      <w:pPr>
        <w:pStyle w:val="44"/>
        <w:spacing w:line="400" w:lineRule="exact"/>
        <w:ind w:firstLine="3968" w:firstLineChars="1890"/>
        <w:rPr>
          <w:rFonts w:hAnsi="宋体"/>
          <w:color w:val="000000"/>
          <w:highlight w:val="none"/>
        </w:rPr>
      </w:pPr>
      <w:r>
        <w:rPr>
          <w:rFonts w:hAnsi="宋体"/>
          <w:color w:val="000000"/>
          <w:highlight w:val="none"/>
        </w:rPr>
        <w:t>磋商日期：</w:t>
      </w:r>
    </w:p>
    <w:p w14:paraId="2E4FB51C">
      <w:pPr>
        <w:pStyle w:val="44"/>
        <w:spacing w:line="400" w:lineRule="exact"/>
        <w:ind w:firstLine="3968" w:firstLineChars="1890"/>
        <w:rPr>
          <w:rFonts w:hAnsi="宋体"/>
          <w:color w:val="000000"/>
          <w:highlight w:val="none"/>
          <w:u w:val="single"/>
        </w:rPr>
      </w:pPr>
    </w:p>
    <w:p w14:paraId="0E5552A3">
      <w:pPr>
        <w:pStyle w:val="44"/>
        <w:spacing w:line="400" w:lineRule="exact"/>
        <w:ind w:firstLine="3968" w:firstLineChars="1890"/>
        <w:rPr>
          <w:rFonts w:hAnsi="宋体"/>
          <w:color w:val="000000"/>
          <w:highlight w:val="none"/>
          <w:u w:val="single"/>
        </w:rPr>
      </w:pPr>
    </w:p>
    <w:p w14:paraId="78EFE7AE">
      <w:pPr>
        <w:pStyle w:val="44"/>
        <w:spacing w:line="400" w:lineRule="exact"/>
        <w:ind w:firstLine="3968" w:firstLineChars="1890"/>
        <w:rPr>
          <w:rFonts w:hAnsi="宋体"/>
          <w:color w:val="000000"/>
          <w:highlight w:val="none"/>
          <w:u w:val="single"/>
        </w:rPr>
      </w:pPr>
    </w:p>
    <w:p w14:paraId="3B81593D">
      <w:pPr>
        <w:pStyle w:val="44"/>
        <w:spacing w:line="400" w:lineRule="exact"/>
        <w:ind w:firstLine="3968" w:firstLineChars="1890"/>
        <w:rPr>
          <w:rFonts w:hAnsi="宋体"/>
          <w:color w:val="000000"/>
          <w:highlight w:val="none"/>
          <w:u w:val="single"/>
        </w:rPr>
      </w:pPr>
    </w:p>
    <w:p w14:paraId="0FF2C7FE">
      <w:pPr>
        <w:pStyle w:val="44"/>
        <w:spacing w:line="400" w:lineRule="exact"/>
        <w:ind w:firstLine="3968" w:firstLineChars="1890"/>
        <w:rPr>
          <w:rFonts w:hAnsi="宋体"/>
          <w:color w:val="000000"/>
          <w:highlight w:val="none"/>
          <w:u w:val="single"/>
        </w:rPr>
      </w:pPr>
    </w:p>
    <w:p w14:paraId="34F249AA">
      <w:pPr>
        <w:pStyle w:val="44"/>
        <w:spacing w:line="400" w:lineRule="exact"/>
        <w:ind w:firstLine="3968" w:firstLineChars="1890"/>
        <w:rPr>
          <w:rFonts w:hAnsi="宋体"/>
          <w:color w:val="000000"/>
          <w:highlight w:val="none"/>
          <w:u w:val="single"/>
        </w:rPr>
      </w:pPr>
    </w:p>
    <w:p w14:paraId="2F67B47A">
      <w:pPr>
        <w:pStyle w:val="44"/>
        <w:spacing w:line="400" w:lineRule="exact"/>
        <w:ind w:firstLine="3968" w:firstLineChars="1890"/>
        <w:rPr>
          <w:rFonts w:hAnsi="宋体"/>
          <w:color w:val="000000"/>
          <w:highlight w:val="none"/>
          <w:u w:val="single"/>
        </w:rPr>
      </w:pPr>
    </w:p>
    <w:p w14:paraId="7111AB92">
      <w:pPr>
        <w:pStyle w:val="105"/>
        <w:rPr>
          <w:color w:val="000000"/>
          <w:highlight w:val="none"/>
        </w:rPr>
      </w:pPr>
    </w:p>
    <w:p w14:paraId="7BF72C30">
      <w:pPr>
        <w:pStyle w:val="105"/>
        <w:rPr>
          <w:color w:val="000000"/>
          <w:highlight w:val="none"/>
        </w:rPr>
      </w:pPr>
    </w:p>
    <w:p w14:paraId="3F836F4B">
      <w:pPr>
        <w:pStyle w:val="105"/>
        <w:rPr>
          <w:color w:val="000000"/>
          <w:highlight w:val="none"/>
        </w:rPr>
      </w:pPr>
    </w:p>
    <w:p w14:paraId="641B5BCF">
      <w:pPr>
        <w:pStyle w:val="105"/>
        <w:rPr>
          <w:color w:val="000000"/>
          <w:highlight w:val="none"/>
        </w:rPr>
      </w:pPr>
    </w:p>
    <w:p w14:paraId="183FD35F">
      <w:pPr>
        <w:pStyle w:val="105"/>
        <w:rPr>
          <w:color w:val="000000"/>
          <w:highlight w:val="none"/>
        </w:rPr>
      </w:pPr>
    </w:p>
    <w:p w14:paraId="171BB8C2">
      <w:pPr>
        <w:pStyle w:val="10"/>
        <w:spacing w:line="560" w:lineRule="exact"/>
        <w:jc w:val="center"/>
        <w:rPr>
          <w:rFonts w:hint="eastAsia" w:ascii="宋体" w:hAnsi="宋体"/>
          <w:bCs/>
          <w:color w:val="000000"/>
          <w:sz w:val="44"/>
          <w:highlight w:val="none"/>
        </w:rPr>
      </w:pPr>
      <w:bookmarkStart w:id="982" w:name="_Toc29263"/>
      <w:bookmarkStart w:id="983" w:name="_Toc108539873"/>
      <w:bookmarkStart w:id="984" w:name="_Toc20944"/>
      <w:r>
        <w:rPr>
          <w:rFonts w:hint="eastAsia" w:ascii="宋体" w:hAnsi="宋体"/>
          <w:bCs/>
          <w:color w:val="000000"/>
          <w:sz w:val="44"/>
          <w:highlight w:val="none"/>
        </w:rPr>
        <w:t>第七章   附件</w:t>
      </w:r>
      <w:bookmarkEnd w:id="982"/>
      <w:bookmarkEnd w:id="983"/>
      <w:bookmarkEnd w:id="984"/>
    </w:p>
    <w:p w14:paraId="6EBBACDB">
      <w:pPr>
        <w:pStyle w:val="44"/>
        <w:spacing w:line="400" w:lineRule="exact"/>
        <w:rPr>
          <w:rFonts w:hAnsi="宋体"/>
          <w:color w:val="000000"/>
          <w:highlight w:val="none"/>
        </w:rPr>
      </w:pPr>
    </w:p>
    <w:p w14:paraId="111F1C6C">
      <w:pPr>
        <w:pStyle w:val="44"/>
        <w:spacing w:line="400" w:lineRule="exact"/>
        <w:rPr>
          <w:rFonts w:hAnsi="宋体"/>
          <w:color w:val="000000"/>
          <w:highlight w:val="none"/>
        </w:rPr>
      </w:pPr>
    </w:p>
    <w:p w14:paraId="3FA702D5">
      <w:pPr>
        <w:pStyle w:val="44"/>
        <w:spacing w:line="400" w:lineRule="exact"/>
        <w:rPr>
          <w:rFonts w:hAnsi="宋体"/>
          <w:color w:val="000000"/>
          <w:highlight w:val="none"/>
        </w:rPr>
      </w:pPr>
      <w:r>
        <w:rPr>
          <w:rFonts w:hAnsi="宋体"/>
          <w:color w:val="000000"/>
          <w:highlight w:val="none"/>
        </w:rPr>
        <w:br w:type="page"/>
      </w:r>
    </w:p>
    <w:p w14:paraId="3E4400BC">
      <w:pPr>
        <w:pStyle w:val="44"/>
        <w:spacing w:line="200" w:lineRule="exact"/>
        <w:rPr>
          <w:rFonts w:hAnsi="宋体"/>
          <w:b/>
          <w:color w:val="000000"/>
          <w:highlight w:val="none"/>
        </w:rPr>
      </w:pPr>
    </w:p>
    <w:p w14:paraId="27CD7D84">
      <w:pPr>
        <w:pStyle w:val="44"/>
        <w:spacing w:line="400" w:lineRule="exact"/>
        <w:outlineLvl w:val="0"/>
        <w:rPr>
          <w:rFonts w:hAnsi="宋体"/>
          <w:b/>
          <w:bCs/>
          <w:color w:val="000000"/>
          <w:sz w:val="28"/>
          <w:szCs w:val="28"/>
          <w:highlight w:val="none"/>
        </w:rPr>
      </w:pPr>
      <w:bookmarkStart w:id="985" w:name="_Toc25066"/>
      <w:bookmarkStart w:id="986" w:name="_Toc108539874"/>
      <w:bookmarkStart w:id="987" w:name="_Toc9967"/>
      <w:r>
        <w:rPr>
          <w:rFonts w:hAnsi="宋体"/>
          <w:b/>
          <w:bCs/>
          <w:color w:val="000000"/>
          <w:sz w:val="28"/>
          <w:szCs w:val="28"/>
          <w:highlight w:val="none"/>
        </w:rPr>
        <w:t>附件1：</w:t>
      </w:r>
      <w:bookmarkEnd w:id="985"/>
      <w:r>
        <w:rPr>
          <w:rFonts w:hAnsi="宋体"/>
          <w:b/>
          <w:bCs/>
          <w:color w:val="000000"/>
          <w:sz w:val="28"/>
          <w:szCs w:val="28"/>
          <w:highlight w:val="none"/>
        </w:rPr>
        <w:t>图纸、工程量清单另册，详见广西政府采购云平台上传的附件</w:t>
      </w:r>
      <w:bookmarkEnd w:id="986"/>
      <w:bookmarkEnd w:id="987"/>
    </w:p>
    <w:p w14:paraId="7ECB021E">
      <w:pPr>
        <w:widowControl/>
        <w:jc w:val="center"/>
        <w:rPr>
          <w:rFonts w:ascii="宋体" w:hAnsi="宋体"/>
          <w:bCs/>
          <w:color w:val="000000"/>
          <w:kern w:val="0"/>
          <w:sz w:val="44"/>
          <w:szCs w:val="44"/>
          <w:highlight w:val="none"/>
        </w:rPr>
      </w:pPr>
    </w:p>
    <w:p w14:paraId="4B87B518">
      <w:pPr>
        <w:spacing w:line="360" w:lineRule="exact"/>
        <w:ind w:left="984" w:hanging="984" w:hangingChars="350"/>
        <w:rPr>
          <w:rFonts w:ascii="宋体" w:hAnsi="宋体"/>
          <w:b/>
          <w:bCs/>
          <w:color w:val="000000"/>
          <w:sz w:val="28"/>
          <w:szCs w:val="28"/>
          <w:highlight w:val="none"/>
        </w:rPr>
      </w:pPr>
    </w:p>
    <w:p w14:paraId="486E81F1">
      <w:pPr>
        <w:spacing w:line="360" w:lineRule="exact"/>
        <w:ind w:left="984" w:hanging="984" w:hangingChars="350"/>
        <w:rPr>
          <w:rFonts w:ascii="宋体" w:hAnsi="宋体"/>
          <w:b/>
          <w:bCs/>
          <w:color w:val="000000"/>
          <w:sz w:val="28"/>
          <w:szCs w:val="28"/>
          <w:highlight w:val="none"/>
        </w:rPr>
      </w:pPr>
    </w:p>
    <w:p w14:paraId="023B2633">
      <w:pPr>
        <w:spacing w:line="360" w:lineRule="exact"/>
        <w:ind w:left="984" w:hanging="984" w:hangingChars="350"/>
        <w:rPr>
          <w:rFonts w:ascii="宋体" w:hAnsi="宋体"/>
          <w:b/>
          <w:bCs/>
          <w:color w:val="000000"/>
          <w:sz w:val="28"/>
          <w:szCs w:val="28"/>
          <w:highlight w:val="none"/>
        </w:rPr>
      </w:pPr>
    </w:p>
    <w:p w14:paraId="2E2C422D">
      <w:pPr>
        <w:spacing w:line="360" w:lineRule="exact"/>
        <w:ind w:left="984" w:hanging="984" w:hangingChars="350"/>
        <w:rPr>
          <w:rFonts w:ascii="宋体" w:hAnsi="宋体"/>
          <w:b/>
          <w:bCs/>
          <w:color w:val="000000"/>
          <w:sz w:val="28"/>
          <w:szCs w:val="28"/>
          <w:highlight w:val="none"/>
        </w:rPr>
      </w:pPr>
    </w:p>
    <w:p w14:paraId="44140DA6">
      <w:pPr>
        <w:spacing w:line="360" w:lineRule="exact"/>
        <w:ind w:left="984" w:hanging="984" w:hangingChars="350"/>
        <w:rPr>
          <w:rFonts w:ascii="宋体" w:hAnsi="宋体"/>
          <w:b/>
          <w:bCs/>
          <w:color w:val="000000"/>
          <w:sz w:val="28"/>
          <w:szCs w:val="28"/>
          <w:highlight w:val="none"/>
        </w:rPr>
      </w:pPr>
    </w:p>
    <w:p w14:paraId="1B89253F">
      <w:pPr>
        <w:spacing w:line="360" w:lineRule="exact"/>
        <w:ind w:left="984" w:hanging="984" w:hangingChars="350"/>
        <w:rPr>
          <w:rFonts w:ascii="宋体" w:hAnsi="宋体"/>
          <w:b/>
          <w:bCs/>
          <w:color w:val="000000"/>
          <w:sz w:val="28"/>
          <w:szCs w:val="28"/>
          <w:highlight w:val="none"/>
        </w:rPr>
      </w:pPr>
    </w:p>
    <w:p w14:paraId="724DF854">
      <w:pPr>
        <w:pStyle w:val="44"/>
        <w:spacing w:line="400" w:lineRule="exact"/>
        <w:outlineLvl w:val="0"/>
        <w:rPr>
          <w:rFonts w:hAnsi="宋体"/>
          <w:b/>
          <w:bCs/>
          <w:color w:val="000000"/>
          <w:sz w:val="28"/>
          <w:szCs w:val="28"/>
          <w:highlight w:val="none"/>
        </w:rPr>
      </w:pPr>
      <w:r>
        <w:rPr>
          <w:rFonts w:hAnsi="宋体"/>
          <w:b/>
          <w:bCs/>
          <w:color w:val="000000"/>
          <w:sz w:val="28"/>
          <w:szCs w:val="28"/>
          <w:highlight w:val="none"/>
        </w:rPr>
        <w:br w:type="page"/>
      </w:r>
      <w:bookmarkStart w:id="988" w:name="_Toc13581"/>
      <w:r>
        <w:rPr>
          <w:rFonts w:hAnsi="宋体"/>
          <w:b/>
          <w:bCs/>
          <w:color w:val="000000"/>
          <w:sz w:val="28"/>
          <w:szCs w:val="28"/>
          <w:highlight w:val="none"/>
        </w:rPr>
        <w:t>附件2：</w:t>
      </w:r>
      <w:bookmarkEnd w:id="988"/>
    </w:p>
    <w:p w14:paraId="703B63C6">
      <w:pPr>
        <w:widowControl/>
        <w:spacing w:line="330" w:lineRule="atLeast"/>
        <w:jc w:val="center"/>
        <w:rPr>
          <w:rFonts w:hint="eastAsia" w:ascii="方正小标宋_GBK" w:hAnsi="宋体" w:eastAsia="方正小标宋_GBK"/>
          <w:color w:val="000000"/>
          <w:kern w:val="0"/>
          <w:sz w:val="36"/>
          <w:szCs w:val="32"/>
          <w:highlight w:val="none"/>
        </w:rPr>
      </w:pPr>
      <w:r>
        <w:rPr>
          <w:rFonts w:hint="eastAsia" w:ascii="方正小标宋_GBK" w:hAnsi="宋体" w:eastAsia="方正小标宋_GBK"/>
          <w:color w:val="000000"/>
          <w:kern w:val="0"/>
          <w:sz w:val="36"/>
          <w:szCs w:val="32"/>
          <w:highlight w:val="none"/>
        </w:rPr>
        <w:t>统计上大中小微型企业划分标准</w:t>
      </w:r>
    </w:p>
    <w:p w14:paraId="75321E9B">
      <w:pPr>
        <w:spacing w:line="360" w:lineRule="exact"/>
        <w:ind w:left="984" w:hanging="984" w:hangingChars="350"/>
        <w:rPr>
          <w:rFonts w:ascii="宋体" w:hAnsi="宋体"/>
          <w:b/>
          <w:bCs/>
          <w:color w:val="000000"/>
          <w:sz w:val="28"/>
          <w:szCs w:val="28"/>
          <w:highlight w:val="none"/>
        </w:rPr>
      </w:pPr>
    </w:p>
    <w:tbl>
      <w:tblPr>
        <w:tblStyle w:val="7"/>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248CDFF">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7313BB82">
            <w:pPr>
              <w:widowControl/>
              <w:spacing w:line="240" w:lineRule="exact"/>
              <w:jc w:val="center"/>
              <w:rPr>
                <w:rFonts w:hint="eastAsia" w:ascii="宋体" w:hAnsi="宋体"/>
                <w:b/>
                <w:bCs/>
                <w:color w:val="000000"/>
                <w:kern w:val="0"/>
                <w:sz w:val="18"/>
                <w:szCs w:val="21"/>
                <w:highlight w:val="none"/>
              </w:rPr>
            </w:pPr>
            <w:r>
              <w:rPr>
                <w:rFonts w:hint="eastAsia" w:ascii="宋体" w:hAnsi="宋体"/>
                <w:b/>
                <w:bCs/>
                <w:color w:val="000000"/>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vAlign w:val="center"/>
          </w:tcPr>
          <w:p w14:paraId="16CDF9F2">
            <w:pPr>
              <w:widowControl/>
              <w:jc w:val="center"/>
              <w:rPr>
                <w:rFonts w:hint="eastAsia" w:ascii="宋体" w:hAnsi="宋体"/>
                <w:b/>
                <w:bCs/>
                <w:color w:val="000000"/>
                <w:kern w:val="0"/>
                <w:sz w:val="18"/>
                <w:szCs w:val="18"/>
                <w:highlight w:val="none"/>
              </w:rPr>
            </w:pPr>
            <w:r>
              <w:rPr>
                <w:rFonts w:hint="eastAsia" w:ascii="宋体" w:hAnsi="宋体"/>
                <w:b/>
                <w:bCs/>
                <w:color w:val="000000"/>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14:paraId="61D45567">
            <w:pPr>
              <w:widowControl/>
              <w:jc w:val="center"/>
              <w:rPr>
                <w:rFonts w:hint="eastAsia" w:ascii="宋体" w:hAnsi="宋体"/>
                <w:b/>
                <w:bCs/>
                <w:color w:val="000000"/>
                <w:kern w:val="0"/>
                <w:sz w:val="18"/>
                <w:szCs w:val="18"/>
                <w:highlight w:val="none"/>
              </w:rPr>
            </w:pPr>
            <w:r>
              <w:rPr>
                <w:rFonts w:hint="eastAsia" w:ascii="宋体" w:hAnsi="宋体"/>
                <w:b/>
                <w:bCs/>
                <w:color w:val="000000"/>
                <w:kern w:val="0"/>
                <w:sz w:val="18"/>
                <w:szCs w:val="18"/>
                <w:highlight w:val="none"/>
              </w:rPr>
              <w:t>计量</w:t>
            </w:r>
          </w:p>
          <w:p w14:paraId="00EB4E94">
            <w:pPr>
              <w:widowControl/>
              <w:jc w:val="center"/>
              <w:rPr>
                <w:rFonts w:hint="eastAsia" w:ascii="宋体" w:hAnsi="宋体"/>
                <w:b/>
                <w:bCs/>
                <w:color w:val="000000"/>
                <w:kern w:val="0"/>
                <w:sz w:val="18"/>
                <w:szCs w:val="18"/>
                <w:highlight w:val="none"/>
              </w:rPr>
            </w:pPr>
            <w:r>
              <w:rPr>
                <w:rFonts w:hint="eastAsia" w:ascii="宋体" w:hAnsi="宋体"/>
                <w:b/>
                <w:bCs/>
                <w:color w:val="000000"/>
                <w:kern w:val="0"/>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14:paraId="1A38C890">
            <w:pPr>
              <w:widowControl/>
              <w:jc w:val="center"/>
              <w:rPr>
                <w:rFonts w:hint="eastAsia" w:ascii="宋体" w:hAnsi="宋体"/>
                <w:b/>
                <w:bCs/>
                <w:color w:val="000000"/>
                <w:kern w:val="0"/>
                <w:sz w:val="18"/>
                <w:szCs w:val="18"/>
                <w:highlight w:val="none"/>
              </w:rPr>
            </w:pPr>
            <w:r>
              <w:rPr>
                <w:rFonts w:hint="eastAsia" w:ascii="宋体" w:hAnsi="宋体"/>
                <w:b/>
                <w:bCs/>
                <w:color w:val="000000"/>
                <w:kern w:val="0"/>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14:paraId="13481AB9">
            <w:pPr>
              <w:widowControl/>
              <w:jc w:val="center"/>
              <w:rPr>
                <w:rFonts w:hint="eastAsia" w:ascii="宋体" w:hAnsi="宋体"/>
                <w:b/>
                <w:bCs/>
                <w:color w:val="000000"/>
                <w:kern w:val="0"/>
                <w:sz w:val="18"/>
                <w:szCs w:val="18"/>
                <w:highlight w:val="none"/>
              </w:rPr>
            </w:pPr>
            <w:r>
              <w:rPr>
                <w:rFonts w:hint="eastAsia" w:ascii="宋体" w:hAnsi="宋体"/>
                <w:b/>
                <w:bCs/>
                <w:color w:val="000000"/>
                <w:kern w:val="0"/>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14:paraId="2BB0B341">
            <w:pPr>
              <w:widowControl/>
              <w:jc w:val="center"/>
              <w:rPr>
                <w:rFonts w:hint="eastAsia" w:ascii="宋体" w:hAnsi="宋体"/>
                <w:b/>
                <w:bCs/>
                <w:color w:val="000000"/>
                <w:kern w:val="0"/>
                <w:sz w:val="18"/>
                <w:szCs w:val="18"/>
                <w:highlight w:val="none"/>
              </w:rPr>
            </w:pPr>
            <w:r>
              <w:rPr>
                <w:rFonts w:hint="eastAsia" w:ascii="宋体" w:hAnsi="宋体"/>
                <w:b/>
                <w:bCs/>
                <w:color w:val="000000"/>
                <w:kern w:val="0"/>
                <w:sz w:val="18"/>
                <w:szCs w:val="18"/>
                <w:highlight w:val="none"/>
              </w:rPr>
              <w:t>小型</w:t>
            </w:r>
          </w:p>
        </w:tc>
        <w:tc>
          <w:tcPr>
            <w:tcW w:w="992" w:type="dxa"/>
            <w:tcBorders>
              <w:top w:val="single" w:color="auto" w:sz="4" w:space="0"/>
              <w:left w:val="nil"/>
              <w:bottom w:val="single" w:color="auto" w:sz="4" w:space="0"/>
              <w:right w:val="nil"/>
            </w:tcBorders>
            <w:vAlign w:val="center"/>
          </w:tcPr>
          <w:p w14:paraId="4D6F038C">
            <w:pPr>
              <w:widowControl/>
              <w:jc w:val="center"/>
              <w:rPr>
                <w:rFonts w:hint="eastAsia" w:ascii="宋体" w:hAnsi="宋体"/>
                <w:b/>
                <w:bCs/>
                <w:color w:val="000000"/>
                <w:kern w:val="0"/>
                <w:sz w:val="18"/>
                <w:szCs w:val="18"/>
                <w:highlight w:val="none"/>
              </w:rPr>
            </w:pPr>
            <w:r>
              <w:rPr>
                <w:rFonts w:hint="eastAsia" w:ascii="宋体" w:hAnsi="宋体"/>
                <w:b/>
                <w:bCs/>
                <w:color w:val="000000"/>
                <w:kern w:val="0"/>
                <w:sz w:val="18"/>
                <w:szCs w:val="18"/>
                <w:highlight w:val="none"/>
              </w:rPr>
              <w:t>微型</w:t>
            </w:r>
          </w:p>
        </w:tc>
      </w:tr>
      <w:tr w14:paraId="4FA0097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72F497FC">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农、林、牧、渔业</w:t>
            </w:r>
          </w:p>
        </w:tc>
        <w:tc>
          <w:tcPr>
            <w:tcW w:w="1369" w:type="dxa"/>
            <w:tcBorders>
              <w:top w:val="nil"/>
              <w:left w:val="nil"/>
              <w:bottom w:val="single" w:color="auto" w:sz="4" w:space="0"/>
              <w:right w:val="single" w:color="auto" w:sz="4" w:space="0"/>
            </w:tcBorders>
            <w:vAlign w:val="center"/>
          </w:tcPr>
          <w:p w14:paraId="253DCAF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3FEAAA9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2CCE33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Y≥20000</w:t>
            </w:r>
          </w:p>
        </w:tc>
        <w:tc>
          <w:tcPr>
            <w:tcW w:w="1701" w:type="dxa"/>
            <w:tcBorders>
              <w:top w:val="nil"/>
              <w:left w:val="nil"/>
              <w:bottom w:val="single" w:color="auto" w:sz="4" w:space="0"/>
              <w:right w:val="single" w:color="auto" w:sz="4" w:space="0"/>
            </w:tcBorders>
            <w:vAlign w:val="center"/>
          </w:tcPr>
          <w:p w14:paraId="0B0B6FB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28C19787">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50≤Y＜500</w:t>
            </w:r>
          </w:p>
        </w:tc>
        <w:tc>
          <w:tcPr>
            <w:tcW w:w="992" w:type="dxa"/>
            <w:tcBorders>
              <w:top w:val="nil"/>
              <w:left w:val="nil"/>
              <w:bottom w:val="single" w:color="auto" w:sz="4" w:space="0"/>
              <w:right w:val="nil"/>
            </w:tcBorders>
            <w:vAlign w:val="center"/>
          </w:tcPr>
          <w:p w14:paraId="0E62E95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Y＜50</w:t>
            </w:r>
          </w:p>
        </w:tc>
      </w:tr>
      <w:tr w14:paraId="095F0A8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2CF290C">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工业 *</w:t>
            </w:r>
          </w:p>
        </w:tc>
        <w:tc>
          <w:tcPr>
            <w:tcW w:w="1369" w:type="dxa"/>
            <w:tcBorders>
              <w:top w:val="nil"/>
              <w:left w:val="nil"/>
              <w:bottom w:val="nil"/>
              <w:right w:val="single" w:color="auto" w:sz="4" w:space="0"/>
            </w:tcBorders>
            <w:vAlign w:val="center"/>
          </w:tcPr>
          <w:p w14:paraId="6DEAC087">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583B12D1">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68F190B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X≥1000</w:t>
            </w:r>
          </w:p>
        </w:tc>
        <w:tc>
          <w:tcPr>
            <w:tcW w:w="1701" w:type="dxa"/>
            <w:tcBorders>
              <w:top w:val="nil"/>
              <w:left w:val="nil"/>
              <w:bottom w:val="nil"/>
              <w:right w:val="single" w:color="auto" w:sz="4" w:space="0"/>
            </w:tcBorders>
            <w:vAlign w:val="center"/>
          </w:tcPr>
          <w:p w14:paraId="0FBB270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300≤X＜1000</w:t>
            </w:r>
          </w:p>
        </w:tc>
        <w:tc>
          <w:tcPr>
            <w:tcW w:w="1426" w:type="dxa"/>
            <w:tcBorders>
              <w:top w:val="nil"/>
              <w:left w:val="nil"/>
              <w:bottom w:val="nil"/>
              <w:right w:val="single" w:color="auto" w:sz="4" w:space="0"/>
            </w:tcBorders>
            <w:vAlign w:val="center"/>
          </w:tcPr>
          <w:p w14:paraId="3D37546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20≤X＜300</w:t>
            </w:r>
          </w:p>
        </w:tc>
        <w:tc>
          <w:tcPr>
            <w:tcW w:w="992" w:type="dxa"/>
            <w:tcBorders>
              <w:top w:val="nil"/>
              <w:left w:val="nil"/>
              <w:bottom w:val="nil"/>
              <w:right w:val="nil"/>
            </w:tcBorders>
            <w:vAlign w:val="center"/>
          </w:tcPr>
          <w:p w14:paraId="1436E7C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X＜20</w:t>
            </w:r>
          </w:p>
        </w:tc>
      </w:tr>
      <w:tr w14:paraId="5B9259C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BC4507F">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78C85504">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C79C6A1">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2184D04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Y≥40000</w:t>
            </w:r>
          </w:p>
        </w:tc>
        <w:tc>
          <w:tcPr>
            <w:tcW w:w="1701" w:type="dxa"/>
            <w:tcBorders>
              <w:top w:val="nil"/>
              <w:left w:val="nil"/>
              <w:bottom w:val="single" w:color="auto" w:sz="4" w:space="0"/>
              <w:right w:val="single" w:color="auto" w:sz="4" w:space="0"/>
            </w:tcBorders>
            <w:vAlign w:val="center"/>
          </w:tcPr>
          <w:p w14:paraId="48FD075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2000≤Y＜40000</w:t>
            </w:r>
          </w:p>
        </w:tc>
        <w:tc>
          <w:tcPr>
            <w:tcW w:w="1426" w:type="dxa"/>
            <w:tcBorders>
              <w:top w:val="nil"/>
              <w:left w:val="nil"/>
              <w:bottom w:val="single" w:color="auto" w:sz="4" w:space="0"/>
              <w:right w:val="single" w:color="auto" w:sz="4" w:space="0"/>
            </w:tcBorders>
            <w:vAlign w:val="center"/>
          </w:tcPr>
          <w:p w14:paraId="7751A72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300≤Y＜2000</w:t>
            </w:r>
          </w:p>
        </w:tc>
        <w:tc>
          <w:tcPr>
            <w:tcW w:w="992" w:type="dxa"/>
            <w:tcBorders>
              <w:top w:val="nil"/>
              <w:left w:val="nil"/>
              <w:bottom w:val="single" w:color="auto" w:sz="4" w:space="0"/>
              <w:right w:val="nil"/>
            </w:tcBorders>
            <w:vAlign w:val="center"/>
          </w:tcPr>
          <w:p w14:paraId="768E200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Y＜300</w:t>
            </w:r>
          </w:p>
        </w:tc>
      </w:tr>
      <w:tr w14:paraId="25B97F2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F223D25">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建筑业</w:t>
            </w:r>
          </w:p>
        </w:tc>
        <w:tc>
          <w:tcPr>
            <w:tcW w:w="1369" w:type="dxa"/>
            <w:tcBorders>
              <w:top w:val="nil"/>
              <w:left w:val="nil"/>
              <w:bottom w:val="nil"/>
              <w:right w:val="single" w:color="auto" w:sz="4" w:space="0"/>
            </w:tcBorders>
            <w:vAlign w:val="center"/>
          </w:tcPr>
          <w:p w14:paraId="79C7C7E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nil"/>
              <w:right w:val="single" w:color="auto" w:sz="4" w:space="0"/>
            </w:tcBorders>
            <w:vAlign w:val="center"/>
          </w:tcPr>
          <w:p w14:paraId="21731AC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nil"/>
              <w:right w:val="single" w:color="auto" w:sz="4" w:space="0"/>
            </w:tcBorders>
            <w:vAlign w:val="center"/>
          </w:tcPr>
          <w:p w14:paraId="184C8B9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Y≥80000</w:t>
            </w:r>
          </w:p>
        </w:tc>
        <w:tc>
          <w:tcPr>
            <w:tcW w:w="1701" w:type="dxa"/>
            <w:tcBorders>
              <w:top w:val="nil"/>
              <w:left w:val="nil"/>
              <w:bottom w:val="nil"/>
              <w:right w:val="single" w:color="auto" w:sz="4" w:space="0"/>
            </w:tcBorders>
            <w:vAlign w:val="center"/>
          </w:tcPr>
          <w:p w14:paraId="4EED7DE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6000≤Y＜80000</w:t>
            </w:r>
          </w:p>
        </w:tc>
        <w:tc>
          <w:tcPr>
            <w:tcW w:w="1426" w:type="dxa"/>
            <w:tcBorders>
              <w:top w:val="nil"/>
              <w:left w:val="nil"/>
              <w:bottom w:val="nil"/>
              <w:right w:val="single" w:color="auto" w:sz="4" w:space="0"/>
            </w:tcBorders>
            <w:vAlign w:val="center"/>
          </w:tcPr>
          <w:p w14:paraId="6FF97C5F">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300≤Y＜6000</w:t>
            </w:r>
          </w:p>
        </w:tc>
        <w:tc>
          <w:tcPr>
            <w:tcW w:w="992" w:type="dxa"/>
            <w:tcBorders>
              <w:top w:val="nil"/>
              <w:left w:val="nil"/>
              <w:bottom w:val="nil"/>
              <w:right w:val="nil"/>
            </w:tcBorders>
            <w:vAlign w:val="center"/>
          </w:tcPr>
          <w:p w14:paraId="15524C16">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Y＜300</w:t>
            </w:r>
          </w:p>
        </w:tc>
      </w:tr>
      <w:tr w14:paraId="6846796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F4B2043">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59C58E95">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27557DF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72E61E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Z≥80000</w:t>
            </w:r>
          </w:p>
        </w:tc>
        <w:tc>
          <w:tcPr>
            <w:tcW w:w="1701" w:type="dxa"/>
            <w:tcBorders>
              <w:top w:val="nil"/>
              <w:left w:val="nil"/>
              <w:bottom w:val="single" w:color="auto" w:sz="4" w:space="0"/>
              <w:right w:val="single" w:color="auto" w:sz="4" w:space="0"/>
            </w:tcBorders>
            <w:vAlign w:val="center"/>
          </w:tcPr>
          <w:p w14:paraId="745F318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5000≤Z＜80000</w:t>
            </w:r>
          </w:p>
        </w:tc>
        <w:tc>
          <w:tcPr>
            <w:tcW w:w="1426" w:type="dxa"/>
            <w:tcBorders>
              <w:top w:val="nil"/>
              <w:left w:val="nil"/>
              <w:bottom w:val="single" w:color="auto" w:sz="4" w:space="0"/>
              <w:right w:val="single" w:color="auto" w:sz="4" w:space="0"/>
            </w:tcBorders>
            <w:vAlign w:val="center"/>
          </w:tcPr>
          <w:p w14:paraId="5AE0970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300≤Z＜5000</w:t>
            </w:r>
          </w:p>
        </w:tc>
        <w:tc>
          <w:tcPr>
            <w:tcW w:w="992" w:type="dxa"/>
            <w:tcBorders>
              <w:top w:val="nil"/>
              <w:left w:val="nil"/>
              <w:bottom w:val="single" w:color="auto" w:sz="4" w:space="0"/>
              <w:right w:val="nil"/>
            </w:tcBorders>
            <w:vAlign w:val="center"/>
          </w:tcPr>
          <w:p w14:paraId="553454B8">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Z＜300</w:t>
            </w:r>
          </w:p>
        </w:tc>
      </w:tr>
      <w:tr w14:paraId="6EEDA58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D415CE6">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批发业</w:t>
            </w:r>
          </w:p>
        </w:tc>
        <w:tc>
          <w:tcPr>
            <w:tcW w:w="1369" w:type="dxa"/>
            <w:tcBorders>
              <w:top w:val="nil"/>
              <w:left w:val="nil"/>
              <w:bottom w:val="nil"/>
              <w:right w:val="single" w:color="auto" w:sz="4" w:space="0"/>
            </w:tcBorders>
            <w:vAlign w:val="center"/>
          </w:tcPr>
          <w:p w14:paraId="3692048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4EA3B4A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2A12464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X≥200</w:t>
            </w:r>
          </w:p>
        </w:tc>
        <w:tc>
          <w:tcPr>
            <w:tcW w:w="1701" w:type="dxa"/>
            <w:tcBorders>
              <w:top w:val="nil"/>
              <w:left w:val="nil"/>
              <w:bottom w:val="nil"/>
              <w:right w:val="single" w:color="auto" w:sz="4" w:space="0"/>
            </w:tcBorders>
            <w:vAlign w:val="center"/>
          </w:tcPr>
          <w:p w14:paraId="0AF747B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20≤X＜200</w:t>
            </w:r>
          </w:p>
        </w:tc>
        <w:tc>
          <w:tcPr>
            <w:tcW w:w="1426" w:type="dxa"/>
            <w:tcBorders>
              <w:top w:val="nil"/>
              <w:left w:val="nil"/>
              <w:bottom w:val="nil"/>
              <w:right w:val="single" w:color="auto" w:sz="4" w:space="0"/>
            </w:tcBorders>
            <w:vAlign w:val="center"/>
          </w:tcPr>
          <w:p w14:paraId="6D1BADB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5≤X＜20</w:t>
            </w:r>
          </w:p>
        </w:tc>
        <w:tc>
          <w:tcPr>
            <w:tcW w:w="992" w:type="dxa"/>
            <w:tcBorders>
              <w:top w:val="nil"/>
              <w:left w:val="nil"/>
              <w:bottom w:val="nil"/>
              <w:right w:val="nil"/>
            </w:tcBorders>
            <w:vAlign w:val="center"/>
          </w:tcPr>
          <w:p w14:paraId="31CECA1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X＜5</w:t>
            </w:r>
          </w:p>
        </w:tc>
      </w:tr>
      <w:tr w14:paraId="353A87C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5B4941">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4C16B5A9">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0CF53D8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498D9B0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Y≥40000</w:t>
            </w:r>
          </w:p>
        </w:tc>
        <w:tc>
          <w:tcPr>
            <w:tcW w:w="1701" w:type="dxa"/>
            <w:tcBorders>
              <w:top w:val="nil"/>
              <w:left w:val="nil"/>
              <w:bottom w:val="single" w:color="auto" w:sz="4" w:space="0"/>
              <w:right w:val="single" w:color="auto" w:sz="4" w:space="0"/>
            </w:tcBorders>
            <w:vAlign w:val="center"/>
          </w:tcPr>
          <w:p w14:paraId="230261C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5000≤Y＜40000</w:t>
            </w:r>
          </w:p>
        </w:tc>
        <w:tc>
          <w:tcPr>
            <w:tcW w:w="1426" w:type="dxa"/>
            <w:tcBorders>
              <w:top w:val="nil"/>
              <w:left w:val="nil"/>
              <w:bottom w:val="single" w:color="auto" w:sz="4" w:space="0"/>
              <w:right w:val="single" w:color="auto" w:sz="4" w:space="0"/>
            </w:tcBorders>
            <w:vAlign w:val="center"/>
          </w:tcPr>
          <w:p w14:paraId="40C07323">
            <w:pPr>
              <w:widowControl/>
              <w:ind w:left="-1" w:leftChars="-1" w:hanging="1"/>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1000≤Y＜5000</w:t>
            </w:r>
          </w:p>
        </w:tc>
        <w:tc>
          <w:tcPr>
            <w:tcW w:w="992" w:type="dxa"/>
            <w:tcBorders>
              <w:top w:val="nil"/>
              <w:left w:val="nil"/>
              <w:bottom w:val="single" w:color="auto" w:sz="4" w:space="0"/>
              <w:right w:val="nil"/>
            </w:tcBorders>
            <w:vAlign w:val="center"/>
          </w:tcPr>
          <w:p w14:paraId="26D4044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Y＜1000</w:t>
            </w:r>
          </w:p>
        </w:tc>
      </w:tr>
      <w:tr w14:paraId="0C76B86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093B8DD">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零售业</w:t>
            </w:r>
          </w:p>
        </w:tc>
        <w:tc>
          <w:tcPr>
            <w:tcW w:w="1369" w:type="dxa"/>
            <w:tcBorders>
              <w:top w:val="nil"/>
              <w:left w:val="nil"/>
              <w:bottom w:val="nil"/>
              <w:right w:val="single" w:color="auto" w:sz="4" w:space="0"/>
            </w:tcBorders>
            <w:vAlign w:val="center"/>
          </w:tcPr>
          <w:p w14:paraId="1A958CE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221211F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6FE1E5F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X≥300</w:t>
            </w:r>
          </w:p>
        </w:tc>
        <w:tc>
          <w:tcPr>
            <w:tcW w:w="1701" w:type="dxa"/>
            <w:tcBorders>
              <w:top w:val="nil"/>
              <w:left w:val="nil"/>
              <w:bottom w:val="nil"/>
              <w:right w:val="single" w:color="auto" w:sz="4" w:space="0"/>
            </w:tcBorders>
            <w:vAlign w:val="center"/>
          </w:tcPr>
          <w:p w14:paraId="077E035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50≤X＜300</w:t>
            </w:r>
          </w:p>
        </w:tc>
        <w:tc>
          <w:tcPr>
            <w:tcW w:w="1426" w:type="dxa"/>
            <w:tcBorders>
              <w:top w:val="nil"/>
              <w:left w:val="nil"/>
              <w:bottom w:val="nil"/>
              <w:right w:val="single" w:color="auto" w:sz="4" w:space="0"/>
            </w:tcBorders>
            <w:vAlign w:val="center"/>
          </w:tcPr>
          <w:p w14:paraId="4817D3A8">
            <w:pPr>
              <w:widowControl/>
              <w:ind w:left="-1" w:leftChars="-1" w:hanging="1"/>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10≤X＜50 </w:t>
            </w:r>
          </w:p>
        </w:tc>
        <w:tc>
          <w:tcPr>
            <w:tcW w:w="992" w:type="dxa"/>
            <w:tcBorders>
              <w:top w:val="nil"/>
              <w:left w:val="nil"/>
              <w:bottom w:val="nil"/>
              <w:right w:val="nil"/>
            </w:tcBorders>
            <w:vAlign w:val="center"/>
          </w:tcPr>
          <w:p w14:paraId="0824BFC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w:t>
            </w:r>
          </w:p>
        </w:tc>
      </w:tr>
      <w:tr w14:paraId="2C24487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24BD961">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45D4FDCE">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4B435B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05ED1CE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Y≥20000</w:t>
            </w:r>
          </w:p>
        </w:tc>
        <w:tc>
          <w:tcPr>
            <w:tcW w:w="1701" w:type="dxa"/>
            <w:tcBorders>
              <w:top w:val="nil"/>
              <w:left w:val="nil"/>
              <w:bottom w:val="single" w:color="auto" w:sz="4" w:space="0"/>
              <w:right w:val="single" w:color="auto" w:sz="4" w:space="0"/>
            </w:tcBorders>
            <w:vAlign w:val="center"/>
          </w:tcPr>
          <w:p w14:paraId="111559B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14:paraId="1469C381">
            <w:pPr>
              <w:widowControl/>
              <w:ind w:left="-1" w:leftChars="-1" w:hanging="1"/>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100≤Y＜500 </w:t>
            </w:r>
          </w:p>
        </w:tc>
        <w:tc>
          <w:tcPr>
            <w:tcW w:w="992" w:type="dxa"/>
            <w:tcBorders>
              <w:top w:val="nil"/>
              <w:left w:val="nil"/>
              <w:bottom w:val="single" w:color="auto" w:sz="4" w:space="0"/>
              <w:right w:val="nil"/>
            </w:tcBorders>
            <w:vAlign w:val="center"/>
          </w:tcPr>
          <w:p w14:paraId="469ECDA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w:t>
            </w:r>
          </w:p>
        </w:tc>
      </w:tr>
      <w:tr w14:paraId="1B5653B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E8FC778">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交通运输业 *</w:t>
            </w:r>
          </w:p>
        </w:tc>
        <w:tc>
          <w:tcPr>
            <w:tcW w:w="1369" w:type="dxa"/>
            <w:tcBorders>
              <w:top w:val="nil"/>
              <w:left w:val="nil"/>
              <w:bottom w:val="nil"/>
              <w:right w:val="single" w:color="auto" w:sz="4" w:space="0"/>
            </w:tcBorders>
            <w:vAlign w:val="center"/>
          </w:tcPr>
          <w:p w14:paraId="52D6138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338ECA47">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102CD70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X≥1000</w:t>
            </w:r>
          </w:p>
        </w:tc>
        <w:tc>
          <w:tcPr>
            <w:tcW w:w="1701" w:type="dxa"/>
            <w:tcBorders>
              <w:top w:val="nil"/>
              <w:left w:val="nil"/>
              <w:bottom w:val="nil"/>
              <w:right w:val="single" w:color="auto" w:sz="4" w:space="0"/>
            </w:tcBorders>
            <w:vAlign w:val="center"/>
          </w:tcPr>
          <w:p w14:paraId="2DE46C0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300≤X＜1000</w:t>
            </w:r>
          </w:p>
        </w:tc>
        <w:tc>
          <w:tcPr>
            <w:tcW w:w="1426" w:type="dxa"/>
            <w:tcBorders>
              <w:top w:val="nil"/>
              <w:left w:val="nil"/>
              <w:bottom w:val="nil"/>
              <w:right w:val="single" w:color="auto" w:sz="4" w:space="0"/>
            </w:tcBorders>
            <w:vAlign w:val="center"/>
          </w:tcPr>
          <w:p w14:paraId="74AD837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20≤X＜300</w:t>
            </w:r>
          </w:p>
        </w:tc>
        <w:tc>
          <w:tcPr>
            <w:tcW w:w="992" w:type="dxa"/>
            <w:tcBorders>
              <w:top w:val="nil"/>
              <w:left w:val="nil"/>
              <w:bottom w:val="nil"/>
              <w:right w:val="nil"/>
            </w:tcBorders>
            <w:vAlign w:val="center"/>
          </w:tcPr>
          <w:p w14:paraId="6A666E61">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X＜20</w:t>
            </w:r>
          </w:p>
        </w:tc>
      </w:tr>
      <w:tr w14:paraId="6DD40A7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7F9F066">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685DF579">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5AA04E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2411569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12C57BE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3000≤Y＜30000</w:t>
            </w:r>
          </w:p>
        </w:tc>
        <w:tc>
          <w:tcPr>
            <w:tcW w:w="1426" w:type="dxa"/>
            <w:tcBorders>
              <w:top w:val="nil"/>
              <w:left w:val="nil"/>
              <w:bottom w:val="single" w:color="auto" w:sz="4" w:space="0"/>
              <w:right w:val="single" w:color="auto" w:sz="4" w:space="0"/>
            </w:tcBorders>
            <w:vAlign w:val="center"/>
          </w:tcPr>
          <w:p w14:paraId="58929068">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200≤Y＜3000</w:t>
            </w:r>
          </w:p>
        </w:tc>
        <w:tc>
          <w:tcPr>
            <w:tcW w:w="992" w:type="dxa"/>
            <w:tcBorders>
              <w:top w:val="nil"/>
              <w:left w:val="nil"/>
              <w:bottom w:val="single" w:color="auto" w:sz="4" w:space="0"/>
              <w:right w:val="nil"/>
            </w:tcBorders>
            <w:vAlign w:val="center"/>
          </w:tcPr>
          <w:p w14:paraId="4B13765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Y＜200</w:t>
            </w:r>
          </w:p>
        </w:tc>
      </w:tr>
      <w:tr w14:paraId="5D69C43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6046789">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仓储业*</w:t>
            </w:r>
          </w:p>
        </w:tc>
        <w:tc>
          <w:tcPr>
            <w:tcW w:w="1369" w:type="dxa"/>
            <w:tcBorders>
              <w:top w:val="nil"/>
              <w:left w:val="nil"/>
              <w:bottom w:val="nil"/>
              <w:right w:val="single" w:color="auto" w:sz="4" w:space="0"/>
            </w:tcBorders>
            <w:vAlign w:val="center"/>
          </w:tcPr>
          <w:p w14:paraId="044EFA2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4A6FD39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162B33D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X≥200</w:t>
            </w:r>
          </w:p>
        </w:tc>
        <w:tc>
          <w:tcPr>
            <w:tcW w:w="1701" w:type="dxa"/>
            <w:tcBorders>
              <w:top w:val="nil"/>
              <w:left w:val="nil"/>
              <w:bottom w:val="nil"/>
              <w:right w:val="single" w:color="auto" w:sz="4" w:space="0"/>
            </w:tcBorders>
            <w:vAlign w:val="center"/>
          </w:tcPr>
          <w:p w14:paraId="45C50187">
            <w:pPr>
              <w:widowControl/>
              <w:ind w:left="1" w:leftChars="-51" w:hanging="108" w:hangingChars="60"/>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100≤X＜200</w:t>
            </w:r>
          </w:p>
        </w:tc>
        <w:tc>
          <w:tcPr>
            <w:tcW w:w="1426" w:type="dxa"/>
            <w:tcBorders>
              <w:top w:val="nil"/>
              <w:left w:val="nil"/>
              <w:bottom w:val="nil"/>
              <w:right w:val="single" w:color="auto" w:sz="4" w:space="0"/>
            </w:tcBorders>
            <w:vAlign w:val="center"/>
          </w:tcPr>
          <w:p w14:paraId="4C63EC4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20≤X＜100</w:t>
            </w:r>
          </w:p>
        </w:tc>
        <w:tc>
          <w:tcPr>
            <w:tcW w:w="992" w:type="dxa"/>
            <w:tcBorders>
              <w:top w:val="nil"/>
              <w:left w:val="nil"/>
              <w:bottom w:val="nil"/>
              <w:right w:val="nil"/>
            </w:tcBorders>
            <w:vAlign w:val="center"/>
          </w:tcPr>
          <w:p w14:paraId="152C4598">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X＜20</w:t>
            </w:r>
          </w:p>
        </w:tc>
      </w:tr>
      <w:tr w14:paraId="613E2DC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0378FCC">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4FDE0B76">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B57565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0CCC47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00BD20D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1000≤Y＜30000</w:t>
            </w:r>
          </w:p>
        </w:tc>
        <w:tc>
          <w:tcPr>
            <w:tcW w:w="1426" w:type="dxa"/>
            <w:tcBorders>
              <w:top w:val="nil"/>
              <w:left w:val="nil"/>
              <w:bottom w:val="single" w:color="auto" w:sz="4" w:space="0"/>
              <w:right w:val="single" w:color="auto" w:sz="4" w:space="0"/>
            </w:tcBorders>
            <w:vAlign w:val="center"/>
          </w:tcPr>
          <w:p w14:paraId="0F0617C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100≤Y＜1000</w:t>
            </w:r>
          </w:p>
        </w:tc>
        <w:tc>
          <w:tcPr>
            <w:tcW w:w="992" w:type="dxa"/>
            <w:tcBorders>
              <w:top w:val="nil"/>
              <w:left w:val="nil"/>
              <w:bottom w:val="single" w:color="auto" w:sz="4" w:space="0"/>
              <w:right w:val="nil"/>
            </w:tcBorders>
            <w:vAlign w:val="center"/>
          </w:tcPr>
          <w:p w14:paraId="2F411D7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w:t>
            </w:r>
          </w:p>
        </w:tc>
      </w:tr>
      <w:tr w14:paraId="4F3AECE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F762FE5">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邮政业</w:t>
            </w:r>
          </w:p>
        </w:tc>
        <w:tc>
          <w:tcPr>
            <w:tcW w:w="1369" w:type="dxa"/>
            <w:tcBorders>
              <w:top w:val="nil"/>
              <w:left w:val="nil"/>
              <w:bottom w:val="nil"/>
              <w:right w:val="single" w:color="auto" w:sz="4" w:space="0"/>
            </w:tcBorders>
            <w:vAlign w:val="center"/>
          </w:tcPr>
          <w:p w14:paraId="2DBEFD51">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603B278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306E35F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X≥1000</w:t>
            </w:r>
          </w:p>
        </w:tc>
        <w:tc>
          <w:tcPr>
            <w:tcW w:w="1701" w:type="dxa"/>
            <w:tcBorders>
              <w:top w:val="nil"/>
              <w:left w:val="nil"/>
              <w:bottom w:val="nil"/>
              <w:right w:val="single" w:color="auto" w:sz="4" w:space="0"/>
            </w:tcBorders>
            <w:vAlign w:val="center"/>
          </w:tcPr>
          <w:p w14:paraId="7B1C93D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300≤X＜1000</w:t>
            </w:r>
          </w:p>
        </w:tc>
        <w:tc>
          <w:tcPr>
            <w:tcW w:w="1426" w:type="dxa"/>
            <w:tcBorders>
              <w:top w:val="nil"/>
              <w:left w:val="nil"/>
              <w:bottom w:val="nil"/>
              <w:right w:val="single" w:color="auto" w:sz="4" w:space="0"/>
            </w:tcBorders>
            <w:vAlign w:val="center"/>
          </w:tcPr>
          <w:p w14:paraId="1D0C0F9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20≤X＜300</w:t>
            </w:r>
          </w:p>
        </w:tc>
        <w:tc>
          <w:tcPr>
            <w:tcW w:w="992" w:type="dxa"/>
            <w:tcBorders>
              <w:top w:val="nil"/>
              <w:left w:val="nil"/>
              <w:bottom w:val="nil"/>
              <w:right w:val="nil"/>
            </w:tcBorders>
            <w:vAlign w:val="center"/>
          </w:tcPr>
          <w:p w14:paraId="7727DF7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X＜20</w:t>
            </w:r>
          </w:p>
        </w:tc>
      </w:tr>
      <w:tr w14:paraId="6462280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768420">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5F5BF7D2">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21FF27A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316E1DB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Y≥30000</w:t>
            </w:r>
          </w:p>
        </w:tc>
        <w:tc>
          <w:tcPr>
            <w:tcW w:w="1701" w:type="dxa"/>
            <w:tcBorders>
              <w:top w:val="nil"/>
              <w:left w:val="nil"/>
              <w:bottom w:val="single" w:color="auto" w:sz="4" w:space="0"/>
              <w:right w:val="single" w:color="auto" w:sz="4" w:space="0"/>
            </w:tcBorders>
            <w:vAlign w:val="center"/>
          </w:tcPr>
          <w:p w14:paraId="41DF17C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2000≤Y＜30000</w:t>
            </w:r>
          </w:p>
        </w:tc>
        <w:tc>
          <w:tcPr>
            <w:tcW w:w="1426" w:type="dxa"/>
            <w:tcBorders>
              <w:top w:val="nil"/>
              <w:left w:val="nil"/>
              <w:bottom w:val="single" w:color="auto" w:sz="4" w:space="0"/>
              <w:right w:val="single" w:color="auto" w:sz="4" w:space="0"/>
            </w:tcBorders>
            <w:vAlign w:val="center"/>
          </w:tcPr>
          <w:p w14:paraId="0269A5F7">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100≤Y＜2000</w:t>
            </w:r>
          </w:p>
        </w:tc>
        <w:tc>
          <w:tcPr>
            <w:tcW w:w="992" w:type="dxa"/>
            <w:tcBorders>
              <w:top w:val="nil"/>
              <w:left w:val="nil"/>
              <w:bottom w:val="single" w:color="auto" w:sz="4" w:space="0"/>
              <w:right w:val="nil"/>
            </w:tcBorders>
            <w:vAlign w:val="center"/>
          </w:tcPr>
          <w:p w14:paraId="2BDD26C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w:t>
            </w:r>
          </w:p>
        </w:tc>
      </w:tr>
      <w:tr w14:paraId="3A566F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1E10A89">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住宿业</w:t>
            </w:r>
          </w:p>
        </w:tc>
        <w:tc>
          <w:tcPr>
            <w:tcW w:w="1369" w:type="dxa"/>
            <w:tcBorders>
              <w:top w:val="nil"/>
              <w:left w:val="nil"/>
              <w:bottom w:val="nil"/>
              <w:right w:val="single" w:color="auto" w:sz="4" w:space="0"/>
            </w:tcBorders>
            <w:vAlign w:val="center"/>
          </w:tcPr>
          <w:p w14:paraId="1D79098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59614051">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189C2106">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X≥300</w:t>
            </w:r>
          </w:p>
        </w:tc>
        <w:tc>
          <w:tcPr>
            <w:tcW w:w="1701" w:type="dxa"/>
            <w:tcBorders>
              <w:top w:val="nil"/>
              <w:left w:val="nil"/>
              <w:bottom w:val="nil"/>
              <w:right w:val="single" w:color="auto" w:sz="4" w:space="0"/>
            </w:tcBorders>
            <w:vAlign w:val="center"/>
          </w:tcPr>
          <w:p w14:paraId="46BCABD0">
            <w:pPr>
              <w:widowControl/>
              <w:ind w:left="1" w:leftChars="-51" w:hanging="108" w:hangingChars="60"/>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100≤X＜300 </w:t>
            </w:r>
          </w:p>
        </w:tc>
        <w:tc>
          <w:tcPr>
            <w:tcW w:w="1426" w:type="dxa"/>
            <w:tcBorders>
              <w:top w:val="nil"/>
              <w:left w:val="nil"/>
              <w:bottom w:val="nil"/>
              <w:right w:val="single" w:color="auto" w:sz="4" w:space="0"/>
            </w:tcBorders>
            <w:vAlign w:val="center"/>
          </w:tcPr>
          <w:p w14:paraId="2884423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10≤X＜100</w:t>
            </w:r>
          </w:p>
        </w:tc>
        <w:tc>
          <w:tcPr>
            <w:tcW w:w="992" w:type="dxa"/>
            <w:tcBorders>
              <w:top w:val="nil"/>
              <w:left w:val="nil"/>
              <w:bottom w:val="nil"/>
              <w:right w:val="nil"/>
            </w:tcBorders>
            <w:vAlign w:val="center"/>
          </w:tcPr>
          <w:p w14:paraId="3B42809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w:t>
            </w:r>
          </w:p>
        </w:tc>
      </w:tr>
      <w:tr w14:paraId="2E456A1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3477207">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191F4134">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CF21C91">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0657D828">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33FCFB2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2000≤Y＜10000</w:t>
            </w:r>
          </w:p>
        </w:tc>
        <w:tc>
          <w:tcPr>
            <w:tcW w:w="1426" w:type="dxa"/>
            <w:tcBorders>
              <w:top w:val="nil"/>
              <w:left w:val="nil"/>
              <w:bottom w:val="single" w:color="auto" w:sz="4" w:space="0"/>
              <w:right w:val="single" w:color="auto" w:sz="4" w:space="0"/>
            </w:tcBorders>
            <w:vAlign w:val="center"/>
          </w:tcPr>
          <w:p w14:paraId="56DC555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100≤Y＜2000</w:t>
            </w:r>
          </w:p>
        </w:tc>
        <w:tc>
          <w:tcPr>
            <w:tcW w:w="992" w:type="dxa"/>
            <w:tcBorders>
              <w:top w:val="nil"/>
              <w:left w:val="nil"/>
              <w:bottom w:val="single" w:color="auto" w:sz="4" w:space="0"/>
              <w:right w:val="nil"/>
            </w:tcBorders>
            <w:vAlign w:val="center"/>
          </w:tcPr>
          <w:p w14:paraId="25BE566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w:t>
            </w:r>
          </w:p>
        </w:tc>
      </w:tr>
      <w:tr w14:paraId="5F064A2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E780FC5">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餐饮业</w:t>
            </w:r>
          </w:p>
        </w:tc>
        <w:tc>
          <w:tcPr>
            <w:tcW w:w="1369" w:type="dxa"/>
            <w:tcBorders>
              <w:top w:val="nil"/>
              <w:left w:val="nil"/>
              <w:bottom w:val="nil"/>
              <w:right w:val="single" w:color="auto" w:sz="4" w:space="0"/>
            </w:tcBorders>
            <w:vAlign w:val="center"/>
          </w:tcPr>
          <w:p w14:paraId="5BCA156F">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43E7FAA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3BBC11F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X≥300</w:t>
            </w:r>
          </w:p>
        </w:tc>
        <w:tc>
          <w:tcPr>
            <w:tcW w:w="1701" w:type="dxa"/>
            <w:tcBorders>
              <w:top w:val="nil"/>
              <w:left w:val="nil"/>
              <w:bottom w:val="nil"/>
              <w:right w:val="single" w:color="auto" w:sz="4" w:space="0"/>
            </w:tcBorders>
            <w:vAlign w:val="center"/>
          </w:tcPr>
          <w:p w14:paraId="18C50A81">
            <w:pPr>
              <w:widowControl/>
              <w:ind w:left="1" w:leftChars="-51" w:hanging="108" w:hangingChars="60"/>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100≤X＜300 </w:t>
            </w:r>
          </w:p>
        </w:tc>
        <w:tc>
          <w:tcPr>
            <w:tcW w:w="1426" w:type="dxa"/>
            <w:tcBorders>
              <w:top w:val="nil"/>
              <w:left w:val="nil"/>
              <w:bottom w:val="nil"/>
              <w:right w:val="single" w:color="auto" w:sz="4" w:space="0"/>
            </w:tcBorders>
            <w:vAlign w:val="center"/>
          </w:tcPr>
          <w:p w14:paraId="65BACE1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10≤X＜100</w:t>
            </w:r>
          </w:p>
        </w:tc>
        <w:tc>
          <w:tcPr>
            <w:tcW w:w="992" w:type="dxa"/>
            <w:tcBorders>
              <w:top w:val="nil"/>
              <w:left w:val="nil"/>
              <w:bottom w:val="nil"/>
              <w:right w:val="nil"/>
            </w:tcBorders>
            <w:vAlign w:val="center"/>
          </w:tcPr>
          <w:p w14:paraId="3B0C275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w:t>
            </w:r>
          </w:p>
        </w:tc>
      </w:tr>
      <w:tr w14:paraId="5915F5F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DF8A10">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1EC37A26">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4A303EF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104DF36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418E728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2000≤Y＜10000</w:t>
            </w:r>
          </w:p>
        </w:tc>
        <w:tc>
          <w:tcPr>
            <w:tcW w:w="1426" w:type="dxa"/>
            <w:tcBorders>
              <w:top w:val="nil"/>
              <w:left w:val="nil"/>
              <w:bottom w:val="single" w:color="auto" w:sz="4" w:space="0"/>
              <w:right w:val="single" w:color="auto" w:sz="4" w:space="0"/>
            </w:tcBorders>
            <w:vAlign w:val="center"/>
          </w:tcPr>
          <w:p w14:paraId="5E90A32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100≤Y＜2000</w:t>
            </w:r>
          </w:p>
        </w:tc>
        <w:tc>
          <w:tcPr>
            <w:tcW w:w="992" w:type="dxa"/>
            <w:tcBorders>
              <w:top w:val="nil"/>
              <w:left w:val="nil"/>
              <w:bottom w:val="single" w:color="auto" w:sz="4" w:space="0"/>
              <w:right w:val="nil"/>
            </w:tcBorders>
            <w:vAlign w:val="center"/>
          </w:tcPr>
          <w:p w14:paraId="421EA2A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w:t>
            </w:r>
          </w:p>
        </w:tc>
      </w:tr>
      <w:tr w14:paraId="05F0C3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B7D1721">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信息传输业 *</w:t>
            </w:r>
          </w:p>
        </w:tc>
        <w:tc>
          <w:tcPr>
            <w:tcW w:w="1369" w:type="dxa"/>
            <w:tcBorders>
              <w:top w:val="nil"/>
              <w:left w:val="nil"/>
              <w:bottom w:val="nil"/>
              <w:right w:val="single" w:color="auto" w:sz="4" w:space="0"/>
            </w:tcBorders>
            <w:vAlign w:val="center"/>
          </w:tcPr>
          <w:p w14:paraId="17442E2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031C669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6341719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X≥2000</w:t>
            </w:r>
          </w:p>
        </w:tc>
        <w:tc>
          <w:tcPr>
            <w:tcW w:w="1701" w:type="dxa"/>
            <w:tcBorders>
              <w:top w:val="nil"/>
              <w:left w:val="nil"/>
              <w:bottom w:val="nil"/>
              <w:right w:val="single" w:color="auto" w:sz="4" w:space="0"/>
            </w:tcBorders>
            <w:vAlign w:val="center"/>
          </w:tcPr>
          <w:p w14:paraId="30431256">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100≤X＜2000</w:t>
            </w:r>
          </w:p>
        </w:tc>
        <w:tc>
          <w:tcPr>
            <w:tcW w:w="1426" w:type="dxa"/>
            <w:tcBorders>
              <w:top w:val="nil"/>
              <w:left w:val="nil"/>
              <w:bottom w:val="nil"/>
              <w:right w:val="single" w:color="auto" w:sz="4" w:space="0"/>
            </w:tcBorders>
            <w:vAlign w:val="center"/>
          </w:tcPr>
          <w:p w14:paraId="4C8F3C1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10≤X＜100</w:t>
            </w:r>
          </w:p>
        </w:tc>
        <w:tc>
          <w:tcPr>
            <w:tcW w:w="992" w:type="dxa"/>
            <w:tcBorders>
              <w:top w:val="nil"/>
              <w:left w:val="nil"/>
              <w:bottom w:val="nil"/>
              <w:right w:val="nil"/>
            </w:tcBorders>
            <w:vAlign w:val="center"/>
          </w:tcPr>
          <w:p w14:paraId="70D1909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w:t>
            </w:r>
          </w:p>
        </w:tc>
      </w:tr>
      <w:tr w14:paraId="1D62114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2CDCF00">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51861AB4">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63158A68">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D81A1A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Y≥100000</w:t>
            </w:r>
          </w:p>
        </w:tc>
        <w:tc>
          <w:tcPr>
            <w:tcW w:w="1701" w:type="dxa"/>
            <w:tcBorders>
              <w:top w:val="nil"/>
              <w:left w:val="nil"/>
              <w:bottom w:val="single" w:color="auto" w:sz="4" w:space="0"/>
              <w:right w:val="single" w:color="auto" w:sz="4" w:space="0"/>
            </w:tcBorders>
            <w:vAlign w:val="center"/>
          </w:tcPr>
          <w:p w14:paraId="4287E66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14:paraId="7D84912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100≤Y＜1000</w:t>
            </w:r>
          </w:p>
        </w:tc>
        <w:tc>
          <w:tcPr>
            <w:tcW w:w="992" w:type="dxa"/>
            <w:tcBorders>
              <w:top w:val="nil"/>
              <w:left w:val="nil"/>
              <w:bottom w:val="single" w:color="auto" w:sz="4" w:space="0"/>
              <w:right w:val="nil"/>
            </w:tcBorders>
            <w:vAlign w:val="center"/>
          </w:tcPr>
          <w:p w14:paraId="31299B7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w:t>
            </w:r>
          </w:p>
        </w:tc>
      </w:tr>
      <w:tr w14:paraId="5690C19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3BFD9933">
            <w:pPr>
              <w:widowControl/>
              <w:spacing w:line="240" w:lineRule="exact"/>
              <w:jc w:val="left"/>
              <w:rPr>
                <w:rFonts w:hint="eastAsia" w:ascii="宋体" w:hAnsi="宋体"/>
                <w:color w:val="000000"/>
                <w:spacing w:val="-12"/>
                <w:kern w:val="0"/>
                <w:sz w:val="18"/>
                <w:szCs w:val="18"/>
                <w:highlight w:val="none"/>
              </w:rPr>
            </w:pPr>
            <w:r>
              <w:rPr>
                <w:rFonts w:hint="eastAsia" w:ascii="宋体" w:hAnsi="宋体"/>
                <w:color w:val="000000"/>
                <w:spacing w:val="-12"/>
                <w:kern w:val="0"/>
                <w:sz w:val="18"/>
                <w:szCs w:val="18"/>
                <w:highlight w:val="none"/>
              </w:rPr>
              <w:t>软件和信息技术服</w:t>
            </w:r>
            <w:r>
              <w:rPr>
                <w:rFonts w:hint="eastAsia" w:ascii="宋体" w:hAnsi="宋体"/>
                <w:color w:val="000000"/>
                <w:kern w:val="0"/>
                <w:sz w:val="18"/>
                <w:szCs w:val="18"/>
                <w:highlight w:val="none"/>
              </w:rPr>
              <w:t>务业</w:t>
            </w:r>
          </w:p>
        </w:tc>
        <w:tc>
          <w:tcPr>
            <w:tcW w:w="1369" w:type="dxa"/>
            <w:tcBorders>
              <w:top w:val="nil"/>
              <w:left w:val="nil"/>
              <w:bottom w:val="nil"/>
              <w:right w:val="single" w:color="auto" w:sz="4" w:space="0"/>
            </w:tcBorders>
            <w:vAlign w:val="center"/>
          </w:tcPr>
          <w:p w14:paraId="5969AF1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704CEE9F">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21653DE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X≥300</w:t>
            </w:r>
          </w:p>
        </w:tc>
        <w:tc>
          <w:tcPr>
            <w:tcW w:w="1701" w:type="dxa"/>
            <w:tcBorders>
              <w:top w:val="nil"/>
              <w:left w:val="nil"/>
              <w:bottom w:val="nil"/>
              <w:right w:val="single" w:color="auto" w:sz="4" w:space="0"/>
            </w:tcBorders>
            <w:vAlign w:val="center"/>
          </w:tcPr>
          <w:p w14:paraId="09716624">
            <w:pPr>
              <w:widowControl/>
              <w:ind w:left="1" w:leftChars="-51" w:hanging="108" w:hangingChars="60"/>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100≤X＜300 </w:t>
            </w:r>
          </w:p>
        </w:tc>
        <w:tc>
          <w:tcPr>
            <w:tcW w:w="1426" w:type="dxa"/>
            <w:tcBorders>
              <w:top w:val="nil"/>
              <w:left w:val="nil"/>
              <w:bottom w:val="nil"/>
              <w:right w:val="single" w:color="auto" w:sz="4" w:space="0"/>
            </w:tcBorders>
            <w:vAlign w:val="center"/>
          </w:tcPr>
          <w:p w14:paraId="58E2774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10≤X＜100</w:t>
            </w:r>
          </w:p>
        </w:tc>
        <w:tc>
          <w:tcPr>
            <w:tcW w:w="992" w:type="dxa"/>
            <w:tcBorders>
              <w:top w:val="nil"/>
              <w:left w:val="nil"/>
              <w:bottom w:val="nil"/>
              <w:right w:val="nil"/>
            </w:tcBorders>
            <w:vAlign w:val="center"/>
          </w:tcPr>
          <w:p w14:paraId="4E42873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w:t>
            </w:r>
          </w:p>
        </w:tc>
      </w:tr>
      <w:tr w14:paraId="7BA882EE">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84146EB">
            <w:pPr>
              <w:widowControl/>
              <w:jc w:val="left"/>
              <w:rPr>
                <w:rFonts w:ascii="宋体" w:hAnsi="宋体"/>
                <w:color w:val="000000"/>
                <w:spacing w:val="-12"/>
                <w:kern w:val="0"/>
                <w:sz w:val="18"/>
                <w:szCs w:val="18"/>
                <w:highlight w:val="none"/>
              </w:rPr>
            </w:pPr>
          </w:p>
        </w:tc>
        <w:tc>
          <w:tcPr>
            <w:tcW w:w="1369" w:type="dxa"/>
            <w:tcBorders>
              <w:top w:val="nil"/>
              <w:left w:val="nil"/>
              <w:bottom w:val="single" w:color="auto" w:sz="4" w:space="0"/>
              <w:right w:val="single" w:color="auto" w:sz="4" w:space="0"/>
            </w:tcBorders>
            <w:vAlign w:val="center"/>
          </w:tcPr>
          <w:p w14:paraId="3683437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1AFE5F6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169449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Y≥10000</w:t>
            </w:r>
          </w:p>
        </w:tc>
        <w:tc>
          <w:tcPr>
            <w:tcW w:w="1701" w:type="dxa"/>
            <w:tcBorders>
              <w:top w:val="nil"/>
              <w:left w:val="nil"/>
              <w:bottom w:val="single" w:color="auto" w:sz="4" w:space="0"/>
              <w:right w:val="single" w:color="auto" w:sz="4" w:space="0"/>
            </w:tcBorders>
            <w:vAlign w:val="center"/>
          </w:tcPr>
          <w:p w14:paraId="0E07933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1000≤Y＜10000</w:t>
            </w:r>
          </w:p>
        </w:tc>
        <w:tc>
          <w:tcPr>
            <w:tcW w:w="1426" w:type="dxa"/>
            <w:tcBorders>
              <w:top w:val="nil"/>
              <w:left w:val="nil"/>
              <w:bottom w:val="single" w:color="auto" w:sz="4" w:space="0"/>
              <w:right w:val="single" w:color="auto" w:sz="4" w:space="0"/>
            </w:tcBorders>
            <w:vAlign w:val="center"/>
          </w:tcPr>
          <w:p w14:paraId="28DFF04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50≤Y＜1000</w:t>
            </w:r>
          </w:p>
        </w:tc>
        <w:tc>
          <w:tcPr>
            <w:tcW w:w="992" w:type="dxa"/>
            <w:tcBorders>
              <w:top w:val="nil"/>
              <w:left w:val="nil"/>
              <w:bottom w:val="single" w:color="auto" w:sz="4" w:space="0"/>
              <w:right w:val="nil"/>
            </w:tcBorders>
            <w:vAlign w:val="center"/>
          </w:tcPr>
          <w:p w14:paraId="2F28AC7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Y＜50</w:t>
            </w:r>
          </w:p>
        </w:tc>
      </w:tr>
      <w:tr w14:paraId="08F791D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9B752B2">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房地产开发经营</w:t>
            </w:r>
          </w:p>
        </w:tc>
        <w:tc>
          <w:tcPr>
            <w:tcW w:w="1369" w:type="dxa"/>
            <w:tcBorders>
              <w:top w:val="nil"/>
              <w:left w:val="nil"/>
              <w:bottom w:val="nil"/>
              <w:right w:val="single" w:color="auto" w:sz="4" w:space="0"/>
            </w:tcBorders>
            <w:vAlign w:val="center"/>
          </w:tcPr>
          <w:p w14:paraId="7164472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nil"/>
              <w:right w:val="single" w:color="auto" w:sz="4" w:space="0"/>
            </w:tcBorders>
            <w:vAlign w:val="center"/>
          </w:tcPr>
          <w:p w14:paraId="6BA47FE9">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nil"/>
              <w:right w:val="single" w:color="auto" w:sz="4" w:space="0"/>
            </w:tcBorders>
            <w:vAlign w:val="center"/>
          </w:tcPr>
          <w:p w14:paraId="3BCB4776">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Y≥200000</w:t>
            </w:r>
          </w:p>
        </w:tc>
        <w:tc>
          <w:tcPr>
            <w:tcW w:w="1701" w:type="dxa"/>
            <w:tcBorders>
              <w:top w:val="nil"/>
              <w:left w:val="nil"/>
              <w:bottom w:val="nil"/>
              <w:right w:val="single" w:color="auto" w:sz="4" w:space="0"/>
            </w:tcBorders>
            <w:vAlign w:val="center"/>
          </w:tcPr>
          <w:p w14:paraId="539AF49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1000≤Y＜200000</w:t>
            </w:r>
          </w:p>
        </w:tc>
        <w:tc>
          <w:tcPr>
            <w:tcW w:w="1426" w:type="dxa"/>
            <w:tcBorders>
              <w:top w:val="nil"/>
              <w:left w:val="nil"/>
              <w:bottom w:val="nil"/>
              <w:right w:val="single" w:color="auto" w:sz="4" w:space="0"/>
            </w:tcBorders>
            <w:vAlign w:val="center"/>
          </w:tcPr>
          <w:p w14:paraId="687F32B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100≤Y＜1000</w:t>
            </w:r>
          </w:p>
        </w:tc>
        <w:tc>
          <w:tcPr>
            <w:tcW w:w="992" w:type="dxa"/>
            <w:tcBorders>
              <w:top w:val="nil"/>
              <w:left w:val="nil"/>
              <w:bottom w:val="nil"/>
              <w:right w:val="nil"/>
            </w:tcBorders>
            <w:vAlign w:val="center"/>
          </w:tcPr>
          <w:p w14:paraId="6AE5160F">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Y＜100</w:t>
            </w:r>
          </w:p>
        </w:tc>
      </w:tr>
      <w:tr w14:paraId="07E3E68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3683ABB">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331478B3">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1DD92B6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59250601">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Z≥10000</w:t>
            </w:r>
          </w:p>
        </w:tc>
        <w:tc>
          <w:tcPr>
            <w:tcW w:w="1701" w:type="dxa"/>
            <w:tcBorders>
              <w:top w:val="nil"/>
              <w:left w:val="nil"/>
              <w:bottom w:val="single" w:color="auto" w:sz="4" w:space="0"/>
              <w:right w:val="single" w:color="auto" w:sz="4" w:space="0"/>
            </w:tcBorders>
            <w:vAlign w:val="center"/>
          </w:tcPr>
          <w:p w14:paraId="485ADB9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5000≤Z＜10000</w:t>
            </w:r>
          </w:p>
        </w:tc>
        <w:tc>
          <w:tcPr>
            <w:tcW w:w="1426" w:type="dxa"/>
            <w:tcBorders>
              <w:top w:val="nil"/>
              <w:left w:val="nil"/>
              <w:bottom w:val="single" w:color="auto" w:sz="4" w:space="0"/>
              <w:right w:val="single" w:color="auto" w:sz="4" w:space="0"/>
            </w:tcBorders>
            <w:vAlign w:val="center"/>
          </w:tcPr>
          <w:p w14:paraId="21D48DEF">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2000≤Z＜5000   </w:t>
            </w:r>
          </w:p>
        </w:tc>
        <w:tc>
          <w:tcPr>
            <w:tcW w:w="992" w:type="dxa"/>
            <w:tcBorders>
              <w:top w:val="nil"/>
              <w:left w:val="nil"/>
              <w:bottom w:val="single" w:color="auto" w:sz="4" w:space="0"/>
              <w:right w:val="nil"/>
            </w:tcBorders>
            <w:vAlign w:val="center"/>
          </w:tcPr>
          <w:p w14:paraId="2F232E7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Z＜2000</w:t>
            </w:r>
          </w:p>
        </w:tc>
      </w:tr>
      <w:tr w14:paraId="74B1549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38EC84E">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物业管理</w:t>
            </w:r>
          </w:p>
        </w:tc>
        <w:tc>
          <w:tcPr>
            <w:tcW w:w="1369" w:type="dxa"/>
            <w:tcBorders>
              <w:top w:val="nil"/>
              <w:left w:val="nil"/>
              <w:bottom w:val="nil"/>
              <w:right w:val="single" w:color="auto" w:sz="4" w:space="0"/>
            </w:tcBorders>
            <w:vAlign w:val="center"/>
          </w:tcPr>
          <w:p w14:paraId="00AA1C15">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40192F5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72CDBD16">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X≥1000</w:t>
            </w:r>
          </w:p>
        </w:tc>
        <w:tc>
          <w:tcPr>
            <w:tcW w:w="1701" w:type="dxa"/>
            <w:tcBorders>
              <w:top w:val="nil"/>
              <w:left w:val="nil"/>
              <w:bottom w:val="nil"/>
              <w:right w:val="single" w:color="auto" w:sz="4" w:space="0"/>
            </w:tcBorders>
            <w:vAlign w:val="center"/>
          </w:tcPr>
          <w:p w14:paraId="586B7E3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300≤X＜1000</w:t>
            </w:r>
          </w:p>
        </w:tc>
        <w:tc>
          <w:tcPr>
            <w:tcW w:w="1426" w:type="dxa"/>
            <w:tcBorders>
              <w:top w:val="nil"/>
              <w:left w:val="nil"/>
              <w:bottom w:val="nil"/>
              <w:right w:val="single" w:color="auto" w:sz="4" w:space="0"/>
            </w:tcBorders>
            <w:vAlign w:val="center"/>
          </w:tcPr>
          <w:p w14:paraId="0EDD38C4">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100≤X＜300 </w:t>
            </w:r>
          </w:p>
        </w:tc>
        <w:tc>
          <w:tcPr>
            <w:tcW w:w="992" w:type="dxa"/>
            <w:tcBorders>
              <w:top w:val="nil"/>
              <w:left w:val="nil"/>
              <w:bottom w:val="nil"/>
              <w:right w:val="nil"/>
            </w:tcBorders>
            <w:vAlign w:val="center"/>
          </w:tcPr>
          <w:p w14:paraId="1E88296F">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X＜100</w:t>
            </w:r>
          </w:p>
        </w:tc>
      </w:tr>
      <w:tr w14:paraId="2D134F2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1F9F8A9">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62E8443F">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营业收入(Y)</w:t>
            </w:r>
          </w:p>
        </w:tc>
        <w:tc>
          <w:tcPr>
            <w:tcW w:w="709" w:type="dxa"/>
            <w:tcBorders>
              <w:top w:val="nil"/>
              <w:left w:val="nil"/>
              <w:bottom w:val="single" w:color="auto" w:sz="4" w:space="0"/>
              <w:right w:val="single" w:color="auto" w:sz="4" w:space="0"/>
            </w:tcBorders>
            <w:vAlign w:val="center"/>
          </w:tcPr>
          <w:p w14:paraId="7FA3540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68B9E988">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Y≥5000</w:t>
            </w:r>
          </w:p>
        </w:tc>
        <w:tc>
          <w:tcPr>
            <w:tcW w:w="1701" w:type="dxa"/>
            <w:tcBorders>
              <w:top w:val="nil"/>
              <w:left w:val="nil"/>
              <w:bottom w:val="single" w:color="auto" w:sz="4" w:space="0"/>
              <w:right w:val="single" w:color="auto" w:sz="4" w:space="0"/>
            </w:tcBorders>
            <w:vAlign w:val="center"/>
          </w:tcPr>
          <w:p w14:paraId="39DD59AA">
            <w:pPr>
              <w:widowControl/>
              <w:ind w:left="1" w:leftChars="-51" w:hanging="108" w:hangingChars="60"/>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14:paraId="2C83C86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500≤Y＜1000</w:t>
            </w:r>
          </w:p>
        </w:tc>
        <w:tc>
          <w:tcPr>
            <w:tcW w:w="992" w:type="dxa"/>
            <w:tcBorders>
              <w:top w:val="nil"/>
              <w:left w:val="nil"/>
              <w:bottom w:val="single" w:color="auto" w:sz="4" w:space="0"/>
              <w:right w:val="nil"/>
            </w:tcBorders>
            <w:vAlign w:val="center"/>
          </w:tcPr>
          <w:p w14:paraId="4ED52A1B">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Y＜500</w:t>
            </w:r>
          </w:p>
        </w:tc>
      </w:tr>
      <w:tr w14:paraId="6C67D19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C1E9AA0">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租赁和商务服务业</w:t>
            </w:r>
          </w:p>
        </w:tc>
        <w:tc>
          <w:tcPr>
            <w:tcW w:w="1369" w:type="dxa"/>
            <w:tcBorders>
              <w:top w:val="nil"/>
              <w:left w:val="nil"/>
              <w:bottom w:val="nil"/>
              <w:right w:val="single" w:color="auto" w:sz="4" w:space="0"/>
            </w:tcBorders>
            <w:vAlign w:val="center"/>
          </w:tcPr>
          <w:p w14:paraId="4E8944D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nil"/>
              <w:right w:val="single" w:color="auto" w:sz="4" w:space="0"/>
            </w:tcBorders>
            <w:vAlign w:val="center"/>
          </w:tcPr>
          <w:p w14:paraId="52071B1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nil"/>
              <w:right w:val="single" w:color="auto" w:sz="4" w:space="0"/>
            </w:tcBorders>
            <w:vAlign w:val="center"/>
          </w:tcPr>
          <w:p w14:paraId="572A80C7">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X≥300</w:t>
            </w:r>
          </w:p>
        </w:tc>
        <w:tc>
          <w:tcPr>
            <w:tcW w:w="1701" w:type="dxa"/>
            <w:tcBorders>
              <w:top w:val="nil"/>
              <w:left w:val="nil"/>
              <w:bottom w:val="nil"/>
              <w:right w:val="single" w:color="auto" w:sz="4" w:space="0"/>
            </w:tcBorders>
            <w:vAlign w:val="center"/>
          </w:tcPr>
          <w:p w14:paraId="4133D5BF">
            <w:pPr>
              <w:widowControl/>
              <w:ind w:left="1" w:leftChars="-51" w:hanging="108" w:hangingChars="60"/>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100≤X＜300 </w:t>
            </w:r>
          </w:p>
        </w:tc>
        <w:tc>
          <w:tcPr>
            <w:tcW w:w="1426" w:type="dxa"/>
            <w:tcBorders>
              <w:top w:val="nil"/>
              <w:left w:val="nil"/>
              <w:bottom w:val="nil"/>
              <w:right w:val="single" w:color="auto" w:sz="4" w:space="0"/>
            </w:tcBorders>
            <w:vAlign w:val="center"/>
          </w:tcPr>
          <w:p w14:paraId="5D5BD702">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10≤X＜100</w:t>
            </w:r>
          </w:p>
        </w:tc>
        <w:tc>
          <w:tcPr>
            <w:tcW w:w="992" w:type="dxa"/>
            <w:tcBorders>
              <w:top w:val="nil"/>
              <w:left w:val="nil"/>
              <w:bottom w:val="nil"/>
              <w:right w:val="nil"/>
            </w:tcBorders>
            <w:vAlign w:val="center"/>
          </w:tcPr>
          <w:p w14:paraId="2995325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w:t>
            </w:r>
          </w:p>
        </w:tc>
      </w:tr>
      <w:tr w14:paraId="4096DAD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4BA6D9C">
            <w:pPr>
              <w:widowControl/>
              <w:jc w:val="left"/>
              <w:rPr>
                <w:rFonts w:ascii="宋体" w:hAnsi="宋体"/>
                <w:color w:val="000000"/>
                <w:kern w:val="0"/>
                <w:sz w:val="18"/>
                <w:szCs w:val="18"/>
                <w:highlight w:val="none"/>
              </w:rPr>
            </w:pPr>
          </w:p>
        </w:tc>
        <w:tc>
          <w:tcPr>
            <w:tcW w:w="1369" w:type="dxa"/>
            <w:tcBorders>
              <w:top w:val="nil"/>
              <w:left w:val="nil"/>
              <w:bottom w:val="single" w:color="auto" w:sz="4" w:space="0"/>
              <w:right w:val="single" w:color="auto" w:sz="4" w:space="0"/>
            </w:tcBorders>
            <w:vAlign w:val="center"/>
          </w:tcPr>
          <w:p w14:paraId="16E9FAF9">
            <w:pPr>
              <w:widowControl/>
              <w:spacing w:line="240" w:lineRule="exact"/>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资产总额(Z)</w:t>
            </w:r>
          </w:p>
        </w:tc>
        <w:tc>
          <w:tcPr>
            <w:tcW w:w="709" w:type="dxa"/>
            <w:tcBorders>
              <w:top w:val="nil"/>
              <w:left w:val="nil"/>
              <w:bottom w:val="single" w:color="auto" w:sz="4" w:space="0"/>
              <w:right w:val="single" w:color="auto" w:sz="4" w:space="0"/>
            </w:tcBorders>
            <w:vAlign w:val="center"/>
          </w:tcPr>
          <w:p w14:paraId="0F3775D3">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万元</w:t>
            </w:r>
          </w:p>
        </w:tc>
        <w:tc>
          <w:tcPr>
            <w:tcW w:w="1125" w:type="dxa"/>
            <w:tcBorders>
              <w:top w:val="nil"/>
              <w:left w:val="nil"/>
              <w:bottom w:val="single" w:color="auto" w:sz="4" w:space="0"/>
              <w:right w:val="single" w:color="auto" w:sz="4" w:space="0"/>
            </w:tcBorders>
            <w:vAlign w:val="center"/>
          </w:tcPr>
          <w:p w14:paraId="7D7D4307">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Z≥</w:t>
            </w:r>
            <w:r>
              <w:rPr>
                <w:rFonts w:hint="eastAsia" w:ascii="宋体" w:hAnsi="宋体"/>
                <w:color w:val="000000"/>
                <w:kern w:val="0"/>
                <w:sz w:val="18"/>
                <w:szCs w:val="18"/>
                <w:highlight w:val="none"/>
                <w:lang w:eastAsia="zh-CN"/>
              </w:rPr>
              <w:t>180</w:t>
            </w:r>
            <w:r>
              <w:rPr>
                <w:rFonts w:hint="eastAsia" w:ascii="宋体" w:hAnsi="宋体"/>
                <w:color w:val="000000"/>
                <w:kern w:val="0"/>
                <w:sz w:val="18"/>
                <w:szCs w:val="18"/>
                <w:highlight w:val="none"/>
              </w:rPr>
              <w:t>000</w:t>
            </w:r>
          </w:p>
        </w:tc>
        <w:tc>
          <w:tcPr>
            <w:tcW w:w="1701" w:type="dxa"/>
            <w:tcBorders>
              <w:top w:val="nil"/>
              <w:left w:val="nil"/>
              <w:bottom w:val="single" w:color="auto" w:sz="4" w:space="0"/>
              <w:right w:val="single" w:color="auto" w:sz="4" w:space="0"/>
            </w:tcBorders>
            <w:vAlign w:val="center"/>
          </w:tcPr>
          <w:p w14:paraId="6735F71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8000≤Z＜</w:t>
            </w:r>
            <w:r>
              <w:rPr>
                <w:rFonts w:hint="eastAsia" w:ascii="宋体" w:hAnsi="宋体"/>
                <w:color w:val="000000"/>
                <w:kern w:val="0"/>
                <w:sz w:val="18"/>
                <w:szCs w:val="18"/>
                <w:highlight w:val="none"/>
                <w:lang w:eastAsia="zh-CN"/>
              </w:rPr>
              <w:t>180</w:t>
            </w:r>
            <w:r>
              <w:rPr>
                <w:rFonts w:hint="eastAsia" w:ascii="宋体" w:hAnsi="宋体"/>
                <w:color w:val="000000"/>
                <w:kern w:val="0"/>
                <w:sz w:val="18"/>
                <w:szCs w:val="18"/>
                <w:highlight w:val="none"/>
              </w:rPr>
              <w:t>000</w:t>
            </w:r>
          </w:p>
        </w:tc>
        <w:tc>
          <w:tcPr>
            <w:tcW w:w="1426" w:type="dxa"/>
            <w:tcBorders>
              <w:top w:val="nil"/>
              <w:left w:val="nil"/>
              <w:bottom w:val="single" w:color="auto" w:sz="4" w:space="0"/>
              <w:right w:val="single" w:color="auto" w:sz="4" w:space="0"/>
            </w:tcBorders>
            <w:vAlign w:val="center"/>
          </w:tcPr>
          <w:p w14:paraId="6E1DF38C">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100≤Z＜8000</w:t>
            </w:r>
          </w:p>
        </w:tc>
        <w:tc>
          <w:tcPr>
            <w:tcW w:w="992" w:type="dxa"/>
            <w:tcBorders>
              <w:top w:val="nil"/>
              <w:left w:val="nil"/>
              <w:bottom w:val="single" w:color="auto" w:sz="4" w:space="0"/>
              <w:right w:val="nil"/>
            </w:tcBorders>
            <w:vAlign w:val="center"/>
          </w:tcPr>
          <w:p w14:paraId="0F8C4D57">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Z＜100</w:t>
            </w:r>
          </w:p>
        </w:tc>
      </w:tr>
      <w:tr w14:paraId="6D70E0C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6C79DE1E">
            <w:pPr>
              <w:widowControl/>
              <w:spacing w:line="240" w:lineRule="exact"/>
              <w:jc w:val="left"/>
              <w:rPr>
                <w:rFonts w:hint="eastAsia" w:ascii="宋体" w:hAnsi="宋体"/>
                <w:color w:val="000000"/>
                <w:kern w:val="0"/>
                <w:sz w:val="18"/>
                <w:szCs w:val="18"/>
                <w:highlight w:val="none"/>
              </w:rPr>
            </w:pPr>
            <w:r>
              <w:rPr>
                <w:rFonts w:hint="eastAsia" w:ascii="宋体" w:hAnsi="宋体"/>
                <w:color w:val="000000"/>
                <w:kern w:val="0"/>
                <w:sz w:val="18"/>
                <w:szCs w:val="18"/>
                <w:highlight w:val="none"/>
              </w:rPr>
              <w:t>其他未列明行业 *</w:t>
            </w:r>
          </w:p>
        </w:tc>
        <w:tc>
          <w:tcPr>
            <w:tcW w:w="1369" w:type="dxa"/>
            <w:tcBorders>
              <w:top w:val="nil"/>
              <w:left w:val="nil"/>
              <w:bottom w:val="single" w:color="auto" w:sz="4" w:space="0"/>
              <w:right w:val="single" w:color="auto" w:sz="4" w:space="0"/>
            </w:tcBorders>
            <w:vAlign w:val="center"/>
          </w:tcPr>
          <w:p w14:paraId="5859CB8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从业人员(X)</w:t>
            </w:r>
          </w:p>
        </w:tc>
        <w:tc>
          <w:tcPr>
            <w:tcW w:w="709" w:type="dxa"/>
            <w:tcBorders>
              <w:top w:val="nil"/>
              <w:left w:val="nil"/>
              <w:bottom w:val="single" w:color="auto" w:sz="4" w:space="0"/>
              <w:right w:val="single" w:color="auto" w:sz="4" w:space="0"/>
            </w:tcBorders>
            <w:vAlign w:val="center"/>
          </w:tcPr>
          <w:p w14:paraId="4ED8A41D">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人</w:t>
            </w:r>
          </w:p>
        </w:tc>
        <w:tc>
          <w:tcPr>
            <w:tcW w:w="1125" w:type="dxa"/>
            <w:tcBorders>
              <w:top w:val="nil"/>
              <w:left w:val="nil"/>
              <w:bottom w:val="single" w:color="auto" w:sz="4" w:space="0"/>
              <w:right w:val="single" w:color="auto" w:sz="4" w:space="0"/>
            </w:tcBorders>
            <w:vAlign w:val="center"/>
          </w:tcPr>
          <w:p w14:paraId="5A343E4E">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X≥300</w:t>
            </w:r>
          </w:p>
        </w:tc>
        <w:tc>
          <w:tcPr>
            <w:tcW w:w="1701" w:type="dxa"/>
            <w:tcBorders>
              <w:top w:val="nil"/>
              <w:left w:val="nil"/>
              <w:bottom w:val="single" w:color="auto" w:sz="4" w:space="0"/>
              <w:right w:val="single" w:color="auto" w:sz="4" w:space="0"/>
            </w:tcBorders>
            <w:vAlign w:val="center"/>
          </w:tcPr>
          <w:p w14:paraId="0E96F7F8">
            <w:pPr>
              <w:widowControl/>
              <w:ind w:left="1" w:leftChars="-51" w:hanging="108" w:hangingChars="60"/>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100≤X＜300 </w:t>
            </w:r>
          </w:p>
        </w:tc>
        <w:tc>
          <w:tcPr>
            <w:tcW w:w="1426" w:type="dxa"/>
            <w:tcBorders>
              <w:top w:val="nil"/>
              <w:left w:val="nil"/>
              <w:bottom w:val="single" w:color="auto" w:sz="4" w:space="0"/>
              <w:right w:val="single" w:color="auto" w:sz="4" w:space="0"/>
            </w:tcBorders>
            <w:vAlign w:val="center"/>
          </w:tcPr>
          <w:p w14:paraId="413B41BA">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 xml:space="preserve"> 10≤X＜100</w:t>
            </w:r>
          </w:p>
        </w:tc>
        <w:tc>
          <w:tcPr>
            <w:tcW w:w="992" w:type="dxa"/>
            <w:tcBorders>
              <w:top w:val="nil"/>
              <w:left w:val="nil"/>
              <w:bottom w:val="single" w:color="auto" w:sz="4" w:space="0"/>
              <w:right w:val="nil"/>
            </w:tcBorders>
            <w:vAlign w:val="center"/>
          </w:tcPr>
          <w:p w14:paraId="3C40DC50">
            <w:pPr>
              <w:widowControl/>
              <w:jc w:val="center"/>
              <w:rPr>
                <w:rFonts w:hint="eastAsia" w:ascii="宋体" w:hAnsi="宋体"/>
                <w:color w:val="000000"/>
                <w:kern w:val="0"/>
                <w:sz w:val="18"/>
                <w:szCs w:val="18"/>
                <w:highlight w:val="none"/>
              </w:rPr>
            </w:pPr>
            <w:r>
              <w:rPr>
                <w:rFonts w:hint="eastAsia" w:ascii="宋体" w:hAnsi="宋体"/>
                <w:color w:val="000000"/>
                <w:kern w:val="0"/>
                <w:sz w:val="18"/>
                <w:szCs w:val="18"/>
                <w:highlight w:val="none"/>
              </w:rPr>
              <w:t>X＜10</w:t>
            </w:r>
          </w:p>
        </w:tc>
      </w:tr>
    </w:tbl>
    <w:p w14:paraId="00A7D47C">
      <w:pPr>
        <w:rPr>
          <w:color w:val="000000"/>
          <w:highlight w:val="none"/>
        </w:rPr>
      </w:pPr>
    </w:p>
    <w:sectPr>
      <w:footerReference r:id="rId11" w:type="first"/>
      <w:footerReference r:id="rId10" w:type="default"/>
      <w:pgSz w:w="11905" w:h="16838"/>
      <w:pgMar w:top="1440" w:right="1077" w:bottom="1440" w:left="1417" w:header="850" w:footer="850" w:gutter="0"/>
      <w:pgNumType w:fmt="decimal"/>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Helvetica">
    <w:altName w:val="Arial"/>
    <w:panose1 w:val="020B0504020202030204"/>
    <w:charset w:val="00"/>
    <w:family w:val="swiss"/>
    <w:pitch w:val="default"/>
    <w:sig w:usb0="00000000" w:usb1="00000000" w:usb2="00000000" w:usb3="00000000" w:csb0="00000093"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EAE9">
    <w:pPr>
      <w:pStyle w:val="5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EB39">
    <w:pPr>
      <w:pStyle w:val="51"/>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A27D">
    <w:pPr>
      <w:pStyle w:val="51"/>
      <w:tabs>
        <w:tab w:val="clear" w:pos="4153"/>
        <w:tab w:val="clear"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5A94D">
                          <w:pPr>
                            <w:pStyle w:val="51"/>
                            <w:tabs>
                              <w:tab w:val="clear" w:pos="4153"/>
                              <w:tab w:val="clear" w:pos="8306"/>
                            </w:tabs>
                            <w:jc w:val="center"/>
                          </w:pPr>
                          <w:r>
                            <w:fldChar w:fldCharType="begin"/>
                          </w:r>
                          <w:r>
                            <w:instrText xml:space="preserve"> PAGE   \* MERGEFORMAT </w:instrText>
                          </w:r>
                          <w:r>
                            <w:fldChar w:fldCharType="separate"/>
                          </w:r>
                          <w:r>
                            <w:rPr>
                              <w:lang w:val="zh-CN"/>
                            </w:rP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65A94D">
                    <w:pPr>
                      <w:pStyle w:val="51"/>
                      <w:tabs>
                        <w:tab w:val="clear" w:pos="4153"/>
                        <w:tab w:val="clear" w:pos="8306"/>
                      </w:tabs>
                      <w:jc w:val="center"/>
                    </w:pPr>
                    <w:r>
                      <w:fldChar w:fldCharType="begin"/>
                    </w:r>
                    <w:r>
                      <w:instrText xml:space="preserve"> PAGE   \* MERGEFORMAT </w:instrText>
                    </w:r>
                    <w:r>
                      <w:fldChar w:fldCharType="separate"/>
                    </w:r>
                    <w:r>
                      <w:rPr>
                        <w:lang w:val="zh-CN"/>
                      </w:rPr>
                      <w:t>57</w:t>
                    </w:r>
                    <w:r>
                      <w:fldChar w:fldCharType="end"/>
                    </w:r>
                  </w:p>
                </w:txbxContent>
              </v:textbox>
            </v:shape>
          </w:pict>
        </mc:Fallback>
      </mc:AlternateContent>
    </w:r>
  </w:p>
  <w:p w14:paraId="538AFAC7">
    <w:pPr>
      <w:pStyle w:val="5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2DAB">
    <w:pPr>
      <w:pStyle w:val="51"/>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E47D86C">
                          <w:pPr>
                            <w:pStyle w:val="51"/>
                            <w:tabs>
                              <w:tab w:val="clear" w:pos="4153"/>
                              <w:tab w:val="clear" w:pos="8306"/>
                            </w:tabs>
                          </w:pPr>
                          <w:r>
                            <w:fldChar w:fldCharType="begin"/>
                          </w:r>
                          <w:r>
                            <w:instrText xml:space="preserve"> PAGE  \* MERGEFORMAT </w:instrText>
                          </w:r>
                          <w:r>
                            <w:fldChar w:fldCharType="separate"/>
                          </w:r>
                          <w:r>
                            <w:t>1</w:t>
                          </w:r>
                          <w:r>
                            <w:fldChar w:fldCharType="end"/>
                          </w:r>
                        </w:p>
                        <w:p w14:paraId="3C21E3E3"/>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Z5ZLvboBAACGAwAADgAAAAAAAAABACAAAAAiAQAAZHJzL2Uyb0RvYy54bWxQSwUGAAAA&#10;AAYABgBZAQAATgUAAAAA&#10;">
              <v:fill on="f" focussize="0,0"/>
              <v:stroke on="f"/>
              <v:imagedata o:title=""/>
              <o:lock v:ext="edit" aspectratio="f"/>
              <v:textbox>
                <w:txbxContent>
                  <w:p w14:paraId="4E47D86C">
                    <w:pPr>
                      <w:pStyle w:val="51"/>
                      <w:tabs>
                        <w:tab w:val="clear" w:pos="4153"/>
                        <w:tab w:val="clear" w:pos="8306"/>
                      </w:tabs>
                    </w:pPr>
                    <w:r>
                      <w:fldChar w:fldCharType="begin"/>
                    </w:r>
                    <w:r>
                      <w:instrText xml:space="preserve"> PAGE  \* MERGEFORMAT </w:instrText>
                    </w:r>
                    <w:r>
                      <w:fldChar w:fldCharType="separate"/>
                    </w:r>
                    <w:r>
                      <w:t>1</w:t>
                    </w:r>
                    <w:r>
                      <w:fldChar w:fldCharType="end"/>
                    </w:r>
                  </w:p>
                  <w:p w14:paraId="3C21E3E3"/>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2ECE">
    <w:pPr>
      <w:pStyle w:val="51"/>
      <w:tabs>
        <w:tab w:val="clear" w:pos="4153"/>
        <w:tab w:val="clear" w:pos="8306"/>
      </w:tabs>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02E1427">
                          <w:pPr>
                            <w:pStyle w:val="51"/>
                            <w:tabs>
                              <w:tab w:val="clear" w:pos="4153"/>
                              <w:tab w:val="clear" w:pos="8306"/>
                            </w:tabs>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p w14:paraId="1B684560"/>
                      </w:txbxContent>
                    </wps:txbx>
                    <wps:bodyPr rot="0" vert="horz" wrap="square" lIns="0" tIns="0" rIns="0" bIns="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S5GFI&#10;sAEAAHYDAAAOAAAAAAAAAAEAIAAAACIBAABkcnMvZTJvRG9jLnhtbFBLBQYAAAAABgAGAFkBAABE&#10;BQAAAAA=&#10;">
              <v:fill on="f" focussize="0,0"/>
              <v:stroke on="f"/>
              <v:imagedata o:title=""/>
              <o:lock v:ext="edit" aspectratio="f"/>
              <v:textbox inset="0mm,0mm,0mm,0mm">
                <w:txbxContent>
                  <w:p w14:paraId="302E1427">
                    <w:pPr>
                      <w:pStyle w:val="51"/>
                      <w:tabs>
                        <w:tab w:val="clear" w:pos="4153"/>
                        <w:tab w:val="clear" w:pos="8306"/>
                      </w:tabs>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p w14:paraId="1B684560"/>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475D">
    <w:pPr>
      <w:pStyle w:val="51"/>
      <w:tabs>
        <w:tab w:val="clear" w:pos="4153"/>
        <w:tab w:val="clear" w:pos="8306"/>
      </w:tabs>
      <w:rPr>
        <w:rFonts w:hint="default"/>
        <w:lang w:val="en-US"/>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A3F15EE">
                          <w:pPr>
                            <w:pStyle w:val="51"/>
                            <w:tabs>
                              <w:tab w:val="clear" w:pos="4153"/>
                              <w:tab w:val="clear" w:pos="8306"/>
                            </w:tabs>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p w14:paraId="02F24674"/>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JTv1m&#10;sAEAAHYDAAAOAAAAAAAAAAEAIAAAACIBAABkcnMvZTJvRG9jLnhtbFBLBQYAAAAABgAGAFkBAABE&#10;BQAAAAA=&#10;">
              <v:fill on="f" focussize="0,0"/>
              <v:stroke on="f"/>
              <v:imagedata o:title=""/>
              <o:lock v:ext="edit" aspectratio="f"/>
              <v:textbox inset="0mm,0mm,0mm,0mm">
                <w:txbxContent>
                  <w:p w14:paraId="7A3F15EE">
                    <w:pPr>
                      <w:pStyle w:val="51"/>
                      <w:tabs>
                        <w:tab w:val="clear" w:pos="4153"/>
                        <w:tab w:val="clear" w:pos="8306"/>
                      </w:tabs>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p w14:paraId="02F24674"/>
                </w:txbxContent>
              </v:textbox>
            </v:rect>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3366">
    <w:pPr>
      <w:pStyle w:val="53"/>
      <w:pBdr>
        <w:bottom w:val="single" w:color="auto" w:sz="4" w:space="1"/>
      </w:pBdr>
      <w:tabs>
        <w:tab w:val="clear" w:pos="4153"/>
        <w:tab w:val="clear" w:pos="8306"/>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8B7D">
    <w:pPr>
      <w:pStyle w:val="53"/>
      <w:pBdr>
        <w:bottom w:val="single" w:color="auto" w:sz="4" w:space="1"/>
      </w:pBdr>
      <w:tabs>
        <w:tab w:val="clear" w:pos="4153"/>
        <w:tab w:val="clear" w:pos="8306"/>
      </w:tabs>
      <w:rPr>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7387A">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0B56A"/>
    <w:multiLevelType w:val="singleLevel"/>
    <w:tmpl w:val="EF80B56A"/>
    <w:lvl w:ilvl="0" w:tentative="0">
      <w:start w:val="1"/>
      <w:numFmt w:val="decimal"/>
      <w:suff w:val="space"/>
      <w:lvlText w:val="%1."/>
      <w:lvlJc w:val="left"/>
    </w:lvl>
  </w:abstractNum>
  <w:abstractNum w:abstractNumId="1">
    <w:nsid w:val="F915BF01"/>
    <w:multiLevelType w:val="singleLevel"/>
    <w:tmpl w:val="F915BF01"/>
    <w:lvl w:ilvl="0" w:tentative="0">
      <w:start w:val="2"/>
      <w:numFmt w:val="chineseCounting"/>
      <w:suff w:val="space"/>
      <w:lvlText w:val="第%1部分"/>
      <w:lvlJc w:val="left"/>
      <w:rPr>
        <w:rFonts w:hint="eastAsia"/>
      </w:rPr>
    </w:lvl>
  </w:abstractNum>
  <w:abstractNum w:abstractNumId="2">
    <w:nsid w:val="13182EB1"/>
    <w:multiLevelType w:val="multilevel"/>
    <w:tmpl w:val="13182EB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E2DDD3"/>
    <w:multiLevelType w:val="singleLevel"/>
    <w:tmpl w:val="21E2DDD3"/>
    <w:lvl w:ilvl="0" w:tentative="0">
      <w:start w:val="1"/>
      <w:numFmt w:val="decimal"/>
      <w:suff w:val="space"/>
      <w:lvlText w:val="(%1)"/>
      <w:lvlJc w:val="left"/>
    </w:lvl>
  </w:abstractNum>
  <w:abstractNum w:abstractNumId="4">
    <w:nsid w:val="28F1692E"/>
    <w:multiLevelType w:val="multilevel"/>
    <w:tmpl w:val="28F1692E"/>
    <w:lvl w:ilvl="0" w:tentative="0">
      <w:start w:val="2"/>
      <w:numFmt w:val="japaneseCounting"/>
      <w:lvlText w:val="%1、"/>
      <w:lvlJc w:val="left"/>
      <w:pPr>
        <w:ind w:left="450" w:hanging="45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EFEF5F"/>
    <w:multiLevelType w:val="singleLevel"/>
    <w:tmpl w:val="3AEFEF5F"/>
    <w:lvl w:ilvl="0" w:tentative="0">
      <w:start w:val="2"/>
      <w:numFmt w:val="decimal"/>
      <w:lvlText w:val="%1."/>
      <w:lvlJc w:val="left"/>
      <w:pPr>
        <w:tabs>
          <w:tab w:val="left" w:pos="312"/>
        </w:tabs>
      </w:pPr>
    </w:lvl>
  </w:abstractNum>
  <w:abstractNum w:abstractNumId="6">
    <w:nsid w:val="5498E193"/>
    <w:multiLevelType w:val="singleLevel"/>
    <w:tmpl w:val="5498E193"/>
    <w:lvl w:ilvl="0" w:tentative="0">
      <w:start w:val="11"/>
      <w:numFmt w:val="decimal"/>
      <w:suff w:val="space"/>
      <w:lvlText w:val="%1."/>
      <w:lvlJc w:val="left"/>
    </w:lvl>
  </w:abstractNum>
  <w:abstractNum w:abstractNumId="7">
    <w:nsid w:val="7FF7084E"/>
    <w:multiLevelType w:val="singleLevel"/>
    <w:tmpl w:val="7FF7084E"/>
    <w:lvl w:ilvl="0" w:tentative="0">
      <w:start w:val="2"/>
      <w:numFmt w:val="decimal"/>
      <w:suff w:val="space"/>
      <w:lvlText w:val="%1."/>
      <w:lvlJc w:val="left"/>
    </w:lvl>
  </w:abstractNum>
  <w:num w:numId="1">
    <w:abstractNumId w:val="5"/>
  </w:num>
  <w:num w:numId="2">
    <w:abstractNumId w:val="2"/>
  </w:num>
  <w:num w:numId="3">
    <w:abstractNumId w:val="3"/>
  </w:num>
  <w:num w:numId="4">
    <w:abstractNumId w:val="7"/>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848FD"/>
    <w:rsid w:val="04824AE7"/>
    <w:rsid w:val="05070CC2"/>
    <w:rsid w:val="0A6907F0"/>
    <w:rsid w:val="0C4F3999"/>
    <w:rsid w:val="0E587C43"/>
    <w:rsid w:val="1798501F"/>
    <w:rsid w:val="17F378CF"/>
    <w:rsid w:val="188243CB"/>
    <w:rsid w:val="18B83239"/>
    <w:rsid w:val="1C9079D9"/>
    <w:rsid w:val="1E4C0086"/>
    <w:rsid w:val="1FE1076F"/>
    <w:rsid w:val="29E079A0"/>
    <w:rsid w:val="2A9211C9"/>
    <w:rsid w:val="2C027C88"/>
    <w:rsid w:val="32F6269F"/>
    <w:rsid w:val="384F06F9"/>
    <w:rsid w:val="433027BC"/>
    <w:rsid w:val="491A08B0"/>
    <w:rsid w:val="4D063625"/>
    <w:rsid w:val="4FA34B34"/>
    <w:rsid w:val="50566671"/>
    <w:rsid w:val="53090F03"/>
    <w:rsid w:val="569C032E"/>
    <w:rsid w:val="5763424F"/>
    <w:rsid w:val="5D0631CD"/>
    <w:rsid w:val="5D8F31C2"/>
    <w:rsid w:val="60824919"/>
    <w:rsid w:val="636522D0"/>
    <w:rsid w:val="65551326"/>
    <w:rsid w:val="65660603"/>
    <w:rsid w:val="658E1FB1"/>
    <w:rsid w:val="66293A88"/>
    <w:rsid w:val="684F2728"/>
    <w:rsid w:val="68A37B22"/>
    <w:rsid w:val="6E706BB0"/>
    <w:rsid w:val="6F276826"/>
    <w:rsid w:val="74840294"/>
    <w:rsid w:val="756E14B8"/>
    <w:rsid w:val="76D37824"/>
    <w:rsid w:val="7DED1B13"/>
    <w:rsid w:val="7E573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1"/>
    <w:pPr>
      <w:ind w:left="3417"/>
      <w:outlineLvl w:val="3"/>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szCs w:val="20"/>
    </w:rPr>
  </w:style>
  <w:style w:type="paragraph" w:styleId="4">
    <w:name w:val="annotation text"/>
    <w:basedOn w:val="1"/>
    <w:qFormat/>
    <w:uiPriority w:val="0"/>
    <w:pPr>
      <w:jc w:val="left"/>
    </w:pPr>
  </w:style>
  <w:style w:type="paragraph" w:styleId="5">
    <w:name w:val="Plain Text"/>
    <w:basedOn w:val="1"/>
    <w:next w:val="3"/>
    <w:qFormat/>
    <w:uiPriority w:val="0"/>
    <w:rPr>
      <w:rFonts w:hAnsi="Courier New"/>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标题 11"/>
    <w:basedOn w:val="1"/>
    <w:link w:val="21"/>
    <w:qFormat/>
    <w:uiPriority w:val="0"/>
    <w:pPr>
      <w:keepNext/>
      <w:outlineLvl w:val="0"/>
    </w:pPr>
    <w:rPr>
      <w:b/>
    </w:rPr>
  </w:style>
  <w:style w:type="paragraph" w:customStyle="1" w:styleId="11">
    <w:name w:val="标题 21"/>
    <w:basedOn w:val="1"/>
    <w:link w:val="22"/>
    <w:qFormat/>
    <w:uiPriority w:val="0"/>
    <w:pPr>
      <w:keepNext/>
      <w:keepLines/>
      <w:spacing w:before="260" w:after="260" w:line="416" w:lineRule="auto"/>
      <w:outlineLvl w:val="1"/>
    </w:pPr>
    <w:rPr>
      <w:rFonts w:ascii="Arial" w:hAnsi="Arial" w:eastAsia="黑体"/>
      <w:b/>
      <w:bCs/>
      <w:sz w:val="32"/>
      <w:szCs w:val="32"/>
    </w:rPr>
  </w:style>
  <w:style w:type="paragraph" w:customStyle="1" w:styleId="12">
    <w:name w:val="标题 31"/>
    <w:basedOn w:val="1"/>
    <w:link w:val="23"/>
    <w:qFormat/>
    <w:uiPriority w:val="0"/>
    <w:pPr>
      <w:keepNext/>
      <w:keepLines/>
      <w:spacing w:before="260" w:after="260" w:line="416" w:lineRule="auto"/>
      <w:outlineLvl w:val="2"/>
    </w:pPr>
    <w:rPr>
      <w:b/>
      <w:bCs/>
      <w:sz w:val="32"/>
      <w:szCs w:val="32"/>
    </w:rPr>
  </w:style>
  <w:style w:type="paragraph" w:customStyle="1" w:styleId="13">
    <w:name w:val="标题 41"/>
    <w:basedOn w:val="1"/>
    <w:link w:val="24"/>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customStyle="1" w:styleId="14">
    <w:name w:val="标题 51"/>
    <w:basedOn w:val="1"/>
    <w:link w:val="25"/>
    <w:qFormat/>
    <w:uiPriority w:val="0"/>
    <w:pPr>
      <w:keepNext/>
      <w:keepLines/>
      <w:tabs>
        <w:tab w:val="left" w:pos="1008"/>
      </w:tabs>
      <w:spacing w:before="280" w:after="290" w:line="376" w:lineRule="auto"/>
      <w:ind w:left="1008" w:hanging="1008"/>
      <w:outlineLvl w:val="4"/>
    </w:pPr>
    <w:rPr>
      <w:b/>
      <w:bCs/>
      <w:sz w:val="28"/>
      <w:szCs w:val="28"/>
    </w:rPr>
  </w:style>
  <w:style w:type="paragraph" w:customStyle="1" w:styleId="15">
    <w:name w:val="标题 61"/>
    <w:basedOn w:val="1"/>
    <w:link w:val="2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customStyle="1" w:styleId="16">
    <w:name w:val="标题 71"/>
    <w:basedOn w:val="1"/>
    <w:link w:val="27"/>
    <w:qFormat/>
    <w:uiPriority w:val="0"/>
    <w:pPr>
      <w:keepNext/>
      <w:keepLines/>
      <w:tabs>
        <w:tab w:val="left" w:pos="1296"/>
      </w:tabs>
      <w:spacing w:before="240" w:after="64" w:line="320" w:lineRule="auto"/>
      <w:ind w:left="1296" w:hanging="1296"/>
      <w:outlineLvl w:val="6"/>
    </w:pPr>
    <w:rPr>
      <w:b/>
      <w:bCs/>
      <w:sz w:val="24"/>
    </w:rPr>
  </w:style>
  <w:style w:type="paragraph" w:customStyle="1" w:styleId="17">
    <w:name w:val="标题 81"/>
    <w:basedOn w:val="1"/>
    <w:link w:val="2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customStyle="1" w:styleId="18">
    <w:name w:val="标题 91"/>
    <w:basedOn w:val="1"/>
    <w:link w:val="2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customStyle="1" w:styleId="19">
    <w:name w:val="默认段落字体1"/>
    <w:link w:val="1"/>
    <w:qFormat/>
    <w:uiPriority w:val="0"/>
  </w:style>
  <w:style w:type="table" w:customStyle="1" w:styleId="20">
    <w:name w:val="普通表格1"/>
    <w:qFormat/>
    <w:uiPriority w:val="0"/>
  </w:style>
  <w:style w:type="character" w:customStyle="1" w:styleId="21">
    <w:name w:val="标题 1 Char"/>
    <w:link w:val="10"/>
    <w:qFormat/>
    <w:uiPriority w:val="0"/>
    <w:rPr>
      <w:b/>
      <w:kern w:val="2"/>
      <w:sz w:val="21"/>
      <w:szCs w:val="24"/>
    </w:rPr>
  </w:style>
  <w:style w:type="character" w:customStyle="1" w:styleId="22">
    <w:name w:val="标题 2 Char"/>
    <w:link w:val="11"/>
    <w:qFormat/>
    <w:uiPriority w:val="0"/>
    <w:rPr>
      <w:rFonts w:ascii="Arial" w:hAnsi="Arial" w:eastAsia="黑体"/>
      <w:b/>
      <w:bCs/>
      <w:kern w:val="2"/>
      <w:sz w:val="32"/>
      <w:szCs w:val="32"/>
    </w:rPr>
  </w:style>
  <w:style w:type="character" w:customStyle="1" w:styleId="23">
    <w:name w:val="标题 3 Char"/>
    <w:link w:val="12"/>
    <w:semiHidden/>
    <w:qFormat/>
    <w:uiPriority w:val="0"/>
    <w:rPr>
      <w:b/>
      <w:bCs/>
      <w:kern w:val="2"/>
      <w:sz w:val="32"/>
      <w:szCs w:val="32"/>
    </w:rPr>
  </w:style>
  <w:style w:type="character" w:customStyle="1" w:styleId="24">
    <w:name w:val="标题 4 Char"/>
    <w:link w:val="13"/>
    <w:qFormat/>
    <w:uiPriority w:val="0"/>
    <w:rPr>
      <w:rFonts w:ascii="Arial" w:hAnsi="Arial" w:eastAsia="黑体"/>
      <w:b/>
      <w:bCs/>
      <w:kern w:val="2"/>
      <w:sz w:val="28"/>
      <w:szCs w:val="28"/>
    </w:rPr>
  </w:style>
  <w:style w:type="character" w:customStyle="1" w:styleId="25">
    <w:name w:val="标题 5 Char"/>
    <w:link w:val="14"/>
    <w:qFormat/>
    <w:uiPriority w:val="0"/>
    <w:rPr>
      <w:b/>
      <w:bCs/>
      <w:kern w:val="2"/>
      <w:sz w:val="28"/>
      <w:szCs w:val="28"/>
    </w:rPr>
  </w:style>
  <w:style w:type="character" w:customStyle="1" w:styleId="26">
    <w:name w:val="标题 6 Char"/>
    <w:link w:val="15"/>
    <w:qFormat/>
    <w:uiPriority w:val="0"/>
    <w:rPr>
      <w:rFonts w:ascii="Arial" w:hAnsi="Arial" w:eastAsia="黑体"/>
      <w:b/>
      <w:bCs/>
      <w:kern w:val="2"/>
      <w:sz w:val="24"/>
      <w:szCs w:val="24"/>
    </w:rPr>
  </w:style>
  <w:style w:type="character" w:customStyle="1" w:styleId="27">
    <w:name w:val="标题 7 Char"/>
    <w:link w:val="16"/>
    <w:qFormat/>
    <w:uiPriority w:val="0"/>
    <w:rPr>
      <w:b/>
      <w:bCs/>
      <w:kern w:val="2"/>
      <w:sz w:val="24"/>
      <w:szCs w:val="24"/>
    </w:rPr>
  </w:style>
  <w:style w:type="character" w:customStyle="1" w:styleId="28">
    <w:name w:val="标题 8 Char"/>
    <w:link w:val="17"/>
    <w:qFormat/>
    <w:uiPriority w:val="0"/>
    <w:rPr>
      <w:rFonts w:ascii="Arial" w:hAnsi="Arial" w:eastAsia="黑体"/>
      <w:kern w:val="2"/>
      <w:sz w:val="24"/>
      <w:szCs w:val="24"/>
    </w:rPr>
  </w:style>
  <w:style w:type="character" w:customStyle="1" w:styleId="29">
    <w:name w:val="标题 9 Char"/>
    <w:link w:val="18"/>
    <w:qFormat/>
    <w:uiPriority w:val="0"/>
    <w:rPr>
      <w:rFonts w:ascii="Arial" w:hAnsi="Arial" w:eastAsia="黑体"/>
      <w:kern w:val="2"/>
      <w:sz w:val="21"/>
      <w:szCs w:val="21"/>
    </w:rPr>
  </w:style>
  <w:style w:type="paragraph" w:customStyle="1" w:styleId="30">
    <w:name w:val="目录 71"/>
    <w:basedOn w:val="1"/>
    <w:qFormat/>
    <w:uiPriority w:val="0"/>
    <w:pPr>
      <w:ind w:left="2520" w:leftChars="1200"/>
    </w:pPr>
  </w:style>
  <w:style w:type="paragraph" w:customStyle="1" w:styleId="31">
    <w:name w:val="正文缩进1"/>
    <w:basedOn w:val="1"/>
    <w:link w:val="32"/>
    <w:qFormat/>
    <w:uiPriority w:val="0"/>
    <w:pPr>
      <w:ind w:firstLine="420"/>
    </w:pPr>
    <w:rPr>
      <w:szCs w:val="20"/>
    </w:rPr>
  </w:style>
  <w:style w:type="character" w:customStyle="1" w:styleId="32">
    <w:name w:val="正文缩进 Char"/>
    <w:link w:val="31"/>
    <w:qFormat/>
    <w:uiPriority w:val="0"/>
    <w:rPr>
      <w:rFonts w:eastAsia="宋体"/>
      <w:kern w:val="2"/>
      <w:sz w:val="21"/>
      <w:lang w:val="en-US" w:eastAsia="zh-CN" w:bidi="ar-SA"/>
    </w:rPr>
  </w:style>
  <w:style w:type="paragraph" w:customStyle="1" w:styleId="33">
    <w:name w:val="题注1"/>
    <w:basedOn w:val="1"/>
    <w:qFormat/>
    <w:uiPriority w:val="0"/>
    <w:rPr>
      <w:rFonts w:ascii="Arial" w:hAnsi="Arial" w:eastAsia="黑体"/>
      <w:sz w:val="20"/>
      <w:szCs w:val="20"/>
    </w:rPr>
  </w:style>
  <w:style w:type="paragraph" w:customStyle="1" w:styleId="34">
    <w:name w:val="文档结构图1"/>
    <w:basedOn w:val="1"/>
    <w:semiHidden/>
    <w:qFormat/>
    <w:uiPriority w:val="0"/>
    <w:pPr>
      <w:shd w:val="clear" w:color="auto" w:fill="000080"/>
    </w:pPr>
  </w:style>
  <w:style w:type="paragraph" w:customStyle="1" w:styleId="35">
    <w:name w:val="批注文字1"/>
    <w:basedOn w:val="1"/>
    <w:link w:val="36"/>
    <w:qFormat/>
    <w:uiPriority w:val="0"/>
    <w:pPr>
      <w:jc w:val="left"/>
    </w:pPr>
  </w:style>
  <w:style w:type="character" w:customStyle="1" w:styleId="36">
    <w:name w:val="批注文字 Char"/>
    <w:link w:val="35"/>
    <w:qFormat/>
    <w:uiPriority w:val="0"/>
    <w:rPr>
      <w:rFonts w:eastAsia="宋体"/>
      <w:kern w:val="2"/>
      <w:sz w:val="21"/>
      <w:szCs w:val="24"/>
      <w:lang w:val="en-US" w:eastAsia="zh-CN" w:bidi="ar-SA"/>
    </w:rPr>
  </w:style>
  <w:style w:type="paragraph" w:customStyle="1" w:styleId="37">
    <w:name w:val="正文文本1"/>
    <w:basedOn w:val="1"/>
    <w:link w:val="38"/>
    <w:qFormat/>
    <w:uiPriority w:val="0"/>
    <w:pPr>
      <w:spacing w:after="120"/>
    </w:pPr>
  </w:style>
  <w:style w:type="character" w:customStyle="1" w:styleId="38">
    <w:name w:val="正文文本 Char"/>
    <w:link w:val="37"/>
    <w:qFormat/>
    <w:uiPriority w:val="0"/>
    <w:rPr>
      <w:kern w:val="2"/>
      <w:sz w:val="21"/>
      <w:szCs w:val="24"/>
    </w:rPr>
  </w:style>
  <w:style w:type="paragraph" w:customStyle="1" w:styleId="39">
    <w:name w:val="正文文本缩进1"/>
    <w:basedOn w:val="1"/>
    <w:qFormat/>
    <w:uiPriority w:val="0"/>
    <w:pPr>
      <w:spacing w:line="200" w:lineRule="exact"/>
      <w:ind w:firstLine="301"/>
    </w:pPr>
    <w:rPr>
      <w:rFonts w:ascii="宋体" w:hAnsi="Courier New"/>
      <w:spacing w:val="-4"/>
      <w:sz w:val="18"/>
      <w:szCs w:val="20"/>
    </w:rPr>
  </w:style>
  <w:style w:type="paragraph" w:customStyle="1" w:styleId="40">
    <w:name w:val="寄信人地址1"/>
    <w:basedOn w:val="1"/>
    <w:qFormat/>
    <w:uiPriority w:val="0"/>
    <w:pPr>
      <w:widowControl/>
      <w:snapToGrid w:val="0"/>
      <w:spacing w:after="200"/>
      <w:jc w:val="left"/>
    </w:pPr>
    <w:rPr>
      <w:rFonts w:ascii="Arial" w:hAnsi="Arial" w:eastAsia="微软雅黑"/>
      <w:kern w:val="0"/>
      <w:sz w:val="22"/>
      <w:szCs w:val="22"/>
    </w:rPr>
  </w:style>
  <w:style w:type="paragraph" w:customStyle="1" w:styleId="41">
    <w:name w:val="文本块1"/>
    <w:basedOn w:val="1"/>
    <w:qFormat/>
    <w:uiPriority w:val="0"/>
    <w:pPr>
      <w:snapToGrid w:val="0"/>
      <w:spacing w:line="480" w:lineRule="atLeast"/>
      <w:ind w:left="-57" w:right="69"/>
    </w:pPr>
    <w:rPr>
      <w:rFonts w:ascii="宋体"/>
      <w:b/>
      <w:sz w:val="24"/>
      <w:szCs w:val="20"/>
    </w:rPr>
  </w:style>
  <w:style w:type="paragraph" w:customStyle="1" w:styleId="42">
    <w:name w:val="目录 51"/>
    <w:basedOn w:val="1"/>
    <w:qFormat/>
    <w:uiPriority w:val="0"/>
    <w:pPr>
      <w:ind w:left="1680" w:leftChars="800"/>
    </w:pPr>
    <w:rPr>
      <w:rFonts w:ascii="Calibri" w:hAnsi="Calibri" w:eastAsia="宋体"/>
      <w:szCs w:val="22"/>
    </w:rPr>
  </w:style>
  <w:style w:type="paragraph" w:customStyle="1" w:styleId="43">
    <w:name w:val="目录 31"/>
    <w:basedOn w:val="1"/>
    <w:qFormat/>
    <w:uiPriority w:val="0"/>
    <w:pPr>
      <w:ind w:left="840" w:leftChars="400"/>
    </w:pPr>
  </w:style>
  <w:style w:type="paragraph" w:customStyle="1" w:styleId="44">
    <w:name w:val="纯文本1"/>
    <w:basedOn w:val="1"/>
    <w:link w:val="45"/>
    <w:qFormat/>
    <w:uiPriority w:val="0"/>
    <w:rPr>
      <w:rFonts w:hint="eastAsia" w:ascii="宋体" w:hAnsi="Courier New"/>
      <w:szCs w:val="21"/>
    </w:rPr>
  </w:style>
  <w:style w:type="character" w:customStyle="1" w:styleId="45">
    <w:name w:val="纯文本 Char2"/>
    <w:link w:val="44"/>
    <w:qFormat/>
    <w:uiPriority w:val="0"/>
    <w:rPr>
      <w:rFonts w:hint="eastAsia" w:ascii="宋体" w:hAnsi="Courier New" w:eastAsia="宋体"/>
      <w:kern w:val="2"/>
      <w:sz w:val="21"/>
      <w:szCs w:val="21"/>
    </w:rPr>
  </w:style>
  <w:style w:type="paragraph" w:customStyle="1" w:styleId="46">
    <w:name w:val="目录 81"/>
    <w:basedOn w:val="1"/>
    <w:qFormat/>
    <w:uiPriority w:val="0"/>
    <w:pPr>
      <w:ind w:left="2940" w:leftChars="1400"/>
    </w:pPr>
    <w:rPr>
      <w:rFonts w:ascii="Calibri" w:hAnsi="Calibri" w:eastAsia="宋体"/>
      <w:szCs w:val="22"/>
    </w:rPr>
  </w:style>
  <w:style w:type="paragraph" w:customStyle="1" w:styleId="47">
    <w:name w:val="日期1"/>
    <w:basedOn w:val="1"/>
    <w:link w:val="48"/>
    <w:qFormat/>
    <w:uiPriority w:val="0"/>
    <w:pPr>
      <w:ind w:left="100" w:leftChars="2500"/>
    </w:pPr>
  </w:style>
  <w:style w:type="character" w:customStyle="1" w:styleId="48">
    <w:name w:val="日期 Char"/>
    <w:link w:val="47"/>
    <w:semiHidden/>
    <w:qFormat/>
    <w:uiPriority w:val="0"/>
    <w:rPr>
      <w:rFonts w:eastAsia="宋体"/>
      <w:kern w:val="2"/>
      <w:sz w:val="21"/>
      <w:szCs w:val="24"/>
      <w:lang w:val="en-US" w:eastAsia="zh-CN" w:bidi="ar-SA"/>
    </w:rPr>
  </w:style>
  <w:style w:type="paragraph" w:customStyle="1" w:styleId="49">
    <w:name w:val="正文文本缩进 21"/>
    <w:basedOn w:val="1"/>
    <w:qFormat/>
    <w:uiPriority w:val="0"/>
    <w:pPr>
      <w:spacing w:after="120" w:line="480" w:lineRule="auto"/>
      <w:ind w:left="420" w:leftChars="200"/>
    </w:pPr>
  </w:style>
  <w:style w:type="paragraph" w:customStyle="1" w:styleId="50">
    <w:name w:val="批注框文本1"/>
    <w:basedOn w:val="1"/>
    <w:semiHidden/>
    <w:qFormat/>
    <w:uiPriority w:val="0"/>
    <w:rPr>
      <w:sz w:val="18"/>
      <w:szCs w:val="18"/>
    </w:rPr>
  </w:style>
  <w:style w:type="paragraph" w:customStyle="1" w:styleId="51">
    <w:name w:val="页脚1"/>
    <w:basedOn w:val="1"/>
    <w:link w:val="52"/>
    <w:qFormat/>
    <w:uiPriority w:val="0"/>
    <w:pPr>
      <w:tabs>
        <w:tab w:val="center" w:pos="4153"/>
        <w:tab w:val="right" w:pos="8306"/>
      </w:tabs>
      <w:snapToGrid w:val="0"/>
      <w:jc w:val="left"/>
    </w:pPr>
    <w:rPr>
      <w:rFonts w:ascii="宋体" w:hAnsi="Courier New"/>
      <w:sz w:val="18"/>
      <w:szCs w:val="20"/>
    </w:rPr>
  </w:style>
  <w:style w:type="character" w:customStyle="1" w:styleId="52">
    <w:name w:val="页脚 Char"/>
    <w:link w:val="51"/>
    <w:qFormat/>
    <w:uiPriority w:val="0"/>
    <w:rPr>
      <w:rFonts w:ascii="宋体" w:hAnsi="Courier New"/>
      <w:kern w:val="2"/>
      <w:sz w:val="18"/>
    </w:rPr>
  </w:style>
  <w:style w:type="paragraph" w:customStyle="1" w:styleId="53">
    <w:name w:val="页眉1"/>
    <w:basedOn w:val="1"/>
    <w:link w:val="54"/>
    <w:qFormat/>
    <w:uiPriority w:val="0"/>
    <w:pPr>
      <w:pBdr>
        <w:bottom w:val="single" w:color="auto" w:sz="6" w:space="1"/>
      </w:pBdr>
      <w:tabs>
        <w:tab w:val="center" w:pos="4153"/>
        <w:tab w:val="right" w:pos="8306"/>
      </w:tabs>
      <w:snapToGrid w:val="0"/>
      <w:jc w:val="center"/>
    </w:pPr>
    <w:rPr>
      <w:rFonts w:ascii="宋体" w:hAnsi="Courier New"/>
      <w:sz w:val="18"/>
      <w:szCs w:val="20"/>
    </w:rPr>
  </w:style>
  <w:style w:type="character" w:customStyle="1" w:styleId="54">
    <w:name w:val="页眉 Char"/>
    <w:link w:val="53"/>
    <w:qFormat/>
    <w:uiPriority w:val="0"/>
    <w:rPr>
      <w:rFonts w:ascii="宋体" w:hAnsi="Courier New" w:eastAsia="宋体"/>
      <w:kern w:val="2"/>
      <w:sz w:val="18"/>
      <w:lang w:val="en-US" w:eastAsia="zh-CN" w:bidi="ar-SA"/>
    </w:rPr>
  </w:style>
  <w:style w:type="paragraph" w:customStyle="1" w:styleId="55">
    <w:name w:val="目录 11"/>
    <w:basedOn w:val="1"/>
    <w:qFormat/>
    <w:uiPriority w:val="0"/>
    <w:pPr>
      <w:tabs>
        <w:tab w:val="right" w:leader="dot" w:pos="8820"/>
      </w:tabs>
      <w:ind w:left="540"/>
      <w:jc w:val="left"/>
    </w:pPr>
    <w:rPr>
      <w:rFonts w:ascii="宋体" w:hAnsi="宋体"/>
      <w:b/>
      <w:bCs/>
      <w:caps/>
      <w:szCs w:val="21"/>
    </w:rPr>
  </w:style>
  <w:style w:type="paragraph" w:customStyle="1" w:styleId="56">
    <w:name w:val="目录 41"/>
    <w:basedOn w:val="1"/>
    <w:qFormat/>
    <w:uiPriority w:val="0"/>
    <w:pPr>
      <w:ind w:left="1260" w:leftChars="600"/>
    </w:pPr>
    <w:rPr>
      <w:rFonts w:ascii="Calibri" w:hAnsi="Calibri" w:eastAsia="宋体"/>
      <w:szCs w:val="22"/>
    </w:rPr>
  </w:style>
  <w:style w:type="paragraph" w:customStyle="1" w:styleId="57">
    <w:name w:val="索引标题1"/>
    <w:basedOn w:val="1"/>
    <w:qFormat/>
    <w:uiPriority w:val="0"/>
    <w:rPr>
      <w:szCs w:val="21"/>
    </w:rPr>
  </w:style>
  <w:style w:type="paragraph" w:customStyle="1" w:styleId="58">
    <w:name w:val="索引 11"/>
    <w:basedOn w:val="1"/>
    <w:semiHidden/>
    <w:qFormat/>
    <w:uiPriority w:val="0"/>
    <w:pPr>
      <w:spacing w:line="360" w:lineRule="auto"/>
    </w:pPr>
    <w:rPr>
      <w:rFonts w:ascii="宋体" w:hAnsi="宋体"/>
      <w:bCs/>
      <w:szCs w:val="21"/>
    </w:rPr>
  </w:style>
  <w:style w:type="paragraph" w:customStyle="1" w:styleId="59">
    <w:name w:val="目录 61"/>
    <w:basedOn w:val="1"/>
    <w:qFormat/>
    <w:uiPriority w:val="0"/>
    <w:pPr>
      <w:ind w:left="2100" w:leftChars="1000"/>
    </w:pPr>
    <w:rPr>
      <w:rFonts w:ascii="Calibri" w:hAnsi="Calibri" w:eastAsia="宋体"/>
      <w:szCs w:val="22"/>
    </w:rPr>
  </w:style>
  <w:style w:type="paragraph" w:customStyle="1" w:styleId="60">
    <w:name w:val="正文文本缩进 31"/>
    <w:basedOn w:val="1"/>
    <w:link w:val="61"/>
    <w:qFormat/>
    <w:uiPriority w:val="0"/>
    <w:pPr>
      <w:spacing w:after="120"/>
      <w:ind w:left="420" w:leftChars="200"/>
    </w:pPr>
    <w:rPr>
      <w:sz w:val="16"/>
      <w:szCs w:val="16"/>
    </w:rPr>
  </w:style>
  <w:style w:type="character" w:customStyle="1" w:styleId="61">
    <w:name w:val="正文文本缩进 3 Char"/>
    <w:link w:val="60"/>
    <w:qFormat/>
    <w:uiPriority w:val="0"/>
    <w:rPr>
      <w:rFonts w:eastAsia="宋体"/>
      <w:kern w:val="2"/>
      <w:sz w:val="16"/>
      <w:szCs w:val="16"/>
      <w:lang w:val="en-US" w:eastAsia="zh-CN" w:bidi="ar-SA"/>
    </w:rPr>
  </w:style>
  <w:style w:type="paragraph" w:customStyle="1" w:styleId="62">
    <w:name w:val="目录 21"/>
    <w:basedOn w:val="1"/>
    <w:qFormat/>
    <w:uiPriority w:val="0"/>
    <w:pPr>
      <w:tabs>
        <w:tab w:val="right" w:leader="dot" w:pos="8280"/>
      </w:tabs>
      <w:spacing w:line="320" w:lineRule="exact"/>
      <w:ind w:left="1080"/>
      <w:jc w:val="left"/>
    </w:pPr>
    <w:rPr>
      <w:rFonts w:ascii="宋体" w:hAnsi="宋体"/>
      <w:szCs w:val="21"/>
    </w:rPr>
  </w:style>
  <w:style w:type="paragraph" w:customStyle="1" w:styleId="63">
    <w:name w:val="目录 91"/>
    <w:basedOn w:val="1"/>
    <w:qFormat/>
    <w:uiPriority w:val="0"/>
    <w:pPr>
      <w:ind w:left="3360" w:leftChars="1600"/>
    </w:pPr>
    <w:rPr>
      <w:rFonts w:ascii="Calibri" w:hAnsi="Calibri" w:eastAsia="宋体"/>
      <w:szCs w:val="22"/>
    </w:rPr>
  </w:style>
  <w:style w:type="paragraph" w:customStyle="1" w:styleId="64">
    <w:name w:val="正文文本 21"/>
    <w:basedOn w:val="1"/>
    <w:qFormat/>
    <w:uiPriority w:val="0"/>
    <w:pPr>
      <w:spacing w:after="120" w:line="480" w:lineRule="auto"/>
    </w:pPr>
  </w:style>
  <w:style w:type="paragraph" w:customStyle="1" w:styleId="65">
    <w:name w:val="HTML 预设格式1"/>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character" w:customStyle="1" w:styleId="66">
    <w:name w:val="HTML 预设格式 Char"/>
    <w:link w:val="65"/>
    <w:qFormat/>
    <w:uiPriority w:val="0"/>
    <w:rPr>
      <w:rFonts w:ascii="黑体" w:hAnsi="Courier New" w:eastAsia="黑体"/>
      <w:lang w:val="en-US" w:eastAsia="zh-CN" w:bidi="ar-SA"/>
    </w:rPr>
  </w:style>
  <w:style w:type="paragraph" w:customStyle="1" w:styleId="6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68">
    <w:name w:val="批注主题1"/>
    <w:basedOn w:val="35"/>
    <w:semiHidden/>
    <w:qFormat/>
    <w:uiPriority w:val="0"/>
    <w:rPr>
      <w:b/>
      <w:bCs/>
    </w:rPr>
  </w:style>
  <w:style w:type="paragraph" w:customStyle="1" w:styleId="69">
    <w:name w:val="正文首行缩进1"/>
    <w:basedOn w:val="37"/>
    <w:link w:val="70"/>
    <w:qFormat/>
    <w:uiPriority w:val="0"/>
    <w:pPr>
      <w:spacing w:line="360" w:lineRule="exact"/>
      <w:ind w:firstLine="420" w:firstLineChars="100"/>
    </w:pPr>
  </w:style>
  <w:style w:type="character" w:customStyle="1" w:styleId="70">
    <w:name w:val="正文首行缩进 Char"/>
    <w:link w:val="69"/>
    <w:qFormat/>
    <w:uiPriority w:val="0"/>
    <w:rPr>
      <w:kern w:val="2"/>
      <w:sz w:val="21"/>
      <w:szCs w:val="24"/>
    </w:rPr>
  </w:style>
  <w:style w:type="paragraph" w:customStyle="1" w:styleId="71">
    <w:name w:val="正文首行缩进 21"/>
    <w:basedOn w:val="39"/>
    <w:qFormat/>
    <w:uiPriority w:val="0"/>
    <w:pPr>
      <w:spacing w:after="120" w:line="240" w:lineRule="auto"/>
      <w:ind w:left="420" w:leftChars="200" w:firstLine="420" w:firstLineChars="200"/>
    </w:pPr>
    <w:rPr>
      <w:rFonts w:ascii="黑体" w:eastAsia="黑体"/>
      <w:spacing w:val="0"/>
      <w:kern w:val="0"/>
      <w:sz w:val="20"/>
    </w:rPr>
  </w:style>
  <w:style w:type="table" w:customStyle="1" w:styleId="72">
    <w:name w:val="网格型1"/>
    <w:basedOn w:val="20"/>
    <w:qFormat/>
    <w:uiPriority w:val="0"/>
    <w:pPr>
      <w:widowControl w:val="0"/>
      <w:jc w:val="both"/>
    </w:pPr>
  </w:style>
  <w:style w:type="character" w:customStyle="1" w:styleId="73">
    <w:name w:val="要点1"/>
    <w:link w:val="1"/>
    <w:qFormat/>
    <w:uiPriority w:val="0"/>
    <w:rPr>
      <w:b/>
      <w:bCs/>
    </w:rPr>
  </w:style>
  <w:style w:type="character" w:customStyle="1" w:styleId="74">
    <w:name w:val="页码1"/>
    <w:link w:val="1"/>
    <w:qFormat/>
    <w:uiPriority w:val="0"/>
  </w:style>
  <w:style w:type="character" w:customStyle="1" w:styleId="75">
    <w:name w:val="已访问的超链接1"/>
    <w:link w:val="1"/>
    <w:qFormat/>
    <w:uiPriority w:val="0"/>
    <w:rPr>
      <w:color w:val="575656"/>
      <w:u w:val="none"/>
    </w:rPr>
  </w:style>
  <w:style w:type="character" w:customStyle="1" w:styleId="76">
    <w:name w:val="超链接1"/>
    <w:link w:val="1"/>
    <w:qFormat/>
    <w:uiPriority w:val="0"/>
    <w:rPr>
      <w:color w:val="575656"/>
      <w:u w:val="none"/>
    </w:rPr>
  </w:style>
  <w:style w:type="character" w:customStyle="1" w:styleId="77">
    <w:name w:val="批注引用1"/>
    <w:link w:val="1"/>
    <w:semiHidden/>
    <w:qFormat/>
    <w:uiPriority w:val="0"/>
    <w:rPr>
      <w:sz w:val="21"/>
      <w:szCs w:val="21"/>
    </w:rPr>
  </w:style>
  <w:style w:type="character" w:customStyle="1" w:styleId="78">
    <w:name w:val="Char Char181"/>
    <w:link w:val="1"/>
    <w:qFormat/>
    <w:uiPriority w:val="0"/>
    <w:rPr>
      <w:rFonts w:ascii="宋体" w:hAnsi="Courier New" w:eastAsia="宋体"/>
      <w:kern w:val="2"/>
      <w:sz w:val="21"/>
      <w:lang w:val="en-US" w:eastAsia="zh-CN" w:bidi="ar-SA"/>
    </w:rPr>
  </w:style>
  <w:style w:type="character" w:customStyle="1" w:styleId="79">
    <w:name w:val="纯文本 Char"/>
    <w:link w:val="1"/>
    <w:qFormat/>
    <w:uiPriority w:val="0"/>
    <w:rPr>
      <w:rFonts w:hint="eastAsia" w:ascii="宋体" w:hAnsi="Courier New" w:eastAsia="宋体"/>
      <w:kern w:val="2"/>
      <w:sz w:val="21"/>
    </w:rPr>
  </w:style>
  <w:style w:type="character" w:customStyle="1" w:styleId="80">
    <w:name w:val="批注文字 Char1"/>
    <w:link w:val="1"/>
    <w:qFormat/>
    <w:uiPriority w:val="0"/>
    <w:rPr>
      <w:rFonts w:ascii="Times New Roman" w:hAnsi="Times New Roman" w:eastAsia="宋体"/>
      <w:szCs w:val="24"/>
    </w:rPr>
  </w:style>
  <w:style w:type="character" w:customStyle="1" w:styleId="81">
    <w:name w:val="纯文本 字符1"/>
    <w:link w:val="1"/>
    <w:qFormat/>
    <w:uiPriority w:val="0"/>
    <w:rPr>
      <w:rFonts w:hint="eastAsia" w:ascii="宋体" w:hAnsi="Courier New" w:eastAsia="宋体"/>
      <w:kern w:val="2"/>
      <w:sz w:val="21"/>
      <w:szCs w:val="21"/>
    </w:rPr>
  </w:style>
  <w:style w:type="character" w:customStyle="1" w:styleId="82">
    <w:name w:val="Char Char2"/>
    <w:link w:val="1"/>
    <w:qFormat/>
    <w:uiPriority w:val="0"/>
    <w:rPr>
      <w:rFonts w:ascii="宋体" w:hAnsi="Courier New" w:eastAsia="宋体"/>
      <w:kern w:val="2"/>
      <w:sz w:val="21"/>
      <w:lang w:val="en-US" w:eastAsia="zh-CN" w:bidi="ar-SA"/>
    </w:rPr>
  </w:style>
  <w:style w:type="character" w:customStyle="1" w:styleId="83">
    <w:name w:val="bookmark-item uuid-1593432166973 code-am014remarks editdisable single-line-text-input-box-cls"/>
    <w:link w:val="1"/>
    <w:qFormat/>
    <w:uiPriority w:val="0"/>
  </w:style>
  <w:style w:type="character" w:customStyle="1" w:styleId="84">
    <w:name w:val="页眉 Char2"/>
    <w:link w:val="1"/>
    <w:semiHidden/>
    <w:qFormat/>
    <w:uiPriority w:val="0"/>
    <w:rPr>
      <w:sz w:val="18"/>
      <w:szCs w:val="18"/>
    </w:rPr>
  </w:style>
  <w:style w:type="character" w:customStyle="1" w:styleId="85">
    <w:name w:val="Char Char18"/>
    <w:link w:val="1"/>
    <w:qFormat/>
    <w:uiPriority w:val="0"/>
    <w:rPr>
      <w:rFonts w:ascii="宋体" w:hAnsi="Courier New" w:eastAsia="宋体"/>
      <w:kern w:val="2"/>
      <w:sz w:val="21"/>
      <w:lang w:val="en-US" w:eastAsia="zh-CN" w:bidi="ar-SA"/>
    </w:rPr>
  </w:style>
  <w:style w:type="character" w:customStyle="1" w:styleId="86">
    <w:name w:val="Char Char21"/>
    <w:link w:val="1"/>
    <w:qFormat/>
    <w:uiPriority w:val="0"/>
    <w:rPr>
      <w:rFonts w:eastAsia="宋体"/>
      <w:kern w:val="2"/>
      <w:sz w:val="21"/>
      <w:lang w:val="en-US" w:eastAsia="zh-CN" w:bidi="ar-SA"/>
    </w:rPr>
  </w:style>
  <w:style w:type="character" w:customStyle="1" w:styleId="87">
    <w:name w:val="apple-converted-space"/>
    <w:link w:val="1"/>
    <w:qFormat/>
    <w:uiPriority w:val="0"/>
  </w:style>
  <w:style w:type="character" w:customStyle="1" w:styleId="88">
    <w:name w:val="无间隔 Char"/>
    <w:link w:val="89"/>
    <w:qFormat/>
    <w:uiPriority w:val="0"/>
    <w:rPr>
      <w:kern w:val="2"/>
      <w:sz w:val="21"/>
      <w:szCs w:val="24"/>
      <w:lang w:bidi="ar-SA"/>
    </w:rPr>
  </w:style>
  <w:style w:type="paragraph" w:customStyle="1" w:styleId="89">
    <w:name w:val="无间隔"/>
    <w:link w:val="88"/>
    <w:qFormat/>
    <w:uiPriority w:val="0"/>
    <w:pPr>
      <w:widowControl w:val="0"/>
      <w:snapToGrid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90">
    <w:name w:val="Char Char211"/>
    <w:link w:val="1"/>
    <w:qFormat/>
    <w:uiPriority w:val="0"/>
    <w:rPr>
      <w:rFonts w:eastAsia="宋体"/>
      <w:kern w:val="2"/>
      <w:sz w:val="21"/>
      <w:lang w:val="en-US" w:eastAsia="zh-CN" w:bidi="ar-SA"/>
    </w:rPr>
  </w:style>
  <w:style w:type="character" w:customStyle="1" w:styleId="91">
    <w:name w:val="sub"/>
    <w:link w:val="1"/>
    <w:qFormat/>
    <w:uiPriority w:val="0"/>
  </w:style>
  <w:style w:type="character" w:customStyle="1" w:styleId="92">
    <w:name w:val="Char Char22"/>
    <w:link w:val="1"/>
    <w:qFormat/>
    <w:uiPriority w:val="0"/>
    <w:rPr>
      <w:rFonts w:ascii="宋体" w:hAnsi="Courier New" w:eastAsia="宋体"/>
      <w:kern w:val="2"/>
      <w:sz w:val="21"/>
      <w:lang w:val="en-US" w:eastAsia="zh-CN" w:bidi="ar-SA"/>
    </w:rPr>
  </w:style>
  <w:style w:type="character" w:customStyle="1" w:styleId="93">
    <w:name w:val="Char Char26"/>
    <w:link w:val="1"/>
    <w:qFormat/>
    <w:uiPriority w:val="0"/>
    <w:rPr>
      <w:rFonts w:ascii="Arial" w:hAnsi="Arial" w:eastAsia="黑体"/>
      <w:kern w:val="2"/>
      <w:sz w:val="21"/>
      <w:szCs w:val="21"/>
    </w:rPr>
  </w:style>
  <w:style w:type="character" w:customStyle="1" w:styleId="94">
    <w:name w:val="bookmark-item"/>
    <w:link w:val="1"/>
    <w:qFormat/>
    <w:uiPriority w:val="0"/>
  </w:style>
  <w:style w:type="character" w:customStyle="1" w:styleId="95">
    <w:name w:val="Char Char20"/>
    <w:link w:val="1"/>
    <w:qFormat/>
    <w:uiPriority w:val="0"/>
    <w:rPr>
      <w:rFonts w:eastAsia="宋体"/>
      <w:kern w:val="2"/>
      <w:sz w:val="21"/>
      <w:szCs w:val="24"/>
      <w:lang w:val="en-US" w:eastAsia="zh-CN" w:bidi="ar-SA"/>
    </w:rPr>
  </w:style>
  <w:style w:type="character" w:customStyle="1" w:styleId="96">
    <w:name w:val="Char Char3"/>
    <w:link w:val="1"/>
    <w:qFormat/>
    <w:uiPriority w:val="0"/>
    <w:rPr>
      <w:rFonts w:eastAsia="宋体"/>
      <w:kern w:val="2"/>
      <w:sz w:val="21"/>
      <w:szCs w:val="24"/>
      <w:lang w:val="en-US" w:eastAsia="zh-CN" w:bidi="ar-SA"/>
    </w:rPr>
  </w:style>
  <w:style w:type="character" w:customStyle="1" w:styleId="97">
    <w:name w:val="all-fit-info1"/>
    <w:link w:val="1"/>
    <w:qFormat/>
    <w:uiPriority w:val="0"/>
    <w:rPr>
      <w:color w:val="939393"/>
    </w:rPr>
  </w:style>
  <w:style w:type="character" w:customStyle="1" w:styleId="98">
    <w:name w:val="正文文本 Char1"/>
    <w:link w:val="1"/>
    <w:qFormat/>
    <w:uiPriority w:val="0"/>
    <w:rPr>
      <w:kern w:val="2"/>
      <w:sz w:val="21"/>
      <w:szCs w:val="24"/>
    </w:rPr>
  </w:style>
  <w:style w:type="character" w:customStyle="1" w:styleId="99">
    <w:name w:val="htd0"/>
    <w:link w:val="1"/>
    <w:qFormat/>
    <w:uiPriority w:val="0"/>
  </w:style>
  <w:style w:type="character" w:customStyle="1" w:styleId="100">
    <w:name w:val="105v1"/>
    <w:link w:val="1"/>
    <w:qFormat/>
    <w:uiPriority w:val="0"/>
    <w:rPr>
      <w:rFonts w:ascii="ˎ̥" w:hAnsi="ˎ̥"/>
      <w:sz w:val="21"/>
      <w:szCs w:val="21"/>
    </w:rPr>
  </w:style>
  <w:style w:type="character" w:customStyle="1" w:styleId="101">
    <w:name w:val="Char Char"/>
    <w:link w:val="1"/>
    <w:qFormat/>
    <w:uiPriority w:val="0"/>
    <w:rPr>
      <w:rFonts w:eastAsia="宋体"/>
      <w:kern w:val="2"/>
      <w:sz w:val="21"/>
      <w:szCs w:val="24"/>
      <w:lang w:val="en-US" w:eastAsia="zh-CN" w:bidi="ar-SA"/>
    </w:rPr>
  </w:style>
  <w:style w:type="character" w:customStyle="1" w:styleId="102">
    <w:name w:val="普通文字 Char Char2"/>
    <w:link w:val="1"/>
    <w:qFormat/>
    <w:uiPriority w:val="0"/>
    <w:rPr>
      <w:rFonts w:ascii="宋体" w:hAnsi="Courier New" w:eastAsia="宋体"/>
      <w:kern w:val="2"/>
      <w:sz w:val="21"/>
      <w:lang w:val="en-US" w:eastAsia="zh-CN" w:bidi="ar-SA"/>
    </w:rPr>
  </w:style>
  <w:style w:type="character" w:customStyle="1" w:styleId="103">
    <w:name w:val="纯文本 Char1"/>
    <w:link w:val="1"/>
    <w:qFormat/>
    <w:uiPriority w:val="0"/>
    <w:rPr>
      <w:rFonts w:ascii="宋体" w:hAnsi="Courier New" w:eastAsia="宋体"/>
      <w:kern w:val="2"/>
      <w:sz w:val="21"/>
      <w:lang w:val="en-US" w:eastAsia="zh-CN" w:bidi="ar-SA"/>
    </w:rPr>
  </w:style>
  <w:style w:type="character" w:customStyle="1" w:styleId="104">
    <w:name w:val="*正文 Char"/>
    <w:link w:val="105"/>
    <w:qFormat/>
    <w:uiPriority w:val="0"/>
    <w:rPr>
      <w:rFonts w:ascii="宋体" w:hAnsi="宋体"/>
      <w:sz w:val="24"/>
    </w:rPr>
  </w:style>
  <w:style w:type="paragraph" w:customStyle="1" w:styleId="105">
    <w:name w:val="*正文"/>
    <w:basedOn w:val="1"/>
    <w:link w:val="104"/>
    <w:qFormat/>
    <w:uiPriority w:val="0"/>
    <w:pPr>
      <w:spacing w:line="360" w:lineRule="auto"/>
      <w:ind w:firstLine="482"/>
      <w:jc w:val="left"/>
    </w:pPr>
    <w:rPr>
      <w:rFonts w:ascii="宋体" w:hAnsi="宋体"/>
      <w:kern w:val="0"/>
      <w:sz w:val="24"/>
      <w:szCs w:val="20"/>
    </w:rPr>
  </w:style>
  <w:style w:type="character" w:customStyle="1" w:styleId="106">
    <w:name w:val="bumpedfont20"/>
    <w:link w:val="1"/>
    <w:qFormat/>
    <w:uiPriority w:val="0"/>
  </w:style>
  <w:style w:type="paragraph" w:customStyle="1" w:styleId="107">
    <w:name w:val="1"/>
    <w:basedOn w:val="1"/>
    <w:qFormat/>
    <w:uiPriority w:val="0"/>
    <w:pPr>
      <w:widowControl/>
      <w:spacing w:before="100" w:beforeAutospacing="1" w:after="100" w:afterAutospacing="1"/>
      <w:jc w:val="left"/>
    </w:pPr>
    <w:rPr>
      <w:rFonts w:ascii="宋体" w:hAnsi="宋体"/>
      <w:kern w:val="0"/>
      <w:sz w:val="24"/>
    </w:rPr>
  </w:style>
  <w:style w:type="paragraph" w:customStyle="1" w:styleId="10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Char Char Char Char"/>
    <w:basedOn w:val="1"/>
    <w:qFormat/>
    <w:uiPriority w:val="0"/>
    <w:rPr>
      <w:rFonts w:ascii="Tahoma" w:hAnsi="Tahoma"/>
      <w:sz w:val="24"/>
      <w:szCs w:val="20"/>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customStyle="1" w:styleId="111">
    <w:name w:val="图"/>
    <w:basedOn w:val="1"/>
    <w:qFormat/>
    <w:uiPriority w:val="0"/>
    <w:pPr>
      <w:keepNext/>
      <w:spacing w:before="60" w:after="60" w:line="300" w:lineRule="auto"/>
      <w:jc w:val="center"/>
    </w:pPr>
    <w:rPr>
      <w:spacing w:val="20"/>
      <w:kern w:val="0"/>
      <w:sz w:val="24"/>
    </w:rPr>
  </w:style>
  <w:style w:type="paragraph" w:customStyle="1" w:styleId="112">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3">
    <w:name w:val="Char Char1"/>
    <w:basedOn w:val="1"/>
    <w:qFormat/>
    <w:uiPriority w:val="0"/>
    <w:rPr>
      <w:rFonts w:ascii="仿宋_GB2312" w:eastAsia="仿宋_GB2312"/>
      <w:b/>
      <w:sz w:val="32"/>
      <w:szCs w:val="32"/>
    </w:rPr>
  </w:style>
  <w:style w:type="paragraph" w:customStyle="1" w:styleId="1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0"/>
    </w:rPr>
  </w:style>
  <w:style w:type="paragraph" w:customStyle="1" w:styleId="116">
    <w:name w:val="正文0"/>
    <w:basedOn w:val="1"/>
    <w:qFormat/>
    <w:uiPriority w:val="0"/>
    <w:pPr>
      <w:autoSpaceDE w:val="0"/>
      <w:autoSpaceDN w:val="0"/>
      <w:spacing w:before="240" w:after="60" w:line="360" w:lineRule="atLeast"/>
    </w:pPr>
    <w:rPr>
      <w:b/>
      <w:kern w:val="0"/>
      <w:sz w:val="24"/>
      <w:szCs w:val="20"/>
    </w:rPr>
  </w:style>
  <w:style w:type="paragraph" w:customStyle="1" w:styleId="117">
    <w:name w:val="Char Char Char Char1"/>
    <w:basedOn w:val="1"/>
    <w:qFormat/>
    <w:uiPriority w:val="0"/>
    <w:rPr>
      <w:rFonts w:ascii="Tahoma" w:hAnsi="Tahoma"/>
      <w:sz w:val="24"/>
      <w:szCs w:val="20"/>
    </w:rPr>
  </w:style>
  <w:style w:type="paragraph" w:customStyle="1" w:styleId="118">
    <w:name w:val="_Style 5"/>
    <w:basedOn w:val="1"/>
    <w:qFormat/>
    <w:uiPriority w:val="0"/>
    <w:pPr>
      <w:tabs>
        <w:tab w:val="left" w:pos="360"/>
      </w:tabs>
      <w:spacing w:line="360" w:lineRule="auto"/>
      <w:ind w:left="482" w:firstLine="200" w:firstLineChars="200"/>
    </w:pPr>
  </w:style>
  <w:style w:type="paragraph" w:customStyle="1" w:styleId="119">
    <w:name w:val="reader-word-layer reader-word-s1-7"/>
    <w:basedOn w:val="1"/>
    <w:qFormat/>
    <w:uiPriority w:val="0"/>
    <w:pPr>
      <w:widowControl/>
      <w:spacing w:before="100" w:beforeAutospacing="1" w:after="100" w:afterAutospacing="1"/>
      <w:jc w:val="left"/>
    </w:pPr>
    <w:rPr>
      <w:rFonts w:ascii="宋体" w:hAnsi="宋体"/>
      <w:kern w:val="0"/>
      <w:sz w:val="24"/>
    </w:rPr>
  </w:style>
  <w:style w:type="paragraph" w:customStyle="1" w:styleId="120">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121">
    <w:name w:val="_Style 76"/>
    <w:basedOn w:val="1"/>
    <w:qFormat/>
    <w:uiPriority w:val="0"/>
    <w:pPr>
      <w:tabs>
        <w:tab w:val="left" w:pos="360"/>
      </w:tabs>
      <w:spacing w:line="360" w:lineRule="auto"/>
      <w:ind w:left="482" w:firstLine="200" w:firstLineChars="200"/>
    </w:pPr>
    <w:rPr>
      <w:rFonts w:ascii="宋体"/>
      <w:sz w:val="24"/>
    </w:rPr>
  </w:style>
  <w:style w:type="paragraph" w:customStyle="1" w:styleId="122">
    <w:name w:val="TOC 标题1"/>
    <w:basedOn w:val="10"/>
    <w:qFormat/>
    <w:uiPriority w:val="0"/>
    <w:pPr>
      <w:keepLines/>
      <w:widowControl/>
      <w:spacing w:before="480" w:line="276" w:lineRule="auto"/>
      <w:jc w:val="left"/>
      <w:outlineLvl w:val="9"/>
    </w:pPr>
    <w:rPr>
      <w:rFonts w:ascii="Cambria" w:hAnsi="Cambria" w:eastAsia="宋体"/>
      <w:bCs/>
      <w:color w:val="366091"/>
      <w:kern w:val="0"/>
      <w:sz w:val="28"/>
      <w:szCs w:val="28"/>
    </w:rPr>
  </w:style>
  <w:style w:type="paragraph" w:customStyle="1" w:styleId="123">
    <w:name w:val="题注5"/>
    <w:basedOn w:val="1"/>
    <w:qFormat/>
    <w:uiPriority w:val="0"/>
    <w:pPr>
      <w:jc w:val="center"/>
    </w:pPr>
    <w:rPr>
      <w:b/>
      <w:bCs/>
      <w:color w:val="000000"/>
      <w:sz w:val="24"/>
    </w:rPr>
  </w:style>
  <w:style w:type="paragraph" w:customStyle="1" w:styleId="124">
    <w:name w:val="Char2 Char Char Char"/>
    <w:basedOn w:val="1"/>
    <w:qFormat/>
    <w:uiPriority w:val="0"/>
    <w:rPr>
      <w:rFonts w:ascii="Tahoma" w:hAnsi="Tahoma"/>
      <w:sz w:val="24"/>
      <w:szCs w:val="20"/>
    </w:rPr>
  </w:style>
  <w:style w:type="paragraph" w:customStyle="1" w:styleId="125">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12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27">
    <w:name w:val="reader-word-layer reader-word-s1-8"/>
    <w:basedOn w:val="1"/>
    <w:qFormat/>
    <w:uiPriority w:val="0"/>
    <w:pPr>
      <w:widowControl/>
      <w:spacing w:before="100" w:beforeAutospacing="1" w:after="100" w:afterAutospacing="1"/>
      <w:jc w:val="left"/>
    </w:pPr>
    <w:rPr>
      <w:rFonts w:ascii="宋体" w:hAnsi="宋体"/>
      <w:kern w:val="0"/>
      <w:sz w:val="24"/>
    </w:rPr>
  </w:style>
  <w:style w:type="paragraph" w:customStyle="1" w:styleId="12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9">
    <w:name w:val="reader-word-layer reader-word-s1-1"/>
    <w:basedOn w:val="1"/>
    <w:qFormat/>
    <w:uiPriority w:val="0"/>
    <w:pPr>
      <w:widowControl/>
      <w:spacing w:before="100" w:beforeAutospacing="1" w:after="100" w:afterAutospacing="1"/>
      <w:jc w:val="left"/>
    </w:pPr>
    <w:rPr>
      <w:rFonts w:ascii="宋体" w:hAnsi="宋体"/>
      <w:kern w:val="0"/>
      <w:sz w:val="24"/>
    </w:rPr>
  </w:style>
  <w:style w:type="paragraph" w:customStyle="1" w:styleId="1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31">
    <w:name w:val="列出段落1"/>
    <w:basedOn w:val="1"/>
    <w:qFormat/>
    <w:uiPriority w:val="0"/>
    <w:pPr>
      <w:spacing w:line="360" w:lineRule="auto"/>
      <w:ind w:firstLine="420" w:firstLineChars="200"/>
    </w:pPr>
    <w:rPr>
      <w:rFonts w:ascii="宋体" w:hAnsi="宋体"/>
      <w:sz w:val="24"/>
    </w:rPr>
  </w:style>
  <w:style w:type="paragraph" w:customStyle="1" w:styleId="132">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3">
    <w:name w:val="样式1"/>
    <w:basedOn w:val="1"/>
    <w:qFormat/>
    <w:uiPriority w:val="0"/>
    <w:pPr>
      <w:tabs>
        <w:tab w:val="left" w:pos="709"/>
      </w:tabs>
      <w:ind w:left="709" w:hanging="709"/>
    </w:pPr>
    <w:rPr>
      <w:rFonts w:ascii="宋体" w:hAnsi="宋体"/>
      <w:kern w:val="0"/>
      <w:szCs w:val="21"/>
    </w:rPr>
  </w:style>
  <w:style w:type="paragraph" w:customStyle="1" w:styleId="134">
    <w:name w:val="修订2"/>
    <w:qFormat/>
    <w:uiPriority w:val="0"/>
    <w:rPr>
      <w:rFonts w:ascii="Times New Roman" w:hAnsi="Times New Roman" w:eastAsia="宋体" w:cs="Times New Roman"/>
      <w:kern w:val="2"/>
      <w:sz w:val="21"/>
      <w:szCs w:val="24"/>
      <w:lang w:val="en-US" w:eastAsia="zh-CN" w:bidi="ar-SA"/>
    </w:rPr>
  </w:style>
  <w:style w:type="paragraph" w:customStyle="1" w:styleId="135">
    <w:name w:val="列出段落11"/>
    <w:basedOn w:val="1"/>
    <w:qFormat/>
    <w:uiPriority w:val="0"/>
    <w:pPr>
      <w:ind w:firstLine="420" w:firstLineChars="200"/>
    </w:pPr>
  </w:style>
  <w:style w:type="paragraph" w:customStyle="1" w:styleId="136">
    <w:name w:val="2"/>
    <w:basedOn w:val="1"/>
    <w:qFormat/>
    <w:uiPriority w:val="0"/>
    <w:rPr>
      <w:rFonts w:ascii="宋体" w:hAnsi="Courier New"/>
      <w:szCs w:val="20"/>
    </w:rPr>
  </w:style>
  <w:style w:type="paragraph" w:customStyle="1" w:styleId="137">
    <w:name w:val="reader-word-layer reader-word-s1-14"/>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列出段落"/>
    <w:basedOn w:val="1"/>
    <w:qFormat/>
    <w:uiPriority w:val="0"/>
    <w:pPr>
      <w:ind w:firstLine="420" w:firstLineChars="200"/>
    </w:pPr>
    <w:rPr>
      <w:szCs w:val="21"/>
    </w:rPr>
  </w:style>
  <w:style w:type="paragraph" w:customStyle="1" w:styleId="139">
    <w:name w:val="Normal_2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Char Char Char Char2"/>
    <w:basedOn w:val="1"/>
    <w:qFormat/>
    <w:uiPriority w:val="0"/>
    <w:rPr>
      <w:rFonts w:ascii="Tahoma" w:hAnsi="Tahoma"/>
      <w:sz w:val="24"/>
      <w:szCs w:val="20"/>
    </w:rPr>
  </w:style>
  <w:style w:type="paragraph" w:customStyle="1" w:styleId="141">
    <w:name w:val="WPSOffice手动目录 1"/>
    <w:qFormat/>
    <w:uiPriority w:val="0"/>
    <w:rPr>
      <w:rFonts w:ascii="宋体" w:hAnsi="宋体" w:eastAsia="宋体" w:cs="Times New Roman"/>
      <w:lang w:val="en-US" w:eastAsia="zh-CN" w:bidi="ar-SA"/>
    </w:rPr>
  </w:style>
  <w:style w:type="paragraph" w:customStyle="1" w:styleId="142">
    <w:name w:val="列出段落2"/>
    <w:basedOn w:val="1"/>
    <w:qFormat/>
    <w:uiPriority w:val="0"/>
    <w:pPr>
      <w:spacing w:line="360" w:lineRule="auto"/>
      <w:ind w:firstLine="420" w:firstLineChars="200"/>
    </w:pPr>
    <w:rPr>
      <w:rFonts w:ascii="宋体" w:hAnsi="宋体"/>
      <w:sz w:val="24"/>
    </w:rPr>
  </w:style>
  <w:style w:type="paragraph" w:customStyle="1" w:styleId="14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Char2 Char Char Char1"/>
    <w:basedOn w:val="1"/>
    <w:qFormat/>
    <w:uiPriority w:val="0"/>
    <w:rPr>
      <w:rFonts w:ascii="Tahoma" w:hAnsi="Tahoma"/>
      <w:sz w:val="24"/>
      <w:szCs w:val="20"/>
    </w:rPr>
  </w:style>
  <w:style w:type="paragraph" w:customStyle="1" w:styleId="145">
    <w:name w:val="Revisio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36758</Words>
  <Characters>39253</Characters>
  <Lines>0</Lines>
  <Paragraphs>0</Paragraphs>
  <TotalTime>44</TotalTime>
  <ScaleCrop>false</ScaleCrop>
  <LinksUpToDate>false</LinksUpToDate>
  <CharactersWithSpaces>40862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2025-03-21T09:42:00Z</dcterms:created>
  <dc:creator>WPS_1473564006</dc:creator>
  <cp:lastModifiedBy>Administrator</cp:lastModifiedBy>
  <dcterms:modified xsi:type="dcterms:W3CDTF">2025-11-05T08:12:27Z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eyJoZGlkIjoiOWJhZWE2MzQwNmFjOGU3YTFmZmU2M2MyZjQwMzI2M2UifQ==</vt:lpwstr>
  </property>
  <property fmtid="{D5CDD505-2E9C-101B-9397-08002B2CF9AE}" pid="3" name="KSOProductBuildVer">
    <vt:lpwstr>2052-12.1.0.23542</vt:lpwstr>
  </property>
  <property fmtid="{D5CDD505-2E9C-101B-9397-08002B2CF9AE}" pid="4" name="ICV">
    <vt:lpwstr>0F93507A584D4F319E7BB544CCD4F52D_13</vt:lpwstr>
  </property>
</Properties>
</file>