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BF4FE">
      <w:pPr>
        <w:jc w:val="center"/>
        <w:outlineLvl w:val="0"/>
        <w:rPr>
          <w:rFonts w:hint="eastAsia" w:ascii="楷体" w:eastAsia="楷体"/>
          <w:b/>
          <w:color w:val="000000"/>
          <w:sz w:val="52"/>
          <w:highlight w:val="none"/>
          <w:lang w:eastAsia="zh-CN"/>
        </w:rPr>
      </w:pPr>
      <w:r>
        <w:rPr>
          <w:rFonts w:hint="eastAsia" w:ascii="楷体" w:eastAsia="楷体"/>
          <w:b/>
          <w:color w:val="000000"/>
          <w:sz w:val="52"/>
          <w:highlight w:val="none"/>
          <w:lang w:eastAsia="zh-CN"/>
        </w:rPr>
        <w:t>中佳信建设管理集团有限公司</w:t>
      </w:r>
    </w:p>
    <w:p w14:paraId="359E70E7">
      <w:pPr>
        <w:jc w:val="center"/>
        <w:rPr>
          <w:rFonts w:hint="eastAsia" w:ascii="楷体" w:eastAsia="楷体"/>
          <w:b/>
          <w:color w:val="000000"/>
          <w:sz w:val="72"/>
          <w:szCs w:val="72"/>
          <w:highlight w:val="none"/>
        </w:rPr>
      </w:pPr>
    </w:p>
    <w:p w14:paraId="31BC9967">
      <w:pPr>
        <w:jc w:val="center"/>
        <w:rPr>
          <w:rFonts w:hint="eastAsia" w:ascii="楷体" w:eastAsia="楷体"/>
          <w:b/>
          <w:color w:val="000000"/>
          <w:sz w:val="72"/>
          <w:szCs w:val="72"/>
          <w:highlight w:val="none"/>
        </w:rPr>
      </w:pPr>
      <w:r>
        <w:rPr>
          <w:rFonts w:hint="eastAsia" w:hAnsi="宋体" w:cs="宋体"/>
        </w:rPr>
        <w:drawing>
          <wp:inline distT="0" distB="0" distL="114300" distR="114300">
            <wp:extent cx="1344930" cy="1344930"/>
            <wp:effectExtent l="0" t="0" r="7620" b="7620"/>
            <wp:docPr id="2" name="图片 1" descr="公司标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公司标致"/>
                    <pic:cNvPicPr>
                      <a:picLocks noChangeAspect="1"/>
                    </pic:cNvPicPr>
                  </pic:nvPicPr>
                  <pic:blipFill>
                    <a:blip r:embed="rId10"/>
                    <a:stretch>
                      <a:fillRect/>
                    </a:stretch>
                  </pic:blipFill>
                  <pic:spPr>
                    <a:xfrm>
                      <a:off x="0" y="0"/>
                      <a:ext cx="1344930" cy="1344930"/>
                    </a:xfrm>
                    <a:prstGeom prst="rect">
                      <a:avLst/>
                    </a:prstGeom>
                    <a:noFill/>
                    <a:ln>
                      <a:noFill/>
                    </a:ln>
                  </pic:spPr>
                </pic:pic>
              </a:graphicData>
            </a:graphic>
          </wp:inline>
        </w:drawing>
      </w:r>
    </w:p>
    <w:p w14:paraId="36249339">
      <w:pPr>
        <w:jc w:val="center"/>
        <w:rPr>
          <w:rFonts w:ascii="楷体" w:eastAsia="楷体"/>
          <w:b/>
          <w:color w:val="000000"/>
          <w:sz w:val="72"/>
          <w:szCs w:val="72"/>
          <w:highlight w:val="none"/>
        </w:rPr>
      </w:pPr>
      <w:r>
        <w:rPr>
          <w:rFonts w:hint="eastAsia" w:ascii="楷体" w:eastAsia="楷体"/>
          <w:b/>
          <w:color w:val="000000"/>
          <w:sz w:val="72"/>
          <w:szCs w:val="72"/>
          <w:highlight w:val="none"/>
        </w:rPr>
        <w:t>竞争性谈判文件</w:t>
      </w:r>
    </w:p>
    <w:p w14:paraId="348D43ED">
      <w:pPr>
        <w:jc w:val="center"/>
        <w:rPr>
          <w:rFonts w:ascii="微软雅黑" w:hAnsi="微软雅黑" w:eastAsia="微软雅黑" w:cs="微软雅黑"/>
          <w:b/>
          <w:bCs/>
          <w:color w:val="000000"/>
          <w:sz w:val="52"/>
          <w:szCs w:val="52"/>
          <w:highlight w:val="none"/>
        </w:rPr>
      </w:pPr>
    </w:p>
    <w:p w14:paraId="1FD2EB80">
      <w:pPr>
        <w:jc w:val="center"/>
        <w:rPr>
          <w:rFonts w:ascii="微软雅黑" w:hAnsi="微软雅黑" w:eastAsia="微软雅黑" w:cs="微软雅黑"/>
          <w:b/>
          <w:bCs/>
          <w:color w:val="000000"/>
          <w:sz w:val="52"/>
          <w:szCs w:val="52"/>
          <w:highlight w:val="none"/>
        </w:rPr>
      </w:pPr>
    </w:p>
    <w:p w14:paraId="33EB15AC">
      <w:pPr>
        <w:jc w:val="center"/>
        <w:rPr>
          <w:rFonts w:ascii="微软雅黑" w:hAnsi="微软雅黑" w:eastAsia="微软雅黑" w:cs="微软雅黑"/>
          <w:b/>
          <w:bCs/>
          <w:color w:val="000000"/>
          <w:sz w:val="52"/>
          <w:szCs w:val="52"/>
          <w:highlight w:val="none"/>
        </w:rPr>
      </w:pPr>
    </w:p>
    <w:p w14:paraId="0F2AAF73">
      <w:pPr>
        <w:jc w:val="center"/>
        <w:outlineLvl w:val="0"/>
        <w:rPr>
          <w:rFonts w:hint="eastAsia" w:ascii="宋体" w:hAnsi="宋体" w:eastAsia="宋体" w:cs="宋体"/>
          <w:color w:val="000000"/>
          <w:sz w:val="32"/>
          <w:szCs w:val="32"/>
          <w:highlight w:val="none"/>
          <w:u w:val="single"/>
          <w:lang w:eastAsia="zh-CN"/>
        </w:rPr>
      </w:pPr>
      <w:r>
        <w:rPr>
          <w:rFonts w:hint="eastAsia" w:ascii="宋体" w:hAnsi="宋体" w:cs="宋体"/>
          <w:color w:val="000000"/>
          <w:sz w:val="32"/>
          <w:szCs w:val="32"/>
          <w:highlight w:val="none"/>
        </w:rPr>
        <w:t>项目名称：</w:t>
      </w:r>
      <w:r>
        <w:rPr>
          <w:rFonts w:hint="eastAsia" w:ascii="宋体" w:hAnsi="宋体" w:cs="宋体"/>
          <w:color w:val="000000"/>
          <w:sz w:val="32"/>
          <w:szCs w:val="32"/>
          <w:highlight w:val="none"/>
          <w:lang w:eastAsia="zh-CN"/>
        </w:rPr>
        <w:t>电子病历及HIS系统驻场开发、运维服务采购</w:t>
      </w:r>
    </w:p>
    <w:p w14:paraId="27FDD447">
      <w:pPr>
        <w:ind w:firstLine="2240" w:firstLineChars="700"/>
        <w:jc w:val="both"/>
        <w:rPr>
          <w:rFonts w:hint="eastAsia" w:ascii="宋体" w:hAnsi="宋体" w:cs="宋体"/>
          <w:color w:val="000000"/>
          <w:sz w:val="32"/>
          <w:szCs w:val="32"/>
          <w:highlight w:val="none"/>
        </w:rPr>
      </w:pPr>
      <w:r>
        <w:rPr>
          <w:rFonts w:hint="eastAsia" w:ascii="宋体" w:hAnsi="宋体" w:cs="宋体"/>
          <w:color w:val="000000"/>
          <w:sz w:val="32"/>
          <w:szCs w:val="32"/>
          <w:highlight w:val="none"/>
        </w:rPr>
        <w:t>项目编号：GLZC2025-J3-990533-ZJXJ</w:t>
      </w:r>
    </w:p>
    <w:p w14:paraId="6F82F627">
      <w:pPr>
        <w:ind w:firstLine="1600" w:firstLineChars="500"/>
        <w:rPr>
          <w:rFonts w:hint="eastAsia" w:ascii="宋体" w:hAnsi="宋体" w:cs="宋体"/>
          <w:color w:val="000000"/>
          <w:sz w:val="32"/>
          <w:szCs w:val="32"/>
          <w:highlight w:val="none"/>
        </w:rPr>
      </w:pPr>
    </w:p>
    <w:p w14:paraId="2E65D9E9">
      <w:pPr>
        <w:jc w:val="center"/>
        <w:rPr>
          <w:rFonts w:hint="eastAsia" w:ascii="宋体" w:hAnsi="宋体" w:cs="宋体"/>
          <w:color w:val="000000"/>
          <w:sz w:val="32"/>
          <w:szCs w:val="32"/>
          <w:highlight w:val="none"/>
        </w:rPr>
      </w:pPr>
    </w:p>
    <w:p w14:paraId="1E6C0B1D">
      <w:pPr>
        <w:rPr>
          <w:rFonts w:hint="eastAsia" w:ascii="宋体" w:hAnsi="宋体" w:cs="宋体"/>
          <w:color w:val="000000"/>
          <w:sz w:val="32"/>
          <w:szCs w:val="32"/>
          <w:highlight w:val="none"/>
        </w:rPr>
      </w:pPr>
    </w:p>
    <w:p w14:paraId="102C4565">
      <w:pPr>
        <w:jc w:val="center"/>
        <w:rPr>
          <w:rFonts w:hint="eastAsia" w:ascii="宋体" w:hAnsi="宋体" w:cs="宋体"/>
          <w:color w:val="000000"/>
          <w:sz w:val="32"/>
          <w:szCs w:val="32"/>
          <w:highlight w:val="none"/>
        </w:rPr>
      </w:pPr>
    </w:p>
    <w:p w14:paraId="74F7ACF2">
      <w:pPr>
        <w:jc w:val="center"/>
        <w:outlineLvl w:val="0"/>
        <w:rPr>
          <w:rFonts w:hint="eastAsia" w:ascii="宋体" w:hAnsi="宋体" w:eastAsia="宋体" w:cs="宋体"/>
          <w:color w:val="000000"/>
          <w:sz w:val="32"/>
          <w:szCs w:val="32"/>
          <w:highlight w:val="none"/>
          <w:lang w:eastAsia="zh-CN"/>
        </w:rPr>
      </w:pPr>
      <w:r>
        <w:rPr>
          <w:rFonts w:hint="eastAsia" w:ascii="宋体" w:hAnsi="宋体" w:cs="宋体"/>
          <w:color w:val="000000"/>
          <w:sz w:val="32"/>
          <w:szCs w:val="32"/>
          <w:highlight w:val="none"/>
        </w:rPr>
        <w:t>采购代理机构：</w:t>
      </w:r>
      <w:r>
        <w:rPr>
          <w:rFonts w:hint="eastAsia" w:ascii="宋体" w:hAnsi="宋体" w:cs="宋体"/>
          <w:color w:val="000000"/>
          <w:sz w:val="32"/>
          <w:szCs w:val="32"/>
          <w:highlight w:val="none"/>
          <w:lang w:eastAsia="zh-CN"/>
        </w:rPr>
        <w:t>中佳信建设管理集团有限公司</w:t>
      </w:r>
    </w:p>
    <w:p w14:paraId="1232ED20">
      <w:pPr>
        <w:pStyle w:val="8"/>
        <w:rPr>
          <w:rFonts w:hint="eastAsia"/>
          <w:color w:val="000000"/>
          <w:highlight w:val="none"/>
        </w:rPr>
      </w:pPr>
    </w:p>
    <w:p w14:paraId="2B058322">
      <w:pPr>
        <w:ind w:firstLine="3840" w:firstLineChars="1200"/>
        <w:rPr>
          <w:rFonts w:ascii="宋体" w:hAnsi="宋体" w:cs="宋体"/>
          <w:color w:val="000000"/>
          <w:sz w:val="48"/>
          <w:szCs w:val="48"/>
          <w:highlight w:val="none"/>
        </w:rPr>
        <w:sectPr>
          <w:headerReference r:id="rId3" w:type="default"/>
          <w:footerReference r:id="rId4" w:type="default"/>
          <w:pgSz w:w="11906" w:h="16838"/>
          <w:pgMar w:top="1440" w:right="935" w:bottom="1440" w:left="779" w:header="851" w:footer="992" w:gutter="0"/>
          <w:pgNumType w:start="1"/>
          <w:cols w:space="720" w:num="1"/>
          <w:docGrid w:type="linesAndChars" w:linePitch="312" w:charSpace="0"/>
        </w:sectPr>
      </w:pPr>
      <w:r>
        <w:rPr>
          <w:rFonts w:hint="eastAsia" w:ascii="宋体" w:hAnsi="宋体" w:cs="宋体"/>
          <w:color w:val="000000"/>
          <w:sz w:val="32"/>
          <w:szCs w:val="32"/>
          <w:highlight w:val="none"/>
          <w:lang w:eastAsia="zh-CN"/>
        </w:rPr>
        <w:t>2025年</w:t>
      </w:r>
      <w:r>
        <w:rPr>
          <w:rFonts w:hint="eastAsia" w:ascii="宋体" w:hAnsi="宋体" w:cs="宋体"/>
          <w:color w:val="000000"/>
          <w:sz w:val="32"/>
          <w:szCs w:val="32"/>
          <w:highlight w:val="none"/>
          <w:lang w:val="en-US" w:eastAsia="zh-CN"/>
        </w:rPr>
        <w:t>10</w:t>
      </w:r>
      <w:r>
        <w:rPr>
          <w:rFonts w:hint="eastAsia" w:ascii="宋体" w:hAnsi="宋体" w:cs="宋体"/>
          <w:color w:val="000000"/>
          <w:sz w:val="32"/>
          <w:szCs w:val="32"/>
          <w:highlight w:val="none"/>
          <w:lang w:eastAsia="zh-CN"/>
        </w:rPr>
        <w:t>月</w:t>
      </w:r>
      <w:r>
        <w:rPr>
          <w:rFonts w:hint="eastAsia" w:ascii="宋体" w:hAnsi="宋体" w:cs="宋体"/>
          <w:color w:val="000000"/>
          <w:sz w:val="32"/>
          <w:szCs w:val="32"/>
          <w:highlight w:val="none"/>
          <w:lang w:val="en-US" w:eastAsia="zh-CN"/>
        </w:rPr>
        <w:t>29</w:t>
      </w:r>
      <w:r>
        <w:rPr>
          <w:rFonts w:hint="eastAsia" w:ascii="宋体" w:hAnsi="宋体" w:cs="宋体"/>
          <w:color w:val="000000"/>
          <w:sz w:val="32"/>
          <w:szCs w:val="32"/>
          <w:highlight w:val="none"/>
          <w:lang w:eastAsia="zh-CN"/>
        </w:rPr>
        <w:t>日</w:t>
      </w:r>
    </w:p>
    <w:p w14:paraId="70A1B224">
      <w:pPr>
        <w:jc w:val="center"/>
        <w:rPr>
          <w:b/>
          <w:bCs/>
          <w:color w:val="000000"/>
          <w:sz w:val="36"/>
          <w:szCs w:val="36"/>
          <w:highlight w:val="none"/>
        </w:rPr>
      </w:pPr>
      <w:r>
        <w:rPr>
          <w:rFonts w:hint="eastAsia"/>
          <w:b/>
          <w:bCs/>
          <w:color w:val="000000"/>
          <w:sz w:val="36"/>
          <w:szCs w:val="36"/>
          <w:highlight w:val="none"/>
          <w:lang w:val="zh-CN"/>
        </w:rPr>
        <w:t>目</w:t>
      </w:r>
      <w:r>
        <w:rPr>
          <w:rFonts w:hint="eastAsia"/>
          <w:b/>
          <w:bCs/>
          <w:color w:val="000000"/>
          <w:sz w:val="36"/>
          <w:szCs w:val="36"/>
          <w:highlight w:val="none"/>
        </w:rPr>
        <w:t xml:space="preserve">  </w:t>
      </w:r>
      <w:r>
        <w:rPr>
          <w:rFonts w:hint="eastAsia"/>
          <w:b/>
          <w:bCs/>
          <w:color w:val="000000"/>
          <w:sz w:val="36"/>
          <w:szCs w:val="36"/>
          <w:highlight w:val="none"/>
          <w:lang w:val="zh-CN"/>
        </w:rPr>
        <w:t>录</w:t>
      </w:r>
    </w:p>
    <w:p w14:paraId="5B85D384">
      <w:pPr>
        <w:pStyle w:val="15"/>
        <w:tabs>
          <w:tab w:val="right" w:leader="dot" w:pos="10192"/>
        </w:tabs>
        <w:rPr>
          <w:color w:val="000000"/>
          <w:sz w:val="28"/>
          <w:szCs w:val="36"/>
          <w:highlight w:val="none"/>
        </w:rPr>
      </w:pPr>
      <w:r>
        <w:rPr>
          <w:rFonts w:hint="eastAsia" w:ascii="宋体" w:hAnsi="宋体" w:cs="宋体"/>
          <w:color w:val="000000"/>
          <w:sz w:val="24"/>
          <w:highlight w:val="none"/>
        </w:rPr>
        <w:fldChar w:fldCharType="begin"/>
      </w:r>
      <w:r>
        <w:rPr>
          <w:rFonts w:hint="eastAsia" w:ascii="宋体" w:hAnsi="宋体" w:cs="宋体"/>
          <w:color w:val="000000"/>
          <w:sz w:val="24"/>
          <w:highlight w:val="none"/>
        </w:rPr>
        <w:instrText xml:space="preserve"> TOC \o "1-3" \h \z \u </w:instrText>
      </w:r>
      <w:r>
        <w:rPr>
          <w:rFonts w:hint="eastAsia" w:ascii="宋体" w:hAnsi="宋体" w:cs="宋体"/>
          <w:color w:val="000000"/>
          <w:sz w:val="24"/>
          <w:highlight w:val="none"/>
        </w:rPr>
        <w:fldChar w:fldCharType="separate"/>
      </w:r>
      <w:r>
        <w:rPr>
          <w:rFonts w:hint="eastAsia"/>
          <w:color w:val="000000"/>
          <w:sz w:val="28"/>
          <w:szCs w:val="44"/>
          <w:highlight w:val="none"/>
        </w:rPr>
        <w:t>第一章 竞争性谈判公告</w:t>
      </w:r>
      <w:r>
        <w:rPr>
          <w:color w:val="000000"/>
          <w:sz w:val="28"/>
          <w:szCs w:val="36"/>
          <w:highlight w:val="none"/>
        </w:rPr>
        <w:tab/>
      </w:r>
      <w:r>
        <w:rPr>
          <w:color w:val="000000"/>
          <w:sz w:val="28"/>
          <w:szCs w:val="36"/>
          <w:highlight w:val="none"/>
        </w:rPr>
        <w:fldChar w:fldCharType="begin"/>
      </w:r>
      <w:r>
        <w:rPr>
          <w:color w:val="000000"/>
          <w:sz w:val="28"/>
          <w:szCs w:val="36"/>
          <w:highlight w:val="none"/>
        </w:rPr>
        <w:instrText xml:space="preserve"> PAGEREF _Toc2915 \h </w:instrText>
      </w:r>
      <w:r>
        <w:rPr>
          <w:color w:val="000000"/>
          <w:sz w:val="28"/>
          <w:szCs w:val="36"/>
          <w:highlight w:val="none"/>
        </w:rPr>
        <w:fldChar w:fldCharType="separate"/>
      </w:r>
      <w:r>
        <w:rPr>
          <w:color w:val="000000"/>
          <w:sz w:val="28"/>
          <w:szCs w:val="36"/>
          <w:highlight w:val="none"/>
        </w:rPr>
        <w:t>- 1 -</w:t>
      </w:r>
      <w:r>
        <w:rPr>
          <w:color w:val="000000"/>
          <w:sz w:val="28"/>
          <w:szCs w:val="36"/>
          <w:highlight w:val="none"/>
        </w:rPr>
        <w:fldChar w:fldCharType="end"/>
      </w:r>
    </w:p>
    <w:p w14:paraId="69A7A19D">
      <w:pPr>
        <w:pStyle w:val="15"/>
        <w:tabs>
          <w:tab w:val="right" w:leader="dot" w:pos="10192"/>
        </w:tabs>
        <w:rPr>
          <w:color w:val="000000"/>
          <w:sz w:val="28"/>
          <w:szCs w:val="36"/>
          <w:highlight w:val="none"/>
        </w:rPr>
      </w:pPr>
      <w:r>
        <w:rPr>
          <w:rFonts w:hint="eastAsia" w:ascii="宋体" w:hAnsi="宋体" w:cs="宋体"/>
          <w:bCs/>
          <w:color w:val="000000"/>
          <w:sz w:val="28"/>
          <w:szCs w:val="36"/>
          <w:highlight w:val="none"/>
          <w:lang w:val="zh-CN"/>
        </w:rPr>
        <w:fldChar w:fldCharType="begin"/>
      </w:r>
      <w:r>
        <w:rPr>
          <w:rFonts w:hint="eastAsia" w:ascii="宋体" w:hAnsi="宋体" w:cs="宋体"/>
          <w:bCs/>
          <w:color w:val="000000"/>
          <w:sz w:val="28"/>
          <w:szCs w:val="36"/>
          <w:highlight w:val="none"/>
          <w:lang w:val="zh-CN"/>
        </w:rPr>
        <w:instrText xml:space="preserve"> HYPERLINK \l _Toc3839 </w:instrText>
      </w:r>
      <w:r>
        <w:rPr>
          <w:rFonts w:hint="eastAsia" w:ascii="宋体" w:hAnsi="宋体" w:cs="宋体"/>
          <w:bCs/>
          <w:color w:val="000000"/>
          <w:sz w:val="28"/>
          <w:szCs w:val="36"/>
          <w:highlight w:val="none"/>
          <w:lang w:val="zh-CN"/>
        </w:rPr>
        <w:fldChar w:fldCharType="separate"/>
      </w:r>
      <w:r>
        <w:rPr>
          <w:rFonts w:hint="eastAsia"/>
          <w:color w:val="000000"/>
          <w:sz w:val="28"/>
          <w:szCs w:val="44"/>
          <w:highlight w:val="none"/>
        </w:rPr>
        <w:t>第二章 供应商须知</w:t>
      </w:r>
      <w:r>
        <w:rPr>
          <w:color w:val="000000"/>
          <w:sz w:val="28"/>
          <w:szCs w:val="36"/>
          <w:highlight w:val="none"/>
        </w:rPr>
        <w:tab/>
      </w:r>
      <w:r>
        <w:rPr>
          <w:color w:val="000000"/>
          <w:sz w:val="28"/>
          <w:szCs w:val="36"/>
          <w:highlight w:val="none"/>
        </w:rPr>
        <w:fldChar w:fldCharType="begin"/>
      </w:r>
      <w:r>
        <w:rPr>
          <w:color w:val="000000"/>
          <w:sz w:val="28"/>
          <w:szCs w:val="36"/>
          <w:highlight w:val="none"/>
        </w:rPr>
        <w:instrText xml:space="preserve"> PAGEREF _Toc3839 \h </w:instrText>
      </w:r>
      <w:r>
        <w:rPr>
          <w:color w:val="000000"/>
          <w:sz w:val="28"/>
          <w:szCs w:val="36"/>
          <w:highlight w:val="none"/>
        </w:rPr>
        <w:fldChar w:fldCharType="separate"/>
      </w:r>
      <w:r>
        <w:rPr>
          <w:color w:val="000000"/>
          <w:sz w:val="28"/>
          <w:szCs w:val="36"/>
          <w:highlight w:val="none"/>
        </w:rPr>
        <w:t>- 4 -</w:t>
      </w:r>
      <w:r>
        <w:rPr>
          <w:color w:val="000000"/>
          <w:sz w:val="28"/>
          <w:szCs w:val="36"/>
          <w:highlight w:val="none"/>
        </w:rPr>
        <w:fldChar w:fldCharType="end"/>
      </w:r>
      <w:r>
        <w:rPr>
          <w:rFonts w:hint="eastAsia" w:ascii="宋体" w:hAnsi="宋体" w:cs="宋体"/>
          <w:bCs/>
          <w:color w:val="000000"/>
          <w:sz w:val="28"/>
          <w:szCs w:val="36"/>
          <w:highlight w:val="none"/>
          <w:lang w:val="zh-CN"/>
        </w:rPr>
        <w:fldChar w:fldCharType="end"/>
      </w:r>
    </w:p>
    <w:p w14:paraId="174102A4">
      <w:pPr>
        <w:pStyle w:val="15"/>
        <w:tabs>
          <w:tab w:val="right" w:leader="dot" w:pos="10192"/>
        </w:tabs>
        <w:rPr>
          <w:color w:val="000000"/>
          <w:sz w:val="28"/>
          <w:szCs w:val="36"/>
          <w:highlight w:val="none"/>
        </w:rPr>
      </w:pPr>
      <w:r>
        <w:rPr>
          <w:rFonts w:hint="eastAsia" w:ascii="宋体" w:hAnsi="宋体" w:cs="宋体"/>
          <w:bCs/>
          <w:color w:val="000000"/>
          <w:sz w:val="28"/>
          <w:szCs w:val="36"/>
          <w:highlight w:val="none"/>
          <w:lang w:val="zh-CN"/>
        </w:rPr>
        <w:fldChar w:fldCharType="begin"/>
      </w:r>
      <w:r>
        <w:rPr>
          <w:rFonts w:hint="eastAsia" w:ascii="宋体" w:hAnsi="宋体" w:cs="宋体"/>
          <w:bCs/>
          <w:color w:val="000000"/>
          <w:sz w:val="28"/>
          <w:szCs w:val="36"/>
          <w:highlight w:val="none"/>
          <w:lang w:val="zh-CN"/>
        </w:rPr>
        <w:instrText xml:space="preserve"> HYPERLINK \l _Toc29197 </w:instrText>
      </w:r>
      <w:r>
        <w:rPr>
          <w:rFonts w:hint="eastAsia" w:ascii="宋体" w:hAnsi="宋体" w:cs="宋体"/>
          <w:bCs/>
          <w:color w:val="000000"/>
          <w:sz w:val="28"/>
          <w:szCs w:val="36"/>
          <w:highlight w:val="none"/>
          <w:lang w:val="zh-CN"/>
        </w:rPr>
        <w:fldChar w:fldCharType="separate"/>
      </w:r>
      <w:r>
        <w:rPr>
          <w:rFonts w:hint="eastAsia"/>
          <w:color w:val="000000"/>
          <w:sz w:val="28"/>
          <w:szCs w:val="44"/>
          <w:highlight w:val="none"/>
        </w:rPr>
        <w:t>第三章 采购需求</w:t>
      </w:r>
      <w:r>
        <w:rPr>
          <w:color w:val="000000"/>
          <w:sz w:val="28"/>
          <w:szCs w:val="36"/>
          <w:highlight w:val="none"/>
        </w:rPr>
        <w:tab/>
      </w:r>
      <w:r>
        <w:rPr>
          <w:color w:val="000000"/>
          <w:sz w:val="28"/>
          <w:szCs w:val="36"/>
          <w:highlight w:val="none"/>
        </w:rPr>
        <w:fldChar w:fldCharType="begin"/>
      </w:r>
      <w:r>
        <w:rPr>
          <w:color w:val="000000"/>
          <w:sz w:val="28"/>
          <w:szCs w:val="36"/>
          <w:highlight w:val="none"/>
        </w:rPr>
        <w:instrText xml:space="preserve"> PAGEREF _Toc29197 \h </w:instrText>
      </w:r>
      <w:r>
        <w:rPr>
          <w:color w:val="000000"/>
          <w:sz w:val="28"/>
          <w:szCs w:val="36"/>
          <w:highlight w:val="none"/>
        </w:rPr>
        <w:fldChar w:fldCharType="separate"/>
      </w:r>
      <w:r>
        <w:rPr>
          <w:color w:val="000000"/>
          <w:sz w:val="28"/>
          <w:szCs w:val="36"/>
          <w:highlight w:val="none"/>
        </w:rPr>
        <w:t>- 21 -</w:t>
      </w:r>
      <w:r>
        <w:rPr>
          <w:color w:val="000000"/>
          <w:sz w:val="28"/>
          <w:szCs w:val="36"/>
          <w:highlight w:val="none"/>
        </w:rPr>
        <w:fldChar w:fldCharType="end"/>
      </w:r>
      <w:r>
        <w:rPr>
          <w:rFonts w:hint="eastAsia" w:ascii="宋体" w:hAnsi="宋体" w:cs="宋体"/>
          <w:bCs/>
          <w:color w:val="000000"/>
          <w:sz w:val="28"/>
          <w:szCs w:val="36"/>
          <w:highlight w:val="none"/>
          <w:lang w:val="zh-CN"/>
        </w:rPr>
        <w:fldChar w:fldCharType="end"/>
      </w:r>
    </w:p>
    <w:p w14:paraId="787E78EE">
      <w:pPr>
        <w:pStyle w:val="15"/>
        <w:tabs>
          <w:tab w:val="right" w:leader="dot" w:pos="10192"/>
        </w:tabs>
        <w:rPr>
          <w:color w:val="000000"/>
          <w:sz w:val="28"/>
          <w:szCs w:val="36"/>
          <w:highlight w:val="none"/>
        </w:rPr>
      </w:pPr>
      <w:r>
        <w:rPr>
          <w:rFonts w:hint="eastAsia" w:ascii="宋体" w:hAnsi="宋体" w:cs="宋体"/>
          <w:bCs/>
          <w:color w:val="000000"/>
          <w:sz w:val="28"/>
          <w:szCs w:val="36"/>
          <w:highlight w:val="none"/>
          <w:lang w:val="zh-CN"/>
        </w:rPr>
        <w:fldChar w:fldCharType="begin"/>
      </w:r>
      <w:r>
        <w:rPr>
          <w:rFonts w:hint="eastAsia" w:ascii="宋体" w:hAnsi="宋体" w:cs="宋体"/>
          <w:bCs/>
          <w:color w:val="000000"/>
          <w:sz w:val="28"/>
          <w:szCs w:val="36"/>
          <w:highlight w:val="none"/>
          <w:lang w:val="zh-CN"/>
        </w:rPr>
        <w:instrText xml:space="preserve"> HYPERLINK \l _Toc3451 </w:instrText>
      </w:r>
      <w:r>
        <w:rPr>
          <w:rFonts w:hint="eastAsia" w:ascii="宋体" w:hAnsi="宋体" w:cs="宋体"/>
          <w:bCs/>
          <w:color w:val="000000"/>
          <w:sz w:val="28"/>
          <w:szCs w:val="36"/>
          <w:highlight w:val="none"/>
          <w:lang w:val="zh-CN"/>
        </w:rPr>
        <w:fldChar w:fldCharType="separate"/>
      </w:r>
      <w:r>
        <w:rPr>
          <w:rFonts w:hint="eastAsia"/>
          <w:bCs/>
          <w:color w:val="000000"/>
          <w:sz w:val="28"/>
          <w:szCs w:val="44"/>
          <w:highlight w:val="none"/>
        </w:rPr>
        <w:t xml:space="preserve">第四章 </w:t>
      </w:r>
      <w:r>
        <w:rPr>
          <w:rFonts w:hint="eastAsia"/>
          <w:color w:val="000000"/>
          <w:sz w:val="28"/>
          <w:szCs w:val="44"/>
          <w:highlight w:val="none"/>
        </w:rPr>
        <w:t>评审办法</w:t>
      </w:r>
      <w:r>
        <w:rPr>
          <w:color w:val="000000"/>
          <w:sz w:val="28"/>
          <w:szCs w:val="36"/>
          <w:highlight w:val="none"/>
        </w:rPr>
        <w:tab/>
      </w:r>
      <w:r>
        <w:rPr>
          <w:color w:val="000000"/>
          <w:sz w:val="28"/>
          <w:szCs w:val="36"/>
          <w:highlight w:val="none"/>
        </w:rPr>
        <w:fldChar w:fldCharType="begin"/>
      </w:r>
      <w:r>
        <w:rPr>
          <w:color w:val="000000"/>
          <w:sz w:val="28"/>
          <w:szCs w:val="36"/>
          <w:highlight w:val="none"/>
        </w:rPr>
        <w:instrText xml:space="preserve"> PAGEREF _Toc3451 \h </w:instrText>
      </w:r>
      <w:r>
        <w:rPr>
          <w:color w:val="000000"/>
          <w:sz w:val="28"/>
          <w:szCs w:val="36"/>
          <w:highlight w:val="none"/>
        </w:rPr>
        <w:fldChar w:fldCharType="separate"/>
      </w:r>
      <w:r>
        <w:rPr>
          <w:color w:val="000000"/>
          <w:sz w:val="28"/>
          <w:szCs w:val="36"/>
          <w:highlight w:val="none"/>
        </w:rPr>
        <w:t>- 26 -</w:t>
      </w:r>
      <w:r>
        <w:rPr>
          <w:color w:val="000000"/>
          <w:sz w:val="28"/>
          <w:szCs w:val="36"/>
          <w:highlight w:val="none"/>
        </w:rPr>
        <w:fldChar w:fldCharType="end"/>
      </w:r>
      <w:r>
        <w:rPr>
          <w:rFonts w:hint="eastAsia" w:ascii="宋体" w:hAnsi="宋体" w:cs="宋体"/>
          <w:bCs/>
          <w:color w:val="000000"/>
          <w:sz w:val="28"/>
          <w:szCs w:val="36"/>
          <w:highlight w:val="none"/>
          <w:lang w:val="zh-CN"/>
        </w:rPr>
        <w:fldChar w:fldCharType="end"/>
      </w:r>
    </w:p>
    <w:p w14:paraId="19E1B49F">
      <w:pPr>
        <w:pStyle w:val="15"/>
        <w:tabs>
          <w:tab w:val="right" w:leader="dot" w:pos="10192"/>
        </w:tabs>
        <w:rPr>
          <w:color w:val="000000"/>
          <w:sz w:val="28"/>
          <w:szCs w:val="36"/>
          <w:highlight w:val="none"/>
        </w:rPr>
      </w:pPr>
      <w:r>
        <w:rPr>
          <w:rFonts w:hint="eastAsia" w:ascii="宋体" w:hAnsi="宋体" w:cs="宋体"/>
          <w:bCs/>
          <w:color w:val="000000"/>
          <w:sz w:val="28"/>
          <w:szCs w:val="36"/>
          <w:highlight w:val="none"/>
          <w:lang w:val="zh-CN"/>
        </w:rPr>
        <w:fldChar w:fldCharType="begin"/>
      </w:r>
      <w:r>
        <w:rPr>
          <w:rFonts w:hint="eastAsia" w:ascii="宋体" w:hAnsi="宋体" w:cs="宋体"/>
          <w:bCs/>
          <w:color w:val="000000"/>
          <w:sz w:val="28"/>
          <w:szCs w:val="36"/>
          <w:highlight w:val="none"/>
          <w:lang w:val="zh-CN"/>
        </w:rPr>
        <w:instrText xml:space="preserve"> HYPERLINK \l _Toc12923 </w:instrText>
      </w:r>
      <w:r>
        <w:rPr>
          <w:rFonts w:hint="eastAsia" w:ascii="宋体" w:hAnsi="宋体" w:cs="宋体"/>
          <w:bCs/>
          <w:color w:val="000000"/>
          <w:sz w:val="28"/>
          <w:szCs w:val="36"/>
          <w:highlight w:val="none"/>
          <w:lang w:val="zh-CN"/>
        </w:rPr>
        <w:fldChar w:fldCharType="separate"/>
      </w:r>
      <w:r>
        <w:rPr>
          <w:rFonts w:hint="eastAsia" w:ascii="宋体" w:hAnsi="宋体" w:cs="宋体"/>
          <w:color w:val="000000"/>
          <w:sz w:val="28"/>
          <w:szCs w:val="44"/>
          <w:highlight w:val="none"/>
        </w:rPr>
        <w:t>第五章 采购合同（合同主要条款及格式）</w:t>
      </w:r>
      <w:r>
        <w:rPr>
          <w:color w:val="000000"/>
          <w:sz w:val="28"/>
          <w:szCs w:val="36"/>
          <w:highlight w:val="none"/>
        </w:rPr>
        <w:tab/>
      </w:r>
      <w:r>
        <w:rPr>
          <w:color w:val="000000"/>
          <w:sz w:val="28"/>
          <w:szCs w:val="36"/>
          <w:highlight w:val="none"/>
        </w:rPr>
        <w:fldChar w:fldCharType="begin"/>
      </w:r>
      <w:r>
        <w:rPr>
          <w:color w:val="000000"/>
          <w:sz w:val="28"/>
          <w:szCs w:val="36"/>
          <w:highlight w:val="none"/>
        </w:rPr>
        <w:instrText xml:space="preserve"> PAGEREF _Toc12923 \h </w:instrText>
      </w:r>
      <w:r>
        <w:rPr>
          <w:color w:val="000000"/>
          <w:sz w:val="28"/>
          <w:szCs w:val="36"/>
          <w:highlight w:val="none"/>
        </w:rPr>
        <w:fldChar w:fldCharType="separate"/>
      </w:r>
      <w:r>
        <w:rPr>
          <w:color w:val="000000"/>
          <w:sz w:val="28"/>
          <w:szCs w:val="36"/>
          <w:highlight w:val="none"/>
        </w:rPr>
        <w:t>- 30 -</w:t>
      </w:r>
      <w:r>
        <w:rPr>
          <w:color w:val="000000"/>
          <w:sz w:val="28"/>
          <w:szCs w:val="36"/>
          <w:highlight w:val="none"/>
        </w:rPr>
        <w:fldChar w:fldCharType="end"/>
      </w:r>
      <w:r>
        <w:rPr>
          <w:rFonts w:hint="eastAsia" w:ascii="宋体" w:hAnsi="宋体" w:cs="宋体"/>
          <w:bCs/>
          <w:color w:val="000000"/>
          <w:sz w:val="28"/>
          <w:szCs w:val="36"/>
          <w:highlight w:val="none"/>
          <w:lang w:val="zh-CN"/>
        </w:rPr>
        <w:fldChar w:fldCharType="end"/>
      </w:r>
    </w:p>
    <w:p w14:paraId="542EBCEA">
      <w:pPr>
        <w:pStyle w:val="15"/>
        <w:tabs>
          <w:tab w:val="right" w:leader="dot" w:pos="10192"/>
        </w:tabs>
        <w:rPr>
          <w:color w:val="000000"/>
          <w:highlight w:val="none"/>
        </w:rPr>
      </w:pPr>
      <w:r>
        <w:rPr>
          <w:rFonts w:hint="eastAsia" w:ascii="宋体" w:hAnsi="宋体" w:cs="宋体"/>
          <w:bCs/>
          <w:color w:val="000000"/>
          <w:sz w:val="28"/>
          <w:szCs w:val="36"/>
          <w:highlight w:val="none"/>
          <w:lang w:val="zh-CN"/>
        </w:rPr>
        <w:fldChar w:fldCharType="begin"/>
      </w:r>
      <w:r>
        <w:rPr>
          <w:rFonts w:hint="eastAsia" w:ascii="宋体" w:hAnsi="宋体" w:cs="宋体"/>
          <w:bCs/>
          <w:color w:val="000000"/>
          <w:sz w:val="28"/>
          <w:szCs w:val="36"/>
          <w:highlight w:val="none"/>
          <w:lang w:val="zh-CN"/>
        </w:rPr>
        <w:instrText xml:space="preserve"> HYPERLINK \l _Toc18811 </w:instrText>
      </w:r>
      <w:r>
        <w:rPr>
          <w:rFonts w:hint="eastAsia" w:ascii="宋体" w:hAnsi="宋体" w:cs="宋体"/>
          <w:bCs/>
          <w:color w:val="000000"/>
          <w:sz w:val="28"/>
          <w:szCs w:val="36"/>
          <w:highlight w:val="none"/>
          <w:lang w:val="zh-CN"/>
        </w:rPr>
        <w:fldChar w:fldCharType="separate"/>
      </w:r>
      <w:r>
        <w:rPr>
          <w:rFonts w:hint="eastAsia" w:ascii="宋体" w:cs="宋体"/>
          <w:color w:val="000000"/>
          <w:sz w:val="28"/>
          <w:szCs w:val="44"/>
          <w:highlight w:val="none"/>
        </w:rPr>
        <w:t xml:space="preserve">第六章 </w:t>
      </w:r>
      <w:r>
        <w:rPr>
          <w:rFonts w:hint="eastAsia" w:ascii="宋体" w:hAnsi="宋体" w:cs="宋体"/>
          <w:color w:val="000000"/>
          <w:sz w:val="28"/>
          <w:szCs w:val="44"/>
          <w:highlight w:val="none"/>
        </w:rPr>
        <w:t>响应</w:t>
      </w:r>
      <w:r>
        <w:rPr>
          <w:rFonts w:hint="eastAsia"/>
          <w:color w:val="000000"/>
          <w:sz w:val="28"/>
          <w:szCs w:val="44"/>
          <w:highlight w:val="none"/>
        </w:rPr>
        <w:t>文件</w:t>
      </w:r>
      <w:r>
        <w:rPr>
          <w:rFonts w:hint="eastAsia" w:ascii="宋体" w:hAnsi="宋体" w:cs="宋体"/>
          <w:color w:val="000000"/>
          <w:sz w:val="28"/>
          <w:szCs w:val="44"/>
          <w:highlight w:val="none"/>
        </w:rPr>
        <w:t>（格式）</w:t>
      </w:r>
      <w:r>
        <w:rPr>
          <w:color w:val="000000"/>
          <w:sz w:val="28"/>
          <w:szCs w:val="36"/>
          <w:highlight w:val="none"/>
        </w:rPr>
        <w:tab/>
      </w:r>
      <w:r>
        <w:rPr>
          <w:color w:val="000000"/>
          <w:sz w:val="28"/>
          <w:szCs w:val="36"/>
          <w:highlight w:val="none"/>
        </w:rPr>
        <w:fldChar w:fldCharType="begin"/>
      </w:r>
      <w:r>
        <w:rPr>
          <w:color w:val="000000"/>
          <w:sz w:val="28"/>
          <w:szCs w:val="36"/>
          <w:highlight w:val="none"/>
        </w:rPr>
        <w:instrText xml:space="preserve"> PAGEREF _Toc18811 \h </w:instrText>
      </w:r>
      <w:r>
        <w:rPr>
          <w:color w:val="000000"/>
          <w:sz w:val="28"/>
          <w:szCs w:val="36"/>
          <w:highlight w:val="none"/>
        </w:rPr>
        <w:fldChar w:fldCharType="separate"/>
      </w:r>
      <w:r>
        <w:rPr>
          <w:color w:val="000000"/>
          <w:sz w:val="28"/>
          <w:szCs w:val="36"/>
          <w:highlight w:val="none"/>
        </w:rPr>
        <w:t>- 33 -</w:t>
      </w:r>
      <w:r>
        <w:rPr>
          <w:color w:val="000000"/>
          <w:sz w:val="28"/>
          <w:szCs w:val="36"/>
          <w:highlight w:val="none"/>
        </w:rPr>
        <w:fldChar w:fldCharType="end"/>
      </w:r>
      <w:r>
        <w:rPr>
          <w:rFonts w:hint="eastAsia" w:ascii="宋体" w:hAnsi="宋体" w:cs="宋体"/>
          <w:bCs/>
          <w:color w:val="000000"/>
          <w:sz w:val="28"/>
          <w:szCs w:val="36"/>
          <w:highlight w:val="none"/>
          <w:lang w:val="zh-CN"/>
        </w:rPr>
        <w:fldChar w:fldCharType="end"/>
      </w:r>
    </w:p>
    <w:p w14:paraId="31C54DFC">
      <w:pPr>
        <w:pStyle w:val="16"/>
        <w:tabs>
          <w:tab w:val="right" w:leader="dot" w:pos="10192"/>
        </w:tabs>
        <w:rPr>
          <w:color w:val="000000"/>
          <w:highlight w:val="none"/>
        </w:rPr>
      </w:pPr>
    </w:p>
    <w:p w14:paraId="7FD1C97B">
      <w:pPr>
        <w:rPr>
          <w:color w:val="000000"/>
          <w:highlight w:val="none"/>
        </w:rPr>
      </w:pPr>
    </w:p>
    <w:p w14:paraId="6B4655FE">
      <w:pPr>
        <w:rPr>
          <w:color w:val="000000"/>
          <w:highlight w:val="none"/>
        </w:rPr>
      </w:pPr>
    </w:p>
    <w:p w14:paraId="236F3209">
      <w:pPr>
        <w:rPr>
          <w:color w:val="000000"/>
          <w:highlight w:val="none"/>
        </w:rPr>
      </w:pPr>
    </w:p>
    <w:p w14:paraId="23A270F7">
      <w:pPr>
        <w:rPr>
          <w:color w:val="000000"/>
          <w:highlight w:val="none"/>
        </w:rPr>
      </w:pPr>
    </w:p>
    <w:p w14:paraId="08B4FB83">
      <w:pPr>
        <w:rPr>
          <w:color w:val="000000"/>
          <w:highlight w:val="none"/>
        </w:rPr>
      </w:pPr>
    </w:p>
    <w:p w14:paraId="64674AB4">
      <w:pPr>
        <w:rPr>
          <w:color w:val="000000"/>
          <w:highlight w:val="none"/>
        </w:rPr>
      </w:pPr>
    </w:p>
    <w:p w14:paraId="6E5B930D">
      <w:pPr>
        <w:rPr>
          <w:color w:val="000000"/>
          <w:highlight w:val="none"/>
        </w:rPr>
      </w:pPr>
    </w:p>
    <w:p w14:paraId="12F805EC">
      <w:pPr>
        <w:rPr>
          <w:color w:val="000000"/>
          <w:highlight w:val="none"/>
        </w:rPr>
      </w:pPr>
    </w:p>
    <w:p w14:paraId="144413B6">
      <w:pPr>
        <w:rPr>
          <w:color w:val="000000"/>
          <w:highlight w:val="none"/>
        </w:rPr>
      </w:pPr>
    </w:p>
    <w:p w14:paraId="72B4B98A">
      <w:pPr>
        <w:pStyle w:val="18"/>
        <w:rPr>
          <w:color w:val="000000"/>
          <w:highlight w:val="none"/>
        </w:rPr>
      </w:pPr>
    </w:p>
    <w:p w14:paraId="07145F69">
      <w:pPr>
        <w:pStyle w:val="18"/>
        <w:sectPr>
          <w:footerReference r:id="rId5" w:type="default"/>
          <w:pgSz w:w="11906" w:h="16838"/>
          <w:pgMar w:top="1440" w:right="935" w:bottom="1440" w:left="779" w:header="851" w:footer="992" w:gutter="0"/>
          <w:pgNumType w:fmt="numberInDash" w:start="1"/>
          <w:cols w:space="720" w:num="1"/>
          <w:docGrid w:type="linesAndChars" w:linePitch="312" w:charSpace="0"/>
        </w:sectPr>
      </w:pPr>
    </w:p>
    <w:p w14:paraId="59EA860E">
      <w:pPr>
        <w:pStyle w:val="18"/>
        <w:ind w:left="0" w:leftChars="0" w:firstLine="0" w:firstLineChars="0"/>
      </w:pPr>
    </w:p>
    <w:p w14:paraId="26DAAA35">
      <w:pPr>
        <w:pStyle w:val="2"/>
        <w:numPr>
          <w:ilvl w:val="0"/>
          <w:numId w:val="1"/>
        </w:numPr>
        <w:spacing w:line="240" w:lineRule="auto"/>
        <w:jc w:val="center"/>
        <w:rPr>
          <w:rFonts w:hint="eastAsia"/>
          <w:color w:val="000000"/>
          <w:sz w:val="32"/>
          <w:szCs w:val="32"/>
          <w:highlight w:val="none"/>
        </w:rPr>
      </w:pPr>
      <w:r>
        <w:rPr>
          <w:rFonts w:hint="eastAsia" w:ascii="宋体" w:hAnsi="宋体" w:cs="宋体"/>
          <w:bCs w:val="0"/>
          <w:color w:val="000000"/>
          <w:highlight w:val="none"/>
          <w:lang w:val="zh-CN"/>
        </w:rPr>
        <w:fldChar w:fldCharType="end"/>
      </w:r>
      <w:bookmarkStart w:id="0" w:name="_Toc26027"/>
      <w:bookmarkStart w:id="1" w:name="_Toc19446"/>
      <w:bookmarkStart w:id="2" w:name="_Toc35393797"/>
      <w:bookmarkStart w:id="3" w:name="_Toc27428"/>
      <w:bookmarkStart w:id="4" w:name="_Toc13749"/>
      <w:bookmarkStart w:id="5" w:name="_Toc2915"/>
      <w:bookmarkStart w:id="6" w:name="_Toc28359011"/>
      <w:r>
        <w:rPr>
          <w:rFonts w:hint="eastAsia" w:ascii="宋体" w:hAnsi="宋体" w:cs="宋体"/>
          <w:b w:val="0"/>
          <w:bCs w:val="0"/>
          <w:color w:val="000000"/>
          <w:sz w:val="32"/>
          <w:szCs w:val="32"/>
          <w:highlight w:val="none"/>
        </w:rPr>
        <w:t xml:space="preserve">  </w:t>
      </w:r>
      <w:r>
        <w:rPr>
          <w:rFonts w:hint="eastAsia"/>
          <w:color w:val="000000"/>
          <w:sz w:val="32"/>
          <w:szCs w:val="32"/>
          <w:highlight w:val="none"/>
        </w:rPr>
        <w:t>竞争性谈判公告</w:t>
      </w:r>
      <w:bookmarkEnd w:id="0"/>
      <w:bookmarkEnd w:id="1"/>
      <w:bookmarkEnd w:id="2"/>
      <w:bookmarkEnd w:id="3"/>
      <w:bookmarkEnd w:id="4"/>
      <w:bookmarkEnd w:id="5"/>
      <w:bookmarkEnd w:id="6"/>
      <w:bookmarkStart w:id="7" w:name="_Toc35393798"/>
      <w:bookmarkStart w:id="8" w:name="_Toc35393629"/>
      <w:bookmarkStart w:id="9" w:name="_Toc28359089"/>
      <w:bookmarkStart w:id="10" w:name="_Toc28359012"/>
    </w:p>
    <w:tbl>
      <w:tblPr>
        <w:tblStyle w:val="19"/>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3CA7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0220" w:type="dxa"/>
            <w:noWrap w:val="0"/>
            <w:vAlign w:val="top"/>
          </w:tcPr>
          <w:p w14:paraId="2FBEDA67">
            <w:pPr>
              <w:spacing w:line="38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项目概况</w:t>
            </w:r>
          </w:p>
          <w:p w14:paraId="4B895E91">
            <w:pPr>
              <w:spacing w:line="40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u w:val="single"/>
                <w:lang w:eastAsia="zh-CN"/>
              </w:rPr>
              <w:t>电子病历及HIS系统驻场开发、运维服务采购</w:t>
            </w:r>
            <w:r>
              <w:rPr>
                <w:rFonts w:hint="eastAsia" w:ascii="宋体" w:hAnsi="宋体" w:cs="宋体"/>
                <w:color w:val="000000"/>
                <w:sz w:val="21"/>
                <w:szCs w:val="21"/>
                <w:highlight w:val="none"/>
              </w:rPr>
              <w:t>项目的潜在供应商应在广西政府采购云平台（https://www.gcy.zfcg.gxzf.gov.cn/）获取采购文件，并于2025年</w:t>
            </w:r>
            <w:r>
              <w:rPr>
                <w:rFonts w:hint="eastAsia" w:ascii="宋体" w:hAnsi="宋体" w:cs="宋体"/>
                <w:color w:val="000000"/>
                <w:sz w:val="21"/>
                <w:szCs w:val="21"/>
                <w:highlight w:val="none"/>
                <w:lang w:val="en-US" w:eastAsia="zh-CN"/>
              </w:rPr>
              <w:t>11</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日09：30（北京时间）前提交</w:t>
            </w:r>
            <w:r>
              <w:rPr>
                <w:rFonts w:hint="eastAsia" w:ascii="宋体" w:hAnsi="宋体" w:cs="宋体"/>
                <w:color w:val="000000"/>
                <w:sz w:val="21"/>
                <w:szCs w:val="21"/>
                <w:highlight w:val="none"/>
                <w:lang w:val="en-US" w:eastAsia="zh-CN"/>
              </w:rPr>
              <w:t>响应</w:t>
            </w:r>
            <w:r>
              <w:rPr>
                <w:rFonts w:hint="eastAsia" w:ascii="宋体" w:hAnsi="宋体" w:cs="宋体"/>
                <w:color w:val="000000"/>
                <w:sz w:val="21"/>
                <w:szCs w:val="21"/>
                <w:highlight w:val="none"/>
              </w:rPr>
              <w:t>文件。</w:t>
            </w:r>
          </w:p>
        </w:tc>
      </w:tr>
    </w:tbl>
    <w:p w14:paraId="44F544D0">
      <w:pPr>
        <w:spacing w:line="360" w:lineRule="exact"/>
        <w:jc w:val="left"/>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一、项目基本情况</w:t>
      </w:r>
      <w:bookmarkEnd w:id="7"/>
      <w:bookmarkEnd w:id="8"/>
      <w:bookmarkEnd w:id="9"/>
      <w:bookmarkEnd w:id="10"/>
    </w:p>
    <w:p w14:paraId="53911A4C">
      <w:pPr>
        <w:spacing w:line="360" w:lineRule="exact"/>
        <w:ind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项目编号：GLZC2025-J3-990533-ZJXJ</w:t>
      </w:r>
    </w:p>
    <w:p w14:paraId="40741156">
      <w:pPr>
        <w:spacing w:line="360" w:lineRule="exact"/>
        <w:ind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u w:val="none"/>
          <w:lang w:eastAsia="zh-CN"/>
        </w:rPr>
        <w:t>电子病历及HIS系统驻场开发、运维服务采购</w:t>
      </w:r>
    </w:p>
    <w:p w14:paraId="5D4D5462">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采购方式：竞争性谈判</w:t>
      </w:r>
    </w:p>
    <w:p w14:paraId="6D9254AE">
      <w:pPr>
        <w:spacing w:line="360" w:lineRule="exact"/>
        <w:ind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预算</w:t>
      </w:r>
      <w:r>
        <w:rPr>
          <w:rFonts w:hint="eastAsia" w:ascii="宋体" w:hAnsi="宋体" w:eastAsia="宋体" w:cs="宋体"/>
          <w:color w:val="000000"/>
          <w:sz w:val="21"/>
          <w:szCs w:val="21"/>
          <w:highlight w:val="none"/>
          <w:lang w:val="en-US" w:eastAsia="zh-CN"/>
        </w:rPr>
        <w:t>总</w:t>
      </w:r>
      <w:r>
        <w:rPr>
          <w:rFonts w:hint="eastAsia" w:ascii="宋体" w:hAnsi="宋体" w:eastAsia="宋体" w:cs="宋体"/>
          <w:color w:val="000000"/>
          <w:sz w:val="21"/>
          <w:szCs w:val="21"/>
          <w:highlight w:val="none"/>
          <w:lang w:eastAsia="zh-CN"/>
        </w:rPr>
        <w:t>金额（</w:t>
      </w:r>
      <w:r>
        <w:rPr>
          <w:rFonts w:hint="eastAsia" w:ascii="宋体" w:hAnsi="宋体" w:eastAsia="宋体" w:cs="宋体"/>
          <w:color w:val="000000"/>
          <w:sz w:val="21"/>
          <w:szCs w:val="21"/>
          <w:highlight w:val="none"/>
          <w:lang w:val="en-US" w:eastAsia="zh-CN"/>
        </w:rPr>
        <w:t>元</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970000</w:t>
      </w:r>
    </w:p>
    <w:p w14:paraId="69B7C8BD">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预算金额：</w:t>
      </w:r>
      <w:r>
        <w:rPr>
          <w:rFonts w:hint="eastAsia" w:ascii="宋体" w:hAnsi="宋体" w:eastAsia="宋体" w:cs="宋体"/>
          <w:color w:val="000000"/>
          <w:sz w:val="21"/>
          <w:szCs w:val="21"/>
          <w:highlight w:val="none"/>
          <w:lang w:val="en-US" w:eastAsia="zh-CN"/>
        </w:rPr>
        <w:t>970000</w:t>
      </w:r>
    </w:p>
    <w:p w14:paraId="1FC41E3F">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采购需求：</w:t>
      </w:r>
    </w:p>
    <w:p w14:paraId="6ECBC75F">
      <w:pPr>
        <w:spacing w:line="360" w:lineRule="exact"/>
        <w:ind w:firstLine="420" w:firstLineChars="20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标项名称：</w:t>
      </w:r>
      <w:r>
        <w:rPr>
          <w:rFonts w:hint="eastAsia" w:ascii="宋体" w:hAnsi="宋体" w:eastAsia="宋体" w:cs="宋体"/>
          <w:color w:val="000000"/>
          <w:sz w:val="21"/>
          <w:szCs w:val="21"/>
          <w:highlight w:val="none"/>
          <w:lang w:eastAsia="zh-CN"/>
        </w:rPr>
        <w:t>电子病历及HIS系统驻场开发、运维服务采购</w:t>
      </w:r>
    </w:p>
    <w:p w14:paraId="5939F0FE">
      <w:pPr>
        <w:spacing w:line="360" w:lineRule="exact"/>
        <w:ind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数量：1</w:t>
      </w:r>
    </w:p>
    <w:p w14:paraId="1A721504">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简要规格描述或项目基本概况介绍、用途：</w:t>
      </w:r>
      <w:r>
        <w:rPr>
          <w:rFonts w:hint="eastAsia" w:ascii="宋体" w:hAnsi="宋体" w:eastAsia="宋体" w:cs="宋体"/>
          <w:color w:val="000000"/>
          <w:sz w:val="21"/>
          <w:szCs w:val="21"/>
          <w:highlight w:val="none"/>
          <w:lang w:eastAsia="zh-CN"/>
        </w:rPr>
        <w:t>电子病历及HIS系统驻场开发、运维服务采购</w:t>
      </w:r>
      <w:r>
        <w:rPr>
          <w:rFonts w:hint="eastAsia" w:ascii="宋体" w:hAnsi="宋体" w:eastAsia="宋体" w:cs="宋体"/>
          <w:color w:val="000000"/>
          <w:sz w:val="21"/>
          <w:szCs w:val="21"/>
          <w:highlight w:val="none"/>
          <w:lang w:val="en-US" w:eastAsia="zh-CN"/>
        </w:rPr>
        <w:t>1项，</w:t>
      </w:r>
      <w:r>
        <w:rPr>
          <w:rFonts w:hint="eastAsia" w:ascii="宋体" w:hAnsi="宋体" w:eastAsia="宋体" w:cs="宋体"/>
          <w:color w:val="000000"/>
          <w:sz w:val="21"/>
          <w:szCs w:val="21"/>
          <w:highlight w:val="none"/>
        </w:rPr>
        <w:t>详见竞争性谈判文件</w:t>
      </w:r>
      <w:r>
        <w:rPr>
          <w:rFonts w:hint="eastAsia" w:ascii="宋体" w:hAnsi="宋体" w:eastAsia="宋体" w:cs="宋体"/>
          <w:color w:val="000000"/>
          <w:sz w:val="21"/>
          <w:szCs w:val="21"/>
          <w:highlight w:val="none"/>
          <w:lang w:eastAsia="zh-CN"/>
        </w:rPr>
        <w:t>，</w:t>
      </w:r>
    </w:p>
    <w:p w14:paraId="51D69EBF">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合同履行期限：</w:t>
      </w:r>
      <w:r>
        <w:rPr>
          <w:rFonts w:hint="eastAsia" w:ascii="宋体" w:hAnsi="宋体" w:eastAsia="宋体" w:cs="宋体"/>
          <w:color w:val="000000"/>
          <w:sz w:val="21"/>
          <w:szCs w:val="21"/>
          <w:highlight w:val="none"/>
          <w:lang w:val="en-US" w:eastAsia="zh-CN"/>
        </w:rPr>
        <w:t>1年</w:t>
      </w:r>
      <w:r>
        <w:rPr>
          <w:rFonts w:hint="eastAsia" w:ascii="宋体" w:hAnsi="宋体" w:eastAsia="宋体" w:cs="宋体"/>
          <w:color w:val="000000"/>
          <w:sz w:val="21"/>
          <w:szCs w:val="21"/>
          <w:highlight w:val="none"/>
        </w:rPr>
        <w:t>。</w:t>
      </w:r>
    </w:p>
    <w:p w14:paraId="500DCA12">
      <w:pPr>
        <w:spacing w:line="360" w:lineRule="exact"/>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本项目不接受联合体参与谈判。</w:t>
      </w:r>
    </w:p>
    <w:p w14:paraId="59EB1973">
      <w:pPr>
        <w:spacing w:line="360" w:lineRule="exact"/>
        <w:jc w:val="left"/>
        <w:outlineLvl w:val="1"/>
        <w:rPr>
          <w:rFonts w:hint="eastAsia" w:ascii="宋体" w:hAnsi="宋体" w:eastAsia="宋体" w:cs="宋体"/>
          <w:color w:val="000000"/>
          <w:sz w:val="21"/>
          <w:szCs w:val="21"/>
          <w:highlight w:val="none"/>
        </w:rPr>
      </w:pPr>
      <w:bookmarkStart w:id="11" w:name="_Toc35393799"/>
      <w:bookmarkStart w:id="12" w:name="_Toc28359090"/>
      <w:bookmarkStart w:id="13" w:name="_Toc28359013"/>
      <w:bookmarkStart w:id="14" w:name="_Toc35393630"/>
      <w:r>
        <w:rPr>
          <w:rFonts w:hint="eastAsia" w:ascii="宋体" w:hAnsi="宋体" w:eastAsia="宋体" w:cs="宋体"/>
          <w:color w:val="000000"/>
          <w:sz w:val="21"/>
          <w:szCs w:val="21"/>
          <w:highlight w:val="none"/>
        </w:rPr>
        <w:t>二、申请人的资格要求：</w:t>
      </w:r>
      <w:bookmarkEnd w:id="11"/>
      <w:bookmarkEnd w:id="12"/>
      <w:bookmarkEnd w:id="13"/>
      <w:bookmarkEnd w:id="14"/>
    </w:p>
    <w:p w14:paraId="0654BE19">
      <w:pPr>
        <w:spacing w:line="360" w:lineRule="exact"/>
        <w:ind w:firstLine="420" w:firstLineChars="200"/>
        <w:jc w:val="left"/>
        <w:outlineLvl w:val="9"/>
        <w:rPr>
          <w:rFonts w:hint="eastAsia" w:ascii="宋体" w:hAnsi="宋体" w:eastAsia="宋体" w:cs="宋体"/>
          <w:color w:val="000000"/>
          <w:sz w:val="21"/>
          <w:szCs w:val="21"/>
          <w:highlight w:val="none"/>
        </w:rPr>
      </w:pPr>
      <w:bookmarkStart w:id="15" w:name="_Toc28359014"/>
      <w:bookmarkStart w:id="16" w:name="_Toc28359091"/>
      <w:r>
        <w:rPr>
          <w:rFonts w:hint="eastAsia" w:ascii="宋体" w:hAnsi="宋体" w:eastAsia="宋体" w:cs="宋体"/>
          <w:color w:val="000000"/>
          <w:sz w:val="21"/>
          <w:szCs w:val="21"/>
          <w:highlight w:val="none"/>
        </w:rPr>
        <w:t>1.满足《中华人民共和国政府采购法》第二十二条规定；</w:t>
      </w:r>
    </w:p>
    <w:p w14:paraId="3AC1857C">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4DE69F03">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3.落实政府采购政策需满足的资格要求：无。</w:t>
      </w:r>
    </w:p>
    <w:p w14:paraId="52902E1A">
      <w:pPr>
        <w:spacing w:line="360" w:lineRule="exact"/>
        <w:ind w:firstLine="420" w:firstLineChars="200"/>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4.本项目的特定资格要求：</w:t>
      </w:r>
      <w:bookmarkEnd w:id="15"/>
      <w:bookmarkEnd w:id="16"/>
      <w:bookmarkStart w:id="17" w:name="_Toc35393800"/>
      <w:bookmarkStart w:id="18" w:name="_Toc35393631"/>
      <w:r>
        <w:rPr>
          <w:rFonts w:hint="eastAsia" w:ascii="宋体" w:hAnsi="宋体" w:eastAsia="宋体" w:cs="宋体"/>
          <w:b w:val="0"/>
          <w:bCs w:val="0"/>
          <w:color w:val="000000"/>
          <w:sz w:val="21"/>
          <w:szCs w:val="21"/>
          <w:highlight w:val="none"/>
          <w:lang w:val="en-US" w:eastAsia="zh-CN"/>
        </w:rPr>
        <w:t>无</w:t>
      </w:r>
      <w:r>
        <w:rPr>
          <w:rFonts w:hint="eastAsia" w:ascii="宋体" w:hAnsi="宋体" w:eastAsia="宋体" w:cs="宋体"/>
          <w:b w:val="0"/>
          <w:bCs w:val="0"/>
          <w:color w:val="000000"/>
          <w:sz w:val="21"/>
          <w:szCs w:val="21"/>
          <w:highlight w:val="none"/>
        </w:rPr>
        <w:t>。</w:t>
      </w:r>
    </w:p>
    <w:p w14:paraId="3BC35E7C">
      <w:pPr>
        <w:numPr>
          <w:ilvl w:val="0"/>
          <w:numId w:val="2"/>
        </w:numPr>
        <w:spacing w:line="360" w:lineRule="exact"/>
        <w:ind w:firstLine="420" w:firstLineChars="200"/>
        <w:jc w:val="left"/>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获取采购文件</w:t>
      </w:r>
      <w:bookmarkEnd w:id="17"/>
      <w:bookmarkEnd w:id="18"/>
    </w:p>
    <w:p w14:paraId="7B231280">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1.采购文件获取时间：</w:t>
      </w:r>
      <w:r>
        <w:rPr>
          <w:rFonts w:hint="eastAsia" w:ascii="宋体" w:hAnsi="宋体" w:eastAsia="宋体" w:cs="宋体"/>
          <w:color w:val="000000"/>
          <w:sz w:val="21"/>
          <w:szCs w:val="21"/>
          <w:highlight w:val="none"/>
          <w:lang w:eastAsia="zh-CN"/>
        </w:rPr>
        <w:t>2025年</w:t>
      </w:r>
      <w:r>
        <w:rPr>
          <w:rFonts w:hint="eastAsia" w:ascii="宋体" w:hAnsi="宋体" w:cs="宋体"/>
          <w:color w:val="000000"/>
          <w:sz w:val="21"/>
          <w:szCs w:val="21"/>
          <w:highlight w:val="none"/>
          <w:lang w:val="en-US" w:eastAsia="zh-CN"/>
        </w:rPr>
        <w:t>10</w:t>
      </w:r>
      <w:r>
        <w:rPr>
          <w:rFonts w:hint="eastAsia" w:ascii="宋体" w:hAnsi="宋体" w:eastAsia="宋体" w:cs="宋体"/>
          <w:color w:val="000000"/>
          <w:sz w:val="21"/>
          <w:szCs w:val="21"/>
          <w:highlight w:val="none"/>
          <w:lang w:val="en-US" w:eastAsia="zh-CN"/>
        </w:rPr>
        <w:t>月</w:t>
      </w:r>
      <w:r>
        <w:rPr>
          <w:rFonts w:hint="eastAsia" w:ascii="宋体" w:hAnsi="宋体" w:cs="宋体"/>
          <w:color w:val="000000"/>
          <w:sz w:val="21"/>
          <w:szCs w:val="21"/>
          <w:highlight w:val="none"/>
          <w:lang w:val="en-US" w:eastAsia="zh-CN"/>
        </w:rPr>
        <w:t>29</w:t>
      </w:r>
      <w:r>
        <w:rPr>
          <w:rFonts w:hint="eastAsia" w:ascii="宋体" w:hAnsi="宋体" w:eastAsia="宋体" w:cs="宋体"/>
          <w:color w:val="000000"/>
          <w:sz w:val="21"/>
          <w:szCs w:val="21"/>
          <w:highlight w:val="none"/>
          <w:lang w:val="en-US" w:eastAsia="zh-CN"/>
        </w:rPr>
        <w:t>日</w:t>
      </w:r>
      <w:r>
        <w:rPr>
          <w:rFonts w:hint="eastAsia" w:ascii="宋体" w:hAnsi="宋体" w:eastAsia="宋体" w:cs="宋体"/>
          <w:color w:val="000000"/>
          <w:sz w:val="21"/>
          <w:szCs w:val="21"/>
          <w:highlight w:val="none"/>
        </w:rPr>
        <w:t>至</w:t>
      </w:r>
      <w:r>
        <w:rPr>
          <w:rFonts w:hint="eastAsia" w:ascii="宋体" w:hAnsi="宋体" w:eastAsia="宋体" w:cs="宋体"/>
          <w:color w:val="000000"/>
          <w:sz w:val="21"/>
          <w:szCs w:val="21"/>
          <w:highlight w:val="none"/>
          <w:lang w:eastAsia="zh-CN"/>
        </w:rPr>
        <w:t>2025年</w:t>
      </w:r>
      <w:r>
        <w:rPr>
          <w:rFonts w:hint="eastAsia" w:ascii="宋体" w:hAnsi="宋体" w:cs="宋体"/>
          <w:color w:val="000000"/>
          <w:sz w:val="21"/>
          <w:szCs w:val="21"/>
          <w:highlight w:val="none"/>
          <w:lang w:val="en-US" w:eastAsia="zh-CN"/>
        </w:rPr>
        <w:t>11</w:t>
      </w:r>
      <w:r>
        <w:rPr>
          <w:rFonts w:hint="eastAsia" w:ascii="宋体" w:hAnsi="宋体" w:eastAsia="宋体" w:cs="宋体"/>
          <w:color w:val="000000"/>
          <w:sz w:val="21"/>
          <w:szCs w:val="21"/>
          <w:highlight w:val="none"/>
          <w:lang w:val="en-US" w:eastAsia="zh-CN"/>
        </w:rPr>
        <w:t>月</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日</w:t>
      </w:r>
      <w:r>
        <w:rPr>
          <w:rFonts w:hint="eastAsia" w:ascii="宋体" w:hAnsi="宋体" w:eastAsia="宋体" w:cs="宋体"/>
          <w:color w:val="000000"/>
          <w:sz w:val="21"/>
          <w:szCs w:val="21"/>
          <w:highlight w:val="none"/>
        </w:rPr>
        <w:t>9时30分止。</w:t>
      </w:r>
    </w:p>
    <w:p w14:paraId="7FA0F875">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2.采购文件的获取地点及方式：潜在供应商请登录广西政府采购云平台获取该项目</w:t>
      </w:r>
      <w:r>
        <w:rPr>
          <w:rFonts w:hint="eastAsia" w:ascii="宋体" w:hAnsi="宋体" w:eastAsia="宋体" w:cs="宋体"/>
          <w:color w:val="000000"/>
          <w:sz w:val="21"/>
          <w:szCs w:val="21"/>
          <w:highlight w:val="none"/>
          <w:lang w:eastAsia="zh-CN"/>
        </w:rPr>
        <w:t>竞争性谈判文件</w:t>
      </w:r>
      <w:r>
        <w:rPr>
          <w:rFonts w:hint="eastAsia" w:ascii="宋体" w:hAnsi="宋体" w:eastAsia="宋体" w:cs="宋体"/>
          <w:color w:val="000000"/>
          <w:sz w:val="21"/>
          <w:szCs w:val="21"/>
          <w:highlight w:val="none"/>
        </w:rPr>
        <w:t>。</w:t>
      </w:r>
    </w:p>
    <w:p w14:paraId="2E8656F7">
      <w:pPr>
        <w:pStyle w:val="8"/>
        <w:spacing w:line="360" w:lineRule="exact"/>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3.采购文件售价：</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w:t>
      </w:r>
    </w:p>
    <w:p w14:paraId="19CCDBFA">
      <w:pPr>
        <w:numPr>
          <w:ilvl w:val="0"/>
          <w:numId w:val="3"/>
        </w:numPr>
        <w:spacing w:line="360" w:lineRule="exact"/>
        <w:ind w:firstLine="420" w:firstLineChars="200"/>
        <w:jc w:val="left"/>
        <w:outlineLvl w:val="1"/>
        <w:rPr>
          <w:rFonts w:hint="eastAsia" w:ascii="宋体" w:hAnsi="宋体" w:eastAsia="宋体" w:cs="宋体"/>
          <w:color w:val="000000"/>
          <w:sz w:val="21"/>
          <w:szCs w:val="21"/>
          <w:highlight w:val="none"/>
        </w:rPr>
      </w:pPr>
      <w:bookmarkStart w:id="19" w:name="_Toc35393632"/>
      <w:bookmarkStart w:id="20" w:name="_Toc35393801"/>
      <w:bookmarkStart w:id="21" w:name="_Toc28359092"/>
      <w:bookmarkStart w:id="22" w:name="_Toc28359015"/>
      <w:r>
        <w:rPr>
          <w:rFonts w:hint="eastAsia" w:ascii="宋体" w:hAnsi="宋体" w:eastAsia="宋体" w:cs="宋体"/>
          <w:color w:val="000000"/>
          <w:sz w:val="21"/>
          <w:szCs w:val="21"/>
          <w:highlight w:val="none"/>
        </w:rPr>
        <w:t>响应文件</w:t>
      </w:r>
      <w:bookmarkEnd w:id="19"/>
      <w:bookmarkEnd w:id="20"/>
      <w:bookmarkEnd w:id="21"/>
      <w:bookmarkEnd w:id="22"/>
      <w:r>
        <w:rPr>
          <w:rFonts w:hint="eastAsia" w:ascii="宋体" w:hAnsi="宋体" w:eastAsia="宋体" w:cs="宋体"/>
          <w:color w:val="000000"/>
          <w:sz w:val="21"/>
          <w:szCs w:val="21"/>
          <w:highlight w:val="none"/>
        </w:rPr>
        <w:t>递交时间和地点</w:t>
      </w:r>
    </w:p>
    <w:p w14:paraId="334A94BD">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响应文件递交截止时间：</w:t>
      </w:r>
      <w:r>
        <w:rPr>
          <w:rFonts w:hint="eastAsia" w:ascii="宋体" w:hAnsi="宋体" w:eastAsia="宋体" w:cs="宋体"/>
          <w:color w:val="000000"/>
          <w:sz w:val="21"/>
          <w:szCs w:val="21"/>
          <w:highlight w:val="none"/>
          <w:u w:val="single"/>
          <w:lang w:eastAsia="zh-CN"/>
        </w:rPr>
        <w:t>2025年</w:t>
      </w:r>
      <w:r>
        <w:rPr>
          <w:rFonts w:hint="eastAsia" w:ascii="宋体" w:hAnsi="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日</w:t>
      </w:r>
      <w:r>
        <w:rPr>
          <w:rFonts w:hint="eastAsia" w:ascii="宋体" w:hAnsi="宋体" w:eastAsia="宋体" w:cs="宋体"/>
          <w:color w:val="000000"/>
          <w:sz w:val="21"/>
          <w:szCs w:val="21"/>
          <w:highlight w:val="none"/>
          <w:u w:val="single"/>
        </w:rPr>
        <w:t>9点30分</w:t>
      </w:r>
      <w:r>
        <w:rPr>
          <w:rFonts w:hint="eastAsia" w:ascii="宋体" w:hAnsi="宋体" w:eastAsia="宋体" w:cs="宋体"/>
          <w:color w:val="000000"/>
          <w:sz w:val="21"/>
          <w:szCs w:val="21"/>
          <w:highlight w:val="none"/>
        </w:rPr>
        <w:t>（北京时间）</w:t>
      </w:r>
    </w:p>
    <w:p w14:paraId="6732CE5B">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地点：通过广西政府采购云平台实行在线响应。</w:t>
      </w:r>
    </w:p>
    <w:p w14:paraId="592EB226">
      <w:pPr>
        <w:numPr>
          <w:ilvl w:val="0"/>
          <w:numId w:val="3"/>
        </w:numPr>
        <w:spacing w:line="360" w:lineRule="exact"/>
        <w:ind w:firstLine="420" w:firstLineChars="200"/>
        <w:jc w:val="left"/>
        <w:outlineLvl w:val="1"/>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开启</w:t>
      </w:r>
    </w:p>
    <w:p w14:paraId="340B6602">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时间：</w:t>
      </w:r>
      <w:r>
        <w:rPr>
          <w:rFonts w:hint="eastAsia" w:ascii="宋体" w:hAnsi="宋体" w:eastAsia="宋体" w:cs="宋体"/>
          <w:color w:val="000000"/>
          <w:sz w:val="21"/>
          <w:szCs w:val="21"/>
          <w:highlight w:val="none"/>
          <w:u w:val="single"/>
          <w:lang w:eastAsia="zh-CN"/>
        </w:rPr>
        <w:t>2025年</w:t>
      </w:r>
      <w:r>
        <w:rPr>
          <w:rFonts w:hint="eastAsia" w:ascii="宋体" w:hAnsi="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日</w:t>
      </w:r>
      <w:r>
        <w:rPr>
          <w:rFonts w:hint="eastAsia" w:ascii="宋体" w:hAnsi="宋体" w:eastAsia="宋体" w:cs="宋体"/>
          <w:color w:val="000000"/>
          <w:sz w:val="21"/>
          <w:szCs w:val="21"/>
          <w:highlight w:val="none"/>
          <w:u w:val="single"/>
        </w:rPr>
        <w:t>9点30分</w:t>
      </w:r>
      <w:r>
        <w:rPr>
          <w:rFonts w:hint="eastAsia" w:ascii="宋体" w:hAnsi="宋体" w:eastAsia="宋体" w:cs="宋体"/>
          <w:color w:val="000000"/>
          <w:sz w:val="21"/>
          <w:szCs w:val="21"/>
          <w:highlight w:val="none"/>
        </w:rPr>
        <w:t>（北京时间）截标后。</w:t>
      </w:r>
    </w:p>
    <w:p w14:paraId="31C12155">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地点：桂林市公共资源交易中心</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cs="宋体"/>
          <w:color w:val="000000"/>
          <w:sz w:val="21"/>
          <w:szCs w:val="21"/>
          <w:highlight w:val="none"/>
          <w:u w:val="single"/>
          <w:lang w:val="en-US" w:eastAsia="zh-CN"/>
        </w:rPr>
        <w:t>7</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u w:val="single"/>
          <w:lang w:eastAsia="zh-CN"/>
        </w:rPr>
        <w:t>号政采开标仓</w:t>
      </w:r>
      <w:r>
        <w:rPr>
          <w:rFonts w:hint="eastAsia" w:ascii="宋体" w:hAnsi="宋体" w:eastAsia="宋体" w:cs="宋体"/>
          <w:color w:val="000000"/>
          <w:sz w:val="21"/>
          <w:szCs w:val="21"/>
          <w:highlight w:val="none"/>
        </w:rPr>
        <w:t>通过广西政府采购云平台实行在线解密开启。</w:t>
      </w:r>
    </w:p>
    <w:p w14:paraId="76A49E4F">
      <w:pPr>
        <w:numPr>
          <w:ilvl w:val="0"/>
          <w:numId w:val="3"/>
        </w:numPr>
        <w:spacing w:line="360" w:lineRule="exact"/>
        <w:ind w:firstLine="420" w:firstLineChars="200"/>
        <w:jc w:val="left"/>
        <w:outlineLvl w:val="1"/>
        <w:rPr>
          <w:rFonts w:hint="eastAsia" w:ascii="宋体" w:hAnsi="宋体" w:eastAsia="宋体" w:cs="宋体"/>
          <w:color w:val="000000"/>
          <w:sz w:val="21"/>
          <w:szCs w:val="21"/>
          <w:highlight w:val="none"/>
        </w:rPr>
      </w:pPr>
      <w:bookmarkStart w:id="23" w:name="_Toc35393634"/>
      <w:bookmarkStart w:id="24" w:name="_Toc28359017"/>
      <w:bookmarkStart w:id="25" w:name="_Toc35393803"/>
      <w:bookmarkStart w:id="26" w:name="_Toc28359094"/>
      <w:r>
        <w:rPr>
          <w:rFonts w:hint="eastAsia" w:ascii="宋体" w:hAnsi="宋体" w:eastAsia="宋体" w:cs="宋体"/>
          <w:color w:val="000000"/>
          <w:sz w:val="21"/>
          <w:szCs w:val="21"/>
          <w:highlight w:val="none"/>
        </w:rPr>
        <w:t>公告期限</w:t>
      </w:r>
      <w:bookmarkEnd w:id="23"/>
      <w:bookmarkEnd w:id="24"/>
      <w:bookmarkEnd w:id="25"/>
      <w:bookmarkEnd w:id="26"/>
    </w:p>
    <w:p w14:paraId="51D34DF5">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自本公告发布之日起5个工作日。</w:t>
      </w:r>
    </w:p>
    <w:p w14:paraId="3FB63914">
      <w:pPr>
        <w:spacing w:line="360" w:lineRule="exact"/>
        <w:ind w:firstLine="420" w:firstLineChars="200"/>
        <w:jc w:val="left"/>
        <w:outlineLvl w:val="1"/>
        <w:rPr>
          <w:rFonts w:hint="eastAsia" w:ascii="宋体" w:hAnsi="宋体" w:eastAsia="宋体" w:cs="宋体"/>
          <w:color w:val="000000"/>
          <w:sz w:val="21"/>
          <w:szCs w:val="21"/>
          <w:highlight w:val="none"/>
        </w:rPr>
      </w:pPr>
      <w:bookmarkStart w:id="27" w:name="_Toc35393635"/>
      <w:bookmarkStart w:id="28" w:name="_Toc35393804"/>
      <w:r>
        <w:rPr>
          <w:rFonts w:hint="eastAsia" w:ascii="宋体" w:hAnsi="宋体" w:eastAsia="宋体" w:cs="宋体"/>
          <w:color w:val="000000"/>
          <w:sz w:val="21"/>
          <w:szCs w:val="21"/>
          <w:highlight w:val="none"/>
        </w:rPr>
        <w:t>七、其他补充事宜</w:t>
      </w:r>
      <w:bookmarkEnd w:id="27"/>
      <w:bookmarkEnd w:id="28"/>
    </w:p>
    <w:p w14:paraId="36015D05">
      <w:pPr>
        <w:spacing w:line="360" w:lineRule="exact"/>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1. 本项目无需缴纳谈判保证金。</w:t>
      </w:r>
    </w:p>
    <w:p w14:paraId="5A438FF1">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2.本项目需要落实的政府采购政策：</w:t>
      </w:r>
    </w:p>
    <w:p w14:paraId="18818CEC">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（1）《政府采购促进中小企业发展管理办法》（财库[2020]46号），本项目非专门面向中小微企业采购，本项目采购标的在《中小企业划分标准》所属行业为：软件和信息技术服务。</w:t>
      </w:r>
    </w:p>
    <w:p w14:paraId="1D4ECF06">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（2）《关于政府采购支持监狱企业发展有关问题的通知》（财库[2014]68号）。</w:t>
      </w:r>
    </w:p>
    <w:p w14:paraId="119530A4">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（3）《关于促进残疾人就业政府采购政策的通知》（财库[2017]141号）。</w:t>
      </w:r>
      <w:bookmarkStart w:id="407" w:name="_GoBack"/>
      <w:bookmarkEnd w:id="407"/>
    </w:p>
    <w:p w14:paraId="6EE1A30C">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）本项目为服务项目，不涉及强制采购节能产品；</w:t>
      </w:r>
    </w:p>
    <w:p w14:paraId="03BD600D">
      <w:pPr>
        <w:spacing w:line="360" w:lineRule="exact"/>
        <w:ind w:firstLine="420" w:firstLineChars="200"/>
        <w:jc w:val="left"/>
        <w:outlineLvl w:val="9"/>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3.本项目信息发布媒体：</w:t>
      </w:r>
    </w:p>
    <w:p w14:paraId="6893B69D">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桂林市政府采购网（zfcg.czj.guilin.gov.cn）</w:t>
      </w:r>
    </w:p>
    <w:p w14:paraId="3A81123A">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广西壮族自治区政府采购网（www.ccgp-guangxi.gov.cn）</w:t>
      </w:r>
    </w:p>
    <w:p w14:paraId="78E6C5CF">
      <w:pPr>
        <w:spacing w:line="360" w:lineRule="exact"/>
        <w:ind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中国政府采购网（www.ccgp.gov.cn）</w:t>
      </w:r>
    </w:p>
    <w:p w14:paraId="4FB0A0CC">
      <w:pPr>
        <w:spacing w:line="360" w:lineRule="exact"/>
        <w:ind w:firstLine="420" w:firstLineChars="20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桂林市妇女儿童医院（桂林市妇幼保健院）官网（https://www.glfybj.org.cn/）</w:t>
      </w:r>
    </w:p>
    <w:p w14:paraId="3D186D33">
      <w:pPr>
        <w:numPr>
          <w:ilvl w:val="0"/>
          <w:numId w:val="0"/>
        </w:num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响应文件解密时间：截标时间后</w:t>
      </w:r>
      <w:r>
        <w:rPr>
          <w:rFonts w:hint="eastAsia" w:ascii="宋体" w:hAnsi="宋体" w:eastAsia="宋体" w:cs="宋体"/>
          <w:color w:val="000000"/>
          <w:sz w:val="21"/>
          <w:szCs w:val="21"/>
          <w:highlight w:val="none"/>
          <w:u w:val="single"/>
        </w:rPr>
        <w:t>30</w:t>
      </w:r>
      <w:r>
        <w:rPr>
          <w:rFonts w:hint="eastAsia" w:ascii="宋体" w:hAnsi="宋体" w:eastAsia="宋体" w:cs="宋体"/>
          <w:color w:val="000000"/>
          <w:sz w:val="21"/>
          <w:szCs w:val="21"/>
          <w:highlight w:val="none"/>
        </w:rPr>
        <w:t>分钟内（</w:t>
      </w:r>
      <w:r>
        <w:rPr>
          <w:rFonts w:hint="eastAsia" w:ascii="宋体" w:hAnsi="宋体" w:eastAsia="宋体" w:cs="宋体"/>
          <w:color w:val="000000"/>
          <w:sz w:val="21"/>
          <w:szCs w:val="21"/>
          <w:highlight w:val="none"/>
          <w:u w:val="single"/>
          <w:lang w:eastAsia="zh-CN"/>
        </w:rPr>
        <w:t>2025年</w:t>
      </w:r>
      <w:r>
        <w:rPr>
          <w:rFonts w:hint="eastAsia" w:ascii="宋体" w:hAnsi="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日</w:t>
      </w:r>
      <w:r>
        <w:rPr>
          <w:rFonts w:hint="eastAsia" w:ascii="宋体" w:hAnsi="宋体" w:eastAsia="宋体" w:cs="宋体"/>
          <w:color w:val="000000"/>
          <w:sz w:val="21"/>
          <w:szCs w:val="21"/>
          <w:highlight w:val="none"/>
          <w:u w:val="single"/>
        </w:rPr>
        <w:t>上午9时30分至10时00分</w:t>
      </w:r>
      <w:r>
        <w:rPr>
          <w:rFonts w:hint="eastAsia" w:ascii="宋体" w:hAnsi="宋体" w:eastAsia="宋体" w:cs="宋体"/>
          <w:color w:val="000000"/>
          <w:sz w:val="21"/>
          <w:szCs w:val="21"/>
          <w:highlight w:val="none"/>
        </w:rPr>
        <w:t>)供应商可以登录广西政府采购云平台，用“项目采购-开标评标”功能进行解密响应文件。</w:t>
      </w:r>
    </w:p>
    <w:p w14:paraId="1CA47987">
      <w:pPr>
        <w:pStyle w:val="8"/>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注：响应文件网上递交截止时间后，各供应商须在解密时限内对上传广西政府采购云平台的响应文件进行解密，所有供应商在规定的解密时限内解密完成或解密时限结束后，我中心开启已解密的响应文件。若</w:t>
      </w:r>
      <w:r>
        <w:rPr>
          <w:rFonts w:hint="eastAsia" w:ascii="宋体" w:hAnsi="宋体" w:eastAsia="宋体" w:cs="宋体"/>
          <w:b/>
          <w:bCs/>
          <w:color w:val="000000"/>
          <w:sz w:val="21"/>
          <w:szCs w:val="21"/>
          <w:highlight w:val="none"/>
          <w:lang w:eastAsia="zh-CN"/>
        </w:rPr>
        <w:t>供应商</w:t>
      </w:r>
      <w:r>
        <w:rPr>
          <w:rFonts w:hint="eastAsia" w:ascii="宋体" w:hAnsi="宋体" w:eastAsia="宋体" w:cs="宋体"/>
          <w:b/>
          <w:bCs/>
          <w:color w:val="000000"/>
          <w:sz w:val="21"/>
          <w:szCs w:val="21"/>
          <w:highlight w:val="none"/>
        </w:rPr>
        <w:t>在规定时间内无法解密或解密失败，可以以电子备份</w:t>
      </w:r>
      <w:r>
        <w:rPr>
          <w:rFonts w:hint="eastAsia" w:ascii="宋体" w:hAnsi="宋体" w:eastAsia="宋体" w:cs="宋体"/>
          <w:b/>
          <w:bCs/>
          <w:color w:val="000000"/>
          <w:sz w:val="21"/>
          <w:szCs w:val="21"/>
          <w:highlight w:val="none"/>
          <w:lang w:eastAsia="zh-CN"/>
        </w:rPr>
        <w:t>响应文件</w:t>
      </w:r>
      <w:r>
        <w:rPr>
          <w:rFonts w:hint="eastAsia" w:ascii="宋体" w:hAnsi="宋体" w:eastAsia="宋体" w:cs="宋体"/>
          <w:b/>
          <w:bCs/>
          <w:color w:val="000000"/>
          <w:sz w:val="21"/>
          <w:szCs w:val="21"/>
          <w:highlight w:val="none"/>
        </w:rPr>
        <w:t>作为依据【在接到无法解密或解密失败的通知后，</w:t>
      </w:r>
      <w:r>
        <w:rPr>
          <w:rFonts w:hint="eastAsia" w:ascii="宋体" w:hAnsi="宋体" w:eastAsia="宋体" w:cs="宋体"/>
          <w:b/>
          <w:bCs/>
          <w:color w:val="000000"/>
          <w:sz w:val="21"/>
          <w:szCs w:val="21"/>
          <w:highlight w:val="none"/>
          <w:lang w:eastAsia="zh-CN"/>
        </w:rPr>
        <w:t>供应商</w:t>
      </w:r>
      <w:r>
        <w:rPr>
          <w:rFonts w:hint="eastAsia" w:ascii="宋体" w:hAnsi="宋体" w:eastAsia="宋体" w:cs="宋体"/>
          <w:b/>
          <w:bCs/>
          <w:color w:val="000000"/>
          <w:sz w:val="21"/>
          <w:szCs w:val="21"/>
          <w:highlight w:val="none"/>
        </w:rPr>
        <w:t>可根据自身实际情况按通知时要求的时间到桂林市公共资源交易中心</w:t>
      </w:r>
      <w:r>
        <w:rPr>
          <w:rFonts w:hint="eastAsia" w:ascii="宋体" w:hAnsi="宋体" w:eastAsia="宋体" w:cs="宋体"/>
          <w:b/>
          <w:bCs/>
          <w:color w:val="000000"/>
          <w:sz w:val="21"/>
          <w:szCs w:val="21"/>
          <w:highlight w:val="none"/>
          <w:lang w:val="en-US" w:eastAsia="zh-CN"/>
        </w:rPr>
        <w:t xml:space="preserve"> </w:t>
      </w:r>
      <w:r>
        <w:rPr>
          <w:rFonts w:hint="eastAsia" w:ascii="宋体" w:hAnsi="宋体" w:cs="宋体"/>
          <w:b/>
          <w:bCs/>
          <w:color w:val="000000"/>
          <w:sz w:val="21"/>
          <w:szCs w:val="21"/>
          <w:highlight w:val="none"/>
          <w:lang w:val="en-US" w:eastAsia="zh-CN"/>
        </w:rPr>
        <w:t>7</w:t>
      </w:r>
      <w:r>
        <w:rPr>
          <w:rFonts w:hint="eastAsia" w:ascii="宋体" w:hAnsi="宋体" w:eastAsia="宋体" w:cs="宋体"/>
          <w:b/>
          <w:bCs/>
          <w:color w:val="000000"/>
          <w:sz w:val="21"/>
          <w:szCs w:val="21"/>
          <w:highlight w:val="none"/>
          <w:lang w:val="en-US" w:eastAsia="zh-CN"/>
        </w:rPr>
        <w:t xml:space="preserve"> </w:t>
      </w:r>
      <w:r>
        <w:rPr>
          <w:rFonts w:hint="eastAsia" w:ascii="宋体" w:hAnsi="宋体" w:eastAsia="宋体" w:cs="宋体"/>
          <w:b/>
          <w:bCs/>
          <w:color w:val="000000"/>
          <w:sz w:val="21"/>
          <w:szCs w:val="21"/>
          <w:highlight w:val="none"/>
        </w:rPr>
        <w:t>号</w:t>
      </w:r>
      <w:r>
        <w:rPr>
          <w:rFonts w:hint="eastAsia" w:ascii="宋体" w:hAnsi="宋体" w:eastAsia="宋体" w:cs="宋体"/>
          <w:b/>
          <w:bCs/>
          <w:color w:val="000000"/>
          <w:sz w:val="21"/>
          <w:szCs w:val="21"/>
          <w:highlight w:val="none"/>
        </w:rPr>
        <w:t>政府采购开标仓现场提交或以电子邮件的形式（以通知时所告知的电子邮箱地址为准）提交电子备份</w:t>
      </w:r>
      <w:r>
        <w:rPr>
          <w:rFonts w:hint="eastAsia" w:ascii="宋体" w:hAnsi="宋体" w:eastAsia="宋体" w:cs="宋体"/>
          <w:b/>
          <w:bCs/>
          <w:color w:val="000000"/>
          <w:sz w:val="21"/>
          <w:szCs w:val="21"/>
          <w:highlight w:val="none"/>
          <w:lang w:eastAsia="zh-CN"/>
        </w:rPr>
        <w:t>响应文件</w:t>
      </w:r>
      <w:r>
        <w:rPr>
          <w:rFonts w:hint="eastAsia" w:ascii="宋体" w:hAnsi="宋体" w:eastAsia="宋体" w:cs="宋体"/>
          <w:b/>
          <w:bCs/>
          <w:color w:val="000000"/>
          <w:sz w:val="21"/>
          <w:szCs w:val="21"/>
          <w:highlight w:val="none"/>
        </w:rPr>
        <w:t>】，若</w:t>
      </w:r>
      <w:r>
        <w:rPr>
          <w:rFonts w:hint="eastAsia" w:ascii="宋体" w:hAnsi="宋体" w:eastAsia="宋体" w:cs="宋体"/>
          <w:b/>
          <w:bCs/>
          <w:color w:val="000000"/>
          <w:sz w:val="21"/>
          <w:szCs w:val="21"/>
          <w:highlight w:val="none"/>
          <w:lang w:eastAsia="zh-CN"/>
        </w:rPr>
        <w:t>供应商</w:t>
      </w:r>
      <w:r>
        <w:rPr>
          <w:rFonts w:hint="eastAsia" w:ascii="宋体" w:hAnsi="宋体" w:eastAsia="宋体" w:cs="宋体"/>
          <w:b/>
          <w:bCs/>
          <w:color w:val="000000"/>
          <w:sz w:val="21"/>
          <w:szCs w:val="21"/>
          <w:highlight w:val="none"/>
        </w:rPr>
        <w:t>在规定时间内无法解密或解密失败且未提供电子备份</w:t>
      </w:r>
      <w:r>
        <w:rPr>
          <w:rFonts w:hint="eastAsia" w:ascii="宋体" w:hAnsi="宋体" w:eastAsia="宋体" w:cs="宋体"/>
          <w:b/>
          <w:bCs/>
          <w:color w:val="000000"/>
          <w:sz w:val="21"/>
          <w:szCs w:val="21"/>
          <w:highlight w:val="none"/>
          <w:lang w:eastAsia="zh-CN"/>
        </w:rPr>
        <w:t>响应文件</w:t>
      </w:r>
      <w:r>
        <w:rPr>
          <w:rFonts w:hint="eastAsia" w:ascii="宋体" w:hAnsi="宋体" w:eastAsia="宋体" w:cs="宋体"/>
          <w:b/>
          <w:bCs/>
          <w:color w:val="000000"/>
          <w:sz w:val="21"/>
          <w:szCs w:val="21"/>
          <w:highlight w:val="none"/>
        </w:rPr>
        <w:t>的(包含提供的电子备份文件无效或无法解密的情况)，视为投标无效。解密响应文件后，30分钟内在线签字确认，超过时间没有在线签字确认的系统将自动视为供应商认可。</w:t>
      </w:r>
    </w:p>
    <w:p w14:paraId="08B78EC2">
      <w:pPr>
        <w:pStyle w:val="23"/>
        <w:spacing w:line="360" w:lineRule="exact"/>
        <w:ind w:firstLine="420" w:firstLineChars="200"/>
        <w:outlineLvl w:val="1"/>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在线投标响应（电子投标）说明</w:t>
      </w:r>
    </w:p>
    <w:p w14:paraId="21B397D0">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本项目通过广西政府采购云平台实行在线投标响应（电子投标），供应商需要先安装“广西政府采购云平台客户端”，并按照本谈判文件和广西政府采购云平台的要求，通过“广西政府采购云平台客户端”编制并加密响应文件。供应商未按规定编制并加密的响应文件，广西政府采购云平台将予以拒收。</w:t>
      </w:r>
    </w:p>
    <w:p w14:paraId="2DFCA20A">
      <w:pPr>
        <w:pStyle w:val="23"/>
        <w:spacing w:line="360" w:lineRule="exact"/>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“广西政府采购云平台客户端”请自行前往广西政府采购网下载并安装；电子投标响应具体操作流程参考《政府采购项目电子交易管理操作指南-供应商》；在使用</w:t>
      </w:r>
      <w:r>
        <w:rPr>
          <w:rFonts w:hint="eastAsia" w:ascii="宋体" w:hAnsi="宋体" w:eastAsia="宋体" w:cs="宋体"/>
          <w:color w:val="000000"/>
          <w:sz w:val="21"/>
          <w:szCs w:val="21"/>
          <w:highlight w:val="none"/>
        </w:rPr>
        <w:t>广西政府采购云</w:t>
      </w:r>
      <w:r>
        <w:rPr>
          <w:rFonts w:hint="eastAsia" w:ascii="宋体" w:hAnsi="宋体" w:eastAsia="宋体" w:cs="宋体"/>
          <w:color w:val="000000"/>
          <w:kern w:val="2"/>
          <w:sz w:val="21"/>
          <w:szCs w:val="21"/>
          <w:highlight w:val="none"/>
        </w:rPr>
        <w:t>投标客户端时，建议使用WIN7及以上操作系统,通过广西政府采购云平台参与在线投标响应时如遇平台技术问题详询95763。</w:t>
      </w:r>
    </w:p>
    <w:p w14:paraId="57926DEA">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为确保网上操作合法、有效和安全，供应商应当在响应文件递交截止时间前完成在广西政府采购云平台的身份认证，确保在电子投标响应过程中能够对相关数据电子文件进行加密和使用电子签章。使用“广西政府采购云平台客户端”需要提前申领CA数字证书，申领流程请自行前往广西政府采购云平台网站进行查阅；</w:t>
      </w:r>
      <w:r>
        <w:rPr>
          <w:rFonts w:hint="eastAsia" w:ascii="宋体" w:hAnsi="宋体" w:eastAsia="宋体" w:cs="宋体"/>
          <w:b/>
          <w:bCs/>
          <w:color w:val="000000"/>
          <w:sz w:val="21"/>
          <w:szCs w:val="21"/>
          <w:highlight w:val="none"/>
        </w:rPr>
        <w:t>（完成CA数字证书办理预计一周左右，建议供应商获取谈判文件后立即办理。）</w:t>
      </w:r>
    </w:p>
    <w:p w14:paraId="6F9F5740">
      <w:pPr>
        <w:spacing w:line="36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供应商应当在响应文件递交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6DEA9FDA">
      <w:pPr>
        <w:pStyle w:val="23"/>
        <w:spacing w:line="360" w:lineRule="exact"/>
        <w:ind w:firstLine="420"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kern w:val="2"/>
          <w:sz w:val="21"/>
          <w:szCs w:val="21"/>
          <w:highlight w:val="none"/>
          <w:lang w:eastAsia="zh-CN"/>
        </w:rPr>
        <w:t>（</w:t>
      </w:r>
      <w:r>
        <w:rPr>
          <w:rFonts w:hint="eastAsia" w:ascii="宋体" w:hAnsi="宋体" w:eastAsia="宋体" w:cs="宋体"/>
          <w:b/>
          <w:bCs/>
          <w:color w:val="000000"/>
          <w:kern w:val="2"/>
          <w:sz w:val="21"/>
          <w:szCs w:val="21"/>
          <w:highlight w:val="none"/>
          <w:lang w:val="en-US" w:eastAsia="zh-CN"/>
        </w:rPr>
        <w:t>4</w:t>
      </w:r>
      <w:r>
        <w:rPr>
          <w:rFonts w:hint="eastAsia" w:ascii="宋体" w:hAnsi="宋体" w:eastAsia="宋体" w:cs="宋体"/>
          <w:b/>
          <w:bCs/>
          <w:color w:val="000000"/>
          <w:kern w:val="2"/>
          <w:sz w:val="21"/>
          <w:szCs w:val="21"/>
          <w:highlight w:val="none"/>
          <w:lang w:eastAsia="zh-CN"/>
        </w:rPr>
        <w:t>）</w:t>
      </w:r>
      <w:r>
        <w:rPr>
          <w:rFonts w:hint="eastAsia" w:ascii="宋体" w:hAnsi="宋体" w:eastAsia="宋体" w:cs="宋体"/>
          <w:b/>
          <w:bCs/>
          <w:color w:val="000000"/>
          <w:kern w:val="2"/>
          <w:sz w:val="21"/>
          <w:szCs w:val="21"/>
          <w:highlight w:val="none"/>
          <w:u w:val="none"/>
        </w:rPr>
        <w:t>本项目需要供应商代表在截标当天截标后，按谈判小组要求及时登陆广西政府采购云平台等候在线谈判及提交最后报价</w:t>
      </w:r>
      <w:r>
        <w:rPr>
          <w:rFonts w:hint="eastAsia" w:ascii="宋体" w:hAnsi="宋体" w:eastAsia="宋体" w:cs="宋体"/>
          <w:b/>
          <w:bCs/>
          <w:color w:val="000000"/>
          <w:kern w:val="2"/>
          <w:sz w:val="21"/>
          <w:szCs w:val="21"/>
          <w:highlight w:val="none"/>
        </w:rPr>
        <w:t>。</w:t>
      </w:r>
    </w:p>
    <w:p w14:paraId="7FC694B5">
      <w:pPr>
        <w:pStyle w:val="23"/>
        <w:spacing w:line="360" w:lineRule="exact"/>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lang w:eastAsia="zh-CN"/>
        </w:rPr>
        <w:t>）</w:t>
      </w:r>
      <w:r>
        <w:rPr>
          <w:rFonts w:hint="eastAsia" w:ascii="宋体" w:hAnsi="宋体" w:eastAsia="宋体" w:cs="宋体"/>
          <w:color w:val="000000"/>
          <w:kern w:val="2"/>
          <w:sz w:val="21"/>
          <w:szCs w:val="21"/>
          <w:highlight w:val="none"/>
        </w:rPr>
        <w:t>本采购项目为广西政府采购云全流程电子化操作，参与谈判的供应商需自备计算机和网络设备（设备需可视频通话和读取广西政府采购云CA数字证书），确保谈判过程顺利进行；因供应商自身设备或网络原因造成的一切后果，由供应商自行承担。</w:t>
      </w:r>
    </w:p>
    <w:p w14:paraId="584704E0">
      <w:pPr>
        <w:spacing w:line="360" w:lineRule="exact"/>
        <w:ind w:firstLine="420" w:firstLineChars="200"/>
        <w:jc w:val="left"/>
        <w:outlineLvl w:val="1"/>
        <w:rPr>
          <w:rFonts w:hint="eastAsia" w:ascii="宋体" w:hAnsi="宋体" w:eastAsia="宋体" w:cs="宋体"/>
          <w:color w:val="000000"/>
          <w:sz w:val="21"/>
          <w:szCs w:val="21"/>
          <w:highlight w:val="none"/>
        </w:rPr>
      </w:pPr>
      <w:bookmarkStart w:id="29" w:name="_Toc28359095"/>
      <w:bookmarkStart w:id="30" w:name="_Toc35393636"/>
      <w:bookmarkStart w:id="31" w:name="_Toc28359018"/>
      <w:bookmarkStart w:id="32" w:name="_Toc35393805"/>
      <w:r>
        <w:rPr>
          <w:rFonts w:hint="eastAsia" w:ascii="宋体" w:hAnsi="宋体" w:eastAsia="宋体" w:cs="宋体"/>
          <w:color w:val="000000"/>
          <w:sz w:val="21"/>
          <w:szCs w:val="21"/>
          <w:highlight w:val="none"/>
        </w:rPr>
        <w:t>九、凡对本次采购提出询问，请按以下方式联系。</w:t>
      </w:r>
      <w:bookmarkEnd w:id="29"/>
      <w:bookmarkEnd w:id="30"/>
      <w:bookmarkEnd w:id="31"/>
      <w:bookmarkEnd w:id="32"/>
    </w:p>
    <w:p w14:paraId="7F8E7AE4">
      <w:pPr>
        <w:spacing w:line="360" w:lineRule="exact"/>
        <w:ind w:firstLine="420" w:firstLineChars="200"/>
        <w:jc w:val="left"/>
        <w:outlineLvl w:val="2"/>
        <w:rPr>
          <w:rFonts w:hint="eastAsia" w:ascii="宋体" w:hAnsi="宋体" w:eastAsia="宋体" w:cs="宋体"/>
          <w:color w:val="000000"/>
          <w:sz w:val="21"/>
          <w:szCs w:val="21"/>
          <w:highlight w:val="none"/>
        </w:rPr>
      </w:pPr>
      <w:bookmarkStart w:id="33" w:name="_Toc28359096"/>
      <w:bookmarkStart w:id="34" w:name="_Toc35393637"/>
      <w:bookmarkStart w:id="35" w:name="_Toc28359019"/>
      <w:bookmarkStart w:id="36" w:name="_Toc35393806"/>
      <w:r>
        <w:rPr>
          <w:rFonts w:hint="eastAsia" w:ascii="宋体" w:hAnsi="宋体" w:eastAsia="宋体" w:cs="宋体"/>
          <w:color w:val="000000"/>
          <w:sz w:val="21"/>
          <w:szCs w:val="21"/>
          <w:highlight w:val="none"/>
        </w:rPr>
        <w:t>1.采购人信息</w:t>
      </w:r>
      <w:bookmarkEnd w:id="33"/>
      <w:bookmarkEnd w:id="34"/>
      <w:bookmarkEnd w:id="35"/>
      <w:bookmarkEnd w:id="36"/>
    </w:p>
    <w:p w14:paraId="04234802">
      <w:pPr>
        <w:spacing w:line="360" w:lineRule="exact"/>
        <w:ind w:firstLine="420" w:firstLineChars="200"/>
        <w:jc w:val="left"/>
        <w:rPr>
          <w:rFonts w:hint="eastAsia" w:ascii="宋体" w:hAnsi="宋体" w:eastAsia="宋体" w:cs="宋体"/>
          <w:color w:val="000000"/>
          <w:sz w:val="21"/>
          <w:szCs w:val="21"/>
          <w:highlight w:val="none"/>
          <w:u w:val="single"/>
          <w:lang w:eastAsia="zh-CN"/>
        </w:rPr>
      </w:pPr>
      <w:bookmarkStart w:id="37" w:name="_Toc35393638"/>
      <w:bookmarkStart w:id="38" w:name="_Toc28359097"/>
      <w:bookmarkStart w:id="39" w:name="_Toc28359020"/>
      <w:bookmarkStart w:id="40" w:name="_Toc35393807"/>
      <w:r>
        <w:rPr>
          <w:rFonts w:hint="eastAsia" w:ascii="宋体" w:hAnsi="宋体" w:eastAsia="宋体" w:cs="宋体"/>
          <w:color w:val="000000"/>
          <w:sz w:val="21"/>
          <w:szCs w:val="21"/>
          <w:highlight w:val="none"/>
        </w:rPr>
        <w:t>名    称：</w:t>
      </w:r>
      <w:r>
        <w:rPr>
          <w:rFonts w:hint="eastAsia" w:ascii="宋体" w:hAnsi="宋体" w:eastAsia="宋体" w:cs="宋体"/>
          <w:color w:val="000000"/>
          <w:sz w:val="21"/>
          <w:szCs w:val="21"/>
          <w:highlight w:val="none"/>
          <w:u w:val="single"/>
          <w:lang w:eastAsia="zh-CN"/>
        </w:rPr>
        <w:t>桂林市妇女儿童医院（桂林市妇幼保健院）</w:t>
      </w:r>
    </w:p>
    <w:p w14:paraId="734D8306">
      <w:pPr>
        <w:spacing w:line="360" w:lineRule="exact"/>
        <w:ind w:firstLine="420" w:firstLineChars="200"/>
        <w:jc w:val="left"/>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rPr>
        <w:t>桂林市凤北路20号</w:t>
      </w:r>
    </w:p>
    <w:p w14:paraId="2EB5877F">
      <w:pPr>
        <w:spacing w:line="360" w:lineRule="exact"/>
        <w:ind w:firstLine="420" w:firstLineChars="200"/>
        <w:jc w:val="left"/>
        <w:rPr>
          <w:rFonts w:hint="eastAsia" w:ascii="宋体" w:hAnsi="宋体" w:eastAsia="宋体" w:cs="宋体"/>
          <w:color w:val="000000"/>
          <w:sz w:val="21"/>
          <w:szCs w:val="21"/>
          <w:highlight w:val="none"/>
          <w:u w:val="single"/>
          <w:lang w:val="en-US"/>
        </w:rPr>
      </w:pPr>
      <w:r>
        <w:rPr>
          <w:rFonts w:hint="eastAsia" w:ascii="宋体" w:hAnsi="宋体" w:eastAsia="宋体" w:cs="宋体"/>
          <w:color w:val="000000"/>
          <w:sz w:val="21"/>
          <w:szCs w:val="21"/>
          <w:highlight w:val="none"/>
        </w:rPr>
        <w:t>联 系 人：</w:t>
      </w:r>
      <w:r>
        <w:rPr>
          <w:rFonts w:hint="eastAsia" w:ascii="宋体" w:hAnsi="宋体" w:eastAsia="宋体" w:cs="宋体"/>
          <w:color w:val="000000"/>
          <w:sz w:val="21"/>
          <w:szCs w:val="21"/>
          <w:highlight w:val="none"/>
          <w:u w:val="single"/>
          <w:lang w:eastAsia="zh-CN"/>
        </w:rPr>
        <w:t>谢译萱</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19177303635</w:t>
      </w:r>
    </w:p>
    <w:p w14:paraId="1B1B4185">
      <w:pPr>
        <w:spacing w:line="360" w:lineRule="exact"/>
        <w:ind w:firstLine="420" w:firstLineChars="200"/>
        <w:jc w:val="left"/>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2.采购代理机构信息</w:t>
      </w:r>
      <w:bookmarkEnd w:id="37"/>
      <w:bookmarkEnd w:id="38"/>
      <w:bookmarkEnd w:id="39"/>
      <w:bookmarkEnd w:id="40"/>
    </w:p>
    <w:p w14:paraId="57C1E9A3">
      <w:pPr>
        <w:spacing w:line="360" w:lineRule="exact"/>
        <w:ind w:firstLine="420" w:firstLineChars="20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名    称：</w:t>
      </w:r>
      <w:r>
        <w:rPr>
          <w:rFonts w:hint="eastAsia" w:ascii="宋体" w:hAnsi="宋体" w:eastAsia="宋体" w:cs="宋体"/>
          <w:color w:val="000000"/>
          <w:sz w:val="21"/>
          <w:szCs w:val="21"/>
          <w:highlight w:val="none"/>
          <w:u w:val="single"/>
          <w:lang w:eastAsia="zh-CN"/>
        </w:rPr>
        <w:t>中佳信建设管理集团有限公司</w:t>
      </w:r>
    </w:p>
    <w:p w14:paraId="1EB0E016">
      <w:pPr>
        <w:spacing w:line="360" w:lineRule="exact"/>
        <w:ind w:firstLine="420" w:firstLineChars="200"/>
        <w:jc w:val="left"/>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地　　址：</w:t>
      </w:r>
      <w:r>
        <w:rPr>
          <w:rFonts w:hint="eastAsia" w:ascii="宋体" w:hAnsi="宋体" w:eastAsia="宋体" w:cs="宋体"/>
          <w:color w:val="000000"/>
          <w:sz w:val="21"/>
          <w:szCs w:val="21"/>
          <w:highlight w:val="none"/>
          <w:u w:val="single"/>
          <w:lang w:eastAsia="zh-CN"/>
        </w:rPr>
        <w:t>桂林市秀峰区翠竹路23号翡翠山庄29-2号</w:t>
      </w:r>
    </w:p>
    <w:p w14:paraId="1992E579">
      <w:pPr>
        <w:spacing w:line="360" w:lineRule="exact"/>
        <w:ind w:firstLine="420" w:firstLineChars="200"/>
        <w:jc w:val="left"/>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rPr>
        <w:t>联系方式：</w:t>
      </w:r>
      <w:r>
        <w:rPr>
          <w:rFonts w:hint="eastAsia" w:ascii="宋体" w:hAnsi="宋体" w:eastAsia="宋体" w:cs="宋体"/>
          <w:color w:val="000000"/>
          <w:sz w:val="21"/>
          <w:szCs w:val="21"/>
          <w:highlight w:val="none"/>
          <w:u w:val="single"/>
          <w:lang w:eastAsia="zh-CN"/>
        </w:rPr>
        <w:t>0773-8986680</w:t>
      </w:r>
    </w:p>
    <w:p w14:paraId="0709AB58">
      <w:pPr>
        <w:spacing w:line="360" w:lineRule="exact"/>
        <w:ind w:firstLine="420" w:firstLineChars="200"/>
        <w:jc w:val="left"/>
        <w:outlineLvl w:val="2"/>
        <w:rPr>
          <w:rFonts w:hint="eastAsia" w:ascii="宋体" w:hAnsi="宋体" w:eastAsia="宋体" w:cs="宋体"/>
          <w:color w:val="000000"/>
          <w:sz w:val="21"/>
          <w:szCs w:val="21"/>
          <w:highlight w:val="none"/>
        </w:rPr>
      </w:pPr>
      <w:bookmarkStart w:id="41" w:name="_Toc35393639"/>
      <w:bookmarkStart w:id="42" w:name="_Toc28359021"/>
      <w:bookmarkStart w:id="43" w:name="_Toc28359098"/>
      <w:bookmarkStart w:id="44" w:name="_Toc35393808"/>
      <w:r>
        <w:rPr>
          <w:rFonts w:hint="eastAsia" w:ascii="宋体" w:hAnsi="宋体" w:eastAsia="宋体" w:cs="宋体"/>
          <w:color w:val="000000"/>
          <w:sz w:val="21"/>
          <w:szCs w:val="21"/>
          <w:highlight w:val="none"/>
        </w:rPr>
        <w:t>3.项目联系方式</w:t>
      </w:r>
      <w:bookmarkEnd w:id="41"/>
      <w:bookmarkEnd w:id="42"/>
      <w:bookmarkEnd w:id="43"/>
      <w:bookmarkEnd w:id="44"/>
    </w:p>
    <w:p w14:paraId="2E1593FA">
      <w:pPr>
        <w:pStyle w:val="11"/>
        <w:spacing w:line="360" w:lineRule="exact"/>
        <w:ind w:firstLine="420" w:firstLineChars="200"/>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项目联系人：</w:t>
      </w:r>
      <w:r>
        <w:rPr>
          <w:rFonts w:hint="eastAsia" w:ascii="宋体" w:hAnsi="宋体" w:eastAsia="宋体" w:cs="宋体"/>
          <w:color w:val="000000"/>
          <w:sz w:val="21"/>
          <w:szCs w:val="21"/>
          <w:highlight w:val="none"/>
          <w:u w:val="single"/>
          <w:lang w:val="en-US" w:eastAsia="zh-CN"/>
        </w:rPr>
        <w:t>全丽萍</w:t>
      </w:r>
    </w:p>
    <w:p w14:paraId="4F3B9271">
      <w:pPr>
        <w:spacing w:line="360" w:lineRule="exact"/>
        <w:ind w:firstLine="420" w:firstLineChars="200"/>
        <w:jc w:val="left"/>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rPr>
        <w:t>电　　  话：</w:t>
      </w:r>
      <w:r>
        <w:rPr>
          <w:rFonts w:hint="eastAsia" w:ascii="宋体" w:hAnsi="宋体" w:eastAsia="宋体" w:cs="宋体"/>
          <w:color w:val="000000"/>
          <w:sz w:val="21"/>
          <w:szCs w:val="21"/>
          <w:highlight w:val="none"/>
          <w:u w:val="single"/>
          <w:lang w:eastAsia="zh-CN"/>
        </w:rPr>
        <w:t>0773-8986680</w:t>
      </w:r>
    </w:p>
    <w:p w14:paraId="215E2CC9">
      <w:pPr>
        <w:spacing w:line="360" w:lineRule="exact"/>
        <w:ind w:firstLine="420" w:firstLineChars="200"/>
        <w:jc w:val="left"/>
        <w:outlineLvl w:val="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4.政府采购监督管理机构</w:t>
      </w:r>
    </w:p>
    <w:p w14:paraId="198A9736">
      <w:pPr>
        <w:spacing w:line="360" w:lineRule="exact"/>
        <w:ind w:firstLine="420" w:firstLineChars="200"/>
        <w:jc w:val="left"/>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名    称：</w:t>
      </w:r>
      <w:r>
        <w:rPr>
          <w:rFonts w:hint="eastAsia" w:ascii="宋体" w:hAnsi="宋体" w:eastAsia="宋体" w:cs="宋体"/>
          <w:color w:val="000000"/>
          <w:sz w:val="21"/>
          <w:szCs w:val="21"/>
          <w:highlight w:val="none"/>
          <w:u w:val="single"/>
          <w:lang w:eastAsia="zh-CN"/>
        </w:rPr>
        <w:t>桂林市财政局</w:t>
      </w:r>
    </w:p>
    <w:p w14:paraId="1755274C">
      <w:pPr>
        <w:spacing w:line="360" w:lineRule="exact"/>
        <w:ind w:firstLine="420" w:firstLineChars="200"/>
        <w:jc w:val="left"/>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rPr>
        <w:t>联系方式：</w:t>
      </w:r>
      <w:r>
        <w:rPr>
          <w:rFonts w:hint="eastAsia" w:ascii="宋体" w:hAnsi="宋体" w:eastAsia="宋体" w:cs="宋体"/>
          <w:color w:val="000000"/>
          <w:sz w:val="21"/>
          <w:szCs w:val="21"/>
          <w:highlight w:val="none"/>
          <w:u w:val="single"/>
          <w:lang w:eastAsia="zh-CN"/>
        </w:rPr>
        <w:t>0773-2829504</w:t>
      </w:r>
    </w:p>
    <w:p w14:paraId="363C2F36">
      <w:pPr>
        <w:spacing w:line="360" w:lineRule="exact"/>
        <w:ind w:firstLine="420" w:firstLineChars="200"/>
        <w:jc w:val="left"/>
        <w:rPr>
          <w:rFonts w:hint="eastAsia" w:ascii="宋体" w:hAnsi="宋体" w:eastAsia="宋体" w:cs="宋体"/>
          <w:color w:val="000000"/>
          <w:sz w:val="21"/>
          <w:szCs w:val="21"/>
          <w:highlight w:val="none"/>
          <w:u w:val="single"/>
          <w:lang w:eastAsia="zh-CN"/>
        </w:rPr>
      </w:pPr>
    </w:p>
    <w:p w14:paraId="774E1D7F">
      <w:pPr>
        <w:spacing w:line="360" w:lineRule="exact"/>
        <w:ind w:firstLine="420" w:firstLineChars="200"/>
        <w:jc w:val="right"/>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sz w:val="21"/>
          <w:szCs w:val="21"/>
          <w:highlight w:val="none"/>
          <w:u w:val="none"/>
          <w:lang w:eastAsia="zh-CN"/>
        </w:rPr>
        <w:t>中佳信建设管理集团有限公司</w:t>
      </w:r>
    </w:p>
    <w:p w14:paraId="67A91F05">
      <w:pPr>
        <w:spacing w:line="360" w:lineRule="exact"/>
        <w:ind w:firstLine="420" w:firstLineChars="200"/>
        <w:jc w:val="right"/>
        <w:rPr>
          <w:rFonts w:hint="eastAsia" w:ascii="宋体" w:hAnsi="宋体" w:eastAsia="宋体" w:cs="宋体"/>
          <w:color w:val="000000"/>
          <w:sz w:val="21"/>
          <w:szCs w:val="21"/>
          <w:highlight w:val="none"/>
          <w:u w:val="single"/>
          <w:lang w:val="en-US" w:eastAsia="zh-CN"/>
        </w:rPr>
      </w:pPr>
      <w:r>
        <w:rPr>
          <w:rFonts w:hint="eastAsia" w:ascii="宋体" w:hAnsi="宋体" w:eastAsia="宋体" w:cs="宋体"/>
          <w:color w:val="000000"/>
          <w:sz w:val="21"/>
          <w:szCs w:val="21"/>
          <w:highlight w:val="none"/>
          <w:u w:val="none"/>
          <w:lang w:val="en-US" w:eastAsia="zh-CN"/>
        </w:rPr>
        <w:t>2025年</w:t>
      </w:r>
      <w:r>
        <w:rPr>
          <w:rFonts w:hint="eastAsia" w:ascii="宋体" w:hAnsi="宋体" w:cs="宋体"/>
          <w:color w:val="000000"/>
          <w:sz w:val="21"/>
          <w:szCs w:val="21"/>
          <w:highlight w:val="none"/>
          <w:u w:val="none"/>
          <w:lang w:val="en-US" w:eastAsia="zh-CN"/>
        </w:rPr>
        <w:t>10</w:t>
      </w:r>
      <w:r>
        <w:rPr>
          <w:rFonts w:hint="eastAsia" w:ascii="宋体" w:hAnsi="宋体" w:eastAsia="宋体" w:cs="宋体"/>
          <w:color w:val="000000"/>
          <w:sz w:val="21"/>
          <w:szCs w:val="21"/>
          <w:highlight w:val="none"/>
          <w:u w:val="none"/>
          <w:lang w:val="en-US" w:eastAsia="zh-CN"/>
        </w:rPr>
        <w:t>月</w:t>
      </w:r>
      <w:r>
        <w:rPr>
          <w:rFonts w:hint="eastAsia" w:ascii="宋体" w:hAnsi="宋体" w:cs="宋体"/>
          <w:color w:val="000000"/>
          <w:sz w:val="21"/>
          <w:szCs w:val="21"/>
          <w:highlight w:val="none"/>
          <w:u w:val="none"/>
          <w:lang w:val="en-US" w:eastAsia="zh-CN"/>
        </w:rPr>
        <w:t>29</w:t>
      </w:r>
      <w:r>
        <w:rPr>
          <w:rFonts w:hint="eastAsia" w:ascii="宋体" w:hAnsi="宋体" w:eastAsia="宋体" w:cs="宋体"/>
          <w:color w:val="000000"/>
          <w:sz w:val="21"/>
          <w:szCs w:val="21"/>
          <w:highlight w:val="none"/>
          <w:u w:val="none"/>
          <w:lang w:val="en-US" w:eastAsia="zh-CN"/>
        </w:rPr>
        <w:t>日</w:t>
      </w:r>
    </w:p>
    <w:p w14:paraId="52B6B179">
      <w:pPr>
        <w:spacing w:line="360" w:lineRule="exact"/>
        <w:ind w:firstLine="480" w:firstLineChars="200"/>
        <w:jc w:val="left"/>
        <w:rPr>
          <w:rFonts w:hint="eastAsia" w:ascii="宋体" w:hAnsi="宋体" w:cs="宋体"/>
          <w:color w:val="000000"/>
          <w:sz w:val="24"/>
          <w:highlight w:val="none"/>
          <w:u w:val="single"/>
          <w:lang w:eastAsia="zh-CN"/>
        </w:rPr>
      </w:pPr>
    </w:p>
    <w:p w14:paraId="066AF427">
      <w:pPr>
        <w:spacing w:line="360" w:lineRule="exact"/>
        <w:ind w:firstLine="480" w:firstLineChars="200"/>
        <w:jc w:val="left"/>
        <w:rPr>
          <w:rFonts w:hint="eastAsia" w:ascii="宋体" w:hAnsi="宋体" w:cs="宋体"/>
          <w:color w:val="000000"/>
          <w:sz w:val="24"/>
          <w:highlight w:val="none"/>
          <w:u w:val="single"/>
          <w:lang w:eastAsia="zh-CN"/>
        </w:rPr>
        <w:sectPr>
          <w:footerReference r:id="rId6" w:type="default"/>
          <w:pgSz w:w="11906" w:h="16838"/>
          <w:pgMar w:top="1440" w:right="935" w:bottom="1440" w:left="779" w:header="851" w:footer="992" w:gutter="0"/>
          <w:pgNumType w:fmt="numberInDash" w:start="1"/>
          <w:cols w:space="720" w:num="1"/>
          <w:docGrid w:type="linesAndChars" w:linePitch="312" w:charSpace="0"/>
        </w:sectPr>
      </w:pPr>
    </w:p>
    <w:p w14:paraId="15477777">
      <w:pPr>
        <w:pStyle w:val="2"/>
        <w:numPr>
          <w:ilvl w:val="0"/>
          <w:numId w:val="1"/>
        </w:numPr>
        <w:spacing w:line="240" w:lineRule="auto"/>
        <w:jc w:val="center"/>
        <w:rPr>
          <w:color w:val="000000"/>
          <w:sz w:val="32"/>
          <w:szCs w:val="32"/>
          <w:highlight w:val="none"/>
        </w:rPr>
      </w:pPr>
      <w:bookmarkStart w:id="45" w:name="_Toc16361"/>
      <w:bookmarkStart w:id="46" w:name="_Toc3839"/>
      <w:bookmarkStart w:id="47" w:name="_Toc7014_WPSOffice_Level1"/>
      <w:bookmarkStart w:id="48" w:name="_Toc7441"/>
      <w:bookmarkStart w:id="49" w:name="_Toc13065"/>
      <w:bookmarkStart w:id="50" w:name="_Toc12492"/>
      <w:r>
        <w:rPr>
          <w:rFonts w:hint="eastAsia"/>
          <w:color w:val="000000"/>
          <w:sz w:val="32"/>
          <w:szCs w:val="32"/>
          <w:highlight w:val="none"/>
        </w:rPr>
        <w:t>供应商须知</w:t>
      </w:r>
      <w:bookmarkEnd w:id="45"/>
      <w:bookmarkEnd w:id="46"/>
      <w:bookmarkEnd w:id="47"/>
      <w:bookmarkEnd w:id="48"/>
      <w:bookmarkEnd w:id="49"/>
      <w:bookmarkEnd w:id="50"/>
    </w:p>
    <w:p w14:paraId="2BCF1B0F">
      <w:pPr>
        <w:pStyle w:val="3"/>
        <w:jc w:val="center"/>
        <w:rPr>
          <w:rFonts w:hint="eastAsia" w:ascii="宋体" w:hAnsi="宋体" w:cs="宋体"/>
          <w:b/>
          <w:bCs w:val="0"/>
          <w:color w:val="000000"/>
          <w:sz w:val="24"/>
          <w:szCs w:val="24"/>
          <w:highlight w:val="none"/>
        </w:rPr>
      </w:pPr>
      <w:bookmarkStart w:id="51" w:name="_Toc6815"/>
      <w:bookmarkStart w:id="52" w:name="_Toc10616"/>
      <w:bookmarkStart w:id="53" w:name="_Toc1517"/>
      <w:bookmarkStart w:id="54" w:name="_Toc20932"/>
      <w:bookmarkStart w:id="55" w:name="_Toc29133"/>
      <w:r>
        <w:rPr>
          <w:rFonts w:hint="eastAsia" w:ascii="宋体" w:hAnsi="宋体" w:cs="宋体"/>
          <w:b/>
          <w:bCs w:val="0"/>
          <w:color w:val="000000"/>
          <w:sz w:val="24"/>
          <w:szCs w:val="24"/>
          <w:highlight w:val="none"/>
        </w:rPr>
        <w:t>供 应 商 须 知 前 附 表</w:t>
      </w:r>
      <w:bookmarkEnd w:id="51"/>
      <w:bookmarkEnd w:id="52"/>
      <w:bookmarkEnd w:id="53"/>
      <w:bookmarkEnd w:id="54"/>
      <w:bookmarkEnd w:id="55"/>
    </w:p>
    <w:tbl>
      <w:tblPr>
        <w:tblStyle w:val="19"/>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25"/>
        <w:gridCol w:w="1815"/>
        <w:gridCol w:w="7205"/>
      </w:tblGrid>
      <w:tr w14:paraId="48DB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25" w:type="dxa"/>
            <w:noWrap w:val="0"/>
            <w:vAlign w:val="center"/>
          </w:tcPr>
          <w:p w14:paraId="122F661C">
            <w:pPr>
              <w:spacing w:line="360" w:lineRule="auto"/>
              <w:jc w:val="center"/>
              <w:rPr>
                <w:rFonts w:ascii="宋体"/>
                <w:color w:val="000000"/>
                <w:szCs w:val="21"/>
                <w:highlight w:val="none"/>
              </w:rPr>
            </w:pPr>
            <w:r>
              <w:rPr>
                <w:rFonts w:hint="eastAsia" w:ascii="宋体" w:hAnsi="宋体"/>
                <w:color w:val="000000"/>
                <w:szCs w:val="21"/>
                <w:highlight w:val="none"/>
              </w:rPr>
              <w:t>序号</w:t>
            </w:r>
          </w:p>
        </w:tc>
        <w:tc>
          <w:tcPr>
            <w:tcW w:w="825" w:type="dxa"/>
            <w:noWrap w:val="0"/>
            <w:vAlign w:val="center"/>
          </w:tcPr>
          <w:p w14:paraId="2EDBB2A9">
            <w:pPr>
              <w:spacing w:line="360" w:lineRule="auto"/>
              <w:jc w:val="center"/>
              <w:rPr>
                <w:rFonts w:ascii="宋体"/>
                <w:color w:val="000000"/>
                <w:szCs w:val="21"/>
                <w:highlight w:val="none"/>
              </w:rPr>
            </w:pPr>
            <w:r>
              <w:rPr>
                <w:rFonts w:hint="eastAsia" w:ascii="宋体" w:hAnsi="宋体"/>
                <w:color w:val="000000"/>
                <w:szCs w:val="21"/>
                <w:highlight w:val="none"/>
              </w:rPr>
              <w:t>条款号</w:t>
            </w:r>
          </w:p>
        </w:tc>
        <w:tc>
          <w:tcPr>
            <w:tcW w:w="1815" w:type="dxa"/>
            <w:noWrap w:val="0"/>
            <w:vAlign w:val="center"/>
          </w:tcPr>
          <w:p w14:paraId="079EF02F">
            <w:pPr>
              <w:spacing w:line="360" w:lineRule="auto"/>
              <w:jc w:val="center"/>
              <w:rPr>
                <w:rFonts w:ascii="宋体"/>
                <w:color w:val="000000"/>
                <w:szCs w:val="21"/>
                <w:highlight w:val="none"/>
              </w:rPr>
            </w:pPr>
            <w:r>
              <w:rPr>
                <w:rFonts w:hint="eastAsia" w:ascii="宋体" w:hAnsi="宋体"/>
                <w:color w:val="000000"/>
                <w:szCs w:val="21"/>
                <w:highlight w:val="none"/>
              </w:rPr>
              <w:t>条款名称</w:t>
            </w:r>
          </w:p>
        </w:tc>
        <w:tc>
          <w:tcPr>
            <w:tcW w:w="7205" w:type="dxa"/>
            <w:noWrap w:val="0"/>
            <w:vAlign w:val="center"/>
          </w:tcPr>
          <w:p w14:paraId="1FD31746">
            <w:pPr>
              <w:spacing w:line="360" w:lineRule="auto"/>
              <w:jc w:val="center"/>
              <w:rPr>
                <w:rFonts w:ascii="宋体"/>
                <w:color w:val="000000"/>
                <w:szCs w:val="21"/>
                <w:highlight w:val="none"/>
              </w:rPr>
            </w:pPr>
            <w:r>
              <w:rPr>
                <w:rFonts w:hint="eastAsia" w:ascii="宋体" w:hAnsi="宋体"/>
                <w:color w:val="000000"/>
                <w:szCs w:val="21"/>
                <w:highlight w:val="none"/>
              </w:rPr>
              <w:t>内容、要求</w:t>
            </w:r>
          </w:p>
        </w:tc>
      </w:tr>
      <w:tr w14:paraId="1480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25" w:type="dxa"/>
            <w:noWrap w:val="0"/>
            <w:vAlign w:val="center"/>
          </w:tcPr>
          <w:p w14:paraId="2BC6FE65">
            <w:pPr>
              <w:spacing w:line="360" w:lineRule="auto"/>
              <w:jc w:val="center"/>
              <w:rPr>
                <w:rFonts w:ascii="宋体" w:hAnsi="宋体"/>
                <w:color w:val="000000"/>
                <w:szCs w:val="21"/>
                <w:highlight w:val="none"/>
              </w:rPr>
            </w:pPr>
            <w:r>
              <w:rPr>
                <w:rFonts w:ascii="宋体" w:hAnsi="宋体"/>
                <w:color w:val="000000"/>
                <w:szCs w:val="21"/>
                <w:highlight w:val="none"/>
              </w:rPr>
              <w:t>1</w:t>
            </w:r>
          </w:p>
        </w:tc>
        <w:tc>
          <w:tcPr>
            <w:tcW w:w="825" w:type="dxa"/>
            <w:noWrap w:val="0"/>
            <w:vAlign w:val="center"/>
          </w:tcPr>
          <w:p w14:paraId="42DAC954">
            <w:pPr>
              <w:spacing w:line="360" w:lineRule="auto"/>
              <w:jc w:val="center"/>
              <w:rPr>
                <w:rFonts w:ascii="宋体" w:hAnsi="宋体"/>
                <w:color w:val="000000"/>
                <w:szCs w:val="21"/>
                <w:highlight w:val="none"/>
              </w:rPr>
            </w:pPr>
            <w:r>
              <w:rPr>
                <w:rFonts w:ascii="宋体" w:hAnsi="宋体"/>
                <w:color w:val="000000"/>
                <w:szCs w:val="21"/>
                <w:highlight w:val="none"/>
              </w:rPr>
              <w:t>1.1</w:t>
            </w:r>
          </w:p>
        </w:tc>
        <w:tc>
          <w:tcPr>
            <w:tcW w:w="1815" w:type="dxa"/>
            <w:noWrap w:val="0"/>
            <w:vAlign w:val="center"/>
          </w:tcPr>
          <w:p w14:paraId="61F69778">
            <w:pPr>
              <w:spacing w:line="360" w:lineRule="auto"/>
              <w:jc w:val="center"/>
              <w:rPr>
                <w:rFonts w:ascii="宋体"/>
                <w:color w:val="000000"/>
                <w:szCs w:val="21"/>
                <w:highlight w:val="none"/>
              </w:rPr>
            </w:pPr>
            <w:r>
              <w:rPr>
                <w:rFonts w:hint="eastAsia" w:ascii="宋体" w:hAnsi="宋体"/>
                <w:color w:val="000000"/>
                <w:szCs w:val="21"/>
                <w:highlight w:val="none"/>
              </w:rPr>
              <w:t>项目名称及项目编号</w:t>
            </w:r>
          </w:p>
        </w:tc>
        <w:tc>
          <w:tcPr>
            <w:tcW w:w="7205" w:type="dxa"/>
            <w:noWrap w:val="0"/>
            <w:vAlign w:val="top"/>
          </w:tcPr>
          <w:p w14:paraId="589D1FC4">
            <w:pPr>
              <w:spacing w:line="360" w:lineRule="auto"/>
              <w:rPr>
                <w:rFonts w:hint="default" w:ascii="宋体" w:hAnsi="宋体" w:eastAsia="宋体"/>
                <w:color w:val="000000"/>
                <w:szCs w:val="21"/>
                <w:highlight w:val="none"/>
                <w:lang w:val="en-US" w:eastAsia="zh-CN"/>
              </w:rPr>
            </w:pPr>
            <w:r>
              <w:rPr>
                <w:rFonts w:hint="eastAsia" w:ascii="宋体" w:hAnsi="宋体"/>
                <w:color w:val="000000"/>
                <w:szCs w:val="21"/>
                <w:highlight w:val="none"/>
              </w:rPr>
              <w:t>项目名称：</w:t>
            </w:r>
            <w:r>
              <w:rPr>
                <w:rFonts w:hint="eastAsia" w:ascii="宋体" w:hAnsi="宋体"/>
                <w:color w:val="000000"/>
                <w:szCs w:val="21"/>
                <w:highlight w:val="none"/>
                <w:lang w:eastAsia="zh-CN"/>
              </w:rPr>
              <w:t>电子病历及HIS系统驻场开发、运维服务采购</w:t>
            </w:r>
          </w:p>
          <w:p w14:paraId="46755E0D">
            <w:pPr>
              <w:spacing w:line="360" w:lineRule="auto"/>
              <w:rPr>
                <w:rFonts w:hint="eastAsia" w:ascii="宋体"/>
                <w:color w:val="000000"/>
                <w:highlight w:val="none"/>
              </w:rPr>
            </w:pPr>
            <w:r>
              <w:rPr>
                <w:rFonts w:hint="eastAsia" w:ascii="宋体" w:hAnsi="宋体"/>
                <w:color w:val="000000"/>
                <w:szCs w:val="21"/>
                <w:highlight w:val="none"/>
              </w:rPr>
              <w:t>项目编号：GLZC2025-J3-990533-ZJXJ</w:t>
            </w:r>
          </w:p>
        </w:tc>
      </w:tr>
      <w:tr w14:paraId="2C94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757675C0">
            <w:pPr>
              <w:spacing w:line="360" w:lineRule="auto"/>
              <w:jc w:val="center"/>
              <w:rPr>
                <w:rFonts w:ascii="宋体" w:hAnsi="宋体"/>
                <w:color w:val="000000"/>
                <w:szCs w:val="21"/>
                <w:highlight w:val="none"/>
              </w:rPr>
            </w:pPr>
            <w:r>
              <w:rPr>
                <w:rFonts w:ascii="宋体" w:hAnsi="宋体"/>
                <w:color w:val="000000"/>
                <w:szCs w:val="21"/>
                <w:highlight w:val="none"/>
              </w:rPr>
              <w:t>2</w:t>
            </w:r>
          </w:p>
        </w:tc>
        <w:tc>
          <w:tcPr>
            <w:tcW w:w="825" w:type="dxa"/>
            <w:noWrap w:val="0"/>
            <w:vAlign w:val="center"/>
          </w:tcPr>
          <w:p w14:paraId="1AD909B2">
            <w:pPr>
              <w:spacing w:line="360" w:lineRule="auto"/>
              <w:jc w:val="center"/>
              <w:rPr>
                <w:rFonts w:ascii="宋体" w:hAnsi="宋体"/>
                <w:color w:val="000000"/>
                <w:szCs w:val="21"/>
                <w:highlight w:val="none"/>
              </w:rPr>
            </w:pPr>
            <w:r>
              <w:rPr>
                <w:rFonts w:ascii="宋体" w:hAnsi="宋体"/>
                <w:color w:val="000000"/>
                <w:szCs w:val="21"/>
                <w:highlight w:val="none"/>
              </w:rPr>
              <w:t>3</w:t>
            </w:r>
          </w:p>
        </w:tc>
        <w:tc>
          <w:tcPr>
            <w:tcW w:w="1815" w:type="dxa"/>
            <w:noWrap w:val="0"/>
            <w:vAlign w:val="center"/>
          </w:tcPr>
          <w:p w14:paraId="0ADAD561">
            <w:pPr>
              <w:spacing w:line="360" w:lineRule="auto"/>
              <w:jc w:val="center"/>
              <w:rPr>
                <w:rFonts w:ascii="宋体"/>
                <w:color w:val="000000"/>
                <w:szCs w:val="21"/>
                <w:highlight w:val="none"/>
              </w:rPr>
            </w:pPr>
            <w:r>
              <w:rPr>
                <w:rFonts w:hint="eastAsia" w:ascii="宋体" w:hAnsi="宋体"/>
                <w:color w:val="000000"/>
                <w:szCs w:val="21"/>
                <w:highlight w:val="none"/>
              </w:rPr>
              <w:t>供应商资格</w:t>
            </w:r>
          </w:p>
        </w:tc>
        <w:tc>
          <w:tcPr>
            <w:tcW w:w="7205" w:type="dxa"/>
            <w:noWrap w:val="0"/>
            <w:vAlign w:val="center"/>
          </w:tcPr>
          <w:p w14:paraId="62E517CD">
            <w:pPr>
              <w:spacing w:line="360" w:lineRule="auto"/>
              <w:rPr>
                <w:rFonts w:hint="eastAsia" w:ascii="宋体"/>
                <w:color w:val="000000"/>
                <w:szCs w:val="21"/>
                <w:highlight w:val="none"/>
              </w:rPr>
            </w:pPr>
            <w:r>
              <w:rPr>
                <w:rFonts w:hint="eastAsia" w:ascii="宋体"/>
                <w:color w:val="000000"/>
                <w:szCs w:val="21"/>
                <w:highlight w:val="none"/>
                <w:lang w:val="en-US" w:eastAsia="zh-CN"/>
              </w:rPr>
              <w:t>3.</w:t>
            </w:r>
            <w:r>
              <w:rPr>
                <w:rFonts w:hint="eastAsia" w:ascii="宋体"/>
                <w:color w:val="000000"/>
                <w:szCs w:val="21"/>
                <w:highlight w:val="none"/>
              </w:rPr>
              <w:t>1.满足《中华人民共和国政府采购法》第二十二条规定；</w:t>
            </w:r>
          </w:p>
          <w:p w14:paraId="71474849">
            <w:pPr>
              <w:spacing w:line="360" w:lineRule="auto"/>
              <w:rPr>
                <w:rFonts w:hint="eastAsia" w:ascii="宋体"/>
                <w:color w:val="000000"/>
                <w:szCs w:val="21"/>
                <w:highlight w:val="none"/>
              </w:rPr>
            </w:pPr>
            <w:r>
              <w:rPr>
                <w:rFonts w:hint="eastAsia" w:ascii="宋体"/>
                <w:color w:val="000000"/>
                <w:szCs w:val="21"/>
                <w:highlight w:val="none"/>
                <w:lang w:val="en-US" w:eastAsia="zh-CN"/>
              </w:rPr>
              <w:t>3.</w:t>
            </w:r>
            <w:r>
              <w:rPr>
                <w:rFonts w:hint="eastAsia" w:ascii="宋体"/>
                <w:color w:val="000000"/>
                <w:szCs w:val="21"/>
                <w:highlight w:val="none"/>
              </w:rPr>
              <w:t>2.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572D79D9">
            <w:pPr>
              <w:spacing w:line="360" w:lineRule="auto"/>
              <w:rPr>
                <w:rFonts w:hint="eastAsia" w:ascii="宋体"/>
                <w:color w:val="000000"/>
                <w:szCs w:val="21"/>
                <w:highlight w:val="none"/>
              </w:rPr>
            </w:pPr>
            <w:r>
              <w:rPr>
                <w:rFonts w:hint="eastAsia" w:ascii="宋体"/>
                <w:color w:val="000000"/>
                <w:szCs w:val="21"/>
                <w:highlight w:val="none"/>
                <w:lang w:val="en-US" w:eastAsia="zh-CN"/>
              </w:rPr>
              <w:t>3.</w:t>
            </w:r>
            <w:r>
              <w:rPr>
                <w:rFonts w:hint="eastAsia" w:ascii="宋体"/>
                <w:color w:val="000000"/>
                <w:szCs w:val="21"/>
                <w:highlight w:val="none"/>
              </w:rPr>
              <w:t>3.落实政府采购政策需满足的资格要求：无。</w:t>
            </w:r>
          </w:p>
          <w:p w14:paraId="5E0FFE74">
            <w:pPr>
              <w:spacing w:line="360" w:lineRule="auto"/>
              <w:rPr>
                <w:rFonts w:ascii="宋体"/>
                <w:color w:val="000000"/>
                <w:szCs w:val="21"/>
                <w:highlight w:val="none"/>
              </w:rPr>
            </w:pPr>
            <w:r>
              <w:rPr>
                <w:rFonts w:hint="eastAsia" w:ascii="宋体"/>
                <w:color w:val="000000"/>
                <w:szCs w:val="21"/>
                <w:highlight w:val="none"/>
                <w:lang w:val="en-US" w:eastAsia="zh-CN"/>
              </w:rPr>
              <w:t>3.</w:t>
            </w:r>
            <w:r>
              <w:rPr>
                <w:rFonts w:hint="eastAsia" w:ascii="宋体"/>
                <w:color w:val="000000"/>
                <w:szCs w:val="21"/>
                <w:highlight w:val="none"/>
              </w:rPr>
              <w:t>4.本项目的特定资格要求：无。</w:t>
            </w:r>
          </w:p>
        </w:tc>
      </w:tr>
      <w:tr w14:paraId="2FA1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25" w:type="dxa"/>
            <w:noWrap w:val="0"/>
            <w:vAlign w:val="center"/>
          </w:tcPr>
          <w:p w14:paraId="6D9F4AA9">
            <w:pPr>
              <w:spacing w:line="360" w:lineRule="auto"/>
              <w:jc w:val="center"/>
              <w:rPr>
                <w:rFonts w:ascii="宋体" w:hAnsi="宋体"/>
                <w:color w:val="000000"/>
                <w:szCs w:val="21"/>
                <w:highlight w:val="none"/>
              </w:rPr>
            </w:pPr>
            <w:r>
              <w:rPr>
                <w:rFonts w:ascii="宋体" w:hAnsi="宋体"/>
                <w:color w:val="000000"/>
                <w:szCs w:val="21"/>
                <w:highlight w:val="none"/>
              </w:rPr>
              <w:t>3</w:t>
            </w:r>
          </w:p>
        </w:tc>
        <w:tc>
          <w:tcPr>
            <w:tcW w:w="825" w:type="dxa"/>
            <w:noWrap w:val="0"/>
            <w:vAlign w:val="center"/>
          </w:tcPr>
          <w:p w14:paraId="3C6E2816">
            <w:pPr>
              <w:spacing w:line="360" w:lineRule="auto"/>
              <w:jc w:val="center"/>
              <w:rPr>
                <w:rFonts w:ascii="宋体" w:hAnsi="宋体"/>
                <w:color w:val="000000"/>
                <w:szCs w:val="21"/>
                <w:highlight w:val="none"/>
              </w:rPr>
            </w:pPr>
            <w:r>
              <w:rPr>
                <w:rFonts w:ascii="宋体" w:hAnsi="宋体"/>
                <w:color w:val="000000"/>
                <w:szCs w:val="21"/>
                <w:highlight w:val="none"/>
              </w:rPr>
              <w:t>4</w:t>
            </w:r>
          </w:p>
        </w:tc>
        <w:tc>
          <w:tcPr>
            <w:tcW w:w="1815" w:type="dxa"/>
            <w:noWrap w:val="0"/>
            <w:vAlign w:val="center"/>
          </w:tcPr>
          <w:p w14:paraId="7F4AB258">
            <w:pPr>
              <w:spacing w:line="360" w:lineRule="auto"/>
              <w:jc w:val="center"/>
              <w:rPr>
                <w:rFonts w:ascii="宋体"/>
                <w:color w:val="000000"/>
                <w:szCs w:val="21"/>
                <w:highlight w:val="none"/>
              </w:rPr>
            </w:pPr>
            <w:r>
              <w:rPr>
                <w:rFonts w:hint="eastAsia" w:ascii="宋体" w:hAnsi="宋体"/>
                <w:color w:val="000000"/>
                <w:szCs w:val="21"/>
                <w:highlight w:val="none"/>
              </w:rPr>
              <w:t>谈判费用</w:t>
            </w:r>
          </w:p>
        </w:tc>
        <w:tc>
          <w:tcPr>
            <w:tcW w:w="7205" w:type="dxa"/>
            <w:noWrap w:val="0"/>
            <w:vAlign w:val="center"/>
          </w:tcPr>
          <w:p w14:paraId="61CC7544">
            <w:pPr>
              <w:spacing w:line="360" w:lineRule="auto"/>
              <w:rPr>
                <w:rFonts w:ascii="宋体" w:hAnsi="宋体"/>
                <w:color w:val="000000"/>
                <w:szCs w:val="21"/>
                <w:highlight w:val="none"/>
              </w:rPr>
            </w:pPr>
            <w:r>
              <w:rPr>
                <w:rFonts w:hint="eastAsia" w:ascii="宋体" w:hAnsi="宋体"/>
                <w:color w:val="000000"/>
                <w:szCs w:val="21"/>
                <w:highlight w:val="none"/>
              </w:rPr>
              <w:t>不论</w:t>
            </w:r>
            <w:r>
              <w:rPr>
                <w:rFonts w:hint="eastAsia" w:ascii="宋体" w:hAnsi="宋体" w:cs="宋体"/>
                <w:color w:val="000000"/>
                <w:szCs w:val="21"/>
                <w:highlight w:val="none"/>
              </w:rPr>
              <w:t>谈判</w:t>
            </w:r>
            <w:r>
              <w:rPr>
                <w:rFonts w:hint="eastAsia" w:ascii="宋体" w:hAnsi="宋体"/>
                <w:color w:val="000000"/>
                <w:szCs w:val="21"/>
                <w:highlight w:val="none"/>
              </w:rPr>
              <w:t>结果如何，供应商均应自行承担所有与</w:t>
            </w:r>
            <w:r>
              <w:rPr>
                <w:rFonts w:hint="eastAsia" w:ascii="宋体" w:hAnsi="宋体" w:cs="宋体"/>
                <w:color w:val="000000"/>
                <w:szCs w:val="21"/>
                <w:highlight w:val="none"/>
              </w:rPr>
              <w:t>谈判</w:t>
            </w:r>
            <w:r>
              <w:rPr>
                <w:rFonts w:hint="eastAsia" w:ascii="宋体" w:hAnsi="宋体"/>
                <w:color w:val="000000"/>
                <w:szCs w:val="21"/>
                <w:highlight w:val="none"/>
              </w:rPr>
              <w:t>有关的全部费用。</w:t>
            </w:r>
            <w:r>
              <w:rPr>
                <w:rFonts w:ascii="宋体" w:hAnsi="宋体"/>
                <w:color w:val="000000"/>
                <w:szCs w:val="21"/>
                <w:highlight w:val="none"/>
              </w:rPr>
              <w:t xml:space="preserve"> </w:t>
            </w:r>
          </w:p>
        </w:tc>
      </w:tr>
      <w:tr w14:paraId="2101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2A28C749">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4</w:t>
            </w:r>
          </w:p>
        </w:tc>
        <w:tc>
          <w:tcPr>
            <w:tcW w:w="825" w:type="dxa"/>
            <w:noWrap w:val="0"/>
            <w:vAlign w:val="center"/>
          </w:tcPr>
          <w:p w14:paraId="1E9065D1">
            <w:pPr>
              <w:spacing w:line="360" w:lineRule="auto"/>
              <w:jc w:val="center"/>
              <w:rPr>
                <w:rFonts w:ascii="宋体" w:hAnsi="宋体"/>
                <w:color w:val="000000"/>
                <w:position w:val="-2"/>
                <w:szCs w:val="21"/>
                <w:highlight w:val="none"/>
              </w:rPr>
            </w:pPr>
            <w:r>
              <w:rPr>
                <w:rFonts w:ascii="宋体" w:hAnsi="宋体"/>
                <w:color w:val="000000"/>
                <w:position w:val="-2"/>
                <w:szCs w:val="21"/>
                <w:highlight w:val="none"/>
              </w:rPr>
              <w:t>13</w:t>
            </w:r>
          </w:p>
        </w:tc>
        <w:tc>
          <w:tcPr>
            <w:tcW w:w="1815" w:type="dxa"/>
            <w:noWrap w:val="0"/>
            <w:vAlign w:val="center"/>
          </w:tcPr>
          <w:p w14:paraId="779282B2">
            <w:pPr>
              <w:spacing w:line="360" w:lineRule="auto"/>
              <w:jc w:val="center"/>
              <w:rPr>
                <w:rFonts w:ascii="宋体"/>
                <w:color w:val="000000"/>
                <w:position w:val="-2"/>
                <w:szCs w:val="21"/>
                <w:highlight w:val="none"/>
              </w:rPr>
            </w:pPr>
            <w:r>
              <w:rPr>
                <w:rFonts w:hint="eastAsia" w:ascii="宋体" w:hAnsi="宋体"/>
                <w:color w:val="000000"/>
                <w:szCs w:val="21"/>
                <w:highlight w:val="none"/>
              </w:rPr>
              <w:t>谈判报价及采购预算金额</w:t>
            </w:r>
          </w:p>
        </w:tc>
        <w:tc>
          <w:tcPr>
            <w:tcW w:w="7205" w:type="dxa"/>
            <w:noWrap w:val="0"/>
            <w:vAlign w:val="center"/>
          </w:tcPr>
          <w:p w14:paraId="4778AFF7">
            <w:pPr>
              <w:spacing w:line="360" w:lineRule="auto"/>
              <w:rPr>
                <w:rFonts w:ascii="宋体" w:cs="宋体"/>
                <w:color w:val="000000"/>
                <w:szCs w:val="21"/>
                <w:highlight w:val="none"/>
              </w:rPr>
            </w:pPr>
            <w:r>
              <w:rPr>
                <w:rFonts w:ascii="宋体" w:hAnsi="宋体"/>
                <w:color w:val="000000"/>
                <w:szCs w:val="21"/>
                <w:highlight w:val="none"/>
              </w:rPr>
              <w:t>13.1</w:t>
            </w:r>
            <w:r>
              <w:rPr>
                <w:rFonts w:ascii="宋体" w:hAnsi="宋体" w:cs="宋体"/>
                <w:color w:val="000000"/>
                <w:szCs w:val="21"/>
                <w:highlight w:val="none"/>
              </w:rPr>
              <w:t xml:space="preserve"> </w:t>
            </w:r>
            <w:r>
              <w:rPr>
                <w:rFonts w:hint="eastAsia" w:ascii="宋体" w:hAnsi="宋体" w:cs="宋体"/>
                <w:color w:val="000000"/>
                <w:szCs w:val="21"/>
                <w:highlight w:val="none"/>
              </w:rPr>
              <w:t>谈判报价应按谈判文件中相关附表格式填写。</w:t>
            </w:r>
            <w:r>
              <w:rPr>
                <w:rFonts w:hint="eastAsia" w:ascii="宋体" w:hAnsi="宋体" w:cs="宋体"/>
                <w:b/>
                <w:bCs/>
                <w:color w:val="000000"/>
                <w:szCs w:val="21"/>
                <w:highlight w:val="none"/>
              </w:rPr>
              <w:t>采购</w:t>
            </w:r>
            <w:r>
              <w:rPr>
                <w:rFonts w:hint="eastAsia" w:ascii="宋体" w:hAnsi="宋体" w:cs="宋体"/>
                <w:b/>
                <w:bCs/>
                <w:color w:val="000000"/>
                <w:szCs w:val="21"/>
                <w:highlight w:val="none"/>
                <w:lang w:eastAsia="zh-CN"/>
              </w:rPr>
              <w:t>预算金额：玖拾柒万元整（¥970,000.00元）</w:t>
            </w:r>
            <w:r>
              <w:rPr>
                <w:rFonts w:hint="eastAsia" w:ascii="宋体" w:hAnsi="宋体" w:cs="宋体"/>
                <w:color w:val="000000"/>
                <w:szCs w:val="21"/>
                <w:highlight w:val="none"/>
              </w:rPr>
              <w:t>，</w:t>
            </w:r>
            <w:r>
              <w:rPr>
                <w:rFonts w:hint="eastAsia" w:ascii="宋体" w:hAnsi="宋体" w:cs="宋体"/>
                <w:b/>
                <w:bCs/>
                <w:color w:val="000000"/>
                <w:szCs w:val="21"/>
                <w:highlight w:val="none"/>
              </w:rPr>
              <w:t>供应商报价</w:t>
            </w:r>
            <w:r>
              <w:rPr>
                <w:rFonts w:hint="eastAsia" w:ascii="宋体" w:hAnsi="宋体" w:cs="宋体"/>
                <w:b/>
                <w:bCs/>
                <w:color w:val="000000"/>
                <w:kern w:val="0"/>
                <w:szCs w:val="21"/>
                <w:highlight w:val="none"/>
              </w:rPr>
              <w:t>超出</w:t>
            </w:r>
            <w:r>
              <w:rPr>
                <w:rFonts w:hint="eastAsia" w:ascii="宋体" w:hAnsi="宋体" w:cs="宋体"/>
                <w:b/>
                <w:bCs/>
                <w:color w:val="000000"/>
                <w:szCs w:val="21"/>
                <w:highlight w:val="none"/>
              </w:rPr>
              <w:t>采购预算金额</w:t>
            </w:r>
            <w:r>
              <w:rPr>
                <w:rFonts w:hint="eastAsia" w:ascii="宋体" w:hAnsi="宋体" w:cs="宋体"/>
                <w:b/>
                <w:bCs/>
                <w:color w:val="000000"/>
                <w:kern w:val="0"/>
                <w:szCs w:val="21"/>
                <w:highlight w:val="none"/>
              </w:rPr>
              <w:t>的，响应文件按无效处理。</w:t>
            </w:r>
          </w:p>
          <w:p w14:paraId="007C5384">
            <w:pPr>
              <w:snapToGrid w:val="0"/>
              <w:spacing w:line="360" w:lineRule="auto"/>
              <w:jc w:val="left"/>
              <w:rPr>
                <w:rFonts w:ascii="宋体" w:cs="Courier New"/>
                <w:color w:val="000000"/>
                <w:szCs w:val="21"/>
                <w:highlight w:val="none"/>
              </w:rPr>
            </w:pPr>
            <w:r>
              <w:rPr>
                <w:rFonts w:ascii="宋体" w:hAnsi="宋体" w:cs="Courier New"/>
                <w:color w:val="000000"/>
                <w:szCs w:val="21"/>
                <w:highlight w:val="none"/>
              </w:rPr>
              <w:t>13.2</w:t>
            </w:r>
            <w:r>
              <w:rPr>
                <w:rFonts w:hint="eastAsia"/>
                <w:color w:val="000000"/>
                <w:szCs w:val="21"/>
                <w:highlight w:val="none"/>
              </w:rPr>
              <w:t>供应商必须就“采购需求”中所有内容作完整唯一报价，否则，其响应文件无效；响应文件只允许有一个报价，有选择的或有条件的报价将不予接受。</w:t>
            </w:r>
          </w:p>
          <w:p w14:paraId="077ED6E5">
            <w:pPr>
              <w:snapToGrid w:val="0"/>
              <w:spacing w:line="360" w:lineRule="auto"/>
              <w:jc w:val="left"/>
              <w:rPr>
                <w:rFonts w:ascii="宋体" w:cs="Courier New"/>
                <w:color w:val="000000"/>
                <w:szCs w:val="21"/>
                <w:highlight w:val="none"/>
              </w:rPr>
            </w:pPr>
            <w:r>
              <w:rPr>
                <w:rFonts w:ascii="宋体" w:hAnsi="宋体" w:cs="Courier New"/>
                <w:color w:val="000000"/>
                <w:szCs w:val="21"/>
                <w:highlight w:val="none"/>
              </w:rPr>
              <w:t>13.4</w:t>
            </w:r>
            <w:r>
              <w:rPr>
                <w:rFonts w:hint="eastAsia" w:ascii="宋体" w:hAnsi="宋体" w:cs="宋体"/>
                <w:color w:val="000000"/>
                <w:kern w:val="0"/>
                <w:szCs w:val="21"/>
                <w:highlight w:val="none"/>
              </w:rPr>
              <w:t>供应商应在规定时间内在</w:t>
            </w:r>
            <w:r>
              <w:rPr>
                <w:rFonts w:hint="eastAsia" w:ascii="宋体" w:hAnsi="宋体" w:cs="宋体"/>
                <w:color w:val="000000"/>
                <w:szCs w:val="21"/>
                <w:highlight w:val="none"/>
              </w:rPr>
              <w:t>广西政府采购云</w:t>
            </w:r>
            <w:r>
              <w:rPr>
                <w:rFonts w:hint="eastAsia" w:ascii="宋体" w:hAnsi="宋体" w:cs="宋体"/>
                <w:color w:val="000000"/>
                <w:kern w:val="0"/>
                <w:szCs w:val="21"/>
                <w:highlight w:val="none"/>
              </w:rPr>
              <w:t>系统上提交最后报价，超出评委设定的最后报价时限或其最后报价超出采购预算导致已通过评审的响应文件无效的，按供应商在提交响应文件截止时间后撤回响应文件处理。</w:t>
            </w:r>
          </w:p>
        </w:tc>
      </w:tr>
      <w:tr w14:paraId="59EE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242CA650">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5</w:t>
            </w:r>
          </w:p>
        </w:tc>
        <w:tc>
          <w:tcPr>
            <w:tcW w:w="825" w:type="dxa"/>
            <w:noWrap w:val="0"/>
            <w:vAlign w:val="center"/>
          </w:tcPr>
          <w:p w14:paraId="2A41F256">
            <w:pPr>
              <w:spacing w:line="360" w:lineRule="auto"/>
              <w:jc w:val="center"/>
              <w:rPr>
                <w:rFonts w:ascii="宋体" w:hAnsi="宋体"/>
                <w:color w:val="000000"/>
                <w:position w:val="-2"/>
                <w:szCs w:val="21"/>
                <w:highlight w:val="none"/>
              </w:rPr>
            </w:pPr>
            <w:r>
              <w:rPr>
                <w:rFonts w:ascii="宋体" w:hAnsi="宋体"/>
                <w:color w:val="000000"/>
                <w:position w:val="-2"/>
                <w:szCs w:val="21"/>
                <w:highlight w:val="none"/>
              </w:rPr>
              <w:t>14.1</w:t>
            </w:r>
          </w:p>
        </w:tc>
        <w:tc>
          <w:tcPr>
            <w:tcW w:w="1815" w:type="dxa"/>
            <w:noWrap w:val="0"/>
            <w:vAlign w:val="center"/>
          </w:tcPr>
          <w:p w14:paraId="5712B997">
            <w:pPr>
              <w:spacing w:line="360" w:lineRule="auto"/>
              <w:jc w:val="center"/>
              <w:rPr>
                <w:rFonts w:ascii="宋体"/>
                <w:color w:val="000000"/>
                <w:position w:val="-2"/>
                <w:szCs w:val="21"/>
                <w:highlight w:val="none"/>
              </w:rPr>
            </w:pPr>
            <w:r>
              <w:rPr>
                <w:rFonts w:hint="eastAsia" w:ascii="宋体" w:hAnsi="宋体"/>
                <w:color w:val="000000"/>
                <w:position w:val="-2"/>
                <w:szCs w:val="21"/>
                <w:highlight w:val="none"/>
              </w:rPr>
              <w:t>响应文件有效期</w:t>
            </w:r>
          </w:p>
        </w:tc>
        <w:tc>
          <w:tcPr>
            <w:tcW w:w="7205" w:type="dxa"/>
            <w:noWrap w:val="0"/>
            <w:vAlign w:val="top"/>
          </w:tcPr>
          <w:p w14:paraId="5EC689F4">
            <w:pPr>
              <w:tabs>
                <w:tab w:val="left" w:pos="1305"/>
              </w:tabs>
              <w:spacing w:line="360" w:lineRule="auto"/>
              <w:rPr>
                <w:rFonts w:ascii="宋体"/>
                <w:color w:val="000000"/>
                <w:szCs w:val="21"/>
                <w:highlight w:val="none"/>
              </w:rPr>
            </w:pPr>
            <w:r>
              <w:rPr>
                <w:rFonts w:hint="eastAsia" w:ascii="宋体" w:hAnsi="宋体"/>
                <w:color w:val="000000"/>
                <w:szCs w:val="21"/>
                <w:highlight w:val="none"/>
              </w:rPr>
              <w:t>响应文件递交截止时间之日起</w:t>
            </w:r>
            <w:r>
              <w:rPr>
                <w:rFonts w:ascii="宋体" w:hAnsi="宋体"/>
                <w:color w:val="000000"/>
                <w:szCs w:val="21"/>
                <w:highlight w:val="none"/>
              </w:rPr>
              <w:t>90</w:t>
            </w:r>
            <w:r>
              <w:rPr>
                <w:rFonts w:hint="eastAsia" w:ascii="宋体" w:hAnsi="宋体"/>
                <w:color w:val="000000"/>
                <w:szCs w:val="21"/>
                <w:highlight w:val="none"/>
              </w:rPr>
              <w:t>天，有效期不足的响应文件将被拒绝。</w:t>
            </w:r>
          </w:p>
        </w:tc>
      </w:tr>
      <w:tr w14:paraId="4C31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346D2631">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6</w:t>
            </w:r>
          </w:p>
        </w:tc>
        <w:tc>
          <w:tcPr>
            <w:tcW w:w="825" w:type="dxa"/>
            <w:noWrap w:val="0"/>
            <w:vAlign w:val="center"/>
          </w:tcPr>
          <w:p w14:paraId="39B0CB33">
            <w:pPr>
              <w:spacing w:line="360" w:lineRule="auto"/>
              <w:jc w:val="center"/>
              <w:rPr>
                <w:rFonts w:ascii="宋体" w:hAnsi="宋体"/>
                <w:color w:val="000000"/>
                <w:position w:val="-2"/>
                <w:szCs w:val="21"/>
                <w:highlight w:val="none"/>
              </w:rPr>
            </w:pPr>
            <w:r>
              <w:rPr>
                <w:rFonts w:hint="eastAsia" w:ascii="宋体" w:hAnsi="宋体"/>
                <w:color w:val="000000"/>
                <w:position w:val="-2"/>
                <w:szCs w:val="21"/>
                <w:highlight w:val="none"/>
              </w:rPr>
              <w:t>15</w:t>
            </w:r>
          </w:p>
        </w:tc>
        <w:tc>
          <w:tcPr>
            <w:tcW w:w="1815" w:type="dxa"/>
            <w:noWrap w:val="0"/>
            <w:vAlign w:val="center"/>
          </w:tcPr>
          <w:p w14:paraId="6D224A01">
            <w:pPr>
              <w:spacing w:line="360" w:lineRule="auto"/>
              <w:jc w:val="center"/>
              <w:rPr>
                <w:rFonts w:hint="eastAsia" w:ascii="宋体" w:hAnsi="宋体"/>
                <w:color w:val="000000"/>
                <w:position w:val="-2"/>
                <w:szCs w:val="21"/>
                <w:highlight w:val="none"/>
              </w:rPr>
            </w:pPr>
            <w:r>
              <w:rPr>
                <w:rFonts w:hint="eastAsia" w:ascii="宋体" w:hAnsi="宋体"/>
                <w:color w:val="000000"/>
                <w:position w:val="-2"/>
                <w:szCs w:val="21"/>
                <w:highlight w:val="none"/>
              </w:rPr>
              <w:t>保证金</w:t>
            </w:r>
          </w:p>
        </w:tc>
        <w:tc>
          <w:tcPr>
            <w:tcW w:w="7205" w:type="dxa"/>
            <w:noWrap w:val="0"/>
            <w:vAlign w:val="top"/>
          </w:tcPr>
          <w:p w14:paraId="6EC65247">
            <w:pPr>
              <w:tabs>
                <w:tab w:val="left" w:pos="1305"/>
              </w:tabs>
              <w:spacing w:line="360" w:lineRule="auto"/>
              <w:rPr>
                <w:rFonts w:hint="eastAsia" w:ascii="宋体" w:hAnsi="宋体"/>
                <w:color w:val="000000"/>
                <w:szCs w:val="21"/>
                <w:highlight w:val="none"/>
              </w:rPr>
            </w:pPr>
            <w:r>
              <w:rPr>
                <w:rFonts w:hint="eastAsia" w:ascii="宋体" w:hAnsi="宋体"/>
                <w:color w:val="000000"/>
                <w:szCs w:val="21"/>
                <w:highlight w:val="none"/>
              </w:rPr>
              <w:t>本项目无需缴纳谈判保证金。</w:t>
            </w:r>
          </w:p>
        </w:tc>
      </w:tr>
      <w:tr w14:paraId="0E71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25" w:type="dxa"/>
            <w:noWrap w:val="0"/>
            <w:vAlign w:val="center"/>
          </w:tcPr>
          <w:p w14:paraId="49C6E0CC">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7</w:t>
            </w:r>
          </w:p>
        </w:tc>
        <w:tc>
          <w:tcPr>
            <w:tcW w:w="825" w:type="dxa"/>
            <w:noWrap w:val="0"/>
            <w:vAlign w:val="center"/>
          </w:tcPr>
          <w:p w14:paraId="3B539646">
            <w:pPr>
              <w:spacing w:line="360" w:lineRule="auto"/>
              <w:jc w:val="center"/>
              <w:rPr>
                <w:rFonts w:ascii="宋体" w:hAnsi="宋体"/>
                <w:color w:val="000000"/>
                <w:szCs w:val="21"/>
                <w:highlight w:val="none"/>
              </w:rPr>
            </w:pPr>
            <w:r>
              <w:rPr>
                <w:rFonts w:ascii="宋体" w:hAnsi="宋体"/>
                <w:color w:val="000000"/>
                <w:szCs w:val="21"/>
                <w:highlight w:val="none"/>
              </w:rPr>
              <w:t>16</w:t>
            </w:r>
          </w:p>
        </w:tc>
        <w:tc>
          <w:tcPr>
            <w:tcW w:w="1815" w:type="dxa"/>
            <w:noWrap w:val="0"/>
            <w:vAlign w:val="center"/>
          </w:tcPr>
          <w:p w14:paraId="61E1A132">
            <w:pPr>
              <w:spacing w:line="360" w:lineRule="auto"/>
              <w:jc w:val="center"/>
              <w:rPr>
                <w:rFonts w:ascii="宋体"/>
                <w:color w:val="000000"/>
                <w:szCs w:val="21"/>
                <w:highlight w:val="none"/>
              </w:rPr>
            </w:pPr>
            <w:r>
              <w:rPr>
                <w:rFonts w:hint="eastAsia" w:ascii="宋体" w:hAnsi="宋体"/>
                <w:color w:val="000000"/>
                <w:szCs w:val="21"/>
                <w:highlight w:val="none"/>
              </w:rPr>
              <w:t>响应文件的制作</w:t>
            </w:r>
          </w:p>
        </w:tc>
        <w:tc>
          <w:tcPr>
            <w:tcW w:w="7205" w:type="dxa"/>
            <w:noWrap w:val="0"/>
            <w:vAlign w:val="center"/>
          </w:tcPr>
          <w:p w14:paraId="00BE5029">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16.1电子响应文件中须加盖供应商公章部分均采用 CA 签章，并根据“政府采购项目电子交易管理操作指南-供应商” 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14:paraId="4FAF372F">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16.2 供应商法人（负责人）或授权代表持有广西政府采购云个人CA签章的，应在响应文件中涉及到签字的位置使用个人CA签章，没有办理广西政府采购云个人CA签章的可在响应文件文件中涉及到签字的位置手写签字后扫描或者拍照做成 PDF 的格式上传即可。 </w:t>
            </w:r>
          </w:p>
          <w:p w14:paraId="581340C8">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16.3 响应文件不得涂改，若有修改错漏处，须法定代表人（负责人）或授权委托人签字（或个人CA签章）。响应文件因字迹潦草或表达不清所引起的后果由供应商负责。</w:t>
            </w:r>
          </w:p>
          <w:p w14:paraId="265EBC6C">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16.4评审前准备 </w:t>
            </w:r>
          </w:p>
          <w:p w14:paraId="4B75EB2C">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16.4.1本项目实行网上评审，采用电子响应文件；若供应商参与谈判，自行承担谈判一切费用。 </w:t>
            </w:r>
          </w:p>
          <w:p w14:paraId="23D67227">
            <w:pPr>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16.4.2各供应商在截标前应确保成为广西政府采购云平台正式注册入库供应商，并完成 CA 数字证书申领。因未注册入库、未办理 CA 数字证书等原因造成无法响应或响应失败等后果由供应商自行承担。 </w:t>
            </w:r>
          </w:p>
          <w:p w14:paraId="34FA5830">
            <w:pPr>
              <w:spacing w:line="360" w:lineRule="auto"/>
              <w:rPr>
                <w:rFonts w:ascii="宋体"/>
                <w:color w:val="000000"/>
                <w:szCs w:val="21"/>
                <w:highlight w:val="none"/>
              </w:rPr>
            </w:pPr>
            <w:r>
              <w:rPr>
                <w:rFonts w:hint="eastAsia" w:ascii="宋体" w:hAnsi="宋体" w:cs="宋体"/>
                <w:color w:val="000000"/>
                <w:szCs w:val="21"/>
                <w:highlight w:val="none"/>
              </w:rPr>
              <w:t>16.4.3供应商将广西政府采购云平台客户端下载、安装完成后，可通过账号密码或 CA 登录客户端进行响应文件制作。客户端请至网站下载专区查看，如有问题可拨打广西政府采购云客户服务热线 95763 进行咨询。</w:t>
            </w:r>
          </w:p>
        </w:tc>
      </w:tr>
      <w:tr w14:paraId="3DD6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228D805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8</w:t>
            </w:r>
          </w:p>
        </w:tc>
        <w:tc>
          <w:tcPr>
            <w:tcW w:w="825" w:type="dxa"/>
            <w:noWrap w:val="0"/>
            <w:vAlign w:val="center"/>
          </w:tcPr>
          <w:p w14:paraId="28214E2C">
            <w:pPr>
              <w:spacing w:line="360" w:lineRule="auto"/>
              <w:jc w:val="center"/>
              <w:rPr>
                <w:rFonts w:ascii="宋体" w:hAnsi="宋体"/>
                <w:color w:val="000000"/>
                <w:position w:val="10"/>
                <w:szCs w:val="21"/>
                <w:highlight w:val="none"/>
              </w:rPr>
            </w:pPr>
            <w:r>
              <w:rPr>
                <w:rFonts w:hint="eastAsia" w:ascii="宋体" w:hAnsi="宋体"/>
                <w:color w:val="000000"/>
                <w:position w:val="10"/>
                <w:szCs w:val="21"/>
                <w:highlight w:val="none"/>
              </w:rPr>
              <w:t>17.1</w:t>
            </w:r>
          </w:p>
        </w:tc>
        <w:tc>
          <w:tcPr>
            <w:tcW w:w="1815" w:type="dxa"/>
            <w:noWrap w:val="0"/>
            <w:vAlign w:val="center"/>
          </w:tcPr>
          <w:p w14:paraId="274B55D7">
            <w:pPr>
              <w:spacing w:line="360" w:lineRule="auto"/>
              <w:jc w:val="center"/>
              <w:rPr>
                <w:rFonts w:ascii="宋体"/>
                <w:color w:val="000000"/>
                <w:position w:val="10"/>
                <w:szCs w:val="21"/>
                <w:highlight w:val="none"/>
              </w:rPr>
            </w:pPr>
            <w:r>
              <w:rPr>
                <w:rFonts w:hint="eastAsia" w:ascii="宋体" w:hAnsi="宋体" w:cs="宋体"/>
                <w:color w:val="000000"/>
                <w:szCs w:val="21"/>
                <w:highlight w:val="none"/>
              </w:rPr>
              <w:t>响应文件的补充、修改和撤回</w:t>
            </w:r>
          </w:p>
        </w:tc>
        <w:tc>
          <w:tcPr>
            <w:tcW w:w="7205" w:type="dxa"/>
            <w:noWrap w:val="0"/>
            <w:vAlign w:val="center"/>
          </w:tcPr>
          <w:p w14:paraId="4B0BF538">
            <w:pPr>
              <w:spacing w:line="360" w:lineRule="auto"/>
              <w:rPr>
                <w:rFonts w:ascii="宋体"/>
                <w:color w:val="000000"/>
                <w:szCs w:val="21"/>
                <w:highlight w:val="none"/>
              </w:rPr>
            </w:pPr>
            <w:r>
              <w:rPr>
                <w:rFonts w:hint="eastAsia" w:ascii="宋体" w:hAnsi="宋体" w:cs="宋体"/>
                <w:color w:val="000000"/>
                <w:szCs w:val="21"/>
                <w:highlight w:val="none"/>
              </w:rPr>
              <w:t>17.1 响应文件递交截止时间前可以撤回电子响应文件。补充或者修改电子响应文件的，应当先行撤回原文件，补充、修改后重新传输递交，响应文件递交截止时间前未完成传输的，视为撤回响应文件。</w:t>
            </w:r>
          </w:p>
        </w:tc>
      </w:tr>
      <w:tr w14:paraId="3F65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23DE0394">
            <w:pPr>
              <w:spacing w:line="360" w:lineRule="auto"/>
              <w:jc w:val="center"/>
              <w:rPr>
                <w:rFonts w:ascii="宋体" w:hAnsi="宋体"/>
                <w:color w:val="000000"/>
                <w:szCs w:val="21"/>
                <w:highlight w:val="none"/>
              </w:rPr>
            </w:pPr>
            <w:r>
              <w:rPr>
                <w:rFonts w:hint="eastAsia" w:ascii="宋体" w:hAnsi="宋体"/>
                <w:color w:val="000000"/>
                <w:szCs w:val="21"/>
                <w:highlight w:val="none"/>
              </w:rPr>
              <w:t>9</w:t>
            </w:r>
          </w:p>
        </w:tc>
        <w:tc>
          <w:tcPr>
            <w:tcW w:w="825" w:type="dxa"/>
            <w:noWrap w:val="0"/>
            <w:vAlign w:val="center"/>
          </w:tcPr>
          <w:p w14:paraId="7D045CCA">
            <w:pPr>
              <w:spacing w:line="360" w:lineRule="auto"/>
              <w:jc w:val="center"/>
              <w:rPr>
                <w:rFonts w:ascii="宋体" w:hAnsi="宋体"/>
                <w:color w:val="000000"/>
                <w:szCs w:val="21"/>
                <w:highlight w:val="none"/>
              </w:rPr>
            </w:pPr>
            <w:r>
              <w:rPr>
                <w:rFonts w:hint="eastAsia" w:ascii="宋体" w:hAnsi="宋体"/>
                <w:color w:val="000000"/>
                <w:szCs w:val="21"/>
                <w:highlight w:val="none"/>
              </w:rPr>
              <w:t>18.1</w:t>
            </w:r>
          </w:p>
        </w:tc>
        <w:tc>
          <w:tcPr>
            <w:tcW w:w="1815" w:type="dxa"/>
            <w:noWrap w:val="0"/>
            <w:vAlign w:val="center"/>
          </w:tcPr>
          <w:p w14:paraId="33F4AB43">
            <w:pPr>
              <w:spacing w:line="360" w:lineRule="auto"/>
              <w:jc w:val="center"/>
              <w:rPr>
                <w:rFonts w:ascii="宋体"/>
                <w:color w:val="000000"/>
                <w:szCs w:val="21"/>
                <w:highlight w:val="none"/>
              </w:rPr>
            </w:pPr>
            <w:r>
              <w:rPr>
                <w:rFonts w:hint="eastAsia" w:ascii="宋体" w:hAnsi="宋体" w:cs="宋体"/>
                <w:color w:val="000000"/>
                <w:szCs w:val="21"/>
                <w:highlight w:val="none"/>
              </w:rPr>
              <w:t>响应文件递交</w:t>
            </w:r>
          </w:p>
        </w:tc>
        <w:tc>
          <w:tcPr>
            <w:tcW w:w="7205" w:type="dxa"/>
            <w:noWrap w:val="0"/>
            <w:vAlign w:val="center"/>
          </w:tcPr>
          <w:p w14:paraId="5BEDA9C3">
            <w:pPr>
              <w:spacing w:line="360" w:lineRule="auto"/>
              <w:rPr>
                <w:rFonts w:ascii="宋体"/>
                <w:color w:val="000000"/>
                <w:szCs w:val="21"/>
                <w:highlight w:val="none"/>
              </w:rPr>
            </w:pPr>
            <w:r>
              <w:rPr>
                <w:rFonts w:hint="eastAsia" w:ascii="宋体" w:hAnsi="宋体"/>
                <w:color w:val="000000"/>
                <w:szCs w:val="21"/>
                <w:highlight w:val="none"/>
              </w:rPr>
              <w:t>18.1响应文件递交截止时间：于</w:t>
            </w:r>
            <w:r>
              <w:rPr>
                <w:rFonts w:hint="eastAsia" w:ascii="宋体" w:hAnsi="宋体" w:eastAsia="宋体" w:cs="宋体"/>
                <w:color w:val="000000"/>
                <w:sz w:val="21"/>
                <w:szCs w:val="21"/>
                <w:highlight w:val="none"/>
                <w:u w:val="single"/>
                <w:lang w:eastAsia="zh-CN"/>
              </w:rPr>
              <w:t>2025年</w:t>
            </w:r>
            <w:r>
              <w:rPr>
                <w:rFonts w:hint="eastAsia" w:ascii="宋体" w:hAnsi="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日</w:t>
            </w:r>
            <w:r>
              <w:rPr>
                <w:rFonts w:hint="eastAsia" w:ascii="宋体" w:hAnsi="宋体" w:cs="宋体"/>
                <w:color w:val="000000"/>
                <w:szCs w:val="21"/>
                <w:highlight w:val="none"/>
                <w:u w:val="single"/>
              </w:rPr>
              <w:t>上午9时30分</w:t>
            </w:r>
            <w:r>
              <w:rPr>
                <w:rFonts w:hint="eastAsia" w:ascii="宋体" w:hAnsi="宋体" w:cs="宋体"/>
                <w:color w:val="000000"/>
                <w:szCs w:val="21"/>
                <w:highlight w:val="none"/>
              </w:rPr>
              <w:t>之前将电子</w:t>
            </w:r>
            <w:r>
              <w:rPr>
                <w:rFonts w:hint="eastAsia" w:ascii="宋体" w:hAnsi="宋体"/>
                <w:color w:val="000000"/>
                <w:szCs w:val="21"/>
                <w:highlight w:val="none"/>
              </w:rPr>
              <w:t>响应</w:t>
            </w:r>
            <w:r>
              <w:rPr>
                <w:rFonts w:hint="eastAsia" w:ascii="宋体" w:hAnsi="宋体" w:cs="宋体"/>
                <w:color w:val="000000"/>
                <w:szCs w:val="21"/>
                <w:highlight w:val="none"/>
              </w:rPr>
              <w:t>文件上传到广西政府采购云平台。应按照本项目谈判文件和广西政府采购云平台的要求编制、加密传输</w:t>
            </w:r>
            <w:r>
              <w:rPr>
                <w:rFonts w:hint="eastAsia" w:ascii="宋体" w:hAnsi="宋体"/>
                <w:color w:val="000000"/>
                <w:szCs w:val="21"/>
                <w:highlight w:val="none"/>
              </w:rPr>
              <w:t>响应</w:t>
            </w:r>
            <w:r>
              <w:rPr>
                <w:rFonts w:hint="eastAsia" w:ascii="宋体" w:hAnsi="宋体" w:cs="宋体"/>
                <w:color w:val="000000"/>
                <w:szCs w:val="21"/>
                <w:highlight w:val="none"/>
              </w:rPr>
              <w:t>文件。供应商在使用系统进行投标响应的过程中遇到涉及平台使用的任何问题，可致电广西政府采购云平台技术支持热线咨询，联系方式：95763。</w:t>
            </w:r>
          </w:p>
        </w:tc>
      </w:tr>
      <w:tr w14:paraId="43B4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noWrap w:val="0"/>
            <w:vAlign w:val="center"/>
          </w:tcPr>
          <w:p w14:paraId="39EC37C2">
            <w:pPr>
              <w:spacing w:line="360" w:lineRule="auto"/>
              <w:jc w:val="center"/>
              <w:rPr>
                <w:rFonts w:ascii="宋体" w:hAnsi="宋体"/>
                <w:color w:val="000000"/>
                <w:szCs w:val="21"/>
                <w:highlight w:val="none"/>
              </w:rPr>
            </w:pPr>
            <w:r>
              <w:rPr>
                <w:rFonts w:hint="eastAsia" w:ascii="宋体" w:hAnsi="宋体"/>
                <w:color w:val="000000"/>
                <w:szCs w:val="21"/>
                <w:highlight w:val="none"/>
              </w:rPr>
              <w:t>10</w:t>
            </w:r>
          </w:p>
        </w:tc>
        <w:tc>
          <w:tcPr>
            <w:tcW w:w="825" w:type="dxa"/>
            <w:noWrap w:val="0"/>
            <w:vAlign w:val="center"/>
          </w:tcPr>
          <w:p w14:paraId="30198388">
            <w:pPr>
              <w:spacing w:line="360" w:lineRule="auto"/>
              <w:jc w:val="center"/>
              <w:rPr>
                <w:rFonts w:ascii="宋体" w:hAnsi="宋体"/>
                <w:color w:val="000000"/>
                <w:szCs w:val="21"/>
                <w:highlight w:val="none"/>
              </w:rPr>
            </w:pPr>
            <w:r>
              <w:rPr>
                <w:rFonts w:hint="eastAsia" w:ascii="宋体" w:hAnsi="宋体"/>
                <w:color w:val="000000"/>
                <w:szCs w:val="21"/>
                <w:highlight w:val="none"/>
              </w:rPr>
              <w:t>18.2</w:t>
            </w:r>
          </w:p>
        </w:tc>
        <w:tc>
          <w:tcPr>
            <w:tcW w:w="1815" w:type="dxa"/>
            <w:noWrap w:val="0"/>
            <w:vAlign w:val="center"/>
          </w:tcPr>
          <w:p w14:paraId="71953C45">
            <w:pPr>
              <w:spacing w:line="360" w:lineRule="auto"/>
              <w:jc w:val="center"/>
              <w:rPr>
                <w:rFonts w:ascii="宋体"/>
                <w:color w:val="000000"/>
                <w:szCs w:val="21"/>
                <w:highlight w:val="none"/>
              </w:rPr>
            </w:pPr>
            <w:r>
              <w:rPr>
                <w:rFonts w:hint="eastAsia" w:ascii="宋体" w:hAnsi="宋体" w:cs="宋体"/>
                <w:color w:val="000000"/>
                <w:szCs w:val="21"/>
                <w:highlight w:val="none"/>
              </w:rPr>
              <w:t>响应文件解密</w:t>
            </w:r>
          </w:p>
        </w:tc>
        <w:tc>
          <w:tcPr>
            <w:tcW w:w="7205" w:type="dxa"/>
            <w:noWrap w:val="0"/>
            <w:vAlign w:val="center"/>
          </w:tcPr>
          <w:p w14:paraId="3D21B744">
            <w:pPr>
              <w:pStyle w:val="8"/>
              <w:rPr>
                <w:rFonts w:hint="eastAsia" w:ascii="宋体" w:hAnsi="宋体" w:cs="宋体"/>
                <w:color w:val="000000"/>
                <w:highlight w:val="none"/>
              </w:rPr>
            </w:pPr>
            <w:r>
              <w:rPr>
                <w:rFonts w:hint="eastAsia" w:ascii="宋体" w:hAnsi="宋体" w:cs="宋体"/>
                <w:color w:val="000000"/>
                <w:szCs w:val="21"/>
                <w:highlight w:val="none"/>
              </w:rPr>
              <w:t>18.2</w:t>
            </w:r>
            <w:r>
              <w:rPr>
                <w:rFonts w:hint="eastAsia" w:ascii="宋体" w:hAnsi="宋体" w:cs="宋体"/>
                <w:color w:val="000000"/>
                <w:highlight w:val="none"/>
              </w:rPr>
              <w:t>响应文件解密时间：截标时间后</w:t>
            </w:r>
            <w:r>
              <w:rPr>
                <w:rFonts w:hint="eastAsia" w:ascii="宋体" w:hAnsi="宋体" w:cs="宋体"/>
                <w:color w:val="000000"/>
                <w:highlight w:val="none"/>
                <w:u w:val="single"/>
              </w:rPr>
              <w:t>30</w:t>
            </w:r>
            <w:r>
              <w:rPr>
                <w:rFonts w:hint="eastAsia" w:ascii="宋体" w:hAnsi="宋体" w:cs="宋体"/>
                <w:color w:val="000000"/>
                <w:highlight w:val="none"/>
              </w:rPr>
              <w:t>分钟内（</w:t>
            </w:r>
            <w:r>
              <w:rPr>
                <w:rFonts w:hint="eastAsia" w:ascii="宋体" w:hAnsi="宋体" w:eastAsia="宋体" w:cs="宋体"/>
                <w:color w:val="000000"/>
                <w:sz w:val="21"/>
                <w:szCs w:val="21"/>
                <w:highlight w:val="none"/>
                <w:u w:val="single"/>
                <w:lang w:eastAsia="zh-CN"/>
              </w:rPr>
              <w:t>2025年</w:t>
            </w:r>
            <w:r>
              <w:rPr>
                <w:rFonts w:hint="eastAsia" w:ascii="宋体" w:hAnsi="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日</w:t>
            </w:r>
            <w:r>
              <w:rPr>
                <w:rFonts w:hint="eastAsia" w:ascii="宋体" w:hAnsi="宋体" w:cs="宋体"/>
                <w:color w:val="000000"/>
                <w:highlight w:val="none"/>
                <w:u w:val="single"/>
              </w:rPr>
              <w:t>上午9时30分至10时00分</w:t>
            </w:r>
            <w:r>
              <w:rPr>
                <w:rFonts w:hint="eastAsia" w:ascii="宋体" w:hAnsi="宋体" w:cs="宋体"/>
                <w:color w:val="000000"/>
                <w:highlight w:val="none"/>
              </w:rPr>
              <w:t>)供应商可以登录广西政府采购云平台，用“项目采购-开标评标”功能进行解密响应文件。</w:t>
            </w:r>
          </w:p>
          <w:p w14:paraId="0CC3CDA4">
            <w:pPr>
              <w:pStyle w:val="8"/>
              <w:rPr>
                <w:rFonts w:ascii="宋体"/>
                <w:color w:val="000000"/>
                <w:szCs w:val="21"/>
                <w:highlight w:val="none"/>
              </w:rPr>
            </w:pPr>
            <w:r>
              <w:rPr>
                <w:rFonts w:hint="eastAsia" w:ascii="宋体"/>
                <w:b/>
                <w:bCs/>
                <w:color w:val="000000"/>
                <w:szCs w:val="21"/>
                <w:highlight w:val="none"/>
              </w:rPr>
              <w:t>注：响应文件网上递交截止时间后，各供应商须在解密时限内对上传广西政府采购云平台的响应文件进行解密，所有供应商在规定的解密时限内解密完成或解密时限结束后，我中心开启已解密的响应文件。若供应商在规定时间内无法解密或解密失败，可以以电子备份响应文件作为依据【在接到无法解密或解密失败的通知后，供应商可根据自身实际情况按通知时要求的时间到桂林市公共资源交易中心</w:t>
            </w:r>
            <w:r>
              <w:rPr>
                <w:rFonts w:hint="eastAsia" w:ascii="宋体"/>
                <w:b/>
                <w:bCs/>
                <w:color w:val="000000"/>
                <w:szCs w:val="21"/>
                <w:highlight w:val="none"/>
                <w:lang w:val="en-US" w:eastAsia="zh-CN"/>
              </w:rPr>
              <w:t xml:space="preserve"> 7 </w:t>
            </w:r>
            <w:r>
              <w:rPr>
                <w:rFonts w:hint="eastAsia" w:ascii="宋体"/>
                <w:b/>
                <w:bCs/>
                <w:color w:val="000000"/>
                <w:szCs w:val="21"/>
                <w:highlight w:val="none"/>
              </w:rPr>
              <w:t>号</w:t>
            </w:r>
            <w:r>
              <w:rPr>
                <w:rFonts w:hint="eastAsia" w:ascii="宋体"/>
                <w:b/>
                <w:bCs/>
                <w:color w:val="000000"/>
                <w:szCs w:val="21"/>
                <w:highlight w:val="none"/>
              </w:rPr>
              <w:t>政府采购开标仓现场提交或以电子邮件的形式（以通知时所告知的电子邮箱地址为准）提交电子备份响应文件】，若供应商在规定时间内无法解密或解密失败且未提供电子备份响应文件的(包含提供的电子备份文件无效或无法解密的情况)，视为投标无效。解密响应文件后，30分钟内在线签字确认，超过时间没有在线签字确认的系统将自动视为供应商认可。</w:t>
            </w:r>
          </w:p>
        </w:tc>
      </w:tr>
      <w:tr w14:paraId="53B6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25" w:type="dxa"/>
            <w:noWrap w:val="0"/>
            <w:vAlign w:val="center"/>
          </w:tcPr>
          <w:p w14:paraId="6E65D926">
            <w:pPr>
              <w:spacing w:line="360" w:lineRule="auto"/>
              <w:jc w:val="center"/>
              <w:rPr>
                <w:rFonts w:ascii="宋体" w:hAnsi="宋体"/>
                <w:color w:val="000000"/>
                <w:szCs w:val="21"/>
                <w:highlight w:val="none"/>
              </w:rPr>
            </w:pPr>
            <w:r>
              <w:rPr>
                <w:rFonts w:hint="eastAsia" w:ascii="宋体" w:hAnsi="宋体"/>
                <w:color w:val="000000"/>
                <w:szCs w:val="21"/>
                <w:highlight w:val="none"/>
              </w:rPr>
              <w:t>11</w:t>
            </w:r>
          </w:p>
        </w:tc>
        <w:tc>
          <w:tcPr>
            <w:tcW w:w="825" w:type="dxa"/>
            <w:noWrap w:val="0"/>
            <w:vAlign w:val="center"/>
          </w:tcPr>
          <w:p w14:paraId="462577E5">
            <w:pPr>
              <w:spacing w:line="360" w:lineRule="auto"/>
              <w:ind w:firstLine="105" w:firstLineChars="50"/>
              <w:jc w:val="center"/>
              <w:rPr>
                <w:rFonts w:ascii="宋体" w:hAnsi="宋体"/>
                <w:color w:val="000000"/>
                <w:position w:val="-2"/>
                <w:szCs w:val="21"/>
                <w:highlight w:val="none"/>
              </w:rPr>
            </w:pPr>
            <w:r>
              <w:rPr>
                <w:rFonts w:hint="eastAsia" w:ascii="宋体" w:hAnsi="宋体"/>
                <w:color w:val="000000"/>
                <w:position w:val="-2"/>
                <w:szCs w:val="21"/>
                <w:highlight w:val="none"/>
              </w:rPr>
              <w:t>19</w:t>
            </w:r>
            <w:r>
              <w:rPr>
                <w:rFonts w:ascii="宋体" w:hAnsi="宋体"/>
                <w:color w:val="000000"/>
                <w:position w:val="-2"/>
                <w:szCs w:val="21"/>
                <w:highlight w:val="none"/>
              </w:rPr>
              <w:t>.1</w:t>
            </w:r>
          </w:p>
        </w:tc>
        <w:tc>
          <w:tcPr>
            <w:tcW w:w="1815" w:type="dxa"/>
            <w:noWrap w:val="0"/>
            <w:vAlign w:val="center"/>
          </w:tcPr>
          <w:p w14:paraId="2B82AF30">
            <w:pPr>
              <w:spacing w:line="360" w:lineRule="auto"/>
              <w:jc w:val="center"/>
              <w:rPr>
                <w:rFonts w:ascii="宋体"/>
                <w:color w:val="000000"/>
                <w:szCs w:val="21"/>
                <w:highlight w:val="none"/>
              </w:rPr>
            </w:pPr>
            <w:r>
              <w:rPr>
                <w:rFonts w:hint="eastAsia" w:ascii="宋体" w:hAnsi="宋体"/>
                <w:color w:val="000000"/>
                <w:szCs w:val="21"/>
                <w:highlight w:val="none"/>
              </w:rPr>
              <w:t>谈判小组组成</w:t>
            </w:r>
          </w:p>
        </w:tc>
        <w:tc>
          <w:tcPr>
            <w:tcW w:w="7205" w:type="dxa"/>
            <w:noWrap w:val="0"/>
            <w:vAlign w:val="center"/>
          </w:tcPr>
          <w:p w14:paraId="309D1E71">
            <w:pPr>
              <w:spacing w:line="360" w:lineRule="auto"/>
              <w:ind w:left="15" w:hanging="14" w:hangingChars="7"/>
              <w:rPr>
                <w:rFonts w:ascii="宋体"/>
                <w:color w:val="000000"/>
                <w:szCs w:val="21"/>
                <w:highlight w:val="none"/>
              </w:rPr>
            </w:pPr>
            <w:r>
              <w:rPr>
                <w:rFonts w:hint="eastAsia" w:ascii="宋体" w:hAnsi="宋体"/>
                <w:color w:val="000000"/>
                <w:szCs w:val="21"/>
                <w:highlight w:val="none"/>
              </w:rPr>
              <w:t>谈判及评审工作由采购代理机构负责组织，具体谈判、评审工作由依法组建的谈判小组负责，谈判小组由采购人代表和有关方面的专家组成。谈判小组的构成：</w:t>
            </w:r>
            <w:r>
              <w:rPr>
                <w:rFonts w:ascii="宋体" w:hAnsi="宋体"/>
                <w:color w:val="000000"/>
                <w:szCs w:val="21"/>
                <w:highlight w:val="none"/>
                <w:u w:val="single"/>
              </w:rPr>
              <w:t xml:space="preserve">3 </w:t>
            </w:r>
            <w:r>
              <w:rPr>
                <w:rFonts w:hint="eastAsia" w:ascii="宋体" w:hAnsi="宋体"/>
                <w:color w:val="000000"/>
                <w:szCs w:val="21"/>
                <w:highlight w:val="none"/>
              </w:rPr>
              <w:t>人，其中采购人代表</w:t>
            </w:r>
            <w:r>
              <w:rPr>
                <w:rFonts w:ascii="宋体" w:hAnsi="宋体"/>
                <w:color w:val="000000"/>
                <w:szCs w:val="21"/>
                <w:highlight w:val="none"/>
                <w:u w:val="single"/>
              </w:rPr>
              <w:t xml:space="preserve"> 1 </w:t>
            </w:r>
            <w:r>
              <w:rPr>
                <w:rFonts w:hint="eastAsia" w:ascii="宋体" w:hAnsi="宋体"/>
                <w:color w:val="000000"/>
                <w:szCs w:val="21"/>
                <w:highlight w:val="none"/>
              </w:rPr>
              <w:t>人，专家</w:t>
            </w:r>
            <w:r>
              <w:rPr>
                <w:rFonts w:ascii="宋体" w:hAnsi="宋体"/>
                <w:color w:val="000000"/>
                <w:szCs w:val="21"/>
                <w:highlight w:val="none"/>
                <w:u w:val="single"/>
              </w:rPr>
              <w:t xml:space="preserve"> 2</w:t>
            </w:r>
            <w:r>
              <w:rPr>
                <w:rFonts w:hint="eastAsia" w:ascii="宋体" w:hAnsi="宋体"/>
                <w:color w:val="000000"/>
                <w:szCs w:val="21"/>
                <w:highlight w:val="none"/>
              </w:rPr>
              <w:t>人。</w:t>
            </w:r>
          </w:p>
        </w:tc>
      </w:tr>
      <w:tr w14:paraId="32A3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5" w:type="dxa"/>
            <w:noWrap w:val="0"/>
            <w:vAlign w:val="center"/>
          </w:tcPr>
          <w:p w14:paraId="07EA0476">
            <w:pPr>
              <w:spacing w:line="360" w:lineRule="auto"/>
              <w:jc w:val="center"/>
              <w:rPr>
                <w:rFonts w:ascii="宋体" w:hAnsi="宋体"/>
                <w:color w:val="000000"/>
                <w:szCs w:val="21"/>
                <w:highlight w:val="none"/>
              </w:rPr>
            </w:pPr>
            <w:r>
              <w:rPr>
                <w:rFonts w:hint="eastAsia" w:ascii="宋体" w:hAnsi="宋体"/>
                <w:color w:val="000000"/>
                <w:szCs w:val="21"/>
                <w:highlight w:val="none"/>
              </w:rPr>
              <w:t>12</w:t>
            </w:r>
          </w:p>
        </w:tc>
        <w:tc>
          <w:tcPr>
            <w:tcW w:w="825" w:type="dxa"/>
            <w:noWrap w:val="0"/>
            <w:vAlign w:val="center"/>
          </w:tcPr>
          <w:p w14:paraId="784E2195">
            <w:pPr>
              <w:spacing w:line="360" w:lineRule="auto"/>
              <w:jc w:val="center"/>
              <w:rPr>
                <w:rFonts w:ascii="宋体" w:hAnsi="宋体"/>
                <w:color w:val="000000"/>
                <w:szCs w:val="21"/>
                <w:highlight w:val="none"/>
              </w:rPr>
            </w:pPr>
            <w:r>
              <w:rPr>
                <w:rFonts w:hint="eastAsia" w:ascii="宋体" w:hAnsi="宋体"/>
                <w:color w:val="000000"/>
                <w:szCs w:val="21"/>
                <w:highlight w:val="none"/>
              </w:rPr>
              <w:t>19</w:t>
            </w:r>
            <w:r>
              <w:rPr>
                <w:rFonts w:ascii="宋体" w:hAnsi="宋体"/>
                <w:color w:val="000000"/>
                <w:szCs w:val="21"/>
                <w:highlight w:val="none"/>
              </w:rPr>
              <w:t>.2</w:t>
            </w:r>
          </w:p>
        </w:tc>
        <w:tc>
          <w:tcPr>
            <w:tcW w:w="1815" w:type="dxa"/>
            <w:noWrap w:val="0"/>
            <w:vAlign w:val="center"/>
          </w:tcPr>
          <w:p w14:paraId="0DF939E2">
            <w:pPr>
              <w:spacing w:line="360" w:lineRule="auto"/>
              <w:jc w:val="center"/>
              <w:rPr>
                <w:rFonts w:ascii="宋体"/>
                <w:color w:val="000000"/>
                <w:szCs w:val="21"/>
                <w:highlight w:val="none"/>
              </w:rPr>
            </w:pPr>
            <w:r>
              <w:rPr>
                <w:rFonts w:hint="eastAsia" w:ascii="宋体" w:hAnsi="宋体"/>
                <w:color w:val="000000"/>
                <w:szCs w:val="21"/>
                <w:highlight w:val="none"/>
              </w:rPr>
              <w:t>谈判时间、地点、人员</w:t>
            </w:r>
          </w:p>
        </w:tc>
        <w:tc>
          <w:tcPr>
            <w:tcW w:w="7205" w:type="dxa"/>
            <w:noWrap w:val="0"/>
            <w:vAlign w:val="top"/>
          </w:tcPr>
          <w:p w14:paraId="693AC3AB">
            <w:pPr>
              <w:spacing w:line="360" w:lineRule="auto"/>
              <w:ind w:left="315" w:hanging="315" w:hangingChars="150"/>
              <w:jc w:val="left"/>
              <w:rPr>
                <w:rFonts w:ascii="宋体"/>
                <w:color w:val="000000"/>
                <w:szCs w:val="21"/>
                <w:highlight w:val="none"/>
              </w:rPr>
            </w:pPr>
            <w:r>
              <w:rPr>
                <w:rFonts w:hint="eastAsia" w:ascii="宋体" w:hAnsi="宋体"/>
                <w:color w:val="000000"/>
                <w:szCs w:val="21"/>
                <w:highlight w:val="none"/>
              </w:rPr>
              <w:t>19</w:t>
            </w:r>
            <w:r>
              <w:rPr>
                <w:rFonts w:ascii="宋体" w:hAnsi="宋体"/>
                <w:color w:val="000000"/>
                <w:szCs w:val="21"/>
                <w:highlight w:val="none"/>
              </w:rPr>
              <w:t>.2.1</w:t>
            </w:r>
            <w:r>
              <w:rPr>
                <w:rFonts w:hint="eastAsia" w:ascii="宋体" w:hAnsi="宋体"/>
                <w:color w:val="000000"/>
                <w:szCs w:val="21"/>
                <w:highlight w:val="none"/>
              </w:rPr>
              <w:t>谈判时间：响应文件递交截止时间后。</w:t>
            </w:r>
          </w:p>
          <w:p w14:paraId="2C840BBC">
            <w:pPr>
              <w:spacing w:line="360" w:lineRule="auto"/>
              <w:jc w:val="left"/>
              <w:rPr>
                <w:rFonts w:ascii="宋体"/>
                <w:b/>
                <w:bCs/>
                <w:color w:val="000000"/>
                <w:szCs w:val="21"/>
                <w:highlight w:val="none"/>
              </w:rPr>
            </w:pPr>
            <w:r>
              <w:rPr>
                <w:rFonts w:hint="eastAsia" w:ascii="宋体" w:hAnsi="宋体"/>
                <w:color w:val="000000"/>
                <w:szCs w:val="21"/>
                <w:highlight w:val="none"/>
              </w:rPr>
              <w:t>19</w:t>
            </w:r>
            <w:r>
              <w:rPr>
                <w:rFonts w:ascii="宋体" w:hAnsi="宋体"/>
                <w:color w:val="000000"/>
                <w:szCs w:val="21"/>
                <w:highlight w:val="none"/>
              </w:rPr>
              <w:t>.2.2</w:t>
            </w:r>
            <w:r>
              <w:rPr>
                <w:rFonts w:hint="eastAsia" w:ascii="宋体" w:hAnsi="宋体"/>
                <w:color w:val="000000"/>
                <w:szCs w:val="21"/>
                <w:highlight w:val="none"/>
              </w:rPr>
              <w:t>谈判地点：</w:t>
            </w:r>
            <w:r>
              <w:rPr>
                <w:rFonts w:hint="eastAsia" w:ascii="宋体" w:hAnsi="宋体" w:cs="宋体"/>
                <w:b/>
                <w:bCs/>
                <w:color w:val="000000"/>
                <w:szCs w:val="21"/>
                <w:highlight w:val="none"/>
              </w:rPr>
              <w:t>通过广西政府采购云平台在线谈判</w:t>
            </w:r>
            <w:r>
              <w:rPr>
                <w:rFonts w:hint="eastAsia" w:ascii="宋体" w:hAnsi="宋体"/>
                <w:b/>
                <w:bCs/>
                <w:color w:val="000000"/>
                <w:szCs w:val="21"/>
                <w:highlight w:val="none"/>
              </w:rPr>
              <w:t>。</w:t>
            </w:r>
          </w:p>
          <w:p w14:paraId="600AC45F">
            <w:pPr>
              <w:spacing w:line="360" w:lineRule="auto"/>
              <w:ind w:left="15" w:hanging="14" w:hangingChars="7"/>
              <w:jc w:val="left"/>
              <w:rPr>
                <w:rFonts w:ascii="宋体"/>
                <w:color w:val="000000"/>
                <w:szCs w:val="21"/>
                <w:highlight w:val="none"/>
              </w:rPr>
            </w:pPr>
            <w:r>
              <w:rPr>
                <w:rFonts w:hint="eastAsia" w:ascii="宋体" w:hAnsi="宋体"/>
                <w:color w:val="000000"/>
                <w:szCs w:val="21"/>
                <w:highlight w:val="none"/>
              </w:rPr>
              <w:t>19</w:t>
            </w:r>
            <w:r>
              <w:rPr>
                <w:rFonts w:ascii="宋体" w:hAnsi="宋体"/>
                <w:color w:val="000000"/>
                <w:szCs w:val="21"/>
                <w:highlight w:val="none"/>
              </w:rPr>
              <w:t>.2.3</w:t>
            </w:r>
            <w:r>
              <w:rPr>
                <w:rFonts w:hint="eastAsia" w:ascii="宋体" w:hAnsi="宋体"/>
                <w:color w:val="000000"/>
                <w:szCs w:val="21"/>
                <w:highlight w:val="none"/>
              </w:rPr>
              <w:t>谈判参加人员：供应商法定代表人、负责人、自然人或相应的委托代理人持有</w:t>
            </w:r>
            <w:r>
              <w:rPr>
                <w:rFonts w:hint="eastAsia" w:ascii="宋体" w:hAnsi="宋体"/>
                <w:color w:val="000000"/>
                <w:szCs w:val="21"/>
                <w:highlight w:val="none"/>
                <w:u w:val="single"/>
              </w:rPr>
              <w:t>效身份证原件和供应商广西政府采购云平台CA数字证书</w:t>
            </w:r>
            <w:r>
              <w:rPr>
                <w:rFonts w:hint="eastAsia" w:ascii="宋体" w:hAnsi="宋体"/>
                <w:color w:val="000000"/>
                <w:szCs w:val="21"/>
                <w:highlight w:val="none"/>
              </w:rPr>
              <w:t>参加谈判。请供应商及时登陆广西政府采购云平台等候谈判。</w:t>
            </w:r>
          </w:p>
          <w:p w14:paraId="246B621B">
            <w:pPr>
              <w:tabs>
                <w:tab w:val="left" w:pos="1140"/>
              </w:tabs>
              <w:spacing w:line="360" w:lineRule="auto"/>
              <w:jc w:val="left"/>
              <w:rPr>
                <w:rFonts w:ascii="宋体"/>
                <w:color w:val="000000"/>
                <w:szCs w:val="21"/>
                <w:highlight w:val="none"/>
              </w:rPr>
            </w:pPr>
            <w:r>
              <w:rPr>
                <w:rFonts w:hint="eastAsia" w:ascii="宋体" w:hAnsi="宋体"/>
                <w:color w:val="000000"/>
                <w:szCs w:val="21"/>
                <w:highlight w:val="none"/>
              </w:rPr>
              <w:t>19</w:t>
            </w:r>
            <w:r>
              <w:rPr>
                <w:rFonts w:ascii="宋体" w:hAnsi="宋体"/>
                <w:color w:val="000000"/>
                <w:szCs w:val="21"/>
                <w:highlight w:val="none"/>
              </w:rPr>
              <w:t>.2.4</w:t>
            </w:r>
            <w:r>
              <w:rPr>
                <w:rFonts w:hint="eastAsia" w:ascii="宋体" w:hAnsi="宋体"/>
                <w:color w:val="000000"/>
                <w:szCs w:val="21"/>
                <w:highlight w:val="none"/>
              </w:rPr>
              <w:t>响应文件递交截止时间后，由谈判小组在评标室内开启响应文件。</w:t>
            </w:r>
          </w:p>
        </w:tc>
      </w:tr>
      <w:tr w14:paraId="02D3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noWrap w:val="0"/>
            <w:vAlign w:val="center"/>
          </w:tcPr>
          <w:p w14:paraId="38C8822A">
            <w:pPr>
              <w:spacing w:line="360" w:lineRule="auto"/>
              <w:jc w:val="center"/>
              <w:rPr>
                <w:rFonts w:ascii="宋体"/>
                <w:color w:val="000000"/>
                <w:szCs w:val="21"/>
                <w:highlight w:val="none"/>
              </w:rPr>
            </w:pPr>
            <w:r>
              <w:rPr>
                <w:rFonts w:hint="eastAsia" w:ascii="宋体" w:hAnsi="宋体" w:cs="Arial"/>
                <w:color w:val="000000"/>
                <w:kern w:val="0"/>
                <w:szCs w:val="21"/>
                <w:highlight w:val="none"/>
              </w:rPr>
              <w:t>13</w:t>
            </w:r>
          </w:p>
        </w:tc>
        <w:tc>
          <w:tcPr>
            <w:tcW w:w="825" w:type="dxa"/>
            <w:noWrap w:val="0"/>
            <w:vAlign w:val="center"/>
          </w:tcPr>
          <w:p w14:paraId="4BE04798">
            <w:pPr>
              <w:spacing w:line="360" w:lineRule="auto"/>
              <w:jc w:val="center"/>
              <w:rPr>
                <w:rFonts w:ascii="宋体" w:hAnsi="宋体"/>
                <w:color w:val="000000"/>
                <w:szCs w:val="21"/>
                <w:highlight w:val="none"/>
              </w:rPr>
            </w:pPr>
            <w:r>
              <w:rPr>
                <w:rFonts w:hint="eastAsia" w:ascii="宋体" w:hAnsi="宋体"/>
                <w:color w:val="000000"/>
                <w:szCs w:val="21"/>
                <w:highlight w:val="none"/>
              </w:rPr>
              <w:t>20</w:t>
            </w:r>
            <w:r>
              <w:rPr>
                <w:rFonts w:ascii="宋体" w:hAnsi="宋体"/>
                <w:color w:val="000000"/>
                <w:szCs w:val="21"/>
                <w:highlight w:val="none"/>
              </w:rPr>
              <w:t>.2</w:t>
            </w:r>
          </w:p>
        </w:tc>
        <w:tc>
          <w:tcPr>
            <w:tcW w:w="1815" w:type="dxa"/>
            <w:noWrap w:val="0"/>
            <w:vAlign w:val="center"/>
          </w:tcPr>
          <w:p w14:paraId="72C0AEEF">
            <w:pPr>
              <w:pStyle w:val="11"/>
              <w:spacing w:line="360" w:lineRule="auto"/>
              <w:jc w:val="center"/>
              <w:rPr>
                <w:rFonts w:hAnsi="宋体" w:cs="Arial"/>
                <w:color w:val="000000"/>
                <w:sz w:val="21"/>
                <w:highlight w:val="none"/>
              </w:rPr>
            </w:pPr>
            <w:r>
              <w:rPr>
                <w:rFonts w:hint="eastAsia" w:hAnsi="宋体" w:cs="Arial"/>
                <w:color w:val="000000"/>
                <w:sz w:val="21"/>
                <w:highlight w:val="none"/>
              </w:rPr>
              <w:t>评审办法</w:t>
            </w:r>
          </w:p>
        </w:tc>
        <w:tc>
          <w:tcPr>
            <w:tcW w:w="7205" w:type="dxa"/>
            <w:noWrap w:val="0"/>
            <w:vAlign w:val="center"/>
          </w:tcPr>
          <w:p w14:paraId="3DA9EA95">
            <w:pPr>
              <w:tabs>
                <w:tab w:val="left" w:pos="1140"/>
              </w:tabs>
              <w:spacing w:line="360" w:lineRule="auto"/>
              <w:rPr>
                <w:rFonts w:ascii="宋体"/>
                <w:color w:val="000000"/>
                <w:szCs w:val="21"/>
                <w:highlight w:val="none"/>
              </w:rPr>
            </w:pPr>
            <w:r>
              <w:rPr>
                <w:rFonts w:hint="eastAsia" w:ascii="宋体" w:hAnsi="宋体"/>
                <w:color w:val="000000"/>
                <w:szCs w:val="21"/>
                <w:highlight w:val="none"/>
              </w:rPr>
              <w:t>具体详见第四章评审办法。</w:t>
            </w:r>
          </w:p>
        </w:tc>
      </w:tr>
      <w:tr w14:paraId="1369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noWrap w:val="0"/>
            <w:vAlign w:val="center"/>
          </w:tcPr>
          <w:p w14:paraId="4B872E33">
            <w:pPr>
              <w:spacing w:line="360" w:lineRule="auto"/>
              <w:jc w:val="center"/>
              <w:rPr>
                <w:rFonts w:ascii="宋体" w:hAnsi="宋体"/>
                <w:color w:val="000000"/>
                <w:szCs w:val="21"/>
                <w:highlight w:val="none"/>
              </w:rPr>
            </w:pPr>
            <w:r>
              <w:rPr>
                <w:rFonts w:hint="eastAsia" w:ascii="宋体" w:hAnsi="宋体"/>
                <w:color w:val="000000"/>
                <w:szCs w:val="21"/>
                <w:highlight w:val="none"/>
              </w:rPr>
              <w:t>14</w:t>
            </w:r>
          </w:p>
        </w:tc>
        <w:tc>
          <w:tcPr>
            <w:tcW w:w="825" w:type="dxa"/>
            <w:noWrap w:val="0"/>
            <w:vAlign w:val="center"/>
          </w:tcPr>
          <w:p w14:paraId="73496246">
            <w:pPr>
              <w:spacing w:line="360" w:lineRule="auto"/>
              <w:jc w:val="center"/>
              <w:rPr>
                <w:rFonts w:ascii="宋体" w:hAnsi="宋体"/>
                <w:color w:val="000000"/>
                <w:szCs w:val="21"/>
                <w:highlight w:val="none"/>
              </w:rPr>
            </w:pPr>
            <w:r>
              <w:rPr>
                <w:rFonts w:hint="eastAsia" w:ascii="宋体" w:hAnsi="宋体"/>
                <w:color w:val="000000"/>
                <w:szCs w:val="21"/>
                <w:highlight w:val="none"/>
              </w:rPr>
              <w:t>26</w:t>
            </w:r>
          </w:p>
        </w:tc>
        <w:tc>
          <w:tcPr>
            <w:tcW w:w="1815" w:type="dxa"/>
            <w:noWrap w:val="0"/>
            <w:vAlign w:val="center"/>
          </w:tcPr>
          <w:p w14:paraId="5FA6046D">
            <w:pPr>
              <w:spacing w:line="360" w:lineRule="auto"/>
              <w:jc w:val="center"/>
              <w:rPr>
                <w:rFonts w:ascii="宋体"/>
                <w:color w:val="000000"/>
                <w:szCs w:val="21"/>
                <w:highlight w:val="none"/>
              </w:rPr>
            </w:pPr>
            <w:r>
              <w:rPr>
                <w:rFonts w:hint="eastAsia" w:ascii="宋体" w:hAnsi="宋体"/>
                <w:color w:val="000000"/>
                <w:szCs w:val="21"/>
                <w:highlight w:val="none"/>
              </w:rPr>
              <w:t>信用查询</w:t>
            </w:r>
          </w:p>
        </w:tc>
        <w:tc>
          <w:tcPr>
            <w:tcW w:w="7205" w:type="dxa"/>
            <w:noWrap w:val="0"/>
            <w:vAlign w:val="center"/>
          </w:tcPr>
          <w:p w14:paraId="16D12E7E">
            <w:pPr>
              <w:spacing w:line="360" w:lineRule="auto"/>
              <w:ind w:left="15" w:hanging="14" w:hangingChars="7"/>
              <w:rPr>
                <w:rFonts w:ascii="宋体"/>
                <w:color w:val="000000"/>
                <w:szCs w:val="21"/>
                <w:highlight w:val="none"/>
              </w:rPr>
            </w:pPr>
            <w:r>
              <w:rPr>
                <w:rFonts w:hint="eastAsia" w:ascii="宋体" w:hAnsi="宋体"/>
                <w:color w:val="000000"/>
                <w:szCs w:val="21"/>
                <w:highlight w:val="none"/>
              </w:rPr>
              <w:t>根据《关于做好政府采购有关信用主体标识码登记及在政府采购活动中查询使用信用记录有关问题的通知》（桂财采〔</w:t>
            </w:r>
            <w:r>
              <w:rPr>
                <w:rFonts w:ascii="宋体" w:hAnsi="宋体"/>
                <w:color w:val="000000"/>
                <w:szCs w:val="21"/>
                <w:highlight w:val="none"/>
              </w:rPr>
              <w:t>2016</w:t>
            </w:r>
            <w:r>
              <w:rPr>
                <w:rFonts w:hint="eastAsia" w:ascii="宋体" w:hAnsi="宋体"/>
                <w:color w:val="000000"/>
                <w:szCs w:val="21"/>
                <w:highlight w:val="none"/>
              </w:rPr>
              <w:t>〕</w:t>
            </w:r>
            <w:r>
              <w:rPr>
                <w:rFonts w:ascii="宋体" w:hAnsi="宋体"/>
                <w:color w:val="000000"/>
                <w:szCs w:val="21"/>
                <w:highlight w:val="none"/>
              </w:rPr>
              <w:t>37</w:t>
            </w:r>
            <w:r>
              <w:rPr>
                <w:rFonts w:hint="eastAsia" w:ascii="宋体" w:hAnsi="宋体"/>
                <w:color w:val="000000"/>
                <w:szCs w:val="21"/>
                <w:highlight w:val="none"/>
              </w:rPr>
              <w:t>号），由采购代理机构对第一成交候选人进行信用查询：</w:t>
            </w:r>
          </w:p>
          <w:p w14:paraId="31F037D4">
            <w:pPr>
              <w:spacing w:line="360" w:lineRule="auto"/>
              <w:ind w:left="15" w:hanging="14" w:hangingChars="7"/>
              <w:rPr>
                <w:rFonts w:ascii="宋体"/>
                <w:color w:val="000000"/>
                <w:szCs w:val="21"/>
                <w:highlight w:val="none"/>
              </w:rPr>
            </w:pPr>
            <w:r>
              <w:rPr>
                <w:rFonts w:hint="eastAsia" w:ascii="宋体" w:hAnsi="宋体"/>
                <w:color w:val="000000"/>
                <w:szCs w:val="21"/>
                <w:highlight w:val="none"/>
              </w:rPr>
              <w:t>⑴查询渠道：“信用中国”网站</w:t>
            </w:r>
            <w:r>
              <w:rPr>
                <w:rFonts w:ascii="宋体" w:hAnsi="宋体"/>
                <w:color w:val="000000"/>
                <w:szCs w:val="21"/>
                <w:highlight w:val="none"/>
              </w:rPr>
              <w:t>(www.creditchina.gov.cn)</w:t>
            </w:r>
            <w:r>
              <w:rPr>
                <w:rFonts w:hint="eastAsia" w:ascii="宋体" w:hAnsi="宋体"/>
                <w:color w:val="000000"/>
                <w:szCs w:val="21"/>
                <w:highlight w:val="none"/>
              </w:rPr>
              <w:t>、中国政府采购网</w:t>
            </w:r>
            <w:r>
              <w:rPr>
                <w:rFonts w:ascii="宋体" w:hAnsi="宋体"/>
                <w:color w:val="000000"/>
                <w:szCs w:val="21"/>
                <w:highlight w:val="none"/>
              </w:rPr>
              <w:t>(www.ccgp.gov.cn)</w:t>
            </w:r>
            <w:r>
              <w:rPr>
                <w:rFonts w:hint="eastAsia" w:ascii="宋体" w:hAnsi="宋体"/>
                <w:color w:val="000000"/>
                <w:szCs w:val="21"/>
                <w:highlight w:val="none"/>
              </w:rPr>
              <w:t>等；</w:t>
            </w:r>
          </w:p>
          <w:p w14:paraId="1EEEB691">
            <w:pPr>
              <w:spacing w:line="360" w:lineRule="auto"/>
              <w:ind w:left="315" w:hanging="315" w:hangingChars="150"/>
              <w:rPr>
                <w:rFonts w:ascii="宋体"/>
                <w:color w:val="000000"/>
                <w:szCs w:val="21"/>
                <w:highlight w:val="none"/>
              </w:rPr>
            </w:pPr>
            <w:r>
              <w:rPr>
                <w:rFonts w:hint="eastAsia" w:ascii="宋体" w:hAnsi="宋体"/>
                <w:color w:val="000000"/>
                <w:szCs w:val="21"/>
                <w:highlight w:val="none"/>
              </w:rPr>
              <w:t>⑵查询时间：成交通知书发出前；</w:t>
            </w:r>
          </w:p>
          <w:p w14:paraId="00705959">
            <w:pPr>
              <w:spacing w:line="360" w:lineRule="auto"/>
              <w:ind w:left="15" w:hanging="14" w:hangingChars="7"/>
              <w:rPr>
                <w:rFonts w:ascii="宋体"/>
                <w:color w:val="000000"/>
                <w:szCs w:val="21"/>
                <w:highlight w:val="none"/>
              </w:rPr>
            </w:pPr>
            <w:r>
              <w:rPr>
                <w:rFonts w:hint="eastAsia" w:ascii="宋体" w:hAnsi="宋体"/>
                <w:color w:val="000000"/>
                <w:szCs w:val="21"/>
                <w:highlight w:val="none"/>
              </w:rPr>
              <w:t>⑶信用信息查询记录和证据留存方式：在查询网站中直接打印查询记录，打印材料作为采购活动资料保存；</w:t>
            </w:r>
          </w:p>
          <w:p w14:paraId="0F604055">
            <w:pPr>
              <w:spacing w:line="360" w:lineRule="auto"/>
              <w:ind w:left="15" w:hanging="14" w:hangingChars="7"/>
              <w:rPr>
                <w:rFonts w:ascii="宋体"/>
                <w:color w:val="000000"/>
                <w:szCs w:val="21"/>
                <w:highlight w:val="none"/>
              </w:rPr>
            </w:pPr>
            <w:r>
              <w:rPr>
                <w:rFonts w:hint="eastAsia" w:ascii="宋体" w:hAnsi="宋体"/>
                <w:color w:val="000000"/>
                <w:szCs w:val="21"/>
                <w:highlight w:val="none"/>
              </w:rPr>
              <w:t>⑷信用信息使用规则：对在“信用中国”网站</w:t>
            </w:r>
            <w:r>
              <w:rPr>
                <w:rFonts w:ascii="宋体" w:hAnsi="宋体"/>
                <w:color w:val="000000"/>
                <w:szCs w:val="21"/>
                <w:highlight w:val="none"/>
              </w:rPr>
              <w:t>(www.creditchina.gov.cn)</w:t>
            </w:r>
            <w:r>
              <w:rPr>
                <w:rFonts w:hint="eastAsia" w:ascii="宋体" w:hAnsi="宋体"/>
                <w:color w:val="000000"/>
                <w:szCs w:val="21"/>
                <w:highlight w:val="none"/>
              </w:rPr>
              <w:t>、中国政府采购网</w:t>
            </w:r>
            <w:r>
              <w:rPr>
                <w:rFonts w:ascii="宋体" w:hAnsi="宋体"/>
                <w:color w:val="000000"/>
                <w:szCs w:val="21"/>
                <w:highlight w:val="none"/>
              </w:rPr>
              <w:t>(www.ccgp.gov.cn)</w:t>
            </w:r>
            <w:r>
              <w:rPr>
                <w:rFonts w:hint="eastAsia" w:ascii="宋体" w:hAnsi="宋体"/>
                <w:color w:val="000000"/>
                <w:szCs w:val="21"/>
                <w:highlight w:val="none"/>
              </w:rPr>
              <w:t>等渠道列入失信被执行人、重大税收违法案件当事人名单、政府采购严重违法失信行为记录名单及其他不符合《中华人民共和国政府采购法》第二十二条规定条件的供应商，取消其成交候选人资格。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2413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25" w:type="dxa"/>
            <w:noWrap w:val="0"/>
            <w:vAlign w:val="center"/>
          </w:tcPr>
          <w:p w14:paraId="3171F32E">
            <w:pPr>
              <w:spacing w:line="360" w:lineRule="auto"/>
              <w:jc w:val="center"/>
              <w:rPr>
                <w:rFonts w:ascii="宋体" w:hAnsi="宋体"/>
                <w:color w:val="000000"/>
                <w:szCs w:val="21"/>
                <w:highlight w:val="none"/>
              </w:rPr>
            </w:pPr>
            <w:r>
              <w:rPr>
                <w:rFonts w:hint="eastAsia" w:ascii="宋体" w:hAnsi="宋体"/>
                <w:color w:val="000000"/>
                <w:szCs w:val="21"/>
                <w:highlight w:val="none"/>
              </w:rPr>
              <w:t>15</w:t>
            </w:r>
          </w:p>
        </w:tc>
        <w:tc>
          <w:tcPr>
            <w:tcW w:w="825" w:type="dxa"/>
            <w:noWrap w:val="0"/>
            <w:vAlign w:val="center"/>
          </w:tcPr>
          <w:p w14:paraId="3B0BA92A">
            <w:pPr>
              <w:spacing w:line="360" w:lineRule="auto"/>
              <w:jc w:val="center"/>
              <w:rPr>
                <w:rFonts w:ascii="宋体" w:hAnsi="宋体"/>
                <w:color w:val="000000"/>
                <w:szCs w:val="21"/>
                <w:highlight w:val="none"/>
              </w:rPr>
            </w:pPr>
            <w:r>
              <w:rPr>
                <w:rFonts w:hint="eastAsia" w:ascii="宋体" w:hAnsi="宋体"/>
                <w:color w:val="000000"/>
                <w:szCs w:val="21"/>
                <w:highlight w:val="none"/>
              </w:rPr>
              <w:t>27</w:t>
            </w:r>
          </w:p>
        </w:tc>
        <w:tc>
          <w:tcPr>
            <w:tcW w:w="1815" w:type="dxa"/>
            <w:noWrap w:val="0"/>
            <w:vAlign w:val="center"/>
          </w:tcPr>
          <w:p w14:paraId="1FAE41DA">
            <w:pPr>
              <w:spacing w:line="360" w:lineRule="auto"/>
              <w:jc w:val="center"/>
              <w:rPr>
                <w:rFonts w:ascii="宋体"/>
                <w:color w:val="000000"/>
                <w:szCs w:val="21"/>
                <w:highlight w:val="none"/>
              </w:rPr>
            </w:pPr>
            <w:r>
              <w:rPr>
                <w:rFonts w:hint="eastAsia" w:ascii="宋体" w:hAnsi="宋体"/>
                <w:color w:val="000000"/>
                <w:szCs w:val="21"/>
                <w:highlight w:val="none"/>
              </w:rPr>
              <w:t>成交结果公告</w:t>
            </w:r>
          </w:p>
          <w:p w14:paraId="4E5A844B">
            <w:pPr>
              <w:spacing w:line="360" w:lineRule="auto"/>
              <w:jc w:val="center"/>
              <w:rPr>
                <w:rFonts w:ascii="宋体"/>
                <w:color w:val="000000"/>
                <w:szCs w:val="21"/>
                <w:highlight w:val="none"/>
              </w:rPr>
            </w:pPr>
            <w:r>
              <w:rPr>
                <w:rFonts w:hint="eastAsia" w:ascii="宋体" w:hAnsi="宋体"/>
                <w:color w:val="000000"/>
                <w:szCs w:val="21"/>
                <w:highlight w:val="none"/>
              </w:rPr>
              <w:t>及成交通知书</w:t>
            </w:r>
          </w:p>
        </w:tc>
        <w:tc>
          <w:tcPr>
            <w:tcW w:w="7205" w:type="dxa"/>
            <w:noWrap w:val="0"/>
            <w:vAlign w:val="top"/>
          </w:tcPr>
          <w:p w14:paraId="6574FEA5">
            <w:pPr>
              <w:spacing w:line="360" w:lineRule="auto"/>
              <w:rPr>
                <w:rFonts w:asci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7</w:t>
            </w:r>
            <w:r>
              <w:rPr>
                <w:rFonts w:ascii="宋体" w:hAnsi="宋体"/>
                <w:color w:val="000000"/>
                <w:szCs w:val="21"/>
                <w:highlight w:val="none"/>
              </w:rPr>
              <w:t>.1</w:t>
            </w:r>
            <w:r>
              <w:rPr>
                <w:rFonts w:hint="eastAsia" w:ascii="宋体" w:hAnsi="宋体"/>
                <w:color w:val="000000"/>
                <w:szCs w:val="21"/>
                <w:highlight w:val="none"/>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5D07B04">
            <w:pPr>
              <w:spacing w:line="360" w:lineRule="auto"/>
              <w:rPr>
                <w:rFonts w:asci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7</w:t>
            </w:r>
            <w:r>
              <w:rPr>
                <w:rFonts w:ascii="宋体" w:hAnsi="宋体"/>
                <w:color w:val="000000"/>
                <w:szCs w:val="21"/>
                <w:highlight w:val="none"/>
              </w:rPr>
              <w:t>.2</w:t>
            </w:r>
            <w:r>
              <w:rPr>
                <w:rFonts w:hint="eastAsia" w:ascii="宋体" w:hAnsi="宋体"/>
                <w:color w:val="000000"/>
                <w:szCs w:val="21"/>
                <w:highlight w:val="none"/>
              </w:rPr>
              <w:t>成交公告发布的同时，采购代理机构在线向成交供应商发出电子成交通知书。</w:t>
            </w:r>
          </w:p>
        </w:tc>
      </w:tr>
      <w:tr w14:paraId="2C8C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525" w:type="dxa"/>
            <w:noWrap w:val="0"/>
            <w:vAlign w:val="center"/>
          </w:tcPr>
          <w:p w14:paraId="10AABE78">
            <w:pPr>
              <w:spacing w:line="360" w:lineRule="auto"/>
              <w:jc w:val="center"/>
              <w:rPr>
                <w:rFonts w:hint="eastAsia"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6</w:t>
            </w:r>
          </w:p>
        </w:tc>
        <w:tc>
          <w:tcPr>
            <w:tcW w:w="825" w:type="dxa"/>
            <w:noWrap w:val="0"/>
            <w:vAlign w:val="center"/>
          </w:tcPr>
          <w:p w14:paraId="72BB93E3">
            <w:pPr>
              <w:spacing w:line="360" w:lineRule="auto"/>
              <w:jc w:val="center"/>
              <w:rPr>
                <w:rFonts w:ascii="宋体" w:hAnsi="宋体"/>
                <w:color w:val="000000"/>
                <w:szCs w:val="21"/>
                <w:highlight w:val="none"/>
              </w:rPr>
            </w:pPr>
            <w:r>
              <w:rPr>
                <w:rFonts w:hint="eastAsia" w:ascii="宋体" w:hAnsi="宋体"/>
                <w:color w:val="000000"/>
                <w:szCs w:val="21"/>
                <w:highlight w:val="none"/>
              </w:rPr>
              <w:t>28</w:t>
            </w:r>
          </w:p>
        </w:tc>
        <w:tc>
          <w:tcPr>
            <w:tcW w:w="1815" w:type="dxa"/>
            <w:noWrap w:val="0"/>
            <w:vAlign w:val="center"/>
          </w:tcPr>
          <w:p w14:paraId="1770363A">
            <w:pPr>
              <w:spacing w:line="360" w:lineRule="auto"/>
              <w:jc w:val="center"/>
              <w:rPr>
                <w:rFonts w:ascii="宋体"/>
                <w:color w:val="000000"/>
                <w:szCs w:val="21"/>
                <w:highlight w:val="none"/>
              </w:rPr>
            </w:pPr>
            <w:r>
              <w:rPr>
                <w:rFonts w:hint="eastAsia" w:ascii="宋体" w:hAnsi="宋体"/>
                <w:color w:val="000000"/>
                <w:szCs w:val="21"/>
                <w:highlight w:val="none"/>
              </w:rPr>
              <w:t>履约保证金</w:t>
            </w:r>
          </w:p>
        </w:tc>
        <w:tc>
          <w:tcPr>
            <w:tcW w:w="7205" w:type="dxa"/>
            <w:noWrap w:val="0"/>
            <w:vAlign w:val="center"/>
          </w:tcPr>
          <w:p w14:paraId="73799091">
            <w:pPr>
              <w:spacing w:line="360" w:lineRule="auto"/>
              <w:rPr>
                <w:rFonts w:hint="eastAsia" w:ascii="宋体" w:eastAsia="宋体"/>
                <w:color w:val="000000"/>
                <w:szCs w:val="21"/>
                <w:highlight w:val="none"/>
                <w:lang w:eastAsia="zh-CN"/>
              </w:rPr>
            </w:pPr>
            <w:r>
              <w:rPr>
                <w:rFonts w:hint="eastAsia" w:ascii="宋体"/>
                <w:color w:val="000000"/>
                <w:szCs w:val="21"/>
                <w:highlight w:val="none"/>
              </w:rPr>
              <w:t>本项目无需缴纳履约保证金</w:t>
            </w:r>
            <w:r>
              <w:rPr>
                <w:rFonts w:hint="eastAsia" w:ascii="宋体"/>
                <w:color w:val="000000"/>
                <w:szCs w:val="21"/>
                <w:highlight w:val="none"/>
                <w:lang w:eastAsia="zh-CN"/>
              </w:rPr>
              <w:t>。</w:t>
            </w:r>
          </w:p>
        </w:tc>
      </w:tr>
      <w:tr w14:paraId="54A9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noWrap w:val="0"/>
            <w:vAlign w:val="center"/>
          </w:tcPr>
          <w:p w14:paraId="5CE65DC5">
            <w:pPr>
              <w:spacing w:line="360" w:lineRule="auto"/>
              <w:jc w:val="center"/>
              <w:rPr>
                <w:rFonts w:ascii="宋体" w:hAnsi="宋体"/>
                <w:color w:val="000000"/>
                <w:szCs w:val="21"/>
                <w:highlight w:val="none"/>
              </w:rPr>
            </w:pPr>
            <w:r>
              <w:rPr>
                <w:rFonts w:hint="eastAsia" w:ascii="宋体" w:hAnsi="宋体"/>
                <w:color w:val="000000"/>
                <w:szCs w:val="21"/>
                <w:highlight w:val="none"/>
              </w:rPr>
              <w:t>17</w:t>
            </w:r>
          </w:p>
        </w:tc>
        <w:tc>
          <w:tcPr>
            <w:tcW w:w="825" w:type="dxa"/>
            <w:noWrap w:val="0"/>
            <w:vAlign w:val="center"/>
          </w:tcPr>
          <w:p w14:paraId="1F4EBBE7">
            <w:pPr>
              <w:spacing w:line="360" w:lineRule="auto"/>
              <w:jc w:val="center"/>
              <w:rPr>
                <w:rFonts w:ascii="宋体" w:hAnsi="宋体"/>
                <w:color w:val="000000"/>
                <w:szCs w:val="21"/>
                <w:highlight w:val="none"/>
              </w:rPr>
            </w:pPr>
            <w:r>
              <w:rPr>
                <w:rFonts w:hint="eastAsia" w:ascii="宋体" w:hAnsi="宋体"/>
                <w:color w:val="000000"/>
                <w:szCs w:val="21"/>
                <w:highlight w:val="none"/>
              </w:rPr>
              <w:t>29</w:t>
            </w:r>
            <w:r>
              <w:rPr>
                <w:rFonts w:ascii="宋体" w:hAnsi="宋体"/>
                <w:color w:val="000000"/>
                <w:szCs w:val="21"/>
                <w:highlight w:val="none"/>
              </w:rPr>
              <w:t>.1</w:t>
            </w:r>
          </w:p>
        </w:tc>
        <w:tc>
          <w:tcPr>
            <w:tcW w:w="1815" w:type="dxa"/>
            <w:noWrap w:val="0"/>
            <w:vAlign w:val="center"/>
          </w:tcPr>
          <w:p w14:paraId="41F0EB8F">
            <w:pPr>
              <w:spacing w:line="360" w:lineRule="auto"/>
              <w:jc w:val="center"/>
              <w:rPr>
                <w:rFonts w:ascii="宋体"/>
                <w:color w:val="000000"/>
                <w:szCs w:val="21"/>
                <w:highlight w:val="none"/>
              </w:rPr>
            </w:pPr>
            <w:r>
              <w:rPr>
                <w:rFonts w:hint="eastAsia" w:ascii="宋体" w:hAnsi="宋体"/>
                <w:color w:val="000000"/>
                <w:szCs w:val="21"/>
                <w:highlight w:val="none"/>
              </w:rPr>
              <w:t>签订合同时间</w:t>
            </w:r>
          </w:p>
        </w:tc>
        <w:tc>
          <w:tcPr>
            <w:tcW w:w="7205" w:type="dxa"/>
            <w:noWrap w:val="0"/>
            <w:vAlign w:val="top"/>
          </w:tcPr>
          <w:p w14:paraId="4A468526">
            <w:pPr>
              <w:spacing w:line="360" w:lineRule="auto"/>
              <w:rPr>
                <w:rFonts w:ascii="宋体"/>
                <w:color w:val="000000"/>
                <w:szCs w:val="21"/>
                <w:highlight w:val="none"/>
              </w:rPr>
            </w:pPr>
            <w:r>
              <w:rPr>
                <w:rFonts w:hint="eastAsia" w:ascii="宋体" w:hAnsi="宋体"/>
                <w:color w:val="000000"/>
                <w:highlight w:val="none"/>
              </w:rPr>
              <w:t>成交通知书发出之日起</w:t>
            </w:r>
            <w:r>
              <w:rPr>
                <w:rFonts w:hint="eastAsia" w:ascii="宋体" w:hAnsi="宋体"/>
                <w:color w:val="000000"/>
                <w:highlight w:val="none"/>
                <w:lang w:eastAsia="zh-CN"/>
              </w:rPr>
              <w:t>八个工作日</w:t>
            </w:r>
            <w:r>
              <w:rPr>
                <w:rFonts w:hint="eastAsia" w:ascii="宋体" w:hAnsi="宋体"/>
                <w:color w:val="000000"/>
                <w:highlight w:val="none"/>
              </w:rPr>
              <w:t>内。</w:t>
            </w:r>
            <w:r>
              <w:rPr>
                <w:rFonts w:hint="eastAsia" w:ascii="宋体" w:hAnsi="宋体"/>
                <w:color w:val="000000"/>
                <w:szCs w:val="21"/>
                <w:highlight w:val="none"/>
              </w:rPr>
              <w:t>成交供应商收到成交通知书后，</w:t>
            </w:r>
            <w:r>
              <w:rPr>
                <w:rFonts w:hint="eastAsia" w:ascii="宋体" w:hAnsi="宋体" w:cs="宋体"/>
                <w:color w:val="000000"/>
                <w:szCs w:val="21"/>
                <w:highlight w:val="none"/>
              </w:rPr>
              <w:t>应按规定与采购人在广西政府采购云平台上在线签订电子合同。</w:t>
            </w:r>
          </w:p>
        </w:tc>
      </w:tr>
      <w:tr w14:paraId="4EFD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noWrap w:val="0"/>
            <w:vAlign w:val="center"/>
          </w:tcPr>
          <w:p w14:paraId="01365532">
            <w:pPr>
              <w:spacing w:line="360" w:lineRule="auto"/>
              <w:jc w:val="center"/>
              <w:rPr>
                <w:rFonts w:ascii="宋体" w:hAnsi="宋体"/>
                <w:color w:val="000000"/>
                <w:szCs w:val="21"/>
                <w:highlight w:val="none"/>
              </w:rPr>
            </w:pPr>
            <w:r>
              <w:rPr>
                <w:rFonts w:hint="eastAsia" w:ascii="宋体" w:hAnsi="宋体"/>
                <w:color w:val="000000"/>
                <w:szCs w:val="21"/>
                <w:highlight w:val="none"/>
              </w:rPr>
              <w:t>18</w:t>
            </w:r>
          </w:p>
        </w:tc>
        <w:tc>
          <w:tcPr>
            <w:tcW w:w="825" w:type="dxa"/>
            <w:noWrap w:val="0"/>
            <w:vAlign w:val="center"/>
          </w:tcPr>
          <w:p w14:paraId="33D11DA6">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29</w:t>
            </w:r>
            <w:r>
              <w:rPr>
                <w:rFonts w:ascii="宋体" w:hAnsi="宋体"/>
                <w:color w:val="000000"/>
                <w:szCs w:val="21"/>
                <w:highlight w:val="none"/>
              </w:rPr>
              <w:t>.</w:t>
            </w:r>
            <w:r>
              <w:rPr>
                <w:rFonts w:hint="eastAsia" w:ascii="宋体" w:hAnsi="宋体"/>
                <w:color w:val="000000"/>
                <w:szCs w:val="21"/>
                <w:highlight w:val="none"/>
              </w:rPr>
              <w:t>3</w:t>
            </w:r>
          </w:p>
        </w:tc>
        <w:tc>
          <w:tcPr>
            <w:tcW w:w="1815" w:type="dxa"/>
            <w:noWrap w:val="0"/>
            <w:vAlign w:val="center"/>
          </w:tcPr>
          <w:p w14:paraId="400AA55D">
            <w:pPr>
              <w:spacing w:line="360" w:lineRule="auto"/>
              <w:jc w:val="center"/>
              <w:rPr>
                <w:rFonts w:ascii="宋体"/>
                <w:color w:val="000000"/>
                <w:szCs w:val="21"/>
                <w:highlight w:val="none"/>
              </w:rPr>
            </w:pPr>
            <w:r>
              <w:rPr>
                <w:rFonts w:hint="eastAsia" w:ascii="宋体" w:hAnsi="宋体"/>
                <w:color w:val="000000"/>
                <w:szCs w:val="21"/>
                <w:highlight w:val="none"/>
              </w:rPr>
              <w:t>合同备案存档</w:t>
            </w:r>
          </w:p>
        </w:tc>
        <w:tc>
          <w:tcPr>
            <w:tcW w:w="7205" w:type="dxa"/>
            <w:noWrap w:val="0"/>
            <w:vAlign w:val="center"/>
          </w:tcPr>
          <w:p w14:paraId="2259F9B3">
            <w:pPr>
              <w:spacing w:line="360" w:lineRule="auto"/>
              <w:rPr>
                <w:rFonts w:ascii="宋体"/>
                <w:color w:val="000000"/>
                <w:szCs w:val="21"/>
                <w:highlight w:val="none"/>
              </w:rPr>
            </w:pPr>
            <w:r>
              <w:rPr>
                <w:rFonts w:hint="eastAsia" w:ascii="宋体" w:hAnsi="宋体" w:cs="宋体"/>
                <w:color w:val="000000"/>
                <w:szCs w:val="21"/>
                <w:highlight w:val="none"/>
              </w:rPr>
              <w:t>政府采购合同双方自签订之日起将自动存档于广西政府采购云平台上，</w:t>
            </w:r>
            <w:r>
              <w:rPr>
                <w:rFonts w:hint="eastAsia" w:ascii="宋体"/>
                <w:color w:val="000000"/>
                <w:szCs w:val="21"/>
                <w:highlight w:val="none"/>
              </w:rPr>
              <w:t>采购人于合同签订之日起七个工作日内将一份合同原件送本级财政部门备案。</w:t>
            </w:r>
          </w:p>
        </w:tc>
      </w:tr>
      <w:tr w14:paraId="3ABF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noWrap w:val="0"/>
            <w:vAlign w:val="center"/>
          </w:tcPr>
          <w:p w14:paraId="612F947E">
            <w:pPr>
              <w:spacing w:line="360" w:lineRule="auto"/>
              <w:jc w:val="center"/>
              <w:rPr>
                <w:rFonts w:ascii="宋体" w:hAnsi="宋体"/>
                <w:color w:val="000000"/>
                <w:szCs w:val="21"/>
                <w:highlight w:val="none"/>
              </w:rPr>
            </w:pPr>
            <w:r>
              <w:rPr>
                <w:rFonts w:hint="eastAsia" w:ascii="宋体" w:hAnsi="宋体"/>
                <w:color w:val="000000"/>
                <w:szCs w:val="21"/>
                <w:highlight w:val="none"/>
              </w:rPr>
              <w:t>19</w:t>
            </w:r>
          </w:p>
        </w:tc>
        <w:tc>
          <w:tcPr>
            <w:tcW w:w="825" w:type="dxa"/>
            <w:noWrap w:val="0"/>
            <w:vAlign w:val="center"/>
          </w:tcPr>
          <w:p w14:paraId="6CC1A8B7">
            <w:pPr>
              <w:spacing w:line="360" w:lineRule="auto"/>
              <w:jc w:val="center"/>
              <w:rPr>
                <w:rFonts w:ascii="宋体" w:hAnsi="宋体"/>
                <w:color w:val="000000"/>
                <w:szCs w:val="21"/>
                <w:highlight w:val="none"/>
              </w:rPr>
            </w:pPr>
            <w:r>
              <w:rPr>
                <w:rFonts w:hint="eastAsia" w:ascii="宋体" w:hAnsi="宋体"/>
                <w:color w:val="000000"/>
                <w:szCs w:val="21"/>
                <w:highlight w:val="none"/>
              </w:rPr>
              <w:t>30</w:t>
            </w:r>
          </w:p>
        </w:tc>
        <w:tc>
          <w:tcPr>
            <w:tcW w:w="1815" w:type="dxa"/>
            <w:noWrap w:val="0"/>
            <w:vAlign w:val="center"/>
          </w:tcPr>
          <w:p w14:paraId="0030BCAC">
            <w:pPr>
              <w:spacing w:line="360" w:lineRule="auto"/>
              <w:jc w:val="center"/>
              <w:rPr>
                <w:rFonts w:ascii="宋体"/>
                <w:color w:val="000000"/>
                <w:szCs w:val="21"/>
                <w:highlight w:val="none"/>
              </w:rPr>
            </w:pPr>
            <w:r>
              <w:rPr>
                <w:rFonts w:hint="eastAsia" w:ascii="宋体" w:hAnsi="宋体"/>
                <w:color w:val="000000"/>
                <w:szCs w:val="21"/>
                <w:highlight w:val="none"/>
              </w:rPr>
              <w:t>采购代理服务费</w:t>
            </w:r>
          </w:p>
        </w:tc>
        <w:tc>
          <w:tcPr>
            <w:tcW w:w="7205" w:type="dxa"/>
            <w:noWrap w:val="0"/>
            <w:vAlign w:val="top"/>
          </w:tcPr>
          <w:p w14:paraId="32097E73">
            <w:pPr>
              <w:spacing w:line="360" w:lineRule="auto"/>
              <w:rPr>
                <w:rFonts w:hint="eastAsia" w:ascii="宋体" w:hAnsi="宋体" w:eastAsia="宋体"/>
                <w:color w:val="000000"/>
                <w:szCs w:val="21"/>
                <w:highlight w:val="none"/>
                <w:lang w:eastAsia="zh-CN"/>
              </w:rPr>
            </w:pPr>
            <w:r>
              <w:rPr>
                <w:rFonts w:hint="eastAsia" w:ascii="宋体" w:hAnsi="宋体"/>
                <w:color w:val="000000"/>
                <w:highlight w:val="none"/>
                <w:lang w:eastAsia="zh-CN"/>
              </w:rPr>
              <w:t>本项目的招标代理服务费：参照计价格[2002]1980号《招标代理服务收费管理暂行办法》服务类收费标准60%计取（不足人民币5000元的，按5000元收取）。由中标人在领取中标通知书之前向中佳信建设管理集团有限公司一次性付清代理服务费。</w:t>
            </w:r>
          </w:p>
        </w:tc>
      </w:tr>
      <w:tr w14:paraId="382A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noWrap w:val="0"/>
            <w:vAlign w:val="center"/>
          </w:tcPr>
          <w:p w14:paraId="0F42297E">
            <w:pPr>
              <w:spacing w:line="360" w:lineRule="auto"/>
              <w:jc w:val="center"/>
              <w:rPr>
                <w:rFonts w:ascii="宋体" w:hAnsi="宋体"/>
                <w:color w:val="000000"/>
                <w:szCs w:val="21"/>
                <w:highlight w:val="none"/>
              </w:rPr>
            </w:pPr>
            <w:r>
              <w:rPr>
                <w:rFonts w:hint="eastAsia" w:ascii="宋体" w:hAnsi="宋体"/>
                <w:color w:val="000000"/>
                <w:szCs w:val="21"/>
                <w:highlight w:val="none"/>
              </w:rPr>
              <w:t>20</w:t>
            </w:r>
          </w:p>
        </w:tc>
        <w:tc>
          <w:tcPr>
            <w:tcW w:w="825" w:type="dxa"/>
            <w:noWrap w:val="0"/>
            <w:vAlign w:val="center"/>
          </w:tcPr>
          <w:p w14:paraId="2BF61D89">
            <w:pPr>
              <w:spacing w:line="360" w:lineRule="auto"/>
              <w:jc w:val="center"/>
              <w:rPr>
                <w:rFonts w:hint="eastAsia"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1</w:t>
            </w:r>
          </w:p>
        </w:tc>
        <w:tc>
          <w:tcPr>
            <w:tcW w:w="1815" w:type="dxa"/>
            <w:noWrap w:val="0"/>
            <w:vAlign w:val="center"/>
          </w:tcPr>
          <w:p w14:paraId="07F85BFB">
            <w:pPr>
              <w:spacing w:line="360" w:lineRule="auto"/>
              <w:jc w:val="center"/>
              <w:rPr>
                <w:rFonts w:ascii="宋体"/>
                <w:color w:val="000000"/>
                <w:szCs w:val="21"/>
                <w:highlight w:val="none"/>
              </w:rPr>
            </w:pPr>
            <w:r>
              <w:rPr>
                <w:rFonts w:hint="eastAsia" w:ascii="宋体" w:hAnsi="宋体"/>
                <w:color w:val="000000"/>
                <w:szCs w:val="21"/>
                <w:highlight w:val="none"/>
              </w:rPr>
              <w:t>解释权</w:t>
            </w:r>
          </w:p>
        </w:tc>
        <w:tc>
          <w:tcPr>
            <w:tcW w:w="7205" w:type="dxa"/>
            <w:noWrap w:val="0"/>
            <w:vAlign w:val="top"/>
          </w:tcPr>
          <w:p w14:paraId="38E8E5D9">
            <w:pPr>
              <w:spacing w:line="360" w:lineRule="auto"/>
              <w:rPr>
                <w:rFonts w:ascii="宋体"/>
                <w:color w:val="000000"/>
                <w:szCs w:val="21"/>
                <w:highlight w:val="none"/>
              </w:rPr>
            </w:pPr>
            <w:r>
              <w:rPr>
                <w:rFonts w:hint="eastAsia" w:ascii="宋体" w:hAnsi="宋体"/>
                <w:color w:val="000000"/>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tc>
      </w:tr>
      <w:tr w14:paraId="26B3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25" w:type="dxa"/>
            <w:noWrap w:val="0"/>
            <w:vAlign w:val="center"/>
          </w:tcPr>
          <w:p w14:paraId="7C938361">
            <w:pPr>
              <w:spacing w:line="360" w:lineRule="auto"/>
              <w:jc w:val="center"/>
              <w:rPr>
                <w:rFonts w:ascii="宋体" w:hAnsi="宋体"/>
                <w:color w:val="000000"/>
                <w:szCs w:val="21"/>
                <w:highlight w:val="none"/>
              </w:rPr>
            </w:pPr>
            <w:r>
              <w:rPr>
                <w:rFonts w:hint="eastAsia" w:ascii="宋体" w:hAnsi="宋体"/>
                <w:color w:val="000000"/>
                <w:szCs w:val="21"/>
                <w:highlight w:val="none"/>
              </w:rPr>
              <w:t>21</w:t>
            </w:r>
          </w:p>
        </w:tc>
        <w:tc>
          <w:tcPr>
            <w:tcW w:w="825" w:type="dxa"/>
            <w:noWrap w:val="0"/>
            <w:vAlign w:val="center"/>
          </w:tcPr>
          <w:p w14:paraId="119BB51F">
            <w:pPr>
              <w:spacing w:line="360" w:lineRule="auto"/>
              <w:jc w:val="center"/>
              <w:rPr>
                <w:rFonts w:hint="eastAsia"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2</w:t>
            </w:r>
          </w:p>
        </w:tc>
        <w:tc>
          <w:tcPr>
            <w:tcW w:w="1815" w:type="dxa"/>
            <w:noWrap w:val="0"/>
            <w:vAlign w:val="center"/>
          </w:tcPr>
          <w:p w14:paraId="6A443112">
            <w:pPr>
              <w:spacing w:line="360" w:lineRule="auto"/>
              <w:jc w:val="center"/>
              <w:rPr>
                <w:rFonts w:ascii="宋体"/>
                <w:color w:val="000000"/>
                <w:szCs w:val="21"/>
                <w:highlight w:val="none"/>
              </w:rPr>
            </w:pPr>
            <w:r>
              <w:rPr>
                <w:rFonts w:hint="eastAsia" w:ascii="宋体" w:hAnsi="宋体"/>
                <w:color w:val="000000"/>
                <w:szCs w:val="21"/>
                <w:highlight w:val="none"/>
              </w:rPr>
              <w:t>监督管理机构</w:t>
            </w:r>
          </w:p>
        </w:tc>
        <w:tc>
          <w:tcPr>
            <w:tcW w:w="7205" w:type="dxa"/>
            <w:noWrap w:val="0"/>
            <w:vAlign w:val="center"/>
          </w:tcPr>
          <w:p w14:paraId="11D9205B">
            <w:pPr>
              <w:spacing w:line="360" w:lineRule="auto"/>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桂林市财政局</w:t>
            </w:r>
            <w:r>
              <w:rPr>
                <w:rFonts w:hint="eastAsia" w:ascii="宋体" w:hAnsi="宋体"/>
                <w:color w:val="000000"/>
                <w:szCs w:val="21"/>
                <w:highlight w:val="none"/>
              </w:rPr>
              <w:t xml:space="preserve">                       电话：</w:t>
            </w:r>
            <w:r>
              <w:rPr>
                <w:rFonts w:hint="eastAsia" w:ascii="宋体" w:hAnsi="宋体"/>
                <w:color w:val="000000"/>
                <w:szCs w:val="21"/>
                <w:highlight w:val="none"/>
                <w:lang w:eastAsia="zh-CN"/>
              </w:rPr>
              <w:t>0773-2829504</w:t>
            </w:r>
          </w:p>
        </w:tc>
      </w:tr>
    </w:tbl>
    <w:p w14:paraId="03AAEEF4">
      <w:pPr>
        <w:pStyle w:val="13"/>
        <w:rPr>
          <w:rFonts w:hint="eastAsia"/>
          <w:color w:val="000000"/>
          <w:highlight w:val="none"/>
        </w:rPr>
      </w:pPr>
    </w:p>
    <w:p w14:paraId="07529329">
      <w:pPr>
        <w:pStyle w:val="3"/>
        <w:ind w:left="0" w:firstLine="0"/>
        <w:jc w:val="center"/>
        <w:rPr>
          <w:b/>
          <w:bCs w:val="0"/>
          <w:color w:val="000000"/>
          <w:szCs w:val="28"/>
          <w:highlight w:val="none"/>
        </w:rPr>
      </w:pPr>
      <w:bookmarkStart w:id="56" w:name="_Toc23882"/>
      <w:bookmarkStart w:id="57" w:name="_Toc19226"/>
      <w:bookmarkStart w:id="58" w:name="_Toc32434"/>
      <w:bookmarkStart w:id="59" w:name="_Toc32284"/>
      <w:bookmarkStart w:id="60" w:name="_Toc20219"/>
      <w:r>
        <w:rPr>
          <w:rFonts w:hint="eastAsia"/>
          <w:b/>
          <w:bCs w:val="0"/>
          <w:color w:val="000000"/>
          <w:szCs w:val="28"/>
          <w:highlight w:val="none"/>
        </w:rPr>
        <w:br w:type="page"/>
      </w:r>
      <w:r>
        <w:rPr>
          <w:rFonts w:hint="eastAsia"/>
          <w:b/>
          <w:bCs w:val="0"/>
          <w:color w:val="000000"/>
          <w:szCs w:val="28"/>
          <w:highlight w:val="none"/>
        </w:rPr>
        <w:t>一、总则</w:t>
      </w:r>
      <w:bookmarkEnd w:id="56"/>
      <w:bookmarkEnd w:id="57"/>
      <w:bookmarkEnd w:id="58"/>
      <w:bookmarkEnd w:id="59"/>
      <w:bookmarkEnd w:id="60"/>
    </w:p>
    <w:p w14:paraId="57526E00">
      <w:pPr>
        <w:pStyle w:val="4"/>
        <w:spacing w:before="0" w:after="0" w:line="360" w:lineRule="auto"/>
        <w:ind w:firstLine="420" w:firstLineChars="200"/>
        <w:rPr>
          <w:rFonts w:hint="eastAsia" w:ascii="宋体" w:hAnsi="宋体" w:cs="宋体"/>
          <w:color w:val="000000"/>
          <w:sz w:val="21"/>
          <w:szCs w:val="21"/>
          <w:highlight w:val="none"/>
        </w:rPr>
      </w:pPr>
      <w:bookmarkStart w:id="61" w:name="_Toc11418"/>
      <w:bookmarkStart w:id="62" w:name="_Toc8149"/>
      <w:bookmarkStart w:id="63" w:name="_Toc17105"/>
      <w:bookmarkStart w:id="64" w:name="_Toc28207"/>
      <w:bookmarkStart w:id="65" w:name="_Toc4898"/>
      <w:r>
        <w:rPr>
          <w:rFonts w:hint="eastAsia" w:ascii="宋体" w:hAnsi="宋体" w:cs="宋体"/>
          <w:color w:val="000000"/>
          <w:sz w:val="21"/>
          <w:szCs w:val="21"/>
          <w:highlight w:val="none"/>
        </w:rPr>
        <w:t>1. 适应范围</w:t>
      </w:r>
      <w:bookmarkEnd w:id="61"/>
      <w:bookmarkEnd w:id="62"/>
      <w:bookmarkEnd w:id="63"/>
      <w:bookmarkEnd w:id="64"/>
      <w:bookmarkEnd w:id="65"/>
    </w:p>
    <w:p w14:paraId="5B18B42E">
      <w:pPr>
        <w:spacing w:line="360" w:lineRule="exact"/>
        <w:ind w:firstLine="435"/>
        <w:outlineLvl w:val="3"/>
        <w:rPr>
          <w:rFonts w:ascii="宋体"/>
          <w:color w:val="000000"/>
          <w:szCs w:val="21"/>
          <w:highlight w:val="none"/>
        </w:rPr>
      </w:pPr>
      <w:r>
        <w:rPr>
          <w:rFonts w:ascii="宋体" w:hAnsi="宋体"/>
          <w:color w:val="000000"/>
          <w:szCs w:val="21"/>
          <w:highlight w:val="none"/>
        </w:rPr>
        <w:t xml:space="preserve">1.1  </w:t>
      </w:r>
      <w:r>
        <w:rPr>
          <w:rFonts w:hint="eastAsia" w:ascii="宋体" w:hAnsi="宋体"/>
          <w:color w:val="000000"/>
          <w:szCs w:val="21"/>
          <w:highlight w:val="none"/>
        </w:rPr>
        <w:t>项目名称及项目编号：</w:t>
      </w:r>
    </w:p>
    <w:p w14:paraId="3A98A1C4">
      <w:pPr>
        <w:spacing w:line="360" w:lineRule="exact"/>
        <w:ind w:firstLine="435"/>
        <w:rPr>
          <w:rFonts w:ascii="宋体"/>
          <w:color w:val="000000"/>
          <w:szCs w:val="21"/>
          <w:highlight w:val="none"/>
        </w:rPr>
      </w:pPr>
      <w:r>
        <w:rPr>
          <w:rFonts w:hint="eastAsia" w:ascii="宋体" w:hAnsi="宋体"/>
          <w:color w:val="000000"/>
          <w:szCs w:val="21"/>
          <w:highlight w:val="none"/>
        </w:rPr>
        <w:t>项目名称：</w:t>
      </w:r>
      <w:r>
        <w:rPr>
          <w:rFonts w:hint="eastAsia" w:ascii="宋体" w:hAnsi="宋体"/>
          <w:color w:val="000000"/>
          <w:szCs w:val="21"/>
          <w:highlight w:val="none"/>
          <w:lang w:eastAsia="zh-CN"/>
        </w:rPr>
        <w:t>电子病历及HIS系统驻场开发、运维服务采购</w:t>
      </w:r>
      <w:r>
        <w:rPr>
          <w:rFonts w:hint="eastAsia" w:ascii="宋体" w:hAnsi="宋体"/>
          <w:color w:val="000000"/>
          <w:szCs w:val="21"/>
          <w:highlight w:val="none"/>
        </w:rPr>
        <w:t xml:space="preserve">       </w:t>
      </w:r>
      <w:r>
        <w:rPr>
          <w:rFonts w:ascii="宋体" w:hAnsi="宋体"/>
          <w:color w:val="000000"/>
          <w:szCs w:val="21"/>
          <w:highlight w:val="none"/>
        </w:rPr>
        <w:t xml:space="preserve">     </w:t>
      </w:r>
    </w:p>
    <w:p w14:paraId="1F721BFE">
      <w:pPr>
        <w:spacing w:line="360" w:lineRule="exact"/>
        <w:ind w:firstLine="435"/>
        <w:rPr>
          <w:rFonts w:hint="eastAsia" w:ascii="宋体"/>
          <w:color w:val="000000"/>
          <w:szCs w:val="21"/>
          <w:highlight w:val="none"/>
        </w:rPr>
      </w:pPr>
      <w:r>
        <w:rPr>
          <w:rFonts w:hint="eastAsia" w:ascii="宋体" w:hAnsi="宋体"/>
          <w:color w:val="000000"/>
          <w:szCs w:val="21"/>
          <w:highlight w:val="none"/>
        </w:rPr>
        <w:t>项目编号：GLZC2025-J3-990533-ZJXJ</w:t>
      </w:r>
    </w:p>
    <w:p w14:paraId="5A97A063">
      <w:pPr>
        <w:spacing w:line="360" w:lineRule="exact"/>
        <w:ind w:firstLine="411" w:firstLineChars="196"/>
        <w:rPr>
          <w:rFonts w:ascii="宋体"/>
          <w:color w:val="000000"/>
          <w:szCs w:val="21"/>
          <w:highlight w:val="none"/>
        </w:rPr>
      </w:pPr>
      <w:r>
        <w:rPr>
          <w:rFonts w:ascii="宋体" w:hAnsi="宋体"/>
          <w:color w:val="000000"/>
          <w:szCs w:val="21"/>
          <w:highlight w:val="none"/>
        </w:rPr>
        <w:t>1.2</w:t>
      </w:r>
      <w:r>
        <w:rPr>
          <w:rFonts w:hint="eastAsia" w:ascii="宋体" w:hAnsi="宋体"/>
          <w:color w:val="000000"/>
          <w:szCs w:val="21"/>
          <w:highlight w:val="none"/>
        </w:rPr>
        <w:t>本竞争性谈判文件（以下简称谈判文件）适用于本谈判项目的谈判、评审、合同履约、验收、付款等行为（法律、法规另有规定的，从其规定）。</w:t>
      </w:r>
    </w:p>
    <w:p w14:paraId="22DE25B3">
      <w:pPr>
        <w:pStyle w:val="4"/>
        <w:spacing w:before="0" w:after="0" w:line="360" w:lineRule="auto"/>
        <w:ind w:firstLine="420" w:firstLineChars="200"/>
        <w:rPr>
          <w:rFonts w:hint="eastAsia" w:ascii="宋体" w:hAnsi="宋体" w:cs="宋体"/>
          <w:color w:val="000000"/>
          <w:sz w:val="21"/>
          <w:szCs w:val="21"/>
          <w:highlight w:val="none"/>
        </w:rPr>
      </w:pPr>
      <w:bookmarkStart w:id="66" w:name="_Toc24680"/>
      <w:bookmarkStart w:id="67" w:name="_Toc23404"/>
      <w:bookmarkStart w:id="68" w:name="_Toc22247"/>
      <w:bookmarkStart w:id="69" w:name="_Toc20514"/>
      <w:bookmarkStart w:id="70" w:name="_Toc6189"/>
      <w:r>
        <w:rPr>
          <w:rFonts w:hint="eastAsia" w:ascii="宋体" w:hAnsi="宋体" w:cs="宋体"/>
          <w:color w:val="000000"/>
          <w:sz w:val="21"/>
          <w:szCs w:val="21"/>
          <w:highlight w:val="none"/>
        </w:rPr>
        <w:t>2. 定义</w:t>
      </w:r>
      <w:bookmarkEnd w:id="66"/>
      <w:bookmarkEnd w:id="67"/>
      <w:bookmarkEnd w:id="68"/>
      <w:bookmarkEnd w:id="69"/>
      <w:bookmarkEnd w:id="70"/>
    </w:p>
    <w:p w14:paraId="63CE856C">
      <w:pPr>
        <w:spacing w:line="360" w:lineRule="exact"/>
        <w:ind w:firstLine="435"/>
        <w:rPr>
          <w:rFonts w:ascii="宋体"/>
          <w:color w:val="000000"/>
          <w:szCs w:val="21"/>
          <w:highlight w:val="none"/>
        </w:rPr>
      </w:pPr>
      <w:r>
        <w:rPr>
          <w:rFonts w:ascii="宋体" w:hAnsi="宋体"/>
          <w:color w:val="000000"/>
          <w:szCs w:val="21"/>
          <w:highlight w:val="none"/>
        </w:rPr>
        <w:t>2.1</w:t>
      </w:r>
      <w:r>
        <w:rPr>
          <w:rFonts w:hint="eastAsia" w:ascii="宋体" w:hAnsi="宋体"/>
          <w:color w:val="000000"/>
          <w:szCs w:val="21"/>
          <w:highlight w:val="none"/>
        </w:rPr>
        <w:t>“供应商”是指符合本次采购项目的供应商资格并提交响应文件、参加谈判的供应商。如果该供应商在本次谈判中成交，即成为“成交供应商”。</w:t>
      </w:r>
    </w:p>
    <w:p w14:paraId="52867E46">
      <w:pPr>
        <w:spacing w:line="360" w:lineRule="exact"/>
        <w:ind w:firstLine="435"/>
        <w:rPr>
          <w:rFonts w:ascii="宋体"/>
          <w:color w:val="000000"/>
          <w:szCs w:val="21"/>
          <w:highlight w:val="none"/>
        </w:rPr>
      </w:pPr>
      <w:r>
        <w:rPr>
          <w:rFonts w:ascii="宋体" w:hAnsi="宋体"/>
          <w:color w:val="000000"/>
          <w:szCs w:val="21"/>
          <w:highlight w:val="none"/>
        </w:rPr>
        <w:t>2.2</w:t>
      </w:r>
      <w:r>
        <w:rPr>
          <w:rFonts w:hint="eastAsia" w:ascii="宋体" w:hAnsi="宋体"/>
          <w:color w:val="000000"/>
          <w:szCs w:val="21"/>
          <w:highlight w:val="none"/>
        </w:rPr>
        <w:t>“货物”系指按谈判文件规定，供应商须向采购人提供的一切设备、保险、税金、备品备件、工具、手册及其它有关技术资料和材料。</w:t>
      </w:r>
    </w:p>
    <w:p w14:paraId="1A6913AC">
      <w:pPr>
        <w:spacing w:line="360" w:lineRule="exact"/>
        <w:ind w:firstLine="435"/>
        <w:rPr>
          <w:rFonts w:ascii="宋体"/>
          <w:color w:val="000000"/>
          <w:szCs w:val="21"/>
          <w:highlight w:val="none"/>
        </w:rPr>
      </w:pPr>
      <w:r>
        <w:rPr>
          <w:rFonts w:ascii="宋体" w:hAnsi="宋体"/>
          <w:color w:val="000000"/>
          <w:szCs w:val="21"/>
          <w:highlight w:val="none"/>
        </w:rPr>
        <w:t>2.3</w:t>
      </w:r>
      <w:r>
        <w:rPr>
          <w:rFonts w:hint="eastAsia" w:ascii="宋体" w:hAnsi="宋体"/>
          <w:color w:val="000000"/>
          <w:szCs w:val="21"/>
          <w:highlight w:val="none"/>
        </w:rPr>
        <w:t>“服务”系指按谈判文件规定，供应商须承担的安装、调试、技术协助、校准、培训、技术指导以及其他类似的义务。</w:t>
      </w:r>
    </w:p>
    <w:p w14:paraId="2088A6B2">
      <w:pPr>
        <w:spacing w:line="360" w:lineRule="exact"/>
        <w:ind w:firstLine="435"/>
        <w:rPr>
          <w:rFonts w:ascii="宋体"/>
          <w:color w:val="000000"/>
          <w:szCs w:val="21"/>
          <w:highlight w:val="none"/>
        </w:rPr>
      </w:pPr>
      <w:r>
        <w:rPr>
          <w:rFonts w:ascii="宋体" w:hAnsi="宋体"/>
          <w:color w:val="000000"/>
          <w:szCs w:val="21"/>
          <w:highlight w:val="none"/>
        </w:rPr>
        <w:t>2.4</w:t>
      </w:r>
      <w:r>
        <w:rPr>
          <w:rFonts w:hint="eastAsia" w:ascii="宋体" w:hAnsi="宋体"/>
          <w:color w:val="000000"/>
          <w:szCs w:val="21"/>
          <w:highlight w:val="none"/>
        </w:rPr>
        <w:t>“项目”系指供应商按谈判文件规定向采购人提供的货物和服务。</w:t>
      </w:r>
    </w:p>
    <w:p w14:paraId="6A4DB361">
      <w:pPr>
        <w:spacing w:line="360" w:lineRule="exact"/>
        <w:ind w:firstLine="435"/>
        <w:outlineLvl w:val="3"/>
        <w:rPr>
          <w:rFonts w:ascii="宋体"/>
          <w:color w:val="000000"/>
          <w:szCs w:val="21"/>
          <w:highlight w:val="none"/>
        </w:rPr>
      </w:pPr>
      <w:r>
        <w:rPr>
          <w:rFonts w:ascii="宋体" w:hAnsi="宋体"/>
          <w:color w:val="000000"/>
          <w:szCs w:val="21"/>
          <w:highlight w:val="none"/>
        </w:rPr>
        <w:t>2.5</w:t>
      </w:r>
      <w:r>
        <w:rPr>
          <w:rFonts w:hint="eastAsia" w:ascii="宋体" w:hAnsi="宋体"/>
          <w:color w:val="000000"/>
          <w:szCs w:val="21"/>
          <w:highlight w:val="none"/>
        </w:rPr>
        <w:t>“书面形式”包括信函、传真、电报等。</w:t>
      </w:r>
    </w:p>
    <w:p w14:paraId="24812EB0">
      <w:pPr>
        <w:spacing w:line="360" w:lineRule="exact"/>
        <w:ind w:firstLine="435"/>
        <w:rPr>
          <w:rFonts w:hint="eastAsia" w:ascii="宋体" w:hAnsi="宋体" w:cs="宋体"/>
          <w:b/>
          <w:color w:val="000000"/>
          <w:szCs w:val="21"/>
          <w:highlight w:val="none"/>
          <w:u w:val="single"/>
        </w:rPr>
      </w:pPr>
      <w:r>
        <w:rPr>
          <w:rFonts w:hint="eastAsia" w:ascii="宋体" w:hAnsi="宋体" w:cs="宋体"/>
          <w:b/>
          <w:color w:val="000000"/>
          <w:szCs w:val="21"/>
          <w:highlight w:val="none"/>
          <w:u w:val="single"/>
        </w:rPr>
        <w:t>2.6实质性要求：</w:t>
      </w:r>
      <w:r>
        <w:rPr>
          <w:rFonts w:hint="eastAsia" w:ascii="宋体" w:hAnsi="宋体" w:cs="宋体"/>
          <w:b/>
          <w:bCs/>
          <w:color w:val="000000"/>
          <w:szCs w:val="21"/>
          <w:highlight w:val="none"/>
          <w:u w:val="single"/>
        </w:rPr>
        <w:t>“采购需求”中所有要求均为实质性要求，不允许负偏离，否则视为无效响应</w:t>
      </w:r>
      <w:r>
        <w:rPr>
          <w:rFonts w:hint="eastAsia" w:ascii="宋体" w:hAnsi="宋体" w:cs="宋体"/>
          <w:b/>
          <w:color w:val="000000"/>
          <w:szCs w:val="21"/>
          <w:highlight w:val="none"/>
          <w:u w:val="single"/>
        </w:rPr>
        <w:t>。</w:t>
      </w:r>
    </w:p>
    <w:p w14:paraId="6748C082">
      <w:pPr>
        <w:pStyle w:val="4"/>
        <w:spacing w:before="0" w:after="0" w:line="360" w:lineRule="auto"/>
        <w:ind w:firstLine="420" w:firstLineChars="200"/>
        <w:rPr>
          <w:rFonts w:hint="eastAsia" w:ascii="宋体" w:hAnsi="宋体" w:cs="宋体"/>
          <w:color w:val="000000"/>
          <w:sz w:val="21"/>
          <w:szCs w:val="21"/>
          <w:highlight w:val="none"/>
        </w:rPr>
      </w:pPr>
      <w:bookmarkStart w:id="71" w:name="_Toc10307"/>
      <w:bookmarkStart w:id="72" w:name="_Toc24409"/>
      <w:bookmarkStart w:id="73" w:name="_Toc31681"/>
      <w:bookmarkStart w:id="74" w:name="_Toc10669"/>
      <w:bookmarkStart w:id="75" w:name="_Toc32534"/>
      <w:r>
        <w:rPr>
          <w:rFonts w:hint="eastAsia" w:ascii="宋体" w:hAnsi="宋体" w:cs="宋体"/>
          <w:color w:val="000000"/>
          <w:sz w:val="21"/>
          <w:szCs w:val="21"/>
          <w:highlight w:val="none"/>
        </w:rPr>
        <w:t>3. 供应商资格</w:t>
      </w:r>
      <w:bookmarkEnd w:id="71"/>
      <w:bookmarkEnd w:id="72"/>
      <w:bookmarkEnd w:id="73"/>
      <w:bookmarkEnd w:id="74"/>
      <w:bookmarkEnd w:id="75"/>
    </w:p>
    <w:p w14:paraId="7012D925">
      <w:pPr>
        <w:pStyle w:val="8"/>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3.1.满足《中华人民共和国政府采购法》第二十二条规定；</w:t>
      </w:r>
    </w:p>
    <w:p w14:paraId="412FC0EB">
      <w:pPr>
        <w:pStyle w:val="8"/>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3.2.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3965A8C7">
      <w:pPr>
        <w:pStyle w:val="8"/>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3.3.落实政府采购政策需满足的资格要求：无。</w:t>
      </w:r>
    </w:p>
    <w:p w14:paraId="1CC7F829">
      <w:pPr>
        <w:pStyle w:val="8"/>
        <w:ind w:firstLine="420" w:firstLineChars="20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3.4.本项目的特定资格要求：无。</w:t>
      </w:r>
    </w:p>
    <w:p w14:paraId="31A828DD">
      <w:pPr>
        <w:pStyle w:val="4"/>
        <w:spacing w:before="0" w:after="0" w:line="360" w:lineRule="auto"/>
        <w:ind w:firstLine="420" w:firstLineChars="200"/>
        <w:rPr>
          <w:rFonts w:hint="eastAsia" w:ascii="宋体" w:hAnsi="宋体" w:cs="宋体"/>
          <w:color w:val="000000"/>
          <w:sz w:val="21"/>
          <w:szCs w:val="21"/>
          <w:highlight w:val="none"/>
        </w:rPr>
      </w:pPr>
      <w:bookmarkStart w:id="76" w:name="_Toc2957"/>
      <w:bookmarkStart w:id="77" w:name="_Toc32640"/>
      <w:bookmarkStart w:id="78" w:name="_Toc31156"/>
      <w:bookmarkStart w:id="79" w:name="_Toc31769"/>
      <w:bookmarkStart w:id="80" w:name="_Toc30770"/>
      <w:r>
        <w:rPr>
          <w:rFonts w:hint="eastAsia" w:ascii="宋体" w:hAnsi="宋体" w:cs="宋体"/>
          <w:color w:val="000000"/>
          <w:sz w:val="21"/>
          <w:szCs w:val="21"/>
          <w:highlight w:val="none"/>
        </w:rPr>
        <w:t>4. 谈判费用</w:t>
      </w:r>
      <w:bookmarkEnd w:id="76"/>
      <w:bookmarkEnd w:id="77"/>
      <w:bookmarkEnd w:id="78"/>
      <w:bookmarkEnd w:id="79"/>
      <w:bookmarkEnd w:id="80"/>
    </w:p>
    <w:p w14:paraId="73CFDD78">
      <w:pPr>
        <w:tabs>
          <w:tab w:val="left" w:pos="1635"/>
        </w:tabs>
        <w:spacing w:line="360" w:lineRule="exact"/>
        <w:ind w:firstLine="435"/>
        <w:rPr>
          <w:rFonts w:ascii="宋体"/>
          <w:color w:val="000000"/>
          <w:szCs w:val="21"/>
          <w:highlight w:val="none"/>
        </w:rPr>
      </w:pPr>
      <w:r>
        <w:rPr>
          <w:rFonts w:hint="eastAsia" w:ascii="宋体" w:hAnsi="宋体"/>
          <w:color w:val="000000"/>
          <w:szCs w:val="21"/>
          <w:highlight w:val="none"/>
        </w:rPr>
        <w:t>不论</w:t>
      </w:r>
      <w:r>
        <w:rPr>
          <w:rFonts w:hint="eastAsia" w:ascii="宋体" w:hAnsi="宋体" w:cs="宋体"/>
          <w:color w:val="000000"/>
          <w:szCs w:val="21"/>
          <w:highlight w:val="none"/>
        </w:rPr>
        <w:t>谈判</w:t>
      </w:r>
      <w:r>
        <w:rPr>
          <w:rFonts w:hint="eastAsia" w:ascii="宋体" w:hAnsi="宋体"/>
          <w:color w:val="000000"/>
          <w:szCs w:val="21"/>
          <w:highlight w:val="none"/>
        </w:rPr>
        <w:t>结果如何，供应商均应自行承担所有与谈判有关的全部费用。</w:t>
      </w:r>
    </w:p>
    <w:p w14:paraId="5FD49A7E">
      <w:pPr>
        <w:pStyle w:val="4"/>
        <w:numPr>
          <w:ilvl w:val="0"/>
          <w:numId w:val="4"/>
        </w:numPr>
        <w:spacing w:before="0" w:after="0" w:line="360" w:lineRule="auto"/>
        <w:ind w:firstLine="420" w:firstLineChars="200"/>
        <w:rPr>
          <w:rFonts w:hint="eastAsia" w:ascii="宋体" w:hAnsi="宋体" w:cs="宋体"/>
          <w:color w:val="000000"/>
          <w:sz w:val="21"/>
          <w:szCs w:val="21"/>
          <w:highlight w:val="none"/>
        </w:rPr>
      </w:pPr>
      <w:bookmarkStart w:id="81" w:name="_Toc23827"/>
      <w:bookmarkStart w:id="82" w:name="_Toc22801"/>
      <w:bookmarkStart w:id="83" w:name="_Toc26103"/>
      <w:bookmarkStart w:id="84" w:name="_Toc7254"/>
      <w:bookmarkStart w:id="85" w:name="_Toc25660"/>
      <w:r>
        <w:rPr>
          <w:rFonts w:hint="eastAsia" w:ascii="宋体" w:hAnsi="宋体" w:cs="宋体"/>
          <w:color w:val="000000"/>
          <w:sz w:val="21"/>
          <w:szCs w:val="21"/>
          <w:highlight w:val="none"/>
        </w:rPr>
        <w:t>联合体要求</w:t>
      </w:r>
      <w:bookmarkEnd w:id="81"/>
      <w:bookmarkEnd w:id="82"/>
      <w:bookmarkEnd w:id="83"/>
      <w:bookmarkEnd w:id="84"/>
      <w:bookmarkEnd w:id="85"/>
    </w:p>
    <w:p w14:paraId="2EC20C57">
      <w:pPr>
        <w:spacing w:line="360" w:lineRule="exact"/>
        <w:ind w:firstLine="420" w:firstLineChars="200"/>
        <w:rPr>
          <w:rFonts w:hint="eastAsia"/>
          <w:color w:val="000000"/>
          <w:highlight w:val="none"/>
        </w:rPr>
      </w:pPr>
      <w:r>
        <w:rPr>
          <w:rFonts w:hint="eastAsia" w:ascii="宋体" w:hAnsi="宋体"/>
          <w:bCs/>
          <w:color w:val="000000"/>
          <w:szCs w:val="21"/>
          <w:highlight w:val="none"/>
        </w:rPr>
        <w:t>本项目不接受联合体参与谈判。</w:t>
      </w:r>
    </w:p>
    <w:p w14:paraId="348D1E43">
      <w:pPr>
        <w:pStyle w:val="4"/>
        <w:spacing w:before="0" w:after="0" w:line="360" w:lineRule="auto"/>
        <w:ind w:firstLine="420" w:firstLineChars="200"/>
        <w:rPr>
          <w:rFonts w:hint="eastAsia" w:ascii="宋体" w:hAnsi="宋体" w:cs="宋体"/>
          <w:color w:val="000000"/>
          <w:sz w:val="21"/>
          <w:szCs w:val="21"/>
          <w:highlight w:val="none"/>
        </w:rPr>
      </w:pPr>
      <w:bookmarkStart w:id="86" w:name="_Toc10978"/>
      <w:bookmarkStart w:id="87" w:name="_Toc15445"/>
      <w:bookmarkStart w:id="88" w:name="_Toc5310"/>
      <w:bookmarkStart w:id="89" w:name="_Toc31465"/>
      <w:bookmarkStart w:id="90" w:name="_Toc23275"/>
      <w:r>
        <w:rPr>
          <w:rFonts w:hint="eastAsia" w:ascii="宋体" w:hAnsi="宋体" w:cs="宋体"/>
          <w:color w:val="000000"/>
          <w:sz w:val="21"/>
          <w:szCs w:val="21"/>
          <w:highlight w:val="none"/>
        </w:rPr>
        <w:t>6. 质疑和投诉</w:t>
      </w:r>
      <w:bookmarkEnd w:id="86"/>
      <w:bookmarkEnd w:id="87"/>
      <w:bookmarkEnd w:id="88"/>
      <w:bookmarkEnd w:id="89"/>
      <w:bookmarkEnd w:id="90"/>
      <w:r>
        <w:rPr>
          <w:rFonts w:hint="eastAsia" w:ascii="宋体" w:hAnsi="宋体" w:cs="宋体"/>
          <w:color w:val="000000"/>
          <w:sz w:val="21"/>
          <w:szCs w:val="21"/>
          <w:highlight w:val="none"/>
        </w:rPr>
        <w:tab/>
      </w:r>
    </w:p>
    <w:p w14:paraId="281171E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.1供应商认为竞争性谈判文件使自己的合法权益受到损害的，应当在本项目</w:t>
      </w:r>
      <w:r>
        <w:rPr>
          <w:rFonts w:hint="eastAsia" w:ascii="宋体" w:hAnsi="宋体"/>
          <w:color w:val="000000"/>
          <w:szCs w:val="21"/>
          <w:highlight w:val="none"/>
        </w:rPr>
        <w:t>竞争性谈判公告</w:t>
      </w:r>
      <w:r>
        <w:rPr>
          <w:rFonts w:hint="eastAsia" w:ascii="宋体" w:hAnsi="宋体" w:eastAsia="宋体" w:cs="宋体"/>
          <w:color w:val="000000"/>
          <w:highlight w:val="none"/>
        </w:rPr>
        <w:t>期限届满之日起七个工作日内以书面形式向采购人或</w:t>
      </w:r>
      <w:r>
        <w:rPr>
          <w:rFonts w:hint="eastAsia" w:ascii="宋体" w:hAnsi="宋体" w:eastAsia="宋体" w:cs="宋体"/>
          <w:color w:val="000000"/>
          <w:highlight w:val="none"/>
          <w:lang w:eastAsia="zh-CN"/>
        </w:rPr>
        <w:t>中佳信建设管理集团有限公司</w:t>
      </w:r>
      <w:r>
        <w:rPr>
          <w:rFonts w:hint="eastAsia" w:ascii="宋体" w:hAnsi="宋体" w:eastAsia="宋体" w:cs="宋体"/>
          <w:color w:val="000000"/>
          <w:highlight w:val="none"/>
        </w:rPr>
        <w:t>提出质疑。供应商认为</w:t>
      </w:r>
      <w:r>
        <w:rPr>
          <w:rFonts w:hint="eastAsia" w:ascii="宋体" w:hAnsi="宋体" w:eastAsia="宋体" w:cs="宋体"/>
          <w:color w:val="000000"/>
          <w:highlight w:val="none"/>
          <w:lang w:eastAsia="zh-CN"/>
        </w:rPr>
        <w:t>采购</w:t>
      </w:r>
      <w:r>
        <w:rPr>
          <w:rFonts w:hint="eastAsia" w:ascii="宋体" w:hAnsi="宋体" w:eastAsia="宋体" w:cs="宋体"/>
          <w:color w:val="000000"/>
          <w:highlight w:val="none"/>
        </w:rPr>
        <w:t>过程或</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结果使自己的合法权益受到损害的，应当在采购程序环节结束之日或</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公告期限届满之日起七个工作日内，以书面形式向采购人或</w:t>
      </w:r>
      <w:r>
        <w:rPr>
          <w:rFonts w:hint="eastAsia" w:ascii="宋体" w:hAnsi="宋体" w:eastAsia="宋体" w:cs="宋体"/>
          <w:color w:val="000000"/>
          <w:highlight w:val="none"/>
          <w:lang w:eastAsia="zh-CN"/>
        </w:rPr>
        <w:t>中佳信建设管理集团有限公司</w:t>
      </w:r>
      <w:r>
        <w:rPr>
          <w:rFonts w:hint="eastAsia" w:ascii="宋体" w:hAnsi="宋体" w:eastAsia="宋体" w:cs="宋体"/>
          <w:color w:val="000000"/>
          <w:highlight w:val="none"/>
        </w:rPr>
        <w:t>提出质疑。</w:t>
      </w:r>
    </w:p>
    <w:p w14:paraId="5986C4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接收质疑函方式：以书面形式（原件）提交。</w:t>
      </w:r>
    </w:p>
    <w:p w14:paraId="443842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质疑联系人：</w:t>
      </w:r>
      <w:r>
        <w:rPr>
          <w:rFonts w:hint="eastAsia" w:ascii="宋体" w:hAnsi="宋体" w:eastAsia="宋体" w:cs="宋体"/>
          <w:color w:val="000000"/>
          <w:highlight w:val="none"/>
          <w:lang w:eastAsia="zh-CN"/>
        </w:rPr>
        <w:t>中佳信建设管理集团有限公司</w:t>
      </w:r>
      <w:r>
        <w:rPr>
          <w:rFonts w:hint="eastAsia" w:ascii="宋体" w:hAnsi="宋体" w:eastAsia="宋体" w:cs="宋体"/>
          <w:color w:val="000000"/>
          <w:highlight w:val="none"/>
        </w:rPr>
        <w:t>，联系电话：0773-8986680</w:t>
      </w:r>
    </w:p>
    <w:p w14:paraId="695594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通讯地址：</w:t>
      </w:r>
      <w:r>
        <w:rPr>
          <w:rFonts w:hint="eastAsia" w:ascii="宋体" w:hAnsi="宋体" w:eastAsia="宋体" w:cs="宋体"/>
          <w:color w:val="000000"/>
          <w:highlight w:val="none"/>
          <w:lang w:eastAsia="zh-CN"/>
        </w:rPr>
        <w:t>桂林市秀峰区翠竹路23号翡翠山庄29-2号</w:t>
      </w:r>
    </w:p>
    <w:p w14:paraId="0B47C6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.2收到供应商书面质疑函后，采购人应当在七个工作日内对质疑事项作出答复（答复内容不得涉及商业秘密），并委托采购代理机构以书面形式通知质疑供应商，在财政部门指定的媒体发布质疑答复公告。</w:t>
      </w:r>
    </w:p>
    <w:p w14:paraId="222E55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.3供应商对采购人或采购代理机构的答复不满意，或者采购人或采购代理机构未在规定的时间内作出答复的，可以在答复期满后十五个工作日内向本级财政部门投诉。</w:t>
      </w:r>
    </w:p>
    <w:p w14:paraId="66667C5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.4质疑、投诉应当采用书面形式，质疑书、投诉书实行实名制，均应明确阐述竞争性谈判文件、</w:t>
      </w:r>
      <w:r>
        <w:rPr>
          <w:rFonts w:hint="eastAsia" w:ascii="宋体" w:hAnsi="宋体" w:eastAsia="宋体" w:cs="宋体"/>
          <w:color w:val="000000"/>
          <w:highlight w:val="none"/>
          <w:lang w:eastAsia="zh-CN"/>
        </w:rPr>
        <w:t>采购</w:t>
      </w:r>
      <w:r>
        <w:rPr>
          <w:rFonts w:hint="eastAsia" w:ascii="宋体" w:hAnsi="宋体" w:eastAsia="宋体" w:cs="宋体"/>
          <w:color w:val="000000"/>
          <w:highlight w:val="none"/>
        </w:rPr>
        <w:t>过程或</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结果中使自己合法权益受到损害的实质性内容，并提供必要的证明材料。</w:t>
      </w:r>
    </w:p>
    <w:p w14:paraId="56D3C85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.5供应商在法定质疑期内应当一次性提出针对同一采购程序环节的质疑。</w:t>
      </w:r>
    </w:p>
    <w:p w14:paraId="63A936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.6 不在法定质疑期内提出的质疑函可以拒收。不符合要求的质疑函在法定质疑期内及时补充完整，否则作质疑不成立处理。</w:t>
      </w:r>
    </w:p>
    <w:p w14:paraId="1ECA3F7C">
      <w:pPr>
        <w:pStyle w:val="4"/>
        <w:spacing w:before="0" w:after="0" w:line="360" w:lineRule="auto"/>
        <w:ind w:firstLine="420" w:firstLineChars="200"/>
        <w:rPr>
          <w:rFonts w:hint="eastAsia" w:ascii="宋体" w:hAnsi="宋体" w:cs="宋体"/>
          <w:color w:val="000000"/>
          <w:sz w:val="21"/>
          <w:szCs w:val="21"/>
          <w:highlight w:val="none"/>
        </w:rPr>
      </w:pPr>
      <w:bookmarkStart w:id="91" w:name="_Toc3350"/>
      <w:bookmarkStart w:id="92" w:name="_Toc31836"/>
      <w:bookmarkStart w:id="93" w:name="_Toc27100"/>
      <w:bookmarkStart w:id="94" w:name="_Toc315"/>
      <w:bookmarkStart w:id="95" w:name="_Toc24675"/>
      <w:r>
        <w:rPr>
          <w:rFonts w:hint="eastAsia" w:ascii="宋体" w:hAnsi="宋体" w:cs="宋体"/>
          <w:color w:val="000000"/>
          <w:sz w:val="21"/>
          <w:szCs w:val="21"/>
          <w:highlight w:val="none"/>
        </w:rPr>
        <w:t>7. 转包与分包</w:t>
      </w:r>
      <w:bookmarkEnd w:id="91"/>
      <w:bookmarkEnd w:id="92"/>
      <w:bookmarkEnd w:id="93"/>
      <w:bookmarkEnd w:id="94"/>
      <w:bookmarkEnd w:id="95"/>
    </w:p>
    <w:p w14:paraId="24DF952B">
      <w:pPr>
        <w:tabs>
          <w:tab w:val="left" w:pos="2190"/>
        </w:tabs>
        <w:spacing w:line="360" w:lineRule="exact"/>
        <w:ind w:firstLine="435"/>
        <w:rPr>
          <w:rFonts w:ascii="宋体"/>
          <w:color w:val="000000"/>
          <w:szCs w:val="21"/>
          <w:highlight w:val="none"/>
        </w:rPr>
      </w:pPr>
      <w:r>
        <w:rPr>
          <w:rFonts w:ascii="宋体" w:hAnsi="宋体"/>
          <w:color w:val="000000"/>
          <w:szCs w:val="21"/>
          <w:highlight w:val="none"/>
        </w:rPr>
        <w:t xml:space="preserve">7.1 </w:t>
      </w:r>
      <w:r>
        <w:rPr>
          <w:rFonts w:hint="eastAsia" w:ascii="宋体" w:hAnsi="宋体"/>
          <w:color w:val="000000"/>
          <w:szCs w:val="21"/>
          <w:highlight w:val="none"/>
        </w:rPr>
        <w:t>本项目不允许转包。</w:t>
      </w:r>
    </w:p>
    <w:p w14:paraId="47F26781">
      <w:pPr>
        <w:tabs>
          <w:tab w:val="left" w:pos="2190"/>
        </w:tabs>
        <w:spacing w:line="360" w:lineRule="exact"/>
        <w:ind w:firstLine="435"/>
        <w:rPr>
          <w:rFonts w:ascii="宋体"/>
          <w:color w:val="000000"/>
          <w:szCs w:val="21"/>
          <w:highlight w:val="none"/>
        </w:rPr>
      </w:pPr>
      <w:r>
        <w:rPr>
          <w:rFonts w:ascii="宋体" w:hAnsi="宋体"/>
          <w:color w:val="000000"/>
          <w:szCs w:val="21"/>
          <w:highlight w:val="none"/>
        </w:rPr>
        <w:t xml:space="preserve">7.2 </w:t>
      </w:r>
      <w:r>
        <w:rPr>
          <w:rFonts w:hint="eastAsia" w:ascii="宋体" w:hAnsi="宋体"/>
          <w:color w:val="000000"/>
          <w:szCs w:val="21"/>
          <w:highlight w:val="none"/>
        </w:rPr>
        <w:t>本项目不可以分包。</w:t>
      </w:r>
    </w:p>
    <w:p w14:paraId="29E9A19B">
      <w:pPr>
        <w:pStyle w:val="4"/>
        <w:spacing w:before="0" w:after="0" w:line="360" w:lineRule="auto"/>
        <w:ind w:firstLine="420" w:firstLineChars="200"/>
        <w:rPr>
          <w:rFonts w:hint="eastAsia" w:ascii="宋体" w:hAnsi="宋体" w:cs="宋体"/>
          <w:color w:val="000000"/>
          <w:sz w:val="21"/>
          <w:szCs w:val="21"/>
          <w:highlight w:val="none"/>
        </w:rPr>
      </w:pPr>
      <w:bookmarkStart w:id="96" w:name="_Toc21741"/>
      <w:bookmarkStart w:id="97" w:name="_Toc17907"/>
      <w:bookmarkStart w:id="98" w:name="_Toc28178"/>
      <w:bookmarkStart w:id="99" w:name="_Toc20316"/>
      <w:bookmarkStart w:id="100" w:name="_Toc17535"/>
      <w:r>
        <w:rPr>
          <w:rFonts w:hint="eastAsia" w:ascii="宋体" w:hAnsi="宋体" w:cs="宋体"/>
          <w:color w:val="000000"/>
          <w:sz w:val="21"/>
          <w:szCs w:val="21"/>
          <w:highlight w:val="none"/>
        </w:rPr>
        <w:t>8. 特别说明</w:t>
      </w:r>
      <w:bookmarkEnd w:id="96"/>
      <w:bookmarkEnd w:id="97"/>
      <w:bookmarkEnd w:id="98"/>
      <w:bookmarkEnd w:id="99"/>
      <w:bookmarkEnd w:id="100"/>
    </w:p>
    <w:p w14:paraId="42DF0E03">
      <w:pPr>
        <w:tabs>
          <w:tab w:val="left" w:pos="1635"/>
        </w:tabs>
        <w:spacing w:line="360" w:lineRule="exact"/>
        <w:ind w:firstLine="420" w:firstLineChars="200"/>
        <w:rPr>
          <w:rFonts w:ascii="宋体"/>
          <w:b/>
          <w:color w:val="000000"/>
          <w:szCs w:val="21"/>
          <w:highlight w:val="none"/>
        </w:rPr>
      </w:pPr>
      <w:r>
        <w:rPr>
          <w:rFonts w:hint="eastAsia" w:ascii="宋体" w:hAnsi="宋体"/>
          <w:b/>
          <w:color w:val="000000"/>
          <w:szCs w:val="21"/>
          <w:highlight w:val="none"/>
        </w:rPr>
        <w:t>8.1关联供应商不得参加同一合同项下政府采购活动，否则响应文件将被视为无效：</w:t>
      </w:r>
    </w:p>
    <w:p w14:paraId="31B44D87">
      <w:pPr>
        <w:tabs>
          <w:tab w:val="left" w:pos="1635"/>
        </w:tabs>
        <w:spacing w:line="360" w:lineRule="exact"/>
        <w:ind w:firstLine="420" w:firstLineChars="200"/>
        <w:rPr>
          <w:rFonts w:asci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）单位负责人为同一人或者存在直接控股、管理关系的，不得参加同一合同项下的政府采购活动。</w:t>
      </w:r>
    </w:p>
    <w:p w14:paraId="542E0970">
      <w:pPr>
        <w:tabs>
          <w:tab w:val="left" w:pos="1635"/>
        </w:tabs>
        <w:spacing w:line="360" w:lineRule="exact"/>
        <w:ind w:firstLine="435"/>
        <w:rPr>
          <w:rFonts w:ascii="宋体"/>
          <w:color w:val="000000"/>
          <w:szCs w:val="21"/>
          <w:highlight w:val="none"/>
        </w:rPr>
      </w:pPr>
      <w:r>
        <w:rPr>
          <w:rFonts w:hint="eastAsia" w:ascii="宋体" w:hAnsi="宋体"/>
          <w:color w:val="000000"/>
          <w:szCs w:val="21"/>
          <w:highlight w:val="none"/>
        </w:rPr>
        <w:t>（2）为本采购项目提供整体设计、规范编制或者项目管理、监理、检测等服务的供应商，不得再参加本次采购活动。</w:t>
      </w:r>
    </w:p>
    <w:p w14:paraId="0B752474">
      <w:pPr>
        <w:tabs>
          <w:tab w:val="left" w:pos="1635"/>
        </w:tabs>
        <w:spacing w:line="360" w:lineRule="exact"/>
        <w:ind w:firstLine="435"/>
        <w:rPr>
          <w:rFonts w:hint="eastAsia" w:ascii="宋体" w:hAnsi="宋体"/>
          <w:b/>
          <w:bCs/>
          <w:color w:val="000000"/>
          <w:szCs w:val="21"/>
          <w:highlight w:val="none"/>
        </w:rPr>
      </w:pPr>
      <w:r>
        <w:rPr>
          <w:rFonts w:hint="eastAsia" w:ascii="宋体" w:hAnsi="宋体"/>
          <w:b/>
          <w:color w:val="000000"/>
          <w:szCs w:val="21"/>
          <w:highlight w:val="none"/>
        </w:rPr>
        <w:t>8.2</w:t>
      </w:r>
      <w:r>
        <w:rPr>
          <w:rFonts w:hint="eastAsia" w:ascii="宋体" w:hAnsi="宋体"/>
          <w:b/>
          <w:bCs/>
          <w:color w:val="000000"/>
          <w:szCs w:val="21"/>
          <w:highlight w:val="none"/>
        </w:rPr>
        <w:t>提供相同品牌产品的不同供应商参加同一合同项下谈判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450A86FD">
      <w:pPr>
        <w:pStyle w:val="8"/>
        <w:rPr>
          <w:rFonts w:hint="eastAsia"/>
          <w:color w:val="000000"/>
          <w:highlight w:val="none"/>
        </w:rPr>
      </w:pPr>
    </w:p>
    <w:p w14:paraId="5F64C1F9">
      <w:pPr>
        <w:pStyle w:val="3"/>
        <w:jc w:val="center"/>
        <w:rPr>
          <w:rFonts w:hint="eastAsia"/>
          <w:b/>
          <w:bCs w:val="0"/>
          <w:color w:val="000000"/>
          <w:szCs w:val="28"/>
          <w:highlight w:val="none"/>
        </w:rPr>
      </w:pPr>
      <w:bookmarkStart w:id="101" w:name="_Toc8864"/>
      <w:bookmarkStart w:id="102" w:name="_Toc18374"/>
      <w:bookmarkStart w:id="103" w:name="_Toc15583"/>
      <w:bookmarkStart w:id="104" w:name="_Toc13909"/>
      <w:bookmarkStart w:id="105" w:name="_Toc2459"/>
    </w:p>
    <w:p w14:paraId="6240526F">
      <w:pPr>
        <w:pStyle w:val="3"/>
        <w:jc w:val="center"/>
        <w:rPr>
          <w:rFonts w:hint="eastAsia"/>
          <w:b/>
          <w:bCs w:val="0"/>
          <w:color w:val="000000"/>
          <w:szCs w:val="28"/>
          <w:highlight w:val="none"/>
        </w:rPr>
      </w:pPr>
      <w:r>
        <w:rPr>
          <w:rFonts w:hint="eastAsia"/>
          <w:b/>
          <w:bCs w:val="0"/>
          <w:color w:val="000000"/>
          <w:szCs w:val="28"/>
          <w:highlight w:val="none"/>
        </w:rPr>
        <w:t>二、谈判文件</w:t>
      </w:r>
      <w:bookmarkEnd w:id="101"/>
      <w:bookmarkEnd w:id="102"/>
      <w:bookmarkEnd w:id="103"/>
      <w:bookmarkEnd w:id="104"/>
      <w:bookmarkEnd w:id="105"/>
    </w:p>
    <w:p w14:paraId="6DAEA181">
      <w:pPr>
        <w:pStyle w:val="4"/>
        <w:spacing w:before="0" w:after="0" w:line="360" w:lineRule="auto"/>
        <w:ind w:firstLine="420" w:firstLineChars="200"/>
        <w:rPr>
          <w:rFonts w:hint="eastAsia" w:ascii="宋体" w:hAnsi="宋体" w:cs="宋体"/>
          <w:color w:val="000000"/>
          <w:sz w:val="21"/>
          <w:szCs w:val="21"/>
          <w:highlight w:val="none"/>
        </w:rPr>
      </w:pPr>
      <w:bookmarkStart w:id="106" w:name="_Toc7893"/>
      <w:bookmarkStart w:id="107" w:name="_Toc3905"/>
      <w:bookmarkStart w:id="108" w:name="_Toc39"/>
      <w:bookmarkStart w:id="109" w:name="_Toc3546"/>
      <w:bookmarkStart w:id="110" w:name="_Toc25591"/>
      <w:r>
        <w:rPr>
          <w:rFonts w:hint="eastAsia" w:ascii="宋体" w:hAnsi="宋体" w:cs="宋体"/>
          <w:color w:val="000000"/>
          <w:sz w:val="21"/>
          <w:szCs w:val="21"/>
          <w:highlight w:val="none"/>
        </w:rPr>
        <w:t>9. 谈判文件的构成</w:t>
      </w:r>
      <w:bookmarkEnd w:id="106"/>
      <w:bookmarkEnd w:id="107"/>
      <w:bookmarkEnd w:id="108"/>
      <w:bookmarkEnd w:id="109"/>
      <w:bookmarkEnd w:id="110"/>
    </w:p>
    <w:p w14:paraId="691DFA9B">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）竞争性谈判公告；</w:t>
      </w:r>
    </w:p>
    <w:p w14:paraId="4A80CEA4">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）供应商须知；</w:t>
      </w:r>
    </w:p>
    <w:p w14:paraId="4351886B">
      <w:pPr>
        <w:spacing w:line="360" w:lineRule="auto"/>
        <w:ind w:firstLine="420" w:firstLineChars="200"/>
        <w:rPr>
          <w:rFonts w:hint="eastAsia" w:ascii="宋体" w:hAnsi="宋体"/>
          <w:b/>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）采购需求</w:t>
      </w:r>
      <w:r>
        <w:rPr>
          <w:rFonts w:hint="eastAsia" w:ascii="宋体" w:hAnsi="宋体"/>
          <w:bCs/>
          <w:color w:val="000000"/>
          <w:szCs w:val="21"/>
          <w:highlight w:val="none"/>
        </w:rPr>
        <w:t>；</w:t>
      </w:r>
    </w:p>
    <w:p w14:paraId="13F06B33">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4</w:t>
      </w:r>
      <w:r>
        <w:rPr>
          <w:rFonts w:hint="eastAsia" w:ascii="宋体" w:hAnsi="宋体" w:cs="宋体"/>
          <w:color w:val="000000"/>
          <w:szCs w:val="21"/>
          <w:highlight w:val="none"/>
        </w:rPr>
        <w:t>）评审办法；</w:t>
      </w:r>
    </w:p>
    <w:p w14:paraId="2A3433FC">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）采购合同（合同主要条款及格式）；</w:t>
      </w:r>
    </w:p>
    <w:p w14:paraId="4EE114B8">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6</w:t>
      </w:r>
      <w:r>
        <w:rPr>
          <w:rFonts w:hint="eastAsia" w:ascii="宋体" w:hAnsi="宋体" w:cs="宋体"/>
          <w:color w:val="000000"/>
          <w:szCs w:val="21"/>
          <w:highlight w:val="none"/>
        </w:rPr>
        <w:t>）响应文件（格式）。</w:t>
      </w:r>
    </w:p>
    <w:p w14:paraId="4FB98E0A">
      <w:pPr>
        <w:pStyle w:val="4"/>
        <w:spacing w:before="0" w:after="0" w:line="360" w:lineRule="auto"/>
        <w:ind w:firstLine="420" w:firstLineChars="200"/>
        <w:rPr>
          <w:rFonts w:hint="eastAsia" w:ascii="宋体" w:hAnsi="宋体" w:cs="宋体"/>
          <w:color w:val="000000"/>
          <w:sz w:val="21"/>
          <w:szCs w:val="21"/>
          <w:highlight w:val="none"/>
        </w:rPr>
      </w:pPr>
      <w:bookmarkStart w:id="111" w:name="_Toc11229"/>
      <w:bookmarkStart w:id="112" w:name="_Toc3599"/>
      <w:bookmarkStart w:id="113" w:name="_Toc289"/>
      <w:bookmarkStart w:id="114" w:name="_Toc12804"/>
      <w:bookmarkStart w:id="115" w:name="_Toc1448"/>
      <w:r>
        <w:rPr>
          <w:rFonts w:hint="eastAsia" w:ascii="宋体" w:hAnsi="宋体" w:cs="宋体"/>
          <w:color w:val="000000"/>
          <w:sz w:val="21"/>
          <w:szCs w:val="21"/>
          <w:highlight w:val="none"/>
        </w:rPr>
        <w:t>10. 谈判文件的澄清与修改</w:t>
      </w:r>
      <w:bookmarkEnd w:id="111"/>
      <w:bookmarkEnd w:id="112"/>
      <w:bookmarkEnd w:id="113"/>
      <w:bookmarkEnd w:id="114"/>
      <w:bookmarkEnd w:id="115"/>
    </w:p>
    <w:p w14:paraId="32264566">
      <w:pPr>
        <w:spacing w:line="360" w:lineRule="auto"/>
        <w:ind w:left="420" w:leftChars="200"/>
        <w:jc w:val="left"/>
        <w:rPr>
          <w:rFonts w:hint="eastAsia" w:ascii="宋体" w:hAnsi="宋体" w:cs="宋体"/>
          <w:color w:val="000000"/>
          <w:szCs w:val="21"/>
          <w:highlight w:val="none"/>
        </w:rPr>
      </w:pPr>
      <w:r>
        <w:rPr>
          <w:rFonts w:ascii="宋体" w:hAnsi="宋体" w:cs="宋体"/>
          <w:color w:val="000000"/>
          <w:szCs w:val="21"/>
          <w:highlight w:val="none"/>
        </w:rPr>
        <w:t xml:space="preserve">10.1 </w:t>
      </w:r>
      <w:r>
        <w:rPr>
          <w:rFonts w:hint="eastAsia" w:ascii="宋体" w:hAnsi="宋体" w:cs="宋体"/>
          <w:color w:val="000000"/>
          <w:szCs w:val="21"/>
          <w:highlight w:val="none"/>
        </w:rPr>
        <w:t>提交首次响应文件截止之日前，采购代理机构可以对已发出的谈判文件进行必要澄清、答复、修改或补充，澄清或者修改的内容可能影响响应文件编制的，采购人、采购代理机构应当在提交首次响应文件递交截止时间五个工作日前在本项目竞争性谈判公告发布的同一媒体上发布更正公告，不足五个工作日的，应当顺延首次响应文件递交截止时间。</w:t>
      </w:r>
    </w:p>
    <w:p w14:paraId="500B05B8">
      <w:pPr>
        <w:spacing w:line="360" w:lineRule="auto"/>
        <w:ind w:left="420" w:leftChars="200"/>
        <w:jc w:val="left"/>
        <w:rPr>
          <w:rFonts w:ascii="宋体" w:cs="宋体"/>
          <w:b/>
          <w:bCs/>
          <w:color w:val="000000"/>
          <w:szCs w:val="21"/>
          <w:highlight w:val="none"/>
        </w:rPr>
      </w:pPr>
      <w:r>
        <w:rPr>
          <w:rFonts w:ascii="宋体" w:hAnsi="宋体" w:cs="宋体"/>
          <w:color w:val="000000"/>
          <w:szCs w:val="21"/>
          <w:highlight w:val="none"/>
        </w:rPr>
        <w:t>10.2</w:t>
      </w:r>
      <w:r>
        <w:rPr>
          <w:rFonts w:hint="eastAsia" w:ascii="宋体" w:hAnsi="宋体" w:cs="宋体"/>
          <w:b/>
          <w:bCs/>
          <w:color w:val="000000"/>
          <w:szCs w:val="21"/>
          <w:highlight w:val="none"/>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155E8F6B">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10.3澄清或者修改的内容为谈判文件的组成部分。当澄清或者修改通知就同一内容的表述不一致时，以最后发出的文件为准。</w:t>
      </w:r>
    </w:p>
    <w:p w14:paraId="27598C36">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10.4 谈判文件的澄清或者修改都应该通过本项目采购代理机构以法定形式发布，采购人非通过本机构，不得擅自澄清或者修改谈判文件。</w:t>
      </w:r>
    </w:p>
    <w:p w14:paraId="0921C9B0">
      <w:pPr>
        <w:spacing w:line="360" w:lineRule="auto"/>
        <w:ind w:left="420" w:leftChars="200"/>
        <w:jc w:val="left"/>
        <w:rPr>
          <w:rFonts w:hint="eastAsia"/>
          <w:color w:val="000000"/>
          <w:highlight w:val="none"/>
        </w:rPr>
      </w:pPr>
      <w:r>
        <w:rPr>
          <w:rFonts w:hint="eastAsia" w:ascii="宋体" w:hAnsi="宋体" w:cs="宋体"/>
          <w:color w:val="000000"/>
          <w:szCs w:val="21"/>
          <w:highlight w:val="none"/>
        </w:rPr>
        <w:t>10.5采购单位可以视采购具体情况，延长响应文件截止时间和谈判时间，在本项目竞争性谈判公告发布的同一媒体上发布变更公告。</w:t>
      </w:r>
    </w:p>
    <w:p w14:paraId="2B54590B">
      <w:pPr>
        <w:pStyle w:val="3"/>
        <w:jc w:val="center"/>
        <w:rPr>
          <w:rFonts w:hint="eastAsia"/>
          <w:b/>
          <w:bCs w:val="0"/>
          <w:color w:val="000000"/>
          <w:szCs w:val="28"/>
          <w:highlight w:val="none"/>
        </w:rPr>
      </w:pPr>
      <w:bookmarkStart w:id="116" w:name="_Toc28536"/>
      <w:bookmarkStart w:id="117" w:name="_Toc26794"/>
      <w:bookmarkStart w:id="118" w:name="_Toc31243"/>
      <w:bookmarkStart w:id="119" w:name="_Toc1838"/>
      <w:bookmarkStart w:id="120" w:name="_Toc6502"/>
    </w:p>
    <w:p w14:paraId="1A726218">
      <w:pPr>
        <w:pStyle w:val="3"/>
        <w:jc w:val="center"/>
        <w:rPr>
          <w:rFonts w:hint="eastAsia"/>
          <w:b/>
          <w:bCs w:val="0"/>
          <w:color w:val="000000"/>
          <w:szCs w:val="28"/>
          <w:highlight w:val="none"/>
        </w:rPr>
      </w:pPr>
      <w:r>
        <w:rPr>
          <w:rFonts w:hint="eastAsia"/>
          <w:b/>
          <w:bCs w:val="0"/>
          <w:color w:val="000000"/>
          <w:szCs w:val="28"/>
          <w:highlight w:val="none"/>
        </w:rPr>
        <w:t>三、竞争性谈判响应文件的编制</w:t>
      </w:r>
      <w:bookmarkEnd w:id="116"/>
      <w:bookmarkEnd w:id="117"/>
      <w:bookmarkEnd w:id="118"/>
      <w:bookmarkEnd w:id="119"/>
      <w:bookmarkEnd w:id="120"/>
    </w:p>
    <w:p w14:paraId="40D945AF">
      <w:pPr>
        <w:pStyle w:val="4"/>
        <w:spacing w:before="0" w:after="0" w:line="360" w:lineRule="auto"/>
        <w:ind w:firstLine="420" w:firstLineChars="200"/>
        <w:rPr>
          <w:rFonts w:hint="eastAsia" w:ascii="宋体" w:hAnsi="宋体" w:cs="宋体"/>
          <w:color w:val="000000"/>
          <w:sz w:val="21"/>
          <w:szCs w:val="21"/>
          <w:highlight w:val="none"/>
        </w:rPr>
      </w:pPr>
      <w:bookmarkStart w:id="121" w:name="_Toc3373"/>
      <w:bookmarkStart w:id="122" w:name="_Toc5167"/>
      <w:bookmarkStart w:id="123" w:name="_Toc14480"/>
      <w:bookmarkStart w:id="124" w:name="_Toc1879"/>
      <w:bookmarkStart w:id="125" w:name="_Toc6724"/>
      <w:r>
        <w:rPr>
          <w:rFonts w:hint="eastAsia" w:ascii="宋体" w:hAnsi="宋体" w:cs="宋体"/>
          <w:color w:val="000000"/>
          <w:sz w:val="21"/>
          <w:szCs w:val="21"/>
          <w:highlight w:val="none"/>
        </w:rPr>
        <w:t>11.竞争性谈判响应文件（以下简称响应文件）的组成及要求</w:t>
      </w:r>
      <w:bookmarkEnd w:id="121"/>
      <w:bookmarkEnd w:id="122"/>
      <w:bookmarkEnd w:id="123"/>
      <w:bookmarkEnd w:id="124"/>
      <w:bookmarkEnd w:id="125"/>
    </w:p>
    <w:p w14:paraId="48AA933B">
      <w:pPr>
        <w:spacing w:line="360" w:lineRule="auto"/>
        <w:ind w:firstLine="420" w:firstLineChars="200"/>
        <w:outlineLvl w:val="3"/>
        <w:rPr>
          <w:rFonts w:ascii="宋体" w:hAnsi="宋体" w:cs="宋体"/>
          <w:b/>
          <w:bCs/>
          <w:color w:val="000000"/>
          <w:szCs w:val="21"/>
          <w:highlight w:val="none"/>
        </w:rPr>
      </w:pPr>
      <w:r>
        <w:rPr>
          <w:rFonts w:hint="eastAsia" w:ascii="宋体" w:hAnsi="宋体" w:cs="宋体"/>
          <w:b/>
          <w:bCs/>
          <w:color w:val="000000"/>
          <w:szCs w:val="21"/>
          <w:highlight w:val="none"/>
        </w:rPr>
        <w:t>11</w:t>
      </w:r>
      <w:r>
        <w:rPr>
          <w:rFonts w:ascii="宋体" w:hAnsi="宋体" w:cs="宋体"/>
          <w:b/>
          <w:bCs/>
          <w:color w:val="000000"/>
          <w:szCs w:val="21"/>
          <w:highlight w:val="none"/>
        </w:rPr>
        <w:t>.1 本项目实行电子投标</w:t>
      </w:r>
      <w:r>
        <w:rPr>
          <w:rFonts w:hint="eastAsia" w:ascii="宋体" w:hAnsi="宋体" w:cs="宋体"/>
          <w:b/>
          <w:bCs/>
          <w:color w:val="000000"/>
          <w:szCs w:val="21"/>
          <w:highlight w:val="none"/>
        </w:rPr>
        <w:t>响应</w:t>
      </w:r>
      <w:r>
        <w:rPr>
          <w:rFonts w:ascii="宋体" w:hAnsi="宋体" w:cs="宋体"/>
          <w:b/>
          <w:bCs/>
          <w:color w:val="000000"/>
          <w:szCs w:val="21"/>
          <w:highlight w:val="none"/>
        </w:rPr>
        <w:t>，供应商应准备电子响应文件</w:t>
      </w:r>
      <w:r>
        <w:rPr>
          <w:rFonts w:hint="eastAsia" w:ascii="宋体" w:hAnsi="宋体" w:cs="宋体"/>
          <w:b/>
          <w:bCs/>
          <w:color w:val="000000"/>
          <w:szCs w:val="21"/>
          <w:highlight w:val="none"/>
        </w:rPr>
        <w:t>：</w:t>
      </w:r>
    </w:p>
    <w:p w14:paraId="13F0020E">
      <w:pPr>
        <w:spacing w:line="360" w:lineRule="auto"/>
        <w:ind w:firstLine="420" w:firstLineChars="200"/>
        <w:rPr>
          <w:rFonts w:hint="eastAsia"/>
          <w:color w:val="000000"/>
          <w:highlight w:val="none"/>
        </w:rPr>
      </w:pPr>
      <w:r>
        <w:rPr>
          <w:rFonts w:hint="eastAsia" w:ascii="宋体" w:hAnsi="宋体" w:cs="宋体"/>
          <w:b/>
          <w:bCs/>
          <w:color w:val="000000"/>
          <w:szCs w:val="21"/>
          <w:highlight w:val="none"/>
        </w:rPr>
        <w:t>11</w:t>
      </w:r>
      <w:r>
        <w:rPr>
          <w:rFonts w:ascii="宋体" w:hAnsi="宋体" w:cs="宋体"/>
          <w:b/>
          <w:bCs/>
          <w:color w:val="000000"/>
          <w:szCs w:val="21"/>
          <w:highlight w:val="none"/>
        </w:rPr>
        <w:t>.1.1 电子响应文件按</w:t>
      </w:r>
      <w:r>
        <w:rPr>
          <w:rFonts w:hint="eastAsia" w:ascii="宋体" w:hAnsi="宋体" w:cs="宋体"/>
          <w:b/>
          <w:bCs/>
          <w:color w:val="000000"/>
          <w:szCs w:val="21"/>
          <w:highlight w:val="none"/>
        </w:rPr>
        <w:t>广西政府采购云平台</w:t>
      </w:r>
      <w:r>
        <w:rPr>
          <w:rFonts w:ascii="宋体" w:hAnsi="宋体" w:cs="宋体"/>
          <w:b/>
          <w:bCs/>
          <w:color w:val="000000"/>
          <w:szCs w:val="21"/>
          <w:highlight w:val="none"/>
        </w:rPr>
        <w:t>要求及本</w:t>
      </w:r>
      <w:r>
        <w:rPr>
          <w:rFonts w:hint="eastAsia" w:ascii="宋体" w:hAnsi="宋体" w:cs="宋体"/>
          <w:b/>
          <w:bCs/>
          <w:color w:val="000000"/>
          <w:szCs w:val="21"/>
          <w:highlight w:val="none"/>
        </w:rPr>
        <w:t>谈判</w:t>
      </w:r>
      <w:r>
        <w:rPr>
          <w:rFonts w:ascii="宋体" w:hAnsi="宋体" w:cs="宋体"/>
          <w:b/>
          <w:bCs/>
          <w:color w:val="000000"/>
          <w:szCs w:val="21"/>
          <w:highlight w:val="none"/>
        </w:rPr>
        <w:t>文件要求制作、加密并递交。具体操作流程可参考《政府采购项目电子交易管理操作指南-供应商》</w:t>
      </w:r>
      <w:r>
        <w:rPr>
          <w:rFonts w:hint="eastAsia" w:ascii="宋体" w:hAnsi="宋体" w:cs="宋体"/>
          <w:b/>
          <w:bCs/>
          <w:color w:val="000000"/>
          <w:szCs w:val="21"/>
          <w:highlight w:val="none"/>
        </w:rPr>
        <w:t>，</w:t>
      </w:r>
      <w:r>
        <w:rPr>
          <w:rFonts w:ascii="宋体" w:hAnsi="宋体" w:cs="宋体"/>
          <w:b/>
          <w:bCs/>
          <w:color w:val="000000"/>
          <w:szCs w:val="21"/>
          <w:highlight w:val="none"/>
        </w:rPr>
        <w:t>指南可在 “</w:t>
      </w:r>
      <w:r>
        <w:rPr>
          <w:rFonts w:hint="eastAsia" w:ascii="宋体" w:hAnsi="宋体" w:cs="宋体"/>
          <w:b/>
          <w:bCs/>
          <w:color w:val="000000"/>
          <w:szCs w:val="21"/>
          <w:highlight w:val="none"/>
        </w:rPr>
        <w:t>广西政府采购云平台</w:t>
      </w:r>
      <w:r>
        <w:rPr>
          <w:rFonts w:ascii="宋体" w:hAnsi="宋体" w:cs="宋体"/>
          <w:b/>
          <w:bCs/>
          <w:color w:val="000000"/>
          <w:szCs w:val="21"/>
          <w:highlight w:val="none"/>
        </w:rPr>
        <w:t xml:space="preserve">”下载。 </w:t>
      </w:r>
    </w:p>
    <w:p w14:paraId="51070384">
      <w:pPr>
        <w:spacing w:line="360" w:lineRule="auto"/>
        <w:ind w:firstLine="420" w:firstLineChars="200"/>
        <w:outlineLvl w:val="3"/>
        <w:rPr>
          <w:rFonts w:ascii="宋体" w:cs="宋体"/>
          <w:b/>
          <w:bCs/>
          <w:color w:val="000000"/>
          <w:szCs w:val="21"/>
          <w:highlight w:val="none"/>
        </w:rPr>
      </w:pPr>
      <w:r>
        <w:rPr>
          <w:rFonts w:ascii="宋体" w:hAnsi="宋体" w:cs="宋体"/>
          <w:b/>
          <w:bCs/>
          <w:color w:val="000000"/>
          <w:szCs w:val="21"/>
          <w:highlight w:val="none"/>
        </w:rPr>
        <w:t>1</w:t>
      </w:r>
      <w:r>
        <w:rPr>
          <w:rFonts w:hint="eastAsia" w:ascii="宋体" w:hAnsi="宋体" w:cs="宋体"/>
          <w:b/>
          <w:bCs/>
          <w:color w:val="000000"/>
          <w:szCs w:val="21"/>
          <w:highlight w:val="none"/>
        </w:rPr>
        <w:t>1</w:t>
      </w:r>
      <w:r>
        <w:rPr>
          <w:rFonts w:ascii="宋体" w:hAnsi="宋体" w:cs="宋体"/>
          <w:b/>
          <w:bCs/>
          <w:color w:val="000000"/>
          <w:szCs w:val="21"/>
          <w:highlight w:val="none"/>
        </w:rPr>
        <w:t>.</w:t>
      </w:r>
      <w:r>
        <w:rPr>
          <w:rFonts w:hint="eastAsia" w:ascii="宋体" w:hAnsi="宋体" w:cs="宋体"/>
          <w:b/>
          <w:bCs/>
          <w:color w:val="000000"/>
          <w:szCs w:val="21"/>
          <w:highlight w:val="none"/>
        </w:rPr>
        <w:t>2响应文件组成【格式见第六章“响应文件（格式）”】</w:t>
      </w:r>
    </w:p>
    <w:p w14:paraId="5A98F71F">
      <w:pPr>
        <w:spacing w:line="360" w:lineRule="auto"/>
        <w:ind w:firstLine="420" w:firstLineChars="200"/>
        <w:outlineLvl w:val="4"/>
        <w:rPr>
          <w:color w:val="000000"/>
          <w:highlight w:val="none"/>
        </w:rPr>
      </w:pPr>
      <w:r>
        <w:rPr>
          <w:rFonts w:ascii="宋体" w:hAnsi="宋体" w:cs="宋体"/>
          <w:b/>
          <w:bCs/>
          <w:color w:val="000000"/>
          <w:szCs w:val="21"/>
          <w:highlight w:val="none"/>
        </w:rPr>
        <w:t>11.</w:t>
      </w:r>
      <w:r>
        <w:rPr>
          <w:rFonts w:hint="eastAsia" w:ascii="宋体" w:hAnsi="宋体" w:cs="宋体"/>
          <w:b/>
          <w:bCs/>
          <w:color w:val="000000"/>
          <w:szCs w:val="21"/>
          <w:highlight w:val="none"/>
        </w:rPr>
        <w:t>2.1资格性响应证明材料：</w:t>
      </w:r>
    </w:p>
    <w:p w14:paraId="1B107056">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（1）供应商相应的法定代表人、负责人、自然人身份证正反两面扫描件</w:t>
      </w:r>
      <w:r>
        <w:rPr>
          <w:rFonts w:hint="eastAsia" w:ascii="宋体" w:hAnsi="宋体" w:cs="宋体"/>
          <w:b/>
          <w:bCs/>
          <w:color w:val="000000"/>
          <w:szCs w:val="21"/>
          <w:highlight w:val="none"/>
        </w:rPr>
        <w:t>（必须提供）；</w:t>
      </w:r>
    </w:p>
    <w:p w14:paraId="583CB81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供应商的授权委托书原件、委托代理人身份证正反面扫描件以及由县级以上（含县级）社会养老保险经办机构出具的供应商为委托代理人缴纳的响应文件递交截止时间前三个月内任意一个月养老保险证明扫描件，除供应商为以下四种情形的：</w:t>
      </w:r>
    </w:p>
    <w:p w14:paraId="40D68F7C">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①如供应商为截标时间前60日以内成立的公司，可以提供供应商与委托代理人签订的劳动合同扫描件代替养老保险证明扫描件；</w:t>
      </w:r>
    </w:p>
    <w:p w14:paraId="13B8E31B">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②如供应商为事业单位，可以提供事业单位机构编制管理证扫描件或事业单位机构为其发放工资的工资条扫描件代替养老保险证明扫描件；</w:t>
      </w:r>
    </w:p>
    <w:p w14:paraId="4E578793">
      <w:pPr>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③如委托代理人为免缴纳养老保险人员，提供免缴纳养老保险的证明材料扫描件及供应商与委托代理人签订的劳动合同扫描件代替养老保险证明扫描件；</w:t>
      </w:r>
    </w:p>
    <w:p w14:paraId="38E9F3E2">
      <w:pPr>
        <w:pStyle w:val="8"/>
        <w:spacing w:line="360" w:lineRule="auto"/>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47537F47">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缴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color w:val="000000"/>
          <w:szCs w:val="21"/>
          <w:highlight w:val="none"/>
        </w:rPr>
        <w:t>】</w:t>
      </w:r>
      <w:r>
        <w:rPr>
          <w:rFonts w:hint="eastAsia" w:ascii="宋体" w:hAnsi="宋体" w:cs="宋体"/>
          <w:b/>
          <w:bCs/>
          <w:color w:val="000000"/>
          <w:szCs w:val="21"/>
          <w:highlight w:val="none"/>
        </w:rPr>
        <w:t>（委托代理时必须提供；如为联合体的，授权委托书原件须由牵头人出具）</w:t>
      </w:r>
    </w:p>
    <w:p w14:paraId="4CDFFCFA">
      <w:pPr>
        <w:spacing w:line="360" w:lineRule="auto"/>
        <w:ind w:firstLine="420" w:firstLineChars="200"/>
        <w:rPr>
          <w:rFonts w:ascii="宋体" w:cs="宋体"/>
          <w:b/>
          <w:bCs/>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val="en-US" w:eastAsia="zh-CN"/>
        </w:rPr>
        <w:t>供应商</w:t>
      </w:r>
      <w:r>
        <w:rPr>
          <w:rFonts w:hint="eastAsia" w:ascii="宋体" w:hAnsi="宋体" w:cs="宋体"/>
          <w:color w:val="000000"/>
          <w:szCs w:val="21"/>
          <w:highlight w:val="none"/>
        </w:rPr>
        <w:t>参加政府采购活动前3年内在经营活动中没有重大违法记录及有关信用信息的书面声明</w:t>
      </w:r>
      <w:r>
        <w:rPr>
          <w:rFonts w:hint="eastAsia" w:ascii="宋体" w:hAnsi="宋体" w:cs="宋体"/>
          <w:b/>
          <w:bCs/>
          <w:color w:val="000000"/>
          <w:szCs w:val="21"/>
          <w:highlight w:val="none"/>
        </w:rPr>
        <w:t>（必须提供）；</w:t>
      </w:r>
    </w:p>
    <w:p w14:paraId="35040C14">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（4）供应商的法人或者其他组织营业执照等证明文件扫描件</w:t>
      </w:r>
      <w:r>
        <w:rPr>
          <w:rFonts w:hint="eastAsia" w:ascii="宋体" w:hAnsi="宋体" w:cs="宋体"/>
          <w:b/>
          <w:bCs/>
          <w:color w:val="000000"/>
          <w:szCs w:val="21"/>
          <w:highlight w:val="none"/>
        </w:rPr>
        <w:t>（必须提供，自然人除外）；</w:t>
      </w:r>
    </w:p>
    <w:p w14:paraId="15A8BCD7">
      <w:pPr>
        <w:tabs>
          <w:tab w:val="left" w:pos="1305"/>
        </w:tabs>
        <w:spacing w:line="360" w:lineRule="auto"/>
        <w:ind w:firstLine="420" w:firstLineChars="200"/>
        <w:rPr>
          <w:rFonts w:ascii="宋体" w:hAnsi="宋体" w:cs="宋体"/>
          <w:color w:val="000000"/>
          <w:szCs w:val="21"/>
          <w:highlight w:val="none"/>
          <w:u w:val="none"/>
        </w:rPr>
      </w:pPr>
      <w:r>
        <w:rPr>
          <w:rFonts w:hint="eastAsia" w:ascii="宋体" w:hAnsi="宋体" w:cs="宋体"/>
          <w:b/>
          <w:color w:val="000000"/>
          <w:szCs w:val="21"/>
          <w:highlight w:val="none"/>
          <w:u w:val="none"/>
        </w:rPr>
        <w:t>注：供应商为企业（包括合伙企业），应提供</w:t>
      </w:r>
      <w:r>
        <w:rPr>
          <w:rFonts w:hint="eastAsia" w:ascii="宋体" w:hAnsi="宋体" w:cs="宋体"/>
          <w:b/>
          <w:color w:val="000000"/>
          <w:szCs w:val="21"/>
          <w:highlight w:val="none"/>
          <w:u w:val="none"/>
          <w:lang w:eastAsia="zh-CN"/>
        </w:rPr>
        <w:t>市场监管部门（登记机关）</w:t>
      </w:r>
      <w:r>
        <w:rPr>
          <w:rFonts w:hint="eastAsia" w:ascii="宋体" w:hAnsi="宋体" w:cs="宋体"/>
          <w:b/>
          <w:color w:val="000000"/>
          <w:szCs w:val="21"/>
          <w:highlight w:val="none"/>
          <w:u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382CB01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eastAsia="zh-CN"/>
        </w:rPr>
        <w:t>供应商2023年度以来任意一个年度内的财务状况报告（或2024年以来银行出具的资信证明）</w:t>
      </w:r>
      <w:r>
        <w:rPr>
          <w:rFonts w:hint="eastAsia" w:ascii="宋体" w:hAnsi="宋体" w:cs="宋体"/>
          <w:b/>
          <w:bCs/>
          <w:color w:val="000000"/>
          <w:szCs w:val="21"/>
          <w:highlight w:val="none"/>
        </w:rPr>
        <w:t>（格式自拟，必须提供）</w:t>
      </w:r>
      <w:r>
        <w:rPr>
          <w:rFonts w:hint="eastAsia" w:ascii="宋体" w:hAnsi="宋体" w:cs="宋体"/>
          <w:color w:val="000000"/>
          <w:szCs w:val="21"/>
          <w:highlight w:val="none"/>
        </w:rPr>
        <w:t>；</w:t>
      </w:r>
    </w:p>
    <w:p w14:paraId="6E1E498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（6）供应商截止开标时间前近半年内任意一个月或任一季度依法缴纳税收的证明材料【增值税发票(税收完税证明)或企业所得税完税证明</w:t>
      </w:r>
      <w:r>
        <w:rPr>
          <w:rFonts w:hint="eastAsia" w:ascii="宋体" w:hAnsi="宋体" w:cs="宋体"/>
          <w:color w:val="000000"/>
          <w:szCs w:val="21"/>
          <w:highlight w:val="none"/>
          <w:lang w:eastAsia="zh-CN"/>
        </w:rPr>
        <w:t>或税务部门出具的免税证明或税务部门出具的无欠税证明</w:t>
      </w:r>
      <w:r>
        <w:rPr>
          <w:rFonts w:hint="eastAsia" w:ascii="宋体" w:hAnsi="宋体" w:cs="宋体"/>
          <w:color w:val="000000"/>
          <w:szCs w:val="21"/>
          <w:highlight w:val="none"/>
        </w:rPr>
        <w:t>】扫描件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595904BC">
      <w:pPr>
        <w:pStyle w:val="18"/>
        <w:spacing w:after="0" w:line="360" w:lineRule="auto"/>
        <w:ind w:left="0" w:leftChars="0" w:firstLine="422"/>
        <w:outlineLvl w:val="4"/>
        <w:rPr>
          <w:rFonts w:hint="eastAsia" w:ascii="宋体" w:hAnsi="宋体" w:cs="宋体"/>
          <w:color w:val="000000"/>
          <w:highlight w:val="none"/>
        </w:rPr>
      </w:pPr>
      <w:r>
        <w:rPr>
          <w:rFonts w:hint="eastAsia" w:ascii="宋体" w:hAnsi="宋体" w:cs="宋体"/>
          <w:b/>
          <w:bCs/>
          <w:color w:val="000000"/>
          <w:szCs w:val="21"/>
          <w:highlight w:val="none"/>
        </w:rPr>
        <w:t>11.2.2符合性响应证明材料：</w:t>
      </w:r>
    </w:p>
    <w:p w14:paraId="48B04838">
      <w:pPr>
        <w:pStyle w:val="18"/>
        <w:spacing w:after="0" w:line="400" w:lineRule="exact"/>
        <w:ind w:left="0" w:leftChars="0"/>
        <w:rPr>
          <w:rFonts w:hint="eastAsia" w:ascii="宋体" w:hAnsi="宋体" w:cs="宋体"/>
          <w:color w:val="000000"/>
          <w:szCs w:val="21"/>
          <w:highlight w:val="none"/>
        </w:rPr>
      </w:pPr>
      <w:r>
        <w:rPr>
          <w:rFonts w:hint="eastAsia" w:ascii="宋体" w:hAnsi="宋体" w:cs="宋体"/>
          <w:color w:val="000000"/>
          <w:szCs w:val="21"/>
          <w:highlight w:val="none"/>
        </w:rPr>
        <w:t>（1）响应函（格式见附件）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29B4C7C4">
      <w:pPr>
        <w:pStyle w:val="18"/>
        <w:spacing w:after="0" w:line="400" w:lineRule="exact"/>
        <w:ind w:left="0" w:leftChars="0"/>
        <w:rPr>
          <w:rFonts w:hint="eastAsia" w:ascii="宋体" w:hAnsi="宋体" w:cs="宋体"/>
          <w:color w:val="000000"/>
          <w:szCs w:val="21"/>
          <w:highlight w:val="none"/>
        </w:rPr>
      </w:pPr>
      <w:r>
        <w:rPr>
          <w:rFonts w:hint="eastAsia" w:ascii="宋体" w:hAnsi="宋体" w:cs="宋体"/>
          <w:color w:val="000000"/>
          <w:szCs w:val="21"/>
          <w:highlight w:val="none"/>
        </w:rPr>
        <w:t>（2）谈判报价表（格式见附件）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158821D4">
      <w:pPr>
        <w:pStyle w:val="18"/>
        <w:spacing w:after="0" w:line="400" w:lineRule="exact"/>
        <w:ind w:left="0" w:leftChars="0"/>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服务需求偏离表</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71D36BA7">
      <w:pPr>
        <w:pStyle w:val="18"/>
        <w:spacing w:after="0" w:line="400" w:lineRule="exact"/>
        <w:ind w:left="0" w:leftChars="0"/>
        <w:rPr>
          <w:rFonts w:hint="eastAsia" w:ascii="宋体" w:hAnsi="宋体" w:cs="宋体"/>
          <w:color w:val="000000"/>
          <w:szCs w:val="21"/>
          <w:highlight w:val="none"/>
        </w:rPr>
      </w:pPr>
      <w:r>
        <w:rPr>
          <w:rFonts w:hint="eastAsia" w:ascii="宋体" w:hAnsi="宋体" w:cs="宋体"/>
          <w:color w:val="000000"/>
          <w:szCs w:val="21"/>
          <w:highlight w:val="none"/>
        </w:rPr>
        <w:t>（4）商务响应表</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1178C0BD">
      <w:pPr>
        <w:pStyle w:val="18"/>
        <w:spacing w:after="0" w:line="400" w:lineRule="exact"/>
        <w:ind w:left="0" w:leftChars="0"/>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eastAsia="zh-CN"/>
        </w:rPr>
        <w:t>售后服务承诺书</w:t>
      </w:r>
      <w:r>
        <w:rPr>
          <w:rFonts w:hint="eastAsia" w:ascii="宋体" w:hAnsi="宋体" w:cs="宋体"/>
          <w:color w:val="000000"/>
          <w:szCs w:val="21"/>
          <w:highlight w:val="none"/>
        </w:rPr>
        <w:t>（必须包含售后服务要求的全部内容）</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44448530">
      <w:pPr>
        <w:pStyle w:val="18"/>
        <w:spacing w:after="0" w:line="400" w:lineRule="exact"/>
        <w:ind w:left="0" w:leftChars="0"/>
        <w:rPr>
          <w:rFonts w:hint="eastAsia" w:ascii="宋体" w:hAnsi="宋体" w:cs="宋体"/>
          <w:color w:val="000000"/>
          <w:szCs w:val="21"/>
          <w:highlight w:val="none"/>
        </w:rPr>
      </w:pPr>
      <w:r>
        <w:rPr>
          <w:rFonts w:hint="eastAsia" w:ascii="宋体" w:hAnsi="宋体" w:cs="宋体"/>
          <w:color w:val="000000"/>
          <w:szCs w:val="21"/>
          <w:highlight w:val="none"/>
        </w:rPr>
        <w:t>（6）“采购需求”需提供的有效证明文件</w:t>
      </w:r>
      <w:r>
        <w:rPr>
          <w:rFonts w:hint="eastAsia" w:ascii="宋体" w:hAnsi="宋体" w:cs="宋体"/>
          <w:b/>
          <w:bCs/>
          <w:color w:val="000000"/>
          <w:szCs w:val="21"/>
          <w:highlight w:val="none"/>
        </w:rPr>
        <w:t>（按其要求提供）</w:t>
      </w:r>
      <w:r>
        <w:rPr>
          <w:rFonts w:hint="eastAsia" w:ascii="宋体" w:hAnsi="宋体" w:cs="宋体"/>
          <w:color w:val="000000"/>
          <w:szCs w:val="21"/>
          <w:highlight w:val="none"/>
        </w:rPr>
        <w:t>。</w:t>
      </w:r>
    </w:p>
    <w:p w14:paraId="5A792D9D">
      <w:pPr>
        <w:pStyle w:val="18"/>
        <w:spacing w:after="0" w:line="400" w:lineRule="exact"/>
        <w:ind w:left="0" w:leftChars="0" w:firstLine="422"/>
        <w:outlineLvl w:val="4"/>
        <w:rPr>
          <w:rFonts w:hint="eastAsia" w:ascii="宋体" w:hAnsi="宋体" w:cs="宋体"/>
          <w:b/>
          <w:bCs/>
          <w:color w:val="000000"/>
          <w:szCs w:val="21"/>
          <w:highlight w:val="none"/>
        </w:rPr>
      </w:pPr>
      <w:r>
        <w:rPr>
          <w:rFonts w:hint="eastAsia" w:ascii="宋体" w:hAnsi="宋体" w:cs="宋体"/>
          <w:b/>
          <w:bCs/>
          <w:color w:val="000000"/>
          <w:szCs w:val="21"/>
          <w:highlight w:val="none"/>
        </w:rPr>
        <w:t>11.2.3其他有效证明材料</w:t>
      </w:r>
    </w:p>
    <w:p w14:paraId="71C0E0E2">
      <w:pPr>
        <w:spacing w:line="400" w:lineRule="exact"/>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（1）项目实施人员一览表</w:t>
      </w:r>
      <w:r>
        <w:rPr>
          <w:rFonts w:hint="eastAsia" w:ascii="宋体" w:hAnsi="宋体" w:cs="宋体"/>
          <w:b/>
          <w:color w:val="000000"/>
          <w:szCs w:val="21"/>
          <w:highlight w:val="none"/>
        </w:rPr>
        <w:t>（如有，请提供）</w:t>
      </w:r>
      <w:r>
        <w:rPr>
          <w:rFonts w:hint="eastAsia" w:ascii="宋体" w:hAnsi="宋体" w:cs="宋体"/>
          <w:b/>
          <w:bCs/>
          <w:color w:val="000000"/>
          <w:szCs w:val="21"/>
          <w:highlight w:val="none"/>
        </w:rPr>
        <w:t>；</w:t>
      </w:r>
    </w:p>
    <w:p w14:paraId="2B1CDBF4">
      <w:pPr>
        <w:tabs>
          <w:tab w:val="left" w:pos="1305"/>
        </w:tabs>
        <w:spacing w:line="400" w:lineRule="exact"/>
        <w:ind w:firstLine="420" w:firstLineChars="200"/>
        <w:rPr>
          <w:rFonts w:hint="eastAsia" w:ascii="宋体" w:hAnsi="宋体" w:cs="宋体"/>
          <w:color w:val="000000"/>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eastAsia="zh-CN"/>
        </w:rPr>
        <w:t>供应商自2022年1月1日以来具有同类产品的销售业绩 [以中标（成交）通知书或采购合同扫描件为准（能清晰反映所销售的货物名称、种类、金额)，否则将不予计分；同一个编号的项目有两个或两个以上的分标中标的只算一次]</w:t>
      </w:r>
      <w:r>
        <w:rPr>
          <w:rFonts w:hint="eastAsia" w:ascii="宋体" w:hAnsi="宋体" w:cs="宋体"/>
          <w:b/>
          <w:color w:val="000000"/>
          <w:highlight w:val="none"/>
        </w:rPr>
        <w:t>（如有，请提供）</w:t>
      </w:r>
      <w:r>
        <w:rPr>
          <w:rFonts w:hint="eastAsia" w:ascii="宋体" w:hAnsi="宋体" w:cs="宋体"/>
          <w:bCs/>
          <w:color w:val="000000"/>
          <w:highlight w:val="none"/>
        </w:rPr>
        <w:t>；</w:t>
      </w:r>
    </w:p>
    <w:p w14:paraId="332C9769">
      <w:pPr>
        <w:tabs>
          <w:tab w:val="left" w:pos="1305"/>
        </w:tabs>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（5）《中小企业声明函》（见附件）</w:t>
      </w:r>
      <w:r>
        <w:rPr>
          <w:rFonts w:hint="eastAsia" w:ascii="宋体" w:hAnsi="宋体" w:cs="宋体"/>
          <w:b/>
          <w:bCs/>
          <w:color w:val="000000"/>
          <w:szCs w:val="21"/>
          <w:highlight w:val="none"/>
        </w:rPr>
        <w:t>（如有，请提供）</w:t>
      </w:r>
      <w:r>
        <w:rPr>
          <w:rFonts w:hint="eastAsia" w:ascii="宋体" w:hAnsi="宋体" w:cs="宋体"/>
          <w:color w:val="000000"/>
          <w:szCs w:val="21"/>
          <w:highlight w:val="none"/>
        </w:rPr>
        <w:t>；</w:t>
      </w:r>
    </w:p>
    <w:p w14:paraId="3A9E6951">
      <w:pPr>
        <w:tabs>
          <w:tab w:val="left" w:pos="1305"/>
        </w:tabs>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（6）如企业属于监狱企业的，应当提供由省级以上监狱管理局、戒毒管理局等（含新疆生产建设兵团）出具的属于监狱企业的证明文件</w:t>
      </w:r>
      <w:r>
        <w:rPr>
          <w:rFonts w:hint="eastAsia" w:ascii="宋体" w:hAnsi="宋体" w:cs="宋体"/>
          <w:b/>
          <w:bCs/>
          <w:color w:val="000000"/>
          <w:szCs w:val="21"/>
          <w:highlight w:val="none"/>
        </w:rPr>
        <w:t>（如有，请提供）</w:t>
      </w:r>
      <w:r>
        <w:rPr>
          <w:rFonts w:hint="eastAsia" w:ascii="宋体" w:hAnsi="宋体" w:cs="宋体"/>
          <w:color w:val="000000"/>
          <w:szCs w:val="21"/>
          <w:highlight w:val="none"/>
        </w:rPr>
        <w:t>；</w:t>
      </w:r>
    </w:p>
    <w:p w14:paraId="3CEF9EC8">
      <w:pPr>
        <w:tabs>
          <w:tab w:val="left" w:pos="1305"/>
        </w:tabs>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（7）符合条件的残疾人福利性单位在参加政府采购活动时，应当提供《残疾人福利性单位声明函》（见附件），并对声明的真实性负责</w:t>
      </w:r>
      <w:r>
        <w:rPr>
          <w:rFonts w:hint="eastAsia" w:ascii="宋体" w:hAnsi="宋体" w:eastAsia="宋体" w:cs="宋体"/>
          <w:b/>
          <w:bCs/>
          <w:color w:val="000000"/>
          <w:szCs w:val="21"/>
          <w:highlight w:val="none"/>
        </w:rPr>
        <w:t>（如有，请提供）</w:t>
      </w:r>
      <w:r>
        <w:rPr>
          <w:rFonts w:hint="eastAsia" w:ascii="宋体" w:hAnsi="宋体" w:eastAsia="宋体" w:cs="宋体"/>
          <w:color w:val="000000"/>
          <w:szCs w:val="21"/>
          <w:highlight w:val="none"/>
        </w:rPr>
        <w:t>；</w:t>
      </w:r>
    </w:p>
    <w:p w14:paraId="3836D2D7">
      <w:pPr>
        <w:tabs>
          <w:tab w:val="left" w:pos="1305"/>
        </w:tabs>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（8）项目实施方案</w:t>
      </w:r>
      <w:r>
        <w:rPr>
          <w:rFonts w:hint="eastAsia" w:ascii="宋体" w:hAnsi="宋体" w:eastAsia="宋体" w:cs="宋体"/>
          <w:b/>
          <w:bCs/>
          <w:color w:val="000000"/>
          <w:szCs w:val="21"/>
          <w:highlight w:val="none"/>
        </w:rPr>
        <w:t>（如有，请提供）</w:t>
      </w:r>
      <w:r>
        <w:rPr>
          <w:rFonts w:hint="eastAsia" w:ascii="宋体" w:hAnsi="宋体" w:eastAsia="宋体" w:cs="宋体"/>
          <w:color w:val="000000"/>
          <w:szCs w:val="21"/>
          <w:highlight w:val="none"/>
        </w:rPr>
        <w:t>；</w:t>
      </w:r>
    </w:p>
    <w:p w14:paraId="29B3797A">
      <w:pPr>
        <w:tabs>
          <w:tab w:val="left" w:pos="1305"/>
        </w:tabs>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（9）供应商可结合本项目的评审办法视自身情况自行提交相关证明材料</w:t>
      </w:r>
      <w:r>
        <w:rPr>
          <w:rFonts w:hint="eastAsia" w:ascii="宋体" w:hAnsi="宋体" w:eastAsia="宋体" w:cs="宋体"/>
          <w:b/>
          <w:bCs/>
          <w:color w:val="000000"/>
          <w:szCs w:val="21"/>
          <w:highlight w:val="none"/>
        </w:rPr>
        <w:t>（如有，请提供）</w:t>
      </w:r>
      <w:r>
        <w:rPr>
          <w:rFonts w:hint="eastAsia" w:ascii="宋体" w:hAnsi="宋体" w:eastAsia="宋体" w:cs="宋体"/>
          <w:color w:val="000000"/>
          <w:szCs w:val="21"/>
          <w:highlight w:val="none"/>
        </w:rPr>
        <w:t>。</w:t>
      </w:r>
    </w:p>
    <w:p w14:paraId="06049C23">
      <w:pPr>
        <w:snapToGrid w:val="0"/>
        <w:spacing w:line="440" w:lineRule="exact"/>
        <w:ind w:firstLine="420" w:firstLineChars="200"/>
        <w:outlineLvl w:val="4"/>
        <w:rPr>
          <w:rFonts w:hint="eastAsia" w:ascii="宋体" w:hAnsi="宋体" w:cs="宋体"/>
          <w:b/>
          <w:bCs/>
          <w:color w:val="000000"/>
          <w:szCs w:val="21"/>
          <w:highlight w:val="none"/>
        </w:rPr>
      </w:pPr>
      <w:r>
        <w:rPr>
          <w:rFonts w:hint="eastAsia" w:ascii="宋体" w:hAnsi="宋体" w:cs="宋体"/>
          <w:b/>
          <w:bCs/>
          <w:color w:val="000000"/>
          <w:szCs w:val="21"/>
          <w:highlight w:val="none"/>
        </w:rPr>
        <w:t>供应商提供的以上相关证明材料属于“必须提供”的文件应加盖供应商公章（CA签章）/自然人签字或加盖个人CA签章，否则响应无效。</w:t>
      </w:r>
    </w:p>
    <w:p w14:paraId="53449EA5">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11.</w:t>
      </w:r>
      <w:r>
        <w:rPr>
          <w:rFonts w:hint="eastAsia" w:ascii="宋体" w:hAnsi="宋体" w:cs="宋体"/>
          <w:color w:val="000000"/>
          <w:szCs w:val="21"/>
          <w:highlight w:val="none"/>
        </w:rPr>
        <w:t>3</w:t>
      </w:r>
      <w:r>
        <w:rPr>
          <w:rFonts w:ascii="宋体" w:hAnsi="宋体" w:cs="宋体"/>
          <w:color w:val="000000"/>
          <w:szCs w:val="21"/>
          <w:highlight w:val="none"/>
        </w:rPr>
        <w:t xml:space="preserve"> </w:t>
      </w:r>
      <w:r>
        <w:rPr>
          <w:rFonts w:hint="eastAsia" w:ascii="宋体" w:hAnsi="宋体" w:cs="宋体"/>
          <w:color w:val="000000"/>
          <w:szCs w:val="21"/>
          <w:highlight w:val="none"/>
        </w:rPr>
        <w:t>供应商应按竞争性谈判文件第六章“响应文件（格式）”编制响应文件。</w:t>
      </w:r>
    </w:p>
    <w:p w14:paraId="63CD87F1">
      <w:pPr>
        <w:pStyle w:val="4"/>
        <w:spacing w:before="0" w:after="0" w:line="360" w:lineRule="auto"/>
        <w:ind w:firstLine="420" w:firstLineChars="200"/>
        <w:rPr>
          <w:rFonts w:hint="eastAsia" w:ascii="宋体" w:hAnsi="宋体" w:cs="宋体"/>
          <w:color w:val="000000"/>
          <w:sz w:val="21"/>
          <w:szCs w:val="21"/>
          <w:highlight w:val="none"/>
        </w:rPr>
      </w:pPr>
      <w:bookmarkStart w:id="126" w:name="_Toc18336"/>
      <w:bookmarkStart w:id="127" w:name="_Toc9133"/>
      <w:bookmarkStart w:id="128" w:name="_Toc10331"/>
      <w:bookmarkStart w:id="129" w:name="_Toc22516"/>
      <w:bookmarkStart w:id="130" w:name="_Toc14301"/>
      <w:r>
        <w:rPr>
          <w:rFonts w:hint="eastAsia" w:ascii="宋体" w:hAnsi="宋体" w:cs="宋体"/>
          <w:color w:val="000000"/>
          <w:sz w:val="21"/>
          <w:szCs w:val="21"/>
          <w:highlight w:val="none"/>
        </w:rPr>
        <w:t>12. 响应文件的语言及计量</w:t>
      </w:r>
      <w:bookmarkEnd w:id="126"/>
      <w:bookmarkEnd w:id="127"/>
      <w:bookmarkEnd w:id="128"/>
      <w:bookmarkEnd w:id="129"/>
      <w:bookmarkEnd w:id="130"/>
    </w:p>
    <w:p w14:paraId="3C072818">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 xml:space="preserve">12.1 </w:t>
      </w:r>
      <w:r>
        <w:rPr>
          <w:rFonts w:hint="eastAsia" w:ascii="宋体" w:hAnsi="宋体" w:cs="宋体"/>
          <w:color w:val="000000"/>
          <w:szCs w:val="21"/>
          <w:highlight w:val="none"/>
        </w:rPr>
        <w:t>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1540BFBA">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 xml:space="preserve">12.2 </w:t>
      </w:r>
      <w:r>
        <w:rPr>
          <w:rFonts w:hint="eastAsia" w:ascii="宋体" w:hAnsi="宋体" w:cs="宋体"/>
          <w:color w:val="000000"/>
          <w:szCs w:val="21"/>
          <w:highlight w:val="none"/>
        </w:rPr>
        <w:t>谈判计量单位，谈判文件已有明确规定的，使用谈判文件规定的计量单位；谈判文件没有规定的，应采用中华人民共和国法定计量单位（货币单位：人民币元），否则视同未响应。</w:t>
      </w:r>
    </w:p>
    <w:p w14:paraId="648D6501">
      <w:pPr>
        <w:pStyle w:val="4"/>
        <w:spacing w:before="0" w:after="0" w:line="360" w:lineRule="auto"/>
        <w:ind w:firstLine="420" w:firstLineChars="200"/>
        <w:rPr>
          <w:rFonts w:hint="eastAsia" w:ascii="宋体" w:hAnsi="宋体" w:cs="宋体"/>
          <w:color w:val="000000"/>
          <w:sz w:val="21"/>
          <w:szCs w:val="21"/>
          <w:highlight w:val="none"/>
        </w:rPr>
      </w:pPr>
      <w:bookmarkStart w:id="131" w:name="_Toc6844"/>
      <w:bookmarkStart w:id="132" w:name="_Toc22589"/>
      <w:bookmarkStart w:id="133" w:name="_Toc5298"/>
      <w:bookmarkStart w:id="134" w:name="_Toc9242"/>
      <w:bookmarkStart w:id="135" w:name="_Toc11449"/>
      <w:r>
        <w:rPr>
          <w:rFonts w:hint="eastAsia" w:ascii="宋体" w:hAnsi="宋体" w:cs="宋体"/>
          <w:color w:val="000000"/>
          <w:sz w:val="21"/>
          <w:szCs w:val="21"/>
          <w:highlight w:val="none"/>
        </w:rPr>
        <w:t>13. 谈判报价及采购预算金额</w:t>
      </w:r>
      <w:bookmarkEnd w:id="131"/>
      <w:bookmarkEnd w:id="132"/>
      <w:bookmarkEnd w:id="133"/>
      <w:bookmarkEnd w:id="134"/>
      <w:bookmarkEnd w:id="135"/>
    </w:p>
    <w:p w14:paraId="5A565FA9">
      <w:pPr>
        <w:spacing w:line="360" w:lineRule="auto"/>
        <w:ind w:firstLine="420" w:firstLineChars="200"/>
        <w:rPr>
          <w:rFonts w:ascii="宋体" w:cs="宋体"/>
          <w:b/>
          <w:bCs/>
          <w:color w:val="000000"/>
          <w:szCs w:val="21"/>
          <w:highlight w:val="none"/>
        </w:rPr>
      </w:pPr>
      <w:r>
        <w:rPr>
          <w:rFonts w:ascii="宋体" w:hAnsi="宋体" w:cs="宋体"/>
          <w:color w:val="000000"/>
          <w:szCs w:val="21"/>
          <w:highlight w:val="none"/>
        </w:rPr>
        <w:t xml:space="preserve">13.1 </w:t>
      </w:r>
      <w:r>
        <w:rPr>
          <w:rFonts w:hint="eastAsia" w:ascii="宋体" w:hAnsi="宋体" w:cs="宋体"/>
          <w:color w:val="000000"/>
          <w:szCs w:val="21"/>
          <w:highlight w:val="none"/>
        </w:rPr>
        <w:t>谈判报价应按谈判文件中相关附表格式填写。</w:t>
      </w:r>
      <w:r>
        <w:rPr>
          <w:rFonts w:hint="eastAsia" w:ascii="宋体" w:hAnsi="宋体" w:cs="宋体"/>
          <w:b/>
          <w:bCs/>
          <w:color w:val="000000"/>
          <w:szCs w:val="21"/>
          <w:highlight w:val="none"/>
        </w:rPr>
        <w:t>采购</w:t>
      </w:r>
      <w:r>
        <w:rPr>
          <w:rFonts w:hint="eastAsia" w:ascii="宋体" w:hAnsi="宋体" w:cs="宋体"/>
          <w:b/>
          <w:bCs/>
          <w:color w:val="000000"/>
          <w:szCs w:val="21"/>
          <w:highlight w:val="none"/>
          <w:lang w:eastAsia="zh-CN"/>
        </w:rPr>
        <w:t>预算金额：玖拾柒万元整（¥970,000.00元）</w:t>
      </w:r>
      <w:r>
        <w:rPr>
          <w:rFonts w:hint="eastAsia" w:ascii="宋体" w:hAnsi="宋体" w:cs="宋体"/>
          <w:b/>
          <w:bCs/>
          <w:color w:val="000000"/>
          <w:szCs w:val="21"/>
          <w:highlight w:val="none"/>
        </w:rPr>
        <w:t>，报价超过采购预算金额的，响应文件按无效处理。</w:t>
      </w:r>
    </w:p>
    <w:p w14:paraId="0CEC7096">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13.2</w:t>
      </w:r>
      <w:r>
        <w:rPr>
          <w:rFonts w:hint="eastAsia" w:ascii="宋体" w:hAnsi="宋体" w:cs="宋体"/>
          <w:color w:val="000000"/>
          <w:szCs w:val="21"/>
          <w:highlight w:val="none"/>
        </w:rPr>
        <w:t>供应商必须就“采购需求”中所竞所有货物内容作完整唯一报价，否则，其响应文件无效。响应文件只允许有一个报价，有选择的或有条件的报价将不予接受。</w:t>
      </w:r>
    </w:p>
    <w:p w14:paraId="4C57B98A">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 xml:space="preserve">13.3 </w:t>
      </w:r>
      <w:r>
        <w:rPr>
          <w:rFonts w:hint="eastAsia" w:ascii="宋体" w:hAnsi="宋体" w:cs="宋体"/>
          <w:color w:val="000000"/>
          <w:szCs w:val="21"/>
          <w:highlight w:val="none"/>
        </w:rPr>
        <w:t>谈判报价应包括本次采购范围内货物价款、货物随配标准附件、包装、运输、装卸、保险、税金、货到位以及安装、调试、检验、售后服务、培训、保修及项目施工等人员的人身意外保险等其他所有成本费用的总和；供应商综合考虑在报价中。</w:t>
      </w:r>
    </w:p>
    <w:p w14:paraId="4783D21F">
      <w:pPr>
        <w:spacing w:line="360" w:lineRule="auto"/>
        <w:ind w:firstLine="420" w:firstLineChars="200"/>
        <w:rPr>
          <w:rFonts w:ascii="宋体" w:hAnsi="宋体" w:cs="宋体"/>
          <w:b/>
          <w:bCs/>
          <w:color w:val="000000"/>
          <w:szCs w:val="21"/>
          <w:highlight w:val="none"/>
        </w:rPr>
      </w:pPr>
      <w:r>
        <w:rPr>
          <w:rFonts w:ascii="宋体" w:hAnsi="宋体" w:cs="宋体"/>
          <w:color w:val="000000"/>
          <w:szCs w:val="21"/>
          <w:highlight w:val="none"/>
        </w:rPr>
        <w:t>13.4</w:t>
      </w:r>
      <w:r>
        <w:rPr>
          <w:rFonts w:hint="eastAsia" w:ascii="宋体" w:hAnsi="宋体" w:cs="宋体"/>
          <w:color w:val="000000"/>
          <w:szCs w:val="21"/>
          <w:highlight w:val="none"/>
        </w:rPr>
        <w:t>未书面退出谈判的供应商在规定时间内密封提交最后报价，其最后报价超出采购预算导致已通过评审的响应文件无效的，按供应商在提交响应文件截止时间后撤回响应文件处理。</w:t>
      </w:r>
    </w:p>
    <w:p w14:paraId="28A8038C">
      <w:pPr>
        <w:pStyle w:val="4"/>
        <w:spacing w:before="0" w:after="0" w:line="360" w:lineRule="auto"/>
        <w:ind w:firstLine="420" w:firstLineChars="200"/>
        <w:rPr>
          <w:rFonts w:hint="eastAsia" w:ascii="宋体" w:hAnsi="宋体" w:cs="宋体"/>
          <w:color w:val="000000"/>
          <w:sz w:val="21"/>
          <w:szCs w:val="21"/>
          <w:highlight w:val="none"/>
        </w:rPr>
      </w:pPr>
      <w:bookmarkStart w:id="136" w:name="_Toc9977"/>
      <w:bookmarkStart w:id="137" w:name="_Toc26807"/>
      <w:bookmarkStart w:id="138" w:name="_Toc19408"/>
      <w:bookmarkStart w:id="139" w:name="_Toc27036"/>
      <w:bookmarkStart w:id="140" w:name="_Toc22087"/>
      <w:r>
        <w:rPr>
          <w:rFonts w:hint="eastAsia" w:ascii="宋体" w:hAnsi="宋体" w:cs="宋体"/>
          <w:color w:val="000000"/>
          <w:sz w:val="21"/>
          <w:szCs w:val="21"/>
          <w:highlight w:val="none"/>
        </w:rPr>
        <w:t>14. 响应文件有效期</w:t>
      </w:r>
      <w:bookmarkEnd w:id="136"/>
      <w:bookmarkEnd w:id="137"/>
      <w:bookmarkEnd w:id="138"/>
      <w:bookmarkEnd w:id="139"/>
      <w:bookmarkEnd w:id="140"/>
    </w:p>
    <w:p w14:paraId="213175DD">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 xml:space="preserve">14.1 </w:t>
      </w:r>
      <w:r>
        <w:rPr>
          <w:rFonts w:hint="eastAsia" w:ascii="宋体" w:hAnsi="宋体" w:cs="宋体"/>
          <w:color w:val="000000"/>
          <w:szCs w:val="21"/>
          <w:highlight w:val="none"/>
        </w:rPr>
        <w:t>响应文件有效期：响应文件递交截止时间之日起</w:t>
      </w:r>
      <w:r>
        <w:rPr>
          <w:rFonts w:ascii="宋体" w:hAnsi="宋体" w:cs="宋体"/>
          <w:color w:val="000000"/>
          <w:szCs w:val="21"/>
          <w:highlight w:val="none"/>
        </w:rPr>
        <w:t>90</w:t>
      </w:r>
      <w:r>
        <w:rPr>
          <w:rFonts w:hint="eastAsia" w:ascii="宋体" w:hAnsi="宋体" w:cs="宋体"/>
          <w:color w:val="000000"/>
          <w:szCs w:val="21"/>
          <w:highlight w:val="none"/>
        </w:rPr>
        <w:t>天，有效期不足的响应文件将被拒绝。</w:t>
      </w:r>
    </w:p>
    <w:p w14:paraId="34720DFB">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 xml:space="preserve">14.2 </w:t>
      </w:r>
      <w:r>
        <w:rPr>
          <w:rFonts w:hint="eastAsia" w:ascii="宋体" w:hAnsi="宋体" w:cs="宋体"/>
          <w:color w:val="000000"/>
          <w:szCs w:val="21"/>
          <w:highlight w:val="none"/>
        </w:rPr>
        <w:t>出现特殊情况下，需要延长响应文件有效期的，采购代理机构以书面形式通知供应商延长响应文件有效期。供应商同意延长的，原响应文件继续有效。供应商拒绝延长的，其响应文件无效。</w:t>
      </w:r>
    </w:p>
    <w:p w14:paraId="6E4F2BD6">
      <w:pPr>
        <w:pStyle w:val="4"/>
        <w:spacing w:before="0" w:after="0" w:line="360" w:lineRule="auto"/>
        <w:ind w:firstLine="420" w:firstLineChars="200"/>
        <w:rPr>
          <w:rFonts w:hint="eastAsia" w:ascii="宋体" w:hAnsi="宋体" w:cs="宋体"/>
          <w:color w:val="000000"/>
          <w:sz w:val="21"/>
          <w:szCs w:val="21"/>
          <w:highlight w:val="none"/>
        </w:rPr>
      </w:pPr>
      <w:bookmarkStart w:id="141" w:name="_Toc30107"/>
      <w:bookmarkStart w:id="142" w:name="_Toc8248"/>
      <w:bookmarkStart w:id="143" w:name="_Toc24545"/>
      <w:bookmarkStart w:id="144" w:name="_Toc24385"/>
      <w:bookmarkStart w:id="145" w:name="_Toc24860"/>
      <w:r>
        <w:rPr>
          <w:rFonts w:hint="eastAsia" w:ascii="宋体" w:hAnsi="宋体" w:cs="宋体"/>
          <w:color w:val="000000"/>
          <w:sz w:val="21"/>
          <w:szCs w:val="21"/>
          <w:highlight w:val="none"/>
        </w:rPr>
        <w:t>15. 保证金</w:t>
      </w:r>
      <w:bookmarkEnd w:id="141"/>
      <w:bookmarkEnd w:id="142"/>
      <w:bookmarkEnd w:id="143"/>
      <w:bookmarkEnd w:id="144"/>
      <w:bookmarkEnd w:id="145"/>
    </w:p>
    <w:p w14:paraId="045AE359">
      <w:pPr>
        <w:spacing w:line="360" w:lineRule="auto"/>
        <w:ind w:firstLine="420" w:firstLineChars="200"/>
        <w:rPr>
          <w:rFonts w:ascii="宋体" w:hAnsi="宋体" w:cs="宋体"/>
          <w:b/>
          <w:bCs/>
          <w:color w:val="000000"/>
          <w:szCs w:val="21"/>
          <w:highlight w:val="none"/>
        </w:rPr>
      </w:pPr>
      <w:r>
        <w:rPr>
          <w:rFonts w:hint="eastAsia" w:ascii="宋体" w:hAnsi="宋体" w:cs="宋体"/>
          <w:color w:val="000000"/>
          <w:szCs w:val="21"/>
          <w:highlight w:val="none"/>
        </w:rPr>
        <w:t>本项目无需缴纳谈判保证金。</w:t>
      </w:r>
    </w:p>
    <w:p w14:paraId="151EF132">
      <w:pPr>
        <w:pStyle w:val="4"/>
        <w:spacing w:before="0" w:after="0" w:line="360" w:lineRule="auto"/>
        <w:ind w:firstLine="420" w:firstLineChars="200"/>
        <w:rPr>
          <w:rFonts w:ascii="宋体" w:hAnsi="宋体" w:cs="宋体"/>
          <w:color w:val="000000"/>
          <w:sz w:val="21"/>
          <w:szCs w:val="21"/>
          <w:highlight w:val="none"/>
        </w:rPr>
      </w:pPr>
      <w:bookmarkStart w:id="146" w:name="_Toc12262"/>
      <w:bookmarkStart w:id="147" w:name="_Toc6372"/>
      <w:bookmarkStart w:id="148" w:name="_Toc13330"/>
      <w:bookmarkStart w:id="149" w:name="_Toc5531"/>
      <w:bookmarkStart w:id="150" w:name="_Toc19939"/>
      <w:r>
        <w:rPr>
          <w:rFonts w:hint="eastAsia" w:ascii="宋体" w:hAnsi="宋体" w:cs="宋体"/>
          <w:color w:val="000000"/>
          <w:sz w:val="21"/>
          <w:szCs w:val="21"/>
          <w:highlight w:val="none"/>
        </w:rPr>
        <w:t>16. 响应文件的制作</w:t>
      </w:r>
      <w:bookmarkEnd w:id="146"/>
      <w:bookmarkEnd w:id="147"/>
      <w:bookmarkEnd w:id="148"/>
      <w:bookmarkEnd w:id="149"/>
      <w:bookmarkEnd w:id="150"/>
    </w:p>
    <w:p w14:paraId="57817B6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16.1电子响应文件中须加盖供应商公章部分均采用 CA 签章，并根据“政府采购项目电子交易管理操作指南-供应商” 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14:paraId="0972C5B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16.2 供应商法人（负责人）或授权代表持有广西政府采购云平台个人CA签章的，应在响应文件中涉及到签字的位置使用个人CA签章，没有办理广西政府采购云平台个人CA签章的可在响应文件文件中涉及到签字的位置手写签字后扫描或者拍照做成 PDF 的格式上传即可。 </w:t>
      </w:r>
    </w:p>
    <w:p w14:paraId="55217A5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16.3 响应文件不得涂改，若有修改错漏处，须法定代表人（负责人）或授权委托人签字（或个人CA签章）。响应文件因字迹潦草或表达不清所引起的后果由供应商负责。</w:t>
      </w:r>
    </w:p>
    <w:p w14:paraId="4A62EE04">
      <w:pPr>
        <w:spacing w:line="360" w:lineRule="auto"/>
        <w:ind w:firstLine="420" w:firstLineChars="200"/>
        <w:outlineLvl w:val="3"/>
        <w:rPr>
          <w:rFonts w:hint="eastAsia" w:ascii="宋体" w:hAnsi="宋体" w:cs="宋体"/>
          <w:color w:val="000000"/>
          <w:szCs w:val="21"/>
          <w:highlight w:val="none"/>
        </w:rPr>
      </w:pPr>
      <w:r>
        <w:rPr>
          <w:rFonts w:hint="eastAsia" w:ascii="宋体" w:hAnsi="宋体" w:cs="宋体"/>
          <w:color w:val="000000"/>
          <w:szCs w:val="21"/>
          <w:highlight w:val="none"/>
        </w:rPr>
        <w:t xml:space="preserve">16.4评审前准备 </w:t>
      </w:r>
    </w:p>
    <w:p w14:paraId="0152C5C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16.4.1本项目实行网上评审，采用电子响应文件；若供应商参与谈判，自行承担谈判一切费用。 </w:t>
      </w:r>
    </w:p>
    <w:p w14:paraId="2437CE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16.4.2各供应商在截标前应确保成为广西政府采购云平台正式注册入库供应商，并完成 CA 数字证书申领。因未注册入库、未办理 CA 数字证书等原因造成无法响应或响应失败等后果由供应商自行承担。 </w:t>
      </w:r>
    </w:p>
    <w:p w14:paraId="71B05C4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16.4.3供应商将广西政府采购云平台客户端下载、安装完成后，可通过账号密码或 CA 登录客户端进行响应文件制作。客户端请至网站下载专区查看，如有问题可拨打广西政府采购云客户服务热线 95763 进行咨询。</w:t>
      </w:r>
    </w:p>
    <w:p w14:paraId="0BBFD279">
      <w:pPr>
        <w:pStyle w:val="4"/>
        <w:spacing w:before="0" w:after="0" w:line="360" w:lineRule="auto"/>
        <w:ind w:firstLine="420" w:firstLineChars="200"/>
        <w:rPr>
          <w:rFonts w:ascii="宋体" w:hAnsi="宋体" w:cs="宋体"/>
          <w:color w:val="000000"/>
          <w:sz w:val="21"/>
          <w:szCs w:val="21"/>
          <w:highlight w:val="none"/>
        </w:rPr>
      </w:pPr>
      <w:bookmarkStart w:id="151" w:name="_Toc17516"/>
      <w:bookmarkStart w:id="152" w:name="_Toc9153"/>
      <w:bookmarkStart w:id="153" w:name="_Toc686"/>
      <w:bookmarkStart w:id="154" w:name="_Toc24605"/>
      <w:bookmarkStart w:id="155" w:name="_Toc31290"/>
      <w:r>
        <w:rPr>
          <w:rFonts w:hint="eastAsia" w:ascii="宋体" w:hAnsi="宋体" w:cs="宋体"/>
          <w:color w:val="000000"/>
          <w:sz w:val="21"/>
          <w:szCs w:val="21"/>
          <w:highlight w:val="none"/>
        </w:rPr>
        <w:t>17. 响应文件的补充、修改和撤回</w:t>
      </w:r>
      <w:bookmarkEnd w:id="151"/>
      <w:bookmarkEnd w:id="152"/>
      <w:bookmarkEnd w:id="153"/>
      <w:bookmarkEnd w:id="154"/>
      <w:bookmarkEnd w:id="155"/>
    </w:p>
    <w:p w14:paraId="3EC0D7C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17.1 响应文件递交截止时间前可以撤回电子响应文件。补充或者修改电子响应文件的，应当先行撤回原文件，补充、修改后重新传输递交，响应文件递交截止时间前未完成传输的，视为撤回响应文件。</w:t>
      </w:r>
    </w:p>
    <w:p w14:paraId="54D16425">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 xml:space="preserve">17.2 </w:t>
      </w:r>
      <w:r>
        <w:rPr>
          <w:rFonts w:hint="eastAsia" w:ascii="宋体" w:hAnsi="宋体" w:cs="宋体"/>
          <w:color w:val="000000"/>
          <w:szCs w:val="21"/>
          <w:highlight w:val="none"/>
        </w:rPr>
        <w:t>在响应文件递交截止时间后的响应文件有效期内，供应商不得撤回其响应文件。</w:t>
      </w:r>
    </w:p>
    <w:p w14:paraId="55AB0E3F">
      <w:pPr>
        <w:pStyle w:val="4"/>
        <w:spacing w:before="0" w:after="0" w:line="360" w:lineRule="auto"/>
        <w:ind w:firstLine="420" w:firstLineChars="200"/>
        <w:rPr>
          <w:rFonts w:ascii="宋体" w:hAnsi="宋体" w:cs="宋体"/>
          <w:color w:val="000000"/>
          <w:sz w:val="21"/>
          <w:szCs w:val="21"/>
          <w:highlight w:val="none"/>
        </w:rPr>
      </w:pPr>
      <w:bookmarkStart w:id="156" w:name="_Toc16516"/>
      <w:bookmarkStart w:id="157" w:name="_Toc1745"/>
      <w:bookmarkStart w:id="158" w:name="_Toc24152"/>
      <w:bookmarkStart w:id="159" w:name="_Toc27699"/>
      <w:bookmarkStart w:id="160" w:name="_Toc8614"/>
      <w:r>
        <w:rPr>
          <w:rFonts w:hint="eastAsia" w:ascii="宋体" w:hAnsi="宋体" w:cs="宋体"/>
          <w:color w:val="000000"/>
          <w:sz w:val="21"/>
          <w:szCs w:val="21"/>
          <w:highlight w:val="none"/>
        </w:rPr>
        <w:t>18. 响应文件的递交和解密</w:t>
      </w:r>
      <w:bookmarkEnd w:id="156"/>
      <w:bookmarkEnd w:id="157"/>
      <w:bookmarkEnd w:id="158"/>
      <w:bookmarkEnd w:id="159"/>
      <w:bookmarkEnd w:id="160"/>
    </w:p>
    <w:p w14:paraId="336DE8B9">
      <w:pPr>
        <w:spacing w:line="360" w:lineRule="auto"/>
        <w:ind w:firstLine="420" w:firstLineChars="200"/>
        <w:rPr>
          <w:rFonts w:hint="eastAsia" w:ascii="宋体" w:hAnsi="宋体" w:cs="宋体"/>
          <w:color w:val="000000"/>
          <w:szCs w:val="21"/>
          <w:highlight w:val="none"/>
        </w:rPr>
      </w:pPr>
      <w:r>
        <w:rPr>
          <w:rFonts w:hint="eastAsia" w:ascii="宋体" w:hAnsi="宋体"/>
          <w:color w:val="000000"/>
          <w:szCs w:val="21"/>
          <w:highlight w:val="none"/>
        </w:rPr>
        <w:t>18.1响应文件递交截止时间：于</w:t>
      </w:r>
      <w:r>
        <w:rPr>
          <w:rFonts w:hint="eastAsia" w:ascii="宋体" w:hAnsi="宋体" w:eastAsia="宋体" w:cs="宋体"/>
          <w:color w:val="000000"/>
          <w:sz w:val="21"/>
          <w:szCs w:val="21"/>
          <w:highlight w:val="none"/>
          <w:u w:val="single"/>
          <w:lang w:eastAsia="zh-CN"/>
        </w:rPr>
        <w:t>2025年</w:t>
      </w:r>
      <w:r>
        <w:rPr>
          <w:rFonts w:hint="eastAsia" w:ascii="宋体" w:hAnsi="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日</w:t>
      </w:r>
      <w:r>
        <w:rPr>
          <w:rFonts w:hint="eastAsia" w:ascii="宋体" w:hAnsi="宋体" w:cs="宋体"/>
          <w:color w:val="000000"/>
          <w:szCs w:val="21"/>
          <w:highlight w:val="none"/>
          <w:u w:val="single"/>
        </w:rPr>
        <w:t>上午9时30分</w:t>
      </w:r>
      <w:r>
        <w:rPr>
          <w:rFonts w:hint="eastAsia" w:ascii="宋体" w:hAnsi="宋体" w:cs="宋体"/>
          <w:color w:val="000000"/>
          <w:szCs w:val="21"/>
          <w:highlight w:val="none"/>
        </w:rPr>
        <w:t>之前将电子</w:t>
      </w:r>
      <w:r>
        <w:rPr>
          <w:rFonts w:hint="eastAsia" w:ascii="宋体" w:hAnsi="宋体"/>
          <w:color w:val="000000"/>
          <w:szCs w:val="21"/>
          <w:highlight w:val="none"/>
        </w:rPr>
        <w:t>响应</w:t>
      </w:r>
      <w:r>
        <w:rPr>
          <w:rFonts w:hint="eastAsia" w:ascii="宋体" w:hAnsi="宋体" w:cs="宋体"/>
          <w:color w:val="000000"/>
          <w:szCs w:val="21"/>
          <w:highlight w:val="none"/>
        </w:rPr>
        <w:t>文件上传到广西政府采购云平台。应按照本项目谈判文件和广西政府采购云平台的要求编制、加密传输</w:t>
      </w:r>
      <w:r>
        <w:rPr>
          <w:rFonts w:hint="eastAsia" w:ascii="宋体" w:hAnsi="宋体"/>
          <w:color w:val="000000"/>
          <w:szCs w:val="21"/>
          <w:highlight w:val="none"/>
        </w:rPr>
        <w:t>响应</w:t>
      </w:r>
      <w:r>
        <w:rPr>
          <w:rFonts w:hint="eastAsia" w:ascii="宋体" w:hAnsi="宋体" w:cs="宋体"/>
          <w:color w:val="000000"/>
          <w:szCs w:val="21"/>
          <w:highlight w:val="none"/>
        </w:rPr>
        <w:t>文件。供应商在使用系统进行投标响应的过程中遇到涉及平台使用的任何问题，可致电广西政府采购云平台技术支持热线咨询，联系方式：95763。</w:t>
      </w:r>
    </w:p>
    <w:p w14:paraId="161B52FB">
      <w:pPr>
        <w:pStyle w:val="8"/>
        <w:ind w:firstLine="420" w:firstLineChars="200"/>
        <w:rPr>
          <w:rFonts w:hint="eastAsia" w:ascii="宋体" w:hAnsi="宋体" w:cs="宋体"/>
          <w:b/>
          <w:bCs/>
          <w:color w:val="000000"/>
          <w:sz w:val="24"/>
          <w:highlight w:val="none"/>
        </w:rPr>
      </w:pPr>
      <w:r>
        <w:rPr>
          <w:rFonts w:hint="eastAsia" w:ascii="宋体" w:hAnsi="宋体" w:cs="宋体"/>
          <w:color w:val="000000"/>
          <w:szCs w:val="21"/>
          <w:highlight w:val="none"/>
        </w:rPr>
        <w:t>18.2</w:t>
      </w:r>
      <w:r>
        <w:rPr>
          <w:rFonts w:hint="eastAsia" w:ascii="宋体" w:hAnsi="宋体" w:cs="宋体"/>
          <w:color w:val="000000"/>
          <w:highlight w:val="none"/>
        </w:rPr>
        <w:t>响应文件解密时间：截标时间后</w:t>
      </w:r>
      <w:r>
        <w:rPr>
          <w:rFonts w:hint="eastAsia" w:ascii="宋体" w:hAnsi="宋体" w:cs="宋体"/>
          <w:color w:val="000000"/>
          <w:highlight w:val="none"/>
          <w:u w:val="single"/>
        </w:rPr>
        <w:t>30</w:t>
      </w:r>
      <w:r>
        <w:rPr>
          <w:rFonts w:hint="eastAsia" w:ascii="宋体" w:hAnsi="宋体" w:cs="宋体"/>
          <w:color w:val="000000"/>
          <w:highlight w:val="none"/>
        </w:rPr>
        <w:t>分钟内（</w:t>
      </w:r>
      <w:r>
        <w:rPr>
          <w:rFonts w:hint="eastAsia" w:ascii="宋体" w:hAnsi="宋体" w:eastAsia="宋体" w:cs="宋体"/>
          <w:color w:val="000000"/>
          <w:sz w:val="21"/>
          <w:szCs w:val="21"/>
          <w:highlight w:val="none"/>
          <w:u w:val="single"/>
          <w:lang w:eastAsia="zh-CN"/>
        </w:rPr>
        <w:t>2025年</w:t>
      </w:r>
      <w:r>
        <w:rPr>
          <w:rFonts w:hint="eastAsia" w:ascii="宋体" w:hAnsi="宋体" w:cs="宋体"/>
          <w:color w:val="000000"/>
          <w:sz w:val="21"/>
          <w:szCs w:val="21"/>
          <w:highlight w:val="none"/>
          <w:u w:val="single"/>
          <w:lang w:val="en-US" w:eastAsia="zh-CN"/>
        </w:rPr>
        <w:t>11</w:t>
      </w:r>
      <w:r>
        <w:rPr>
          <w:rFonts w:hint="eastAsia" w:ascii="宋体" w:hAnsi="宋体" w:eastAsia="宋体" w:cs="宋体"/>
          <w:color w:val="000000"/>
          <w:sz w:val="21"/>
          <w:szCs w:val="21"/>
          <w:highlight w:val="none"/>
          <w:u w:val="single"/>
          <w:lang w:val="en-US" w:eastAsia="zh-CN"/>
        </w:rPr>
        <w:t>月</w:t>
      </w:r>
      <w:r>
        <w:rPr>
          <w:rFonts w:hint="eastAsia" w:ascii="宋体" w:hAnsi="宋体" w:cs="宋体"/>
          <w:color w:val="000000"/>
          <w:sz w:val="21"/>
          <w:szCs w:val="21"/>
          <w:highlight w:val="none"/>
          <w:u w:val="single"/>
          <w:lang w:val="en-US" w:eastAsia="zh-CN"/>
        </w:rPr>
        <w:t>6</w:t>
      </w:r>
      <w:r>
        <w:rPr>
          <w:rFonts w:hint="eastAsia" w:ascii="宋体" w:hAnsi="宋体" w:eastAsia="宋体" w:cs="宋体"/>
          <w:color w:val="000000"/>
          <w:sz w:val="21"/>
          <w:szCs w:val="21"/>
          <w:highlight w:val="none"/>
          <w:u w:val="single"/>
          <w:lang w:val="en-US" w:eastAsia="zh-CN"/>
        </w:rPr>
        <w:t>日</w:t>
      </w:r>
      <w:r>
        <w:rPr>
          <w:rFonts w:hint="eastAsia" w:ascii="宋体" w:hAnsi="宋体" w:cs="宋体"/>
          <w:color w:val="000000"/>
          <w:highlight w:val="none"/>
          <w:u w:val="single"/>
        </w:rPr>
        <w:t>上午9时30分至10时00分</w:t>
      </w:r>
      <w:r>
        <w:rPr>
          <w:rFonts w:hint="eastAsia" w:ascii="宋体" w:hAnsi="宋体" w:cs="宋体"/>
          <w:color w:val="000000"/>
          <w:highlight w:val="none"/>
        </w:rPr>
        <w:t>)供应商可以登录广西政府采购云平台，用“项目采购-开标评标”功能进行解密响应文件。</w:t>
      </w:r>
      <w:r>
        <w:rPr>
          <w:rFonts w:hint="eastAsia" w:ascii="宋体" w:hAnsi="宋体" w:cs="宋体"/>
          <w:b/>
          <w:bCs/>
          <w:color w:val="000000"/>
          <w:sz w:val="24"/>
          <w:highlight w:val="none"/>
        </w:rPr>
        <w:t xml:space="preserve"> </w:t>
      </w:r>
    </w:p>
    <w:p w14:paraId="61DC4607">
      <w:pPr>
        <w:spacing w:line="360" w:lineRule="auto"/>
        <w:ind w:firstLine="420" w:firstLineChars="200"/>
        <w:rPr>
          <w:rFonts w:hint="eastAsia" w:ascii="宋体" w:hAnsi="宋体" w:cs="宋体"/>
          <w:color w:val="000000"/>
          <w:szCs w:val="21"/>
          <w:highlight w:val="none"/>
        </w:rPr>
      </w:pPr>
      <w:r>
        <w:rPr>
          <w:rFonts w:hint="eastAsia" w:ascii="宋体" w:hAnsi="宋体" w:cs="宋体"/>
          <w:b/>
          <w:bCs/>
          <w:color w:val="000000"/>
          <w:szCs w:val="21"/>
          <w:highlight w:val="none"/>
        </w:rPr>
        <w:t>注：响应文件网上递交截止时间后，各供应商须在解密时限内对上传广西政府采购云平台的响应文件进行解密，所有供应商在规定的解密时限内解密完成或解密时限结束后，我中心开启已解密的响应文件。若供应商在规定时间内无法解密或解密失败，可以以电子备份响应文件作为依据【在接到无法解密或解密失败的通知后，供应商可根据自身实际情况按通知时要求的时间到桂林市公共资源交易中心</w:t>
      </w:r>
      <w:r>
        <w:rPr>
          <w:rFonts w:hint="eastAsia" w:ascii="宋体" w:hAnsi="宋体" w:cs="宋体"/>
          <w:b/>
          <w:bCs/>
          <w:color w:val="000000"/>
          <w:szCs w:val="21"/>
          <w:highlight w:val="none"/>
          <w:lang w:val="en-US" w:eastAsia="zh-CN"/>
        </w:rPr>
        <w:t xml:space="preserve"> 7 </w:t>
      </w:r>
      <w:r>
        <w:rPr>
          <w:rFonts w:hint="eastAsia" w:ascii="宋体" w:hAnsi="宋体" w:cs="宋体"/>
          <w:b/>
          <w:bCs/>
          <w:color w:val="000000"/>
          <w:szCs w:val="21"/>
          <w:highlight w:val="none"/>
        </w:rPr>
        <w:t>号</w:t>
      </w:r>
      <w:r>
        <w:rPr>
          <w:rFonts w:hint="eastAsia" w:ascii="宋体" w:hAnsi="宋体" w:cs="宋体"/>
          <w:b/>
          <w:bCs/>
          <w:color w:val="000000"/>
          <w:szCs w:val="21"/>
          <w:highlight w:val="none"/>
        </w:rPr>
        <w:t>政府采购开标仓现场提交或以电子邮件的形式（以通知时所告知的电子邮箱地址为准）提交电子备份响应文件】，若供应商在规定时间内无法解密或解密失败且未提供电子备份响应文件的(包含提供的电子备份文件无效或无法解密的情况)，视为投标无效。解密响应文件后，30分钟内在线签字确认，超过时间没有在线签字确认的系统将自动视为供应商认可。</w:t>
      </w:r>
      <w:r>
        <w:rPr>
          <w:rFonts w:hint="eastAsia" w:ascii="宋体" w:hAnsi="宋体" w:cs="宋体"/>
          <w:color w:val="000000"/>
          <w:szCs w:val="21"/>
          <w:highlight w:val="none"/>
        </w:rPr>
        <w:t>18.3 除响应文件另有规定外，供应商所递交的响应文件不予退还。</w:t>
      </w:r>
    </w:p>
    <w:p w14:paraId="1C6931C0">
      <w:pPr>
        <w:spacing w:line="360" w:lineRule="auto"/>
        <w:ind w:firstLine="420" w:firstLineChars="200"/>
        <w:outlineLvl w:val="3"/>
        <w:rPr>
          <w:rFonts w:hint="eastAsia" w:ascii="宋体" w:hAnsi="宋体" w:cs="宋体"/>
          <w:color w:val="000000"/>
          <w:szCs w:val="21"/>
          <w:highlight w:val="none"/>
        </w:rPr>
      </w:pPr>
      <w:r>
        <w:rPr>
          <w:rFonts w:hint="eastAsia" w:ascii="宋体" w:hAnsi="宋体" w:cs="宋体"/>
          <w:color w:val="000000"/>
          <w:szCs w:val="21"/>
          <w:highlight w:val="none"/>
        </w:rPr>
        <w:t>18.4 电子响应文件的相关说明</w:t>
      </w:r>
    </w:p>
    <w:p w14:paraId="738FC2A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供应商进行电子投标应安装客户端软件，并按照谈判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 </w:t>
      </w:r>
    </w:p>
    <w:p w14:paraId="7D9DD97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（2）如有特殊情况，采购代理机构延长截止时间和开标时间，采购代理机构和供应商的权利和义务将受到新的截止时间和开标时间的约束。</w:t>
      </w:r>
    </w:p>
    <w:p w14:paraId="7AE5BC78">
      <w:pPr>
        <w:pStyle w:val="3"/>
        <w:jc w:val="center"/>
        <w:rPr>
          <w:rFonts w:hint="eastAsia"/>
          <w:b/>
          <w:bCs w:val="0"/>
          <w:color w:val="000000"/>
          <w:szCs w:val="28"/>
          <w:highlight w:val="none"/>
        </w:rPr>
      </w:pPr>
      <w:bookmarkStart w:id="161" w:name="_Toc10288"/>
      <w:bookmarkStart w:id="162" w:name="_Toc16529"/>
      <w:bookmarkStart w:id="163" w:name="_Toc18730"/>
      <w:bookmarkStart w:id="164" w:name="_Toc29487"/>
      <w:bookmarkStart w:id="165" w:name="_Toc21771"/>
    </w:p>
    <w:p w14:paraId="66527962">
      <w:pPr>
        <w:pStyle w:val="3"/>
        <w:jc w:val="center"/>
        <w:rPr>
          <w:rFonts w:hint="eastAsia"/>
          <w:b/>
          <w:bCs w:val="0"/>
          <w:color w:val="000000"/>
          <w:szCs w:val="28"/>
          <w:highlight w:val="none"/>
        </w:rPr>
      </w:pPr>
      <w:r>
        <w:rPr>
          <w:rFonts w:hint="eastAsia"/>
          <w:b/>
          <w:bCs w:val="0"/>
          <w:color w:val="000000"/>
          <w:szCs w:val="28"/>
          <w:highlight w:val="none"/>
        </w:rPr>
        <w:t>四、竞争性谈判（简称谈判）与评审</w:t>
      </w:r>
      <w:bookmarkEnd w:id="161"/>
      <w:bookmarkEnd w:id="162"/>
      <w:bookmarkEnd w:id="163"/>
      <w:bookmarkEnd w:id="164"/>
      <w:bookmarkEnd w:id="165"/>
    </w:p>
    <w:p w14:paraId="27F596CD">
      <w:pPr>
        <w:pStyle w:val="4"/>
        <w:spacing w:before="0" w:after="0" w:line="360" w:lineRule="auto"/>
        <w:ind w:firstLine="420" w:firstLineChars="200"/>
        <w:rPr>
          <w:rFonts w:hint="eastAsia" w:ascii="宋体" w:hAnsi="宋体" w:cs="宋体"/>
          <w:color w:val="000000"/>
          <w:sz w:val="21"/>
          <w:szCs w:val="21"/>
          <w:highlight w:val="none"/>
        </w:rPr>
      </w:pPr>
      <w:bookmarkStart w:id="166" w:name="_Toc21940"/>
      <w:bookmarkStart w:id="167" w:name="_Toc20471"/>
      <w:bookmarkStart w:id="168" w:name="_Toc24780"/>
      <w:bookmarkStart w:id="169" w:name="_Toc28716"/>
      <w:bookmarkStart w:id="170" w:name="_Toc580"/>
      <w:r>
        <w:rPr>
          <w:rFonts w:hint="eastAsia" w:ascii="宋体" w:hAnsi="宋体" w:cs="宋体"/>
          <w:color w:val="000000"/>
          <w:sz w:val="21"/>
          <w:szCs w:val="21"/>
          <w:highlight w:val="none"/>
        </w:rPr>
        <w:t>19. 谈判小组组成及谈判时间、地点、人员</w:t>
      </w:r>
      <w:bookmarkEnd w:id="166"/>
      <w:bookmarkEnd w:id="167"/>
      <w:bookmarkEnd w:id="168"/>
      <w:bookmarkEnd w:id="169"/>
      <w:bookmarkEnd w:id="170"/>
    </w:p>
    <w:p w14:paraId="176BDCB0">
      <w:pPr>
        <w:ind w:firstLine="420" w:firstLineChars="200"/>
        <w:outlineLvl w:val="3"/>
        <w:rPr>
          <w:rFonts w:hint="eastAsia" w:ascii="宋体" w:hAnsi="宋体" w:cs="宋体"/>
          <w:b/>
          <w:bCs/>
          <w:color w:val="000000"/>
          <w:highlight w:val="none"/>
        </w:rPr>
      </w:pPr>
      <w:r>
        <w:rPr>
          <w:rFonts w:hint="eastAsia" w:ascii="宋体" w:hAnsi="宋体" w:cs="宋体"/>
          <w:b/>
          <w:bCs/>
          <w:color w:val="000000"/>
          <w:highlight w:val="none"/>
        </w:rPr>
        <w:t>19.1 谈判小组组成：</w:t>
      </w:r>
    </w:p>
    <w:p w14:paraId="26197579">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谈判及评审工作由采购代理机构负责组织，具体谈判、评审工作由依法组建的谈判小组负责，谈判小组由采购人代表和有关方面的专家组成。谈判小组的构成：</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3 </w:t>
      </w:r>
      <w:r>
        <w:rPr>
          <w:rFonts w:hint="eastAsia" w:ascii="宋体" w:hAnsi="宋体" w:cs="宋体"/>
          <w:color w:val="000000"/>
          <w:szCs w:val="21"/>
          <w:highlight w:val="none"/>
        </w:rPr>
        <w:t>人，其中采购人代表</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1 </w:t>
      </w:r>
      <w:r>
        <w:rPr>
          <w:rFonts w:hint="eastAsia" w:ascii="宋体" w:hAnsi="宋体" w:cs="宋体"/>
          <w:color w:val="000000"/>
          <w:szCs w:val="21"/>
          <w:highlight w:val="none"/>
        </w:rPr>
        <w:t>人，</w:t>
      </w:r>
      <w:r>
        <w:rPr>
          <w:rFonts w:ascii="宋体" w:hAnsi="宋体" w:cs="宋体"/>
          <w:color w:val="000000"/>
          <w:szCs w:val="21"/>
          <w:highlight w:val="none"/>
        </w:rPr>
        <w:t xml:space="preserve"> </w:t>
      </w:r>
      <w:r>
        <w:rPr>
          <w:rFonts w:hint="eastAsia" w:ascii="宋体" w:hAnsi="宋体" w:cs="宋体"/>
          <w:color w:val="000000"/>
          <w:szCs w:val="21"/>
          <w:highlight w:val="none"/>
        </w:rPr>
        <w:t>专家</w:t>
      </w:r>
      <w:r>
        <w:rPr>
          <w:rFonts w:ascii="宋体" w:hAnsi="宋体" w:cs="宋体"/>
          <w:color w:val="000000"/>
          <w:szCs w:val="21"/>
          <w:highlight w:val="none"/>
          <w:u w:val="single"/>
        </w:rPr>
        <w:t xml:space="preserve"> 2 </w:t>
      </w:r>
      <w:r>
        <w:rPr>
          <w:rFonts w:hint="eastAsia" w:ascii="宋体" w:hAnsi="宋体" w:cs="宋体"/>
          <w:color w:val="000000"/>
          <w:szCs w:val="21"/>
          <w:highlight w:val="none"/>
        </w:rPr>
        <w:t>人。</w:t>
      </w:r>
    </w:p>
    <w:p w14:paraId="39FFDB12">
      <w:pPr>
        <w:ind w:firstLine="420" w:firstLineChars="200"/>
        <w:outlineLvl w:val="3"/>
        <w:rPr>
          <w:rFonts w:hint="eastAsia" w:ascii="宋体" w:hAnsi="宋体" w:cs="宋体"/>
          <w:b/>
          <w:bCs/>
          <w:color w:val="000000"/>
          <w:highlight w:val="none"/>
        </w:rPr>
      </w:pPr>
      <w:r>
        <w:rPr>
          <w:rFonts w:hint="eastAsia" w:ascii="宋体" w:hAnsi="宋体" w:cs="宋体"/>
          <w:b/>
          <w:bCs/>
          <w:color w:val="000000"/>
          <w:highlight w:val="none"/>
        </w:rPr>
        <w:t>19.2 谈判时间、地点、人员：</w:t>
      </w:r>
    </w:p>
    <w:p w14:paraId="2B69AB1E">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19</w:t>
      </w:r>
      <w:r>
        <w:rPr>
          <w:rFonts w:ascii="宋体" w:hAnsi="宋体" w:cs="宋体"/>
          <w:color w:val="000000"/>
          <w:szCs w:val="21"/>
          <w:highlight w:val="none"/>
        </w:rPr>
        <w:t xml:space="preserve">.2.1 </w:t>
      </w:r>
      <w:r>
        <w:rPr>
          <w:rFonts w:hint="eastAsia" w:ascii="宋体" w:hAnsi="宋体" w:cs="宋体"/>
          <w:color w:val="000000"/>
          <w:szCs w:val="21"/>
          <w:highlight w:val="none"/>
        </w:rPr>
        <w:t>谈判时间：响应文件递交截止时间后。</w:t>
      </w:r>
    </w:p>
    <w:p w14:paraId="2CADF2BE">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19</w:t>
      </w:r>
      <w:r>
        <w:rPr>
          <w:rFonts w:ascii="宋体" w:hAnsi="宋体" w:cs="宋体"/>
          <w:color w:val="000000"/>
          <w:szCs w:val="21"/>
          <w:highlight w:val="none"/>
        </w:rPr>
        <w:t xml:space="preserve">.2.2 </w:t>
      </w:r>
      <w:r>
        <w:rPr>
          <w:rFonts w:hint="eastAsia" w:ascii="宋体" w:hAnsi="宋体" w:cs="宋体"/>
          <w:color w:val="000000"/>
          <w:szCs w:val="21"/>
          <w:highlight w:val="none"/>
        </w:rPr>
        <w:t>谈判地点：</w:t>
      </w:r>
      <w:r>
        <w:rPr>
          <w:rFonts w:hint="eastAsia" w:ascii="宋体" w:hAnsi="宋体" w:cs="宋体"/>
          <w:b/>
          <w:bCs/>
          <w:color w:val="000000"/>
          <w:szCs w:val="21"/>
          <w:highlight w:val="none"/>
        </w:rPr>
        <w:t>通过广西政府采购云平台在线谈判。</w:t>
      </w:r>
    </w:p>
    <w:p w14:paraId="1D6F3226">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19</w:t>
      </w:r>
      <w:r>
        <w:rPr>
          <w:rFonts w:ascii="宋体" w:hAnsi="宋体" w:cs="宋体"/>
          <w:color w:val="000000"/>
          <w:szCs w:val="21"/>
          <w:highlight w:val="none"/>
        </w:rPr>
        <w:t xml:space="preserve">.2.3 </w:t>
      </w:r>
      <w:r>
        <w:rPr>
          <w:rFonts w:hint="eastAsia" w:ascii="宋体" w:hAnsi="宋体" w:cs="宋体"/>
          <w:color w:val="000000"/>
          <w:szCs w:val="21"/>
          <w:highlight w:val="none"/>
        </w:rPr>
        <w:t>谈判参加人员：供应商法定代表人或委托代理人参加磋商。请供应商实时登录广西政府采购云平台等候在线</w:t>
      </w:r>
      <w:r>
        <w:rPr>
          <w:rFonts w:hint="eastAsia" w:ascii="宋体" w:hAnsi="宋体" w:cs="宋体"/>
          <w:color w:val="000000"/>
          <w:szCs w:val="21"/>
          <w:highlight w:val="none"/>
          <w:lang w:val="en-US" w:eastAsia="zh-CN"/>
        </w:rPr>
        <w:t>谈判</w:t>
      </w:r>
      <w:r>
        <w:rPr>
          <w:rFonts w:hint="eastAsia" w:ascii="宋体" w:hAnsi="宋体" w:cs="宋体"/>
          <w:color w:val="000000"/>
          <w:szCs w:val="21"/>
          <w:highlight w:val="none"/>
        </w:rPr>
        <w:t>。</w:t>
      </w:r>
    </w:p>
    <w:p w14:paraId="6EF9BE9E">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19</w:t>
      </w:r>
      <w:r>
        <w:rPr>
          <w:rFonts w:ascii="宋体" w:hAnsi="宋体" w:cs="宋体"/>
          <w:color w:val="000000"/>
          <w:szCs w:val="21"/>
          <w:highlight w:val="none"/>
        </w:rPr>
        <w:t xml:space="preserve">.2.4 </w:t>
      </w:r>
      <w:r>
        <w:rPr>
          <w:rFonts w:hint="eastAsia" w:ascii="宋体" w:hAnsi="宋体" w:cs="宋体"/>
          <w:color w:val="000000"/>
          <w:szCs w:val="21"/>
          <w:highlight w:val="none"/>
        </w:rPr>
        <w:t>响应文件递交截止时间后，由谈判小组在评标室内开启响应文件。</w:t>
      </w:r>
      <w:r>
        <w:rPr>
          <w:rFonts w:ascii="宋体" w:hAnsi="宋体" w:cs="宋体"/>
          <w:color w:val="000000"/>
          <w:szCs w:val="21"/>
          <w:highlight w:val="none"/>
        </w:rPr>
        <w:t xml:space="preserve">  </w:t>
      </w:r>
    </w:p>
    <w:p w14:paraId="6605CD78">
      <w:pPr>
        <w:pStyle w:val="4"/>
        <w:spacing w:before="0" w:after="0" w:line="360" w:lineRule="auto"/>
        <w:ind w:firstLine="420" w:firstLineChars="200"/>
        <w:rPr>
          <w:rFonts w:hint="eastAsia" w:ascii="宋体" w:hAnsi="宋体" w:cs="宋体"/>
          <w:color w:val="000000"/>
          <w:sz w:val="21"/>
          <w:szCs w:val="21"/>
          <w:highlight w:val="none"/>
        </w:rPr>
      </w:pPr>
      <w:bookmarkStart w:id="171" w:name="_Toc30683"/>
      <w:bookmarkStart w:id="172" w:name="_Toc30892"/>
      <w:bookmarkStart w:id="173" w:name="_Toc3666"/>
      <w:bookmarkStart w:id="174" w:name="_Toc21172"/>
      <w:bookmarkStart w:id="175" w:name="_Toc23784"/>
      <w:r>
        <w:rPr>
          <w:rFonts w:hint="eastAsia" w:ascii="宋体" w:hAnsi="宋体" w:cs="宋体"/>
          <w:color w:val="000000"/>
          <w:sz w:val="21"/>
          <w:szCs w:val="21"/>
          <w:highlight w:val="none"/>
        </w:rPr>
        <w:t>20. 评审原则</w:t>
      </w:r>
      <w:bookmarkEnd w:id="171"/>
      <w:bookmarkEnd w:id="172"/>
      <w:bookmarkEnd w:id="173"/>
      <w:bookmarkEnd w:id="174"/>
      <w:bookmarkEnd w:id="175"/>
    </w:p>
    <w:p w14:paraId="27BF1040">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0</w:t>
      </w:r>
      <w:r>
        <w:rPr>
          <w:rFonts w:ascii="宋体" w:hAnsi="宋体" w:cs="宋体"/>
          <w:color w:val="000000"/>
          <w:szCs w:val="21"/>
          <w:highlight w:val="none"/>
        </w:rPr>
        <w:t xml:space="preserve">.1 </w:t>
      </w:r>
      <w:r>
        <w:rPr>
          <w:rFonts w:hint="eastAsia" w:ascii="宋体" w:hAnsi="宋体" w:cs="宋体"/>
          <w:color w:val="000000"/>
          <w:szCs w:val="21"/>
          <w:highlight w:val="none"/>
        </w:rPr>
        <w:t>谈判小组必须坚持公平、公正、科学和择优的原则。</w:t>
      </w:r>
    </w:p>
    <w:p w14:paraId="19C8789E">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0</w:t>
      </w:r>
      <w:r>
        <w:rPr>
          <w:rFonts w:ascii="宋体" w:hAnsi="宋体" w:cs="宋体"/>
          <w:color w:val="000000"/>
          <w:szCs w:val="21"/>
          <w:highlight w:val="none"/>
        </w:rPr>
        <w:t xml:space="preserve">.2 </w:t>
      </w:r>
      <w:r>
        <w:rPr>
          <w:rFonts w:hint="eastAsia" w:ascii="宋体" w:hAnsi="宋体" w:cs="宋体"/>
          <w:color w:val="000000"/>
          <w:szCs w:val="21"/>
          <w:highlight w:val="none"/>
        </w:rPr>
        <w:t>评审办法：具体详见第四章评审办法。</w:t>
      </w:r>
    </w:p>
    <w:p w14:paraId="0BC9F11B">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0</w:t>
      </w:r>
      <w:r>
        <w:rPr>
          <w:rFonts w:ascii="宋体" w:hAnsi="宋体" w:cs="宋体"/>
          <w:color w:val="000000"/>
          <w:szCs w:val="21"/>
          <w:highlight w:val="none"/>
        </w:rPr>
        <w:t xml:space="preserve">.3 </w:t>
      </w:r>
      <w:r>
        <w:rPr>
          <w:rFonts w:hint="eastAsia" w:ascii="宋体" w:hAnsi="宋体" w:cs="宋体"/>
          <w:color w:val="000000"/>
          <w:szCs w:val="21"/>
          <w:highlight w:val="none"/>
        </w:rPr>
        <w:t>谈判小组应按谈判文件进行评审，不得擅自更改评审办法。</w:t>
      </w:r>
    </w:p>
    <w:p w14:paraId="4450AAFE">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0</w:t>
      </w:r>
      <w:r>
        <w:rPr>
          <w:rFonts w:ascii="宋体" w:hAnsi="宋体" w:cs="宋体"/>
          <w:color w:val="000000"/>
          <w:szCs w:val="21"/>
          <w:highlight w:val="none"/>
        </w:rPr>
        <w:t xml:space="preserve">.4 </w:t>
      </w:r>
      <w:r>
        <w:rPr>
          <w:rFonts w:hint="eastAsia" w:ascii="宋体" w:hAnsi="宋体" w:cs="宋体"/>
          <w:color w:val="000000"/>
          <w:szCs w:val="21"/>
          <w:highlight w:val="none"/>
        </w:rPr>
        <w:t>在评审过程中，谈判小组任何人不得对某个供应商发表任何倾向性意见，不得向其他谈判小组成员明示或者暗示自己的评审意见。</w:t>
      </w:r>
    </w:p>
    <w:p w14:paraId="7D145533">
      <w:pPr>
        <w:spacing w:line="360" w:lineRule="auto"/>
        <w:ind w:firstLine="420" w:firstLineChars="200"/>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0</w:t>
      </w:r>
      <w:r>
        <w:rPr>
          <w:rFonts w:ascii="宋体" w:hAnsi="宋体" w:cs="宋体"/>
          <w:color w:val="000000"/>
          <w:szCs w:val="21"/>
          <w:highlight w:val="none"/>
        </w:rPr>
        <w:t xml:space="preserve">.5 </w:t>
      </w:r>
      <w:r>
        <w:rPr>
          <w:rFonts w:hint="eastAsia" w:ascii="宋体" w:hAnsi="宋体" w:cs="宋体"/>
          <w:color w:val="000000"/>
          <w:szCs w:val="21"/>
          <w:highlight w:val="none"/>
        </w:rPr>
        <w:t>谈判小组成员对需要共同认定的事项存在争议的，按照少数服从多数的原则作出结论。持不　　　　　　　　　　　　　　　　　　　　　　　　　　　　　　　　　　　　　　　　　　　　　　　　　　　　　　　　　　　　　　　　　　　　　　同意见的谈判小组成员应当在评审报告上签署不同意见并说明理由，否则视为同意。</w:t>
      </w:r>
    </w:p>
    <w:p w14:paraId="6985EB1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20.6 响应文件最后报价出现前后不一致的，除竞争性谈判文件另有规定外，按照下列规定修正：</w:t>
      </w:r>
    </w:p>
    <w:p w14:paraId="6E314A6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 响应文件中谈判报价表内容与响应文件中相应内容不一致的，以最后谈判报价表为准；</w:t>
      </w:r>
    </w:p>
    <w:p w14:paraId="152A8161">
      <w:pPr>
        <w:spacing w:line="360" w:lineRule="auto"/>
        <w:ind w:firstLine="420" w:firstLineChars="200"/>
        <w:outlineLvl w:val="3"/>
        <w:rPr>
          <w:rFonts w:hint="eastAsia" w:ascii="宋体" w:hAnsi="宋体" w:cs="宋体"/>
          <w:color w:val="000000"/>
          <w:szCs w:val="21"/>
          <w:highlight w:val="none"/>
        </w:rPr>
      </w:pPr>
      <w:r>
        <w:rPr>
          <w:rFonts w:hint="eastAsia" w:ascii="宋体" w:hAnsi="宋体" w:cs="宋体"/>
          <w:color w:val="000000"/>
          <w:szCs w:val="21"/>
          <w:highlight w:val="none"/>
        </w:rPr>
        <w:t>(2) 大写金额和小写金额不一致的，以大写金额为准；</w:t>
      </w:r>
    </w:p>
    <w:p w14:paraId="4484A88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 单价金额小数点或者百分比有明显错位的，以报价表的总价为准，并修改单价；</w:t>
      </w:r>
    </w:p>
    <w:p w14:paraId="5CCEA01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 总价金额与按单价汇总金额不一致的，以单价金额计算结果为准。</w:t>
      </w:r>
    </w:p>
    <w:p w14:paraId="2B22060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同时出现两种以上不一致的，按照前款规定的顺序修正。修正后的报价（不得超出响应文件的范围或者改变响应文件的实质性内容）经供应商确认后产生约束力，供应商不确认的，作无效响应处理。</w:t>
      </w:r>
    </w:p>
    <w:p w14:paraId="0C49C15C">
      <w:pPr>
        <w:pStyle w:val="4"/>
        <w:spacing w:before="0" w:after="0" w:line="360" w:lineRule="auto"/>
        <w:ind w:firstLine="420" w:firstLineChars="200"/>
        <w:rPr>
          <w:rFonts w:hint="eastAsia" w:ascii="宋体" w:hAnsi="宋体" w:cs="宋体"/>
          <w:color w:val="000000"/>
          <w:sz w:val="21"/>
          <w:szCs w:val="21"/>
          <w:highlight w:val="none"/>
        </w:rPr>
      </w:pPr>
      <w:bookmarkStart w:id="176" w:name="_Toc27355"/>
      <w:bookmarkStart w:id="177" w:name="_Toc8174"/>
      <w:bookmarkStart w:id="178" w:name="_Toc21440"/>
      <w:bookmarkStart w:id="179" w:name="_Toc17711"/>
      <w:bookmarkStart w:id="180" w:name="_Toc6023"/>
      <w:r>
        <w:rPr>
          <w:rFonts w:hint="eastAsia" w:ascii="宋体" w:hAnsi="宋体" w:cs="宋体"/>
          <w:color w:val="000000"/>
          <w:sz w:val="21"/>
          <w:szCs w:val="21"/>
          <w:highlight w:val="none"/>
        </w:rPr>
        <w:t>21. 评审程序及谈判要求</w:t>
      </w:r>
      <w:bookmarkEnd w:id="176"/>
      <w:bookmarkEnd w:id="177"/>
      <w:bookmarkEnd w:id="178"/>
      <w:bookmarkEnd w:id="179"/>
      <w:bookmarkEnd w:id="180"/>
    </w:p>
    <w:p w14:paraId="2B37B783">
      <w:pPr>
        <w:spacing w:line="360" w:lineRule="auto"/>
        <w:ind w:firstLine="420" w:firstLineChars="200"/>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1</w:t>
      </w:r>
      <w:r>
        <w:rPr>
          <w:rFonts w:ascii="宋体" w:hAnsi="宋体" w:cs="宋体"/>
          <w:color w:val="000000"/>
          <w:szCs w:val="21"/>
          <w:highlight w:val="none"/>
        </w:rPr>
        <w:t>.1</w:t>
      </w:r>
      <w:r>
        <w:rPr>
          <w:rFonts w:hint="eastAsia" w:ascii="宋体" w:hAnsi="宋体" w:cs="宋体"/>
          <w:color w:val="000000"/>
          <w:szCs w:val="21"/>
          <w:highlight w:val="none"/>
        </w:rPr>
        <w:t>谈判小组成员的通讯工具或相关电子设备交由桂林市公共资源交易中心统一保管后到达评标室，采购代理机构核实谈判小组成员身份，告知回避要求，宣布评审工作纪律和程序，推选谈判小组组长。</w:t>
      </w:r>
    </w:p>
    <w:p w14:paraId="682D96D9">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1</w:t>
      </w:r>
      <w:r>
        <w:rPr>
          <w:rFonts w:ascii="宋体" w:hAnsi="宋体" w:cs="宋体"/>
          <w:color w:val="000000"/>
          <w:szCs w:val="21"/>
          <w:highlight w:val="none"/>
        </w:rPr>
        <w:t>.2</w:t>
      </w:r>
      <w:r>
        <w:rPr>
          <w:rFonts w:hint="eastAsia" w:ascii="宋体" w:hAnsi="宋体" w:cs="宋体"/>
          <w:color w:val="000000"/>
          <w:szCs w:val="21"/>
          <w:highlight w:val="none"/>
        </w:rPr>
        <w:t>谈判小组应当对发布公告的竞争性谈判文件（简称谈判文件）进行确认，审查供应商的响应文件并作出评价；要求供应商解释或者澄清其响应文件；编写评审报告；告知采购人、采购代理机构在评审过程中发现的供应商的违法违规行为。</w:t>
      </w:r>
    </w:p>
    <w:p w14:paraId="52C34AD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21.3 谈判小组依据竞争性谈判文件的规定，首先对响应文件进行资格性审查，以确定供应商是否具备本项 </w:t>
      </w:r>
    </w:p>
    <w:p w14:paraId="222EE44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目供应商资格；再对通过资格性审查的供应商响应文件的有效性、完整性和对谈判文件的响应程度进行符合性 </w:t>
      </w:r>
    </w:p>
    <w:p w14:paraId="04AFB11A">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审查，以确定是否对谈判文件的实质性要求做出响应。 </w:t>
      </w:r>
    </w:p>
    <w:p w14:paraId="6A200AD8">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21.4 谈判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313B296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21.4.1 查询渠道：《国家企业信用信息公示系统》（网址：www.gsxt.gov.cn/index.html）</w:t>
      </w:r>
    </w:p>
    <w:p w14:paraId="143AC8F6">
      <w:pPr>
        <w:spacing w:line="360" w:lineRule="auto"/>
        <w:ind w:firstLine="420" w:firstLineChars="200"/>
        <w:outlineLvl w:val="3"/>
        <w:rPr>
          <w:rFonts w:hint="eastAsia" w:ascii="宋体" w:hAnsi="宋体" w:cs="宋体"/>
          <w:color w:val="000000"/>
          <w:szCs w:val="21"/>
          <w:highlight w:val="none"/>
        </w:rPr>
      </w:pPr>
      <w:r>
        <w:rPr>
          <w:rFonts w:hint="eastAsia" w:ascii="宋体" w:hAnsi="宋体" w:cs="宋体"/>
          <w:color w:val="000000"/>
          <w:szCs w:val="21"/>
          <w:highlight w:val="none"/>
        </w:rPr>
        <w:t>21.4.2 审查流程：</w:t>
      </w:r>
    </w:p>
    <w:p w14:paraId="1814A37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（1）进入《国家企业信用信息公示系统》（网址：www.gsxt.gov.cn/index.html），输入企业名称，进入企业信息主页面；</w:t>
      </w:r>
    </w:p>
    <w:p w14:paraId="33D9590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（2）查看主页“股东及出资信息”栏，或年报中的“股东及出资信息”栏信息；</w:t>
      </w:r>
    </w:p>
    <w:p w14:paraId="504E9AD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（3）将各供应商的股东及出资信息进行比对，得出审查结论；</w:t>
      </w:r>
    </w:p>
    <w:p w14:paraId="278AD72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（4）将相关资料作为评审资料打印存档。</w:t>
      </w:r>
    </w:p>
    <w:p w14:paraId="009884B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21.5 谈判小组如发现供应商提供的证明文件不齐全或不符合规定格式的，应一次性告知供应商，供应商应在规定的时间内当场补正或更正。</w:t>
      </w:r>
    </w:p>
    <w:p w14:paraId="542DA65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21.6 谈判小组在对响应文件的有效性、完整性和响应程度进行审查时，可以要求供应商对响应文件中含义 </w:t>
      </w:r>
    </w:p>
    <w:p w14:paraId="198A7293">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不明确、同类问题表述不一致或者有明显文字和计算错误的内容等作出必要的澄清、说明或者更正。供应商的 </w:t>
      </w:r>
    </w:p>
    <w:p w14:paraId="602AB7E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澄清、说明或者更正不得超出响应文件的范围或者改变响应文件的实质性内容。澄清、说明或者更正应由其法 </w:t>
      </w:r>
    </w:p>
    <w:p w14:paraId="066FDCD4">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定代表人或相应的授权委托代表签字或者加盖供应商CA签章。由授权委托代表签字的，应当附授权委托书。 </w:t>
      </w:r>
    </w:p>
    <w:p w14:paraId="3E83D90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根据谈判文件规定的程序、评定成交的标准等事项与实质性响应竞争性谈判文件要求的供应商进行谈判。 </w:t>
      </w:r>
    </w:p>
    <w:p w14:paraId="4A070E70">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未实质性响应谈判文件的响应文件按无效处理，谈判小组应当告知有关供应商。 </w:t>
      </w:r>
    </w:p>
    <w:p w14:paraId="2E6542A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谈判小组所有成员应当按已确定的谈判顺序集中与单一供应商分别进行谈判，并给予所有实质性响应竞争 </w:t>
      </w:r>
    </w:p>
    <w:p w14:paraId="2026A903">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性谈判文件要求的供应商平等的谈判机会。 </w:t>
      </w:r>
    </w:p>
    <w:p w14:paraId="6A82713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谈判中，谈判小组不得透露与谈判有关的其他供应商的技术资料、价格和其他信息。 </w:t>
      </w:r>
    </w:p>
    <w:p w14:paraId="368B3A5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谈判小组对谈判过程和重要谈判内容进行记录，谈判双方在记录上签字确认。 </w:t>
      </w:r>
    </w:p>
    <w:p w14:paraId="0707D244">
      <w:pPr>
        <w:spacing w:line="360" w:lineRule="auto"/>
        <w:ind w:firstLine="420" w:firstLineChars="200"/>
        <w:rPr>
          <w:rFonts w:hint="eastAsia"/>
          <w:color w:val="000000"/>
          <w:highlight w:val="none"/>
        </w:rPr>
      </w:pPr>
      <w:r>
        <w:rPr>
          <w:rFonts w:hint="eastAsia" w:ascii="宋体" w:hAnsi="宋体" w:cs="宋体"/>
          <w:color w:val="000000"/>
          <w:szCs w:val="21"/>
          <w:highlight w:val="none"/>
        </w:rPr>
        <w:t>21.7当谈判小组一致确定供应商的竞争性谈判响应文件符合竞争性谈判文件要求，无需再谈判的，谈判小组按竞争性谈判文件设定的21.11、21.16程序和评标方法确定成交候选人。第一轮谈判后竞争性谈判文件有实质性变动或仍需谈判的，谈判小组对竞争性谈判文件变动或提出谈判意见后进行第二轮谈判。</w:t>
      </w:r>
    </w:p>
    <w:p w14:paraId="0DC86BA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21.8 在谈判过程中，谈判小组可以根据谈判文件和谈判情况实质性变动项目需求中的技术、服务要求以及 </w:t>
      </w:r>
    </w:p>
    <w:p w14:paraId="40BEA000">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合同草案条款，但不得变动谈判文件中的其他内容。实质性变动的内容，须经采购人代表确认。 </w:t>
      </w:r>
    </w:p>
    <w:p w14:paraId="03472B4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对谈判文件作出的实质性变动是谈判文件的有效组成部分，谈判小组应当及时同时通知所有参加谈判的供应商。 </w:t>
      </w:r>
    </w:p>
    <w:p w14:paraId="3CF091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供应商应当按照谈判文件的变动情况和谈判小组的要求重新提交响应文件，并由其法定代表人或相应的授 </w:t>
      </w:r>
    </w:p>
    <w:p w14:paraId="5F5A01ED">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权委托代表签字或者加盖供应商CA签章。逾期不交的，视同放弃谈判。 </w:t>
      </w:r>
    </w:p>
    <w:p w14:paraId="6F918653">
      <w:pPr>
        <w:spacing w:line="360" w:lineRule="auto"/>
        <w:ind w:firstLine="420" w:firstLineChars="200"/>
        <w:outlineLvl w:val="4"/>
        <w:rPr>
          <w:rFonts w:hint="eastAsia" w:ascii="宋体" w:hAnsi="宋体" w:cs="宋体"/>
          <w:color w:val="000000"/>
          <w:szCs w:val="21"/>
          <w:highlight w:val="none"/>
        </w:rPr>
      </w:pPr>
      <w:r>
        <w:rPr>
          <w:rFonts w:hint="eastAsia" w:ascii="宋体" w:hAnsi="宋体" w:cs="宋体"/>
          <w:color w:val="000000"/>
          <w:szCs w:val="21"/>
          <w:highlight w:val="none"/>
        </w:rPr>
        <w:t>21.9 第二轮谈判</w:t>
      </w:r>
    </w:p>
    <w:p w14:paraId="749744A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谈判小组集中就重新提交的响应文件或谈判小组提出的谈判意见与单一响应供应商分别进行谈判。谈判小组对谈判过程和重要谈判内容进行记录，谈判双方在记录上签字确认。</w:t>
      </w:r>
    </w:p>
    <w:p w14:paraId="37D3907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谈判后，供应商根据谈判小组统一整理的书面谈判记录要求做出书面承诺，并由其法定代表人(负责人)或授权代表签字或者加盖CA签章后按时在线递交。</w:t>
      </w:r>
    </w:p>
    <w:p w14:paraId="1C972A89">
      <w:pPr>
        <w:spacing w:line="360" w:lineRule="auto"/>
        <w:ind w:firstLine="420" w:firstLineChars="200"/>
        <w:rPr>
          <w:rFonts w:hint="eastAsia"/>
          <w:color w:val="000000"/>
          <w:highlight w:val="none"/>
        </w:rPr>
      </w:pPr>
      <w:r>
        <w:rPr>
          <w:rFonts w:hint="eastAsia" w:ascii="宋体" w:hAnsi="宋体" w:cs="宋体"/>
          <w:color w:val="000000"/>
          <w:szCs w:val="21"/>
          <w:highlight w:val="none"/>
        </w:rPr>
        <w:t>当谈判小组一致确定供应商的竞争性谈判响应文件符合竞争性谈判文件要求，无需再谈判的，谈判小组按竞争性谈判文件设定的21.11、21.16程序和评标方法确定成交候选人。第二轮谈判后竞争性谈判文件仍有实质性变动的或仍需谈判的，谈判小组对竞争性谈判文件变动或提出谈判意见后进行第三轮谈判。以此类推。</w:t>
      </w:r>
    </w:p>
    <w:p w14:paraId="123105F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21.10 在采购过程中符合竞争要求的供应商或者报价未超过采购预算的供应商不足 3 家的，采购人或者采购代理机构应当终止竞争性谈判采购活动。 </w:t>
      </w:r>
    </w:p>
    <w:p w14:paraId="5004BE1B">
      <w:pPr>
        <w:spacing w:line="360" w:lineRule="auto"/>
        <w:ind w:firstLine="420" w:firstLineChars="200"/>
        <w:outlineLvl w:val="4"/>
        <w:rPr>
          <w:rFonts w:hint="eastAsia" w:ascii="宋体" w:hAnsi="宋体" w:cs="宋体"/>
          <w:color w:val="000000"/>
          <w:szCs w:val="21"/>
          <w:highlight w:val="none"/>
        </w:rPr>
      </w:pPr>
      <w:r>
        <w:rPr>
          <w:rFonts w:hint="eastAsia" w:ascii="宋体" w:hAnsi="宋体" w:cs="宋体"/>
          <w:color w:val="000000"/>
          <w:szCs w:val="21"/>
          <w:highlight w:val="none"/>
        </w:rPr>
        <w:t xml:space="preserve">21.11 最后报价 </w:t>
      </w:r>
    </w:p>
    <w:p w14:paraId="2B8D8D1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21.11.1 谈判文件能够详细列明采购标的的技术、服务要求的，谈判结束后，谈判小组应当要求所有继续参加谈判的供应商在规定时间内在线提交最后报价，提交最后报价的供应商不得少于 3 家。 </w:t>
      </w:r>
    </w:p>
    <w:p w14:paraId="385753E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21.11.2 谈判文件不能详细列明采购标的的技术、服务要求的，需由谈判供应商提供最终设计方案或解决方案的，谈判结束后，谈判小组应当按照少数服从多数的原则投票推荐 3 家以上（含 3 家）供应商的设计方案或者解决方案，并要求其在规定时间内在线提交最后报价。 </w:t>
      </w:r>
    </w:p>
    <w:p w14:paraId="5269D4C7">
      <w:pPr>
        <w:spacing w:line="360" w:lineRule="auto"/>
        <w:ind w:firstLine="420" w:firstLineChars="200"/>
        <w:outlineLvl w:val="3"/>
        <w:rPr>
          <w:rFonts w:hint="eastAsia" w:ascii="宋体" w:hAnsi="宋体" w:cs="宋体"/>
          <w:color w:val="000000"/>
          <w:szCs w:val="21"/>
          <w:highlight w:val="none"/>
        </w:rPr>
      </w:pPr>
      <w:r>
        <w:rPr>
          <w:rFonts w:hint="eastAsia" w:ascii="宋体" w:hAnsi="宋体" w:cs="宋体"/>
          <w:color w:val="000000"/>
          <w:szCs w:val="21"/>
          <w:highlight w:val="none"/>
        </w:rPr>
        <w:t xml:space="preserve">21.11.3 最后报价是供应商响应文件的有效组成部分。 </w:t>
      </w:r>
    </w:p>
    <w:p w14:paraId="67F7293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21.12 已提交响应文件的供应商，在提交最后报价之前，可以根据谈判情况书面退出谈判。 </w:t>
      </w:r>
    </w:p>
    <w:p w14:paraId="13B3875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未书面退出谈判的供应商在规定时间内在线提交最后报价，其最后报价超出采购预算导致已通过评审的响 </w:t>
      </w:r>
    </w:p>
    <w:p w14:paraId="65C7A2B6">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应文件无效的，按供应商在提交响应文件截止时间后撤回响应文件处理。 </w:t>
      </w:r>
    </w:p>
    <w:p w14:paraId="4433602B">
      <w:pPr>
        <w:spacing w:line="360" w:lineRule="auto"/>
        <w:ind w:firstLine="420" w:firstLineChars="200"/>
        <w:outlineLvl w:val="4"/>
        <w:rPr>
          <w:rFonts w:hint="eastAsia" w:ascii="宋体" w:hAnsi="宋体" w:cs="宋体"/>
          <w:color w:val="000000"/>
          <w:szCs w:val="21"/>
          <w:highlight w:val="none"/>
        </w:rPr>
      </w:pPr>
      <w:r>
        <w:rPr>
          <w:rFonts w:hint="eastAsia" w:ascii="宋体" w:hAnsi="宋体" w:cs="宋体"/>
          <w:color w:val="000000"/>
          <w:szCs w:val="21"/>
          <w:highlight w:val="none"/>
        </w:rPr>
        <w:t xml:space="preserve">21.13 评审报告 </w:t>
      </w:r>
    </w:p>
    <w:p w14:paraId="7AADBC2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谈判小组应当从质量和服务均能满足谈判文件全部实质性响应要求的供应商中，按照最后报价由低到高的 </w:t>
      </w:r>
    </w:p>
    <w:p w14:paraId="4E756D3A">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顺序提出 3 名以上（含 3 名）成交候选人，并编写评审报告。 </w:t>
      </w:r>
    </w:p>
    <w:p w14:paraId="7FD7E3E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21.14 在评审过程中出现法律法规和谈判文件均没有明确规定的情形时，由谈判小组现场协商解决，协商 </w:t>
      </w:r>
    </w:p>
    <w:p w14:paraId="6F9690B4">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不一致的，由全体谈判小组投票表决，以得票率二分之一以上专家的意见为准。 </w:t>
      </w:r>
    </w:p>
    <w:p w14:paraId="72E08B6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21.15 采购代理机构发现谈判小组有明显的违规倾向或歧视现象，或不按评审办法进行，或其他不正常行 </w:t>
      </w:r>
    </w:p>
    <w:p w14:paraId="77E450FD">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为的，应当及时制止。如制止无效，应及时向本级财政部门报告。</w:t>
      </w:r>
    </w:p>
    <w:p w14:paraId="2C0EB755">
      <w:pPr>
        <w:spacing w:line="360" w:lineRule="auto"/>
        <w:ind w:firstLine="420" w:firstLineChars="200"/>
        <w:rPr>
          <w:color w:val="000000"/>
          <w:highlight w:val="none"/>
        </w:rPr>
      </w:pPr>
      <w:r>
        <w:rPr>
          <w:rFonts w:hint="eastAsia" w:ascii="宋体" w:hAnsi="宋体" w:cs="宋体"/>
          <w:color w:val="000000"/>
          <w:szCs w:val="21"/>
          <w:highlight w:val="none"/>
        </w:rPr>
        <w:t>21.16本采购项目的评审依据为竞争性谈判文件和竞争性谈判响应文件，采用的评标方法为</w:t>
      </w:r>
      <w:r>
        <w:rPr>
          <w:rFonts w:hint="eastAsia" w:ascii="宋体" w:hAnsi="宋体" w:cs="宋体"/>
          <w:b/>
          <w:bCs/>
          <w:color w:val="000000"/>
          <w:szCs w:val="21"/>
          <w:highlight w:val="none"/>
        </w:rPr>
        <w:t>最低评标价法。</w:t>
      </w:r>
    </w:p>
    <w:p w14:paraId="1F534DB5">
      <w:pPr>
        <w:pStyle w:val="4"/>
        <w:spacing w:before="0" w:after="0" w:line="360" w:lineRule="auto"/>
        <w:ind w:firstLine="420" w:firstLineChars="200"/>
        <w:rPr>
          <w:rFonts w:hint="eastAsia" w:ascii="宋体" w:hAnsi="宋体" w:cs="宋体"/>
          <w:color w:val="000000"/>
          <w:sz w:val="21"/>
          <w:szCs w:val="21"/>
          <w:highlight w:val="none"/>
        </w:rPr>
      </w:pPr>
      <w:bookmarkStart w:id="181" w:name="_Toc16483"/>
      <w:bookmarkStart w:id="182" w:name="_Toc19205"/>
      <w:bookmarkStart w:id="183" w:name="_Toc23879"/>
      <w:bookmarkStart w:id="184" w:name="_Toc27294"/>
      <w:bookmarkStart w:id="185" w:name="_Toc12391"/>
      <w:r>
        <w:rPr>
          <w:rFonts w:hint="eastAsia" w:ascii="宋体" w:hAnsi="宋体" w:cs="宋体"/>
          <w:color w:val="000000"/>
          <w:sz w:val="21"/>
          <w:szCs w:val="21"/>
          <w:highlight w:val="none"/>
        </w:rPr>
        <w:t>22. 确定成交供应商</w:t>
      </w:r>
      <w:bookmarkEnd w:id="181"/>
      <w:bookmarkEnd w:id="182"/>
      <w:bookmarkEnd w:id="183"/>
      <w:bookmarkEnd w:id="184"/>
      <w:bookmarkEnd w:id="185"/>
    </w:p>
    <w:p w14:paraId="53D1505B">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2</w:t>
      </w:r>
      <w:r>
        <w:rPr>
          <w:rFonts w:ascii="宋体" w:hAnsi="宋体" w:cs="宋体"/>
          <w:color w:val="000000"/>
          <w:szCs w:val="21"/>
          <w:highlight w:val="none"/>
        </w:rPr>
        <w:t>.1</w:t>
      </w:r>
      <w:r>
        <w:rPr>
          <w:rFonts w:hint="eastAsia" w:ascii="宋体" w:hAnsi="宋体" w:cs="宋体"/>
          <w:color w:val="000000"/>
          <w:szCs w:val="21"/>
          <w:highlight w:val="none"/>
        </w:rPr>
        <w:t>采购单位应当确定谈判小组推荐排名第一的成交候选人为成交供应商。</w:t>
      </w:r>
    </w:p>
    <w:p w14:paraId="12A87857">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2</w:t>
      </w:r>
      <w:r>
        <w:rPr>
          <w:rFonts w:ascii="宋体" w:hAnsi="宋体" w:cs="宋体"/>
          <w:color w:val="000000"/>
          <w:szCs w:val="21"/>
          <w:highlight w:val="none"/>
        </w:rPr>
        <w:t>.2</w:t>
      </w:r>
      <w:r>
        <w:rPr>
          <w:rFonts w:hint="eastAsia" w:ascii="宋体" w:hAnsi="宋体" w:cs="宋体"/>
          <w:color w:val="000000"/>
          <w:szCs w:val="21"/>
          <w:highlight w:val="none"/>
        </w:rPr>
        <w:t>排名第一的成交候选人放弃成交、因不可抗力提出不能履行合同，或信用信息记录不符合相关规定的，或者谈判文件规定应当提交履约保证金而在规定的期限内未能提交的，采购单位可以确定排名第二的成交候选人为成交供应商。</w:t>
      </w:r>
    </w:p>
    <w:p w14:paraId="6CF45377">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2</w:t>
      </w:r>
      <w:r>
        <w:rPr>
          <w:rFonts w:ascii="宋体" w:hAnsi="宋体" w:cs="宋体"/>
          <w:color w:val="000000"/>
          <w:szCs w:val="21"/>
          <w:highlight w:val="none"/>
        </w:rPr>
        <w:t>.3</w:t>
      </w:r>
      <w:r>
        <w:rPr>
          <w:rFonts w:hint="eastAsia" w:ascii="宋体" w:hAnsi="宋体" w:cs="宋体"/>
          <w:color w:val="000000"/>
          <w:szCs w:val="21"/>
          <w:highlight w:val="none"/>
        </w:rPr>
        <w:t>排名第二的成交候选人因前款规定的同样原因不能签订合同的，采购单位可以确定排名第三的成交候选人为成交供应商。</w:t>
      </w:r>
    </w:p>
    <w:p w14:paraId="48EE6ED6">
      <w:pPr>
        <w:pStyle w:val="4"/>
        <w:spacing w:before="0" w:after="0" w:line="360" w:lineRule="auto"/>
        <w:ind w:firstLine="420" w:firstLineChars="200"/>
        <w:rPr>
          <w:rFonts w:hint="eastAsia" w:ascii="宋体" w:hAnsi="宋体" w:cs="宋体"/>
          <w:color w:val="000000"/>
          <w:sz w:val="21"/>
          <w:szCs w:val="21"/>
          <w:highlight w:val="none"/>
        </w:rPr>
      </w:pPr>
      <w:bookmarkStart w:id="186" w:name="_Toc6648"/>
      <w:bookmarkStart w:id="187" w:name="_Toc7358"/>
      <w:bookmarkStart w:id="188" w:name="_Toc2063"/>
      <w:bookmarkStart w:id="189" w:name="_Toc12951"/>
      <w:bookmarkStart w:id="190" w:name="_Toc18158"/>
      <w:r>
        <w:rPr>
          <w:rFonts w:hint="eastAsia" w:ascii="宋体" w:hAnsi="宋体" w:cs="宋体"/>
          <w:color w:val="000000"/>
          <w:sz w:val="21"/>
          <w:szCs w:val="21"/>
          <w:highlight w:val="none"/>
        </w:rPr>
        <w:t>23. 属于下列情况之一者，响应文件无效：</w:t>
      </w:r>
      <w:bookmarkEnd w:id="186"/>
      <w:bookmarkEnd w:id="187"/>
      <w:bookmarkEnd w:id="188"/>
      <w:bookmarkEnd w:id="189"/>
      <w:bookmarkEnd w:id="190"/>
    </w:p>
    <w:p w14:paraId="70EC72A2">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（1）未按谈判文件规定完整提交响应文件或未按规定要求在线提交、加盖供应商CA签章的；</w:t>
      </w:r>
    </w:p>
    <w:p w14:paraId="305A0795">
      <w:pPr>
        <w:spacing w:line="360" w:lineRule="auto"/>
        <w:ind w:firstLine="420" w:firstLineChars="200"/>
        <w:outlineLvl w:val="3"/>
        <w:rPr>
          <w:rFonts w:ascii="宋体" w:cs="宋体"/>
          <w:color w:val="000000"/>
          <w:szCs w:val="21"/>
          <w:highlight w:val="none"/>
        </w:rPr>
      </w:pPr>
      <w:r>
        <w:rPr>
          <w:rFonts w:hint="eastAsia" w:ascii="宋体" w:hAnsi="宋体" w:cs="宋体"/>
          <w:color w:val="000000"/>
          <w:szCs w:val="21"/>
          <w:highlight w:val="none"/>
        </w:rPr>
        <w:t>（2）不具备谈判文件规定的资格要求的；</w:t>
      </w:r>
    </w:p>
    <w:p w14:paraId="52170AF7">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（3）响应文件未按谈判文件的内容和要求编制，或提供虚假材料的；</w:t>
      </w:r>
    </w:p>
    <w:p w14:paraId="72BD88F8">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（4）响应文件有效期、交货时间、免费保修期（升级、维护）期/维护期、售后服务不能满足谈判文件要求的；</w:t>
      </w:r>
    </w:p>
    <w:p w14:paraId="17051F82">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（5）供应商未就“采购需求”中的所有内容作完整唯一报价的，或报价超出采购预算总金额的；</w:t>
      </w:r>
    </w:p>
    <w:p w14:paraId="4FA0328F">
      <w:pPr>
        <w:spacing w:line="360" w:lineRule="auto"/>
        <w:ind w:firstLine="420" w:firstLineChars="200"/>
        <w:outlineLvl w:val="3"/>
        <w:rPr>
          <w:rFonts w:ascii="宋体" w:cs="宋体"/>
          <w:color w:val="000000"/>
          <w:szCs w:val="21"/>
          <w:highlight w:val="none"/>
        </w:rPr>
      </w:pPr>
      <w:r>
        <w:rPr>
          <w:rFonts w:hint="eastAsia" w:ascii="宋体" w:hAnsi="宋体" w:cs="宋体"/>
          <w:color w:val="000000"/>
          <w:szCs w:val="21"/>
          <w:highlight w:val="none"/>
        </w:rPr>
        <w:t>（6）未在谈判小组规定的时间内重新提交响应文件(包括最</w:t>
      </w:r>
      <w:r>
        <w:rPr>
          <w:rFonts w:hint="eastAsia" w:ascii="宋体" w:hAnsi="宋体" w:cs="宋体"/>
          <w:color w:val="000000"/>
          <w:szCs w:val="21"/>
          <w:highlight w:val="none"/>
          <w:lang w:val="en-US" w:eastAsia="zh-CN"/>
        </w:rPr>
        <w:t>后</w:t>
      </w:r>
      <w:r>
        <w:rPr>
          <w:rFonts w:hint="eastAsia" w:ascii="宋体" w:hAnsi="宋体" w:cs="宋体"/>
          <w:color w:val="000000"/>
          <w:szCs w:val="21"/>
          <w:highlight w:val="none"/>
        </w:rPr>
        <w:t>报价)的；</w:t>
      </w:r>
    </w:p>
    <w:p w14:paraId="7AF5D4D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（7）超越了按照法律法规规定必须获得行政许可或者行政审批的经营范围的；</w:t>
      </w:r>
    </w:p>
    <w:p w14:paraId="41015A2E">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（8）未满足谈判文件全部实质性要求的或者响应文件有采购人不能接受的附加条件的；</w:t>
      </w:r>
    </w:p>
    <w:p w14:paraId="3BB6BA43">
      <w:pPr>
        <w:spacing w:line="360" w:lineRule="auto"/>
        <w:ind w:firstLine="420" w:firstLineChars="200"/>
        <w:rPr>
          <w:rFonts w:hint="eastAsia"/>
          <w:color w:val="000000"/>
          <w:highlight w:val="none"/>
        </w:rPr>
      </w:pPr>
      <w:r>
        <w:rPr>
          <w:rFonts w:hint="eastAsia" w:ascii="宋体" w:hAnsi="宋体" w:cs="宋体"/>
          <w:color w:val="000000"/>
          <w:szCs w:val="21"/>
          <w:highlight w:val="none"/>
        </w:rPr>
        <w:t>（9）响应文件实质性要求未做变动，供应商最后报价高于第一次报价的；</w:t>
      </w:r>
    </w:p>
    <w:p w14:paraId="17FCD03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（10）不符合法律、法规和谈判文件规定的其他实质性要求和条件的。</w:t>
      </w:r>
    </w:p>
    <w:p w14:paraId="36273512">
      <w:pPr>
        <w:spacing w:line="360" w:lineRule="auto"/>
        <w:ind w:firstLine="420" w:firstLineChars="200"/>
        <w:rPr>
          <w:rFonts w:ascii="宋体" w:cs="宋体"/>
          <w:b/>
          <w:bCs/>
          <w:color w:val="000000"/>
          <w:szCs w:val="21"/>
          <w:highlight w:val="none"/>
        </w:rPr>
      </w:pPr>
      <w:r>
        <w:rPr>
          <w:rFonts w:hint="eastAsia" w:ascii="宋体" w:hAnsi="宋体" w:cs="宋体"/>
          <w:b/>
          <w:bCs/>
          <w:color w:val="000000"/>
          <w:szCs w:val="21"/>
          <w:highlight w:val="none"/>
        </w:rPr>
        <w:t>供应商有下列情形之一的视为供应商相互串通谈判，响应文件将被视为无效：</w:t>
      </w:r>
    </w:p>
    <w:p w14:paraId="0D635BD5">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）不同供应商的响应文件由同一单位或者个人编制；或不同供应商报名的</w:t>
      </w:r>
      <w:r>
        <w:rPr>
          <w:rFonts w:ascii="宋体" w:hAnsi="宋体" w:cs="宋体"/>
          <w:color w:val="000000"/>
          <w:szCs w:val="21"/>
          <w:highlight w:val="none"/>
        </w:rPr>
        <w:t>IP</w:t>
      </w:r>
      <w:r>
        <w:rPr>
          <w:rFonts w:hint="eastAsia" w:ascii="宋体" w:hAnsi="宋体" w:cs="宋体"/>
          <w:color w:val="000000"/>
          <w:szCs w:val="21"/>
          <w:highlight w:val="none"/>
        </w:rPr>
        <w:t>地址一致的；</w:t>
      </w:r>
    </w:p>
    <w:p w14:paraId="20E4255C">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）不同供应商委托同一单位或者个人办理谈判事宜；</w:t>
      </w:r>
    </w:p>
    <w:p w14:paraId="021CAEC3">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）不同的供应商的响应文件载明的项目管理员为同一个人；</w:t>
      </w:r>
    </w:p>
    <w:p w14:paraId="7C39C407">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4</w:t>
      </w:r>
      <w:r>
        <w:rPr>
          <w:rFonts w:hint="eastAsia" w:ascii="宋体" w:hAnsi="宋体" w:cs="宋体"/>
          <w:color w:val="000000"/>
          <w:szCs w:val="21"/>
          <w:highlight w:val="none"/>
        </w:rPr>
        <w:t>）不同供应商的响应文件异常一致或竞标报价呈规律性差异；</w:t>
      </w:r>
    </w:p>
    <w:p w14:paraId="59D70970">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5</w:t>
      </w:r>
      <w:r>
        <w:rPr>
          <w:rFonts w:hint="eastAsia" w:ascii="宋体" w:hAnsi="宋体" w:cs="宋体"/>
          <w:color w:val="000000"/>
          <w:szCs w:val="21"/>
          <w:highlight w:val="none"/>
        </w:rPr>
        <w:t>）不同供应商的响应文件相互</w:t>
      </w:r>
      <w:r>
        <w:rPr>
          <w:rFonts w:hint="eastAsia"/>
          <w:color w:val="000000"/>
          <w:highlight w:val="none"/>
        </w:rPr>
        <w:t>混编</w:t>
      </w:r>
      <w:r>
        <w:rPr>
          <w:rFonts w:hint="eastAsia" w:ascii="宋体" w:hAnsi="宋体" w:cs="宋体"/>
          <w:color w:val="000000"/>
          <w:szCs w:val="21"/>
          <w:highlight w:val="none"/>
        </w:rPr>
        <w:t>；</w:t>
      </w:r>
    </w:p>
    <w:p w14:paraId="24C4D29C">
      <w:pPr>
        <w:spacing w:line="360" w:lineRule="auto"/>
        <w:ind w:firstLine="420" w:firstLineChars="200"/>
        <w:rPr>
          <w:rFonts w:hint="eastAsia"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6</w:t>
      </w:r>
      <w:r>
        <w:rPr>
          <w:rFonts w:hint="eastAsia" w:ascii="宋体" w:hAnsi="宋体" w:cs="宋体"/>
          <w:color w:val="000000"/>
          <w:szCs w:val="21"/>
          <w:highlight w:val="none"/>
        </w:rPr>
        <w:t>）不同供应商的谈判保证金从同一单位或者个人账户转出。</w:t>
      </w:r>
    </w:p>
    <w:p w14:paraId="595DDA21">
      <w:pPr>
        <w:pStyle w:val="4"/>
        <w:spacing w:before="0" w:after="0" w:line="360" w:lineRule="auto"/>
        <w:ind w:firstLine="420" w:firstLineChars="200"/>
        <w:rPr>
          <w:rFonts w:hint="eastAsia" w:ascii="宋体" w:hAnsi="宋体" w:cs="宋体"/>
          <w:color w:val="000000"/>
          <w:sz w:val="21"/>
          <w:szCs w:val="21"/>
          <w:highlight w:val="none"/>
        </w:rPr>
      </w:pPr>
      <w:bookmarkStart w:id="191" w:name="_Toc19960"/>
      <w:bookmarkStart w:id="192" w:name="_Toc31795"/>
      <w:bookmarkStart w:id="193" w:name="_Toc25889"/>
      <w:bookmarkStart w:id="194" w:name="_Toc3389"/>
      <w:bookmarkStart w:id="195" w:name="_Toc25805"/>
      <w:r>
        <w:rPr>
          <w:rFonts w:hint="eastAsia" w:ascii="宋体" w:hAnsi="宋体" w:cs="宋体"/>
          <w:color w:val="000000"/>
          <w:sz w:val="21"/>
          <w:szCs w:val="21"/>
          <w:highlight w:val="none"/>
        </w:rPr>
        <w:t>24. 出现下列情形之一的，采购人或者采购代理机构应当终止竞争性谈判采购活动，发布项目终止公告并说明原因，重新开展采购活动：</w:t>
      </w:r>
      <w:bookmarkEnd w:id="191"/>
      <w:bookmarkEnd w:id="192"/>
      <w:bookmarkEnd w:id="193"/>
      <w:bookmarkEnd w:id="194"/>
      <w:bookmarkEnd w:id="195"/>
    </w:p>
    <w:p w14:paraId="6F759F82">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）因情况变化，不再符合规定的竞争性谈判采购方式适用情形的；</w:t>
      </w:r>
    </w:p>
    <w:p w14:paraId="32C20ABB">
      <w:pPr>
        <w:spacing w:line="360" w:lineRule="auto"/>
        <w:ind w:firstLine="420" w:firstLineChars="200"/>
        <w:outlineLvl w:val="3"/>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）出现影响采购公正的违法、违规行为的；</w:t>
      </w:r>
      <w:r>
        <w:rPr>
          <w:rFonts w:ascii="宋体" w:hAnsi="宋体" w:cs="宋体"/>
          <w:color w:val="000000"/>
          <w:szCs w:val="21"/>
          <w:highlight w:val="none"/>
        </w:rPr>
        <w:t xml:space="preserve"> </w:t>
      </w:r>
    </w:p>
    <w:p w14:paraId="5C3B0A55">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）在采购过程中符合竞争要求的供应商或者报价未超过采购预算的供应商不足</w:t>
      </w:r>
      <w:r>
        <w:rPr>
          <w:rFonts w:ascii="宋体" w:hAnsi="宋体" w:cs="宋体"/>
          <w:color w:val="000000"/>
          <w:szCs w:val="21"/>
          <w:highlight w:val="none"/>
        </w:rPr>
        <w:t>3</w:t>
      </w:r>
      <w:r>
        <w:rPr>
          <w:rFonts w:hint="eastAsia" w:ascii="宋体" w:hAnsi="宋体" w:cs="宋体"/>
          <w:color w:val="000000"/>
          <w:szCs w:val="21"/>
          <w:highlight w:val="none"/>
        </w:rPr>
        <w:t>家的。</w:t>
      </w:r>
      <w:r>
        <w:rPr>
          <w:rFonts w:ascii="宋体" w:hAnsi="宋体" w:cs="宋体"/>
          <w:color w:val="000000"/>
          <w:szCs w:val="21"/>
          <w:highlight w:val="none"/>
        </w:rPr>
        <w:t xml:space="preserve"> </w:t>
      </w:r>
    </w:p>
    <w:p w14:paraId="79CA63E8">
      <w:pPr>
        <w:pStyle w:val="4"/>
        <w:spacing w:before="0" w:after="0" w:line="360" w:lineRule="auto"/>
        <w:ind w:firstLine="420" w:firstLineChars="200"/>
        <w:rPr>
          <w:rFonts w:hint="eastAsia" w:ascii="宋体" w:hAnsi="宋体" w:cs="宋体"/>
          <w:color w:val="000000"/>
          <w:sz w:val="21"/>
          <w:szCs w:val="21"/>
          <w:highlight w:val="none"/>
        </w:rPr>
      </w:pPr>
      <w:bookmarkStart w:id="196" w:name="_Toc26271"/>
      <w:bookmarkStart w:id="197" w:name="_Toc14054"/>
      <w:bookmarkStart w:id="198" w:name="_Toc912"/>
      <w:bookmarkStart w:id="199" w:name="_Toc16859"/>
      <w:bookmarkStart w:id="200" w:name="_Toc7356"/>
      <w:r>
        <w:rPr>
          <w:rFonts w:hint="eastAsia" w:ascii="宋体" w:hAnsi="宋体" w:cs="宋体"/>
          <w:color w:val="000000"/>
          <w:sz w:val="21"/>
          <w:szCs w:val="21"/>
          <w:highlight w:val="none"/>
        </w:rPr>
        <w:t>25. 谈判过程的监控</w:t>
      </w:r>
      <w:bookmarkEnd w:id="196"/>
      <w:bookmarkEnd w:id="197"/>
      <w:bookmarkEnd w:id="198"/>
      <w:bookmarkEnd w:id="199"/>
      <w:bookmarkEnd w:id="200"/>
    </w:p>
    <w:p w14:paraId="167C95E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本项目谈判过程实行全程录音、录像监控，供应商在谈判过程中所进行的试图影响谈判结果的不公正活动，可能导致其谈判被拒绝。</w:t>
      </w:r>
    </w:p>
    <w:p w14:paraId="6F3A4A56">
      <w:pPr>
        <w:pStyle w:val="4"/>
        <w:spacing w:before="0" w:after="0" w:line="360" w:lineRule="auto"/>
        <w:ind w:firstLine="420" w:firstLineChars="200"/>
        <w:rPr>
          <w:rFonts w:hint="eastAsia" w:ascii="宋体" w:hAnsi="宋体" w:cs="宋体"/>
          <w:color w:val="000000"/>
          <w:sz w:val="21"/>
          <w:szCs w:val="21"/>
          <w:highlight w:val="none"/>
        </w:rPr>
      </w:pPr>
      <w:bookmarkStart w:id="201" w:name="_Toc13878"/>
      <w:bookmarkStart w:id="202" w:name="_Toc17871"/>
      <w:bookmarkStart w:id="203" w:name="_Toc9148"/>
      <w:bookmarkStart w:id="204" w:name="_Toc3959"/>
      <w:bookmarkStart w:id="205" w:name="_Toc7995"/>
      <w:r>
        <w:rPr>
          <w:rFonts w:hint="eastAsia" w:ascii="宋体" w:hAnsi="宋体" w:cs="宋体"/>
          <w:color w:val="000000"/>
          <w:sz w:val="21"/>
          <w:szCs w:val="21"/>
          <w:highlight w:val="none"/>
        </w:rPr>
        <w:t>26.信用查询：</w:t>
      </w:r>
      <w:bookmarkEnd w:id="201"/>
      <w:bookmarkEnd w:id="202"/>
      <w:bookmarkEnd w:id="203"/>
      <w:bookmarkEnd w:id="204"/>
      <w:bookmarkEnd w:id="205"/>
    </w:p>
    <w:p w14:paraId="37C49105">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w:t>
      </w:r>
      <w:r>
        <w:rPr>
          <w:rFonts w:ascii="宋体" w:hAnsi="宋体" w:cs="宋体"/>
          <w:color w:val="000000"/>
          <w:szCs w:val="21"/>
          <w:highlight w:val="none"/>
        </w:rPr>
        <w:t>2016</w:t>
      </w:r>
      <w:r>
        <w:rPr>
          <w:rFonts w:hint="eastAsia" w:ascii="宋体" w:hAnsi="宋体" w:cs="宋体"/>
          <w:color w:val="000000"/>
          <w:szCs w:val="21"/>
          <w:highlight w:val="none"/>
        </w:rPr>
        <w:t>〕</w:t>
      </w:r>
      <w:r>
        <w:rPr>
          <w:rFonts w:ascii="宋体" w:hAnsi="宋体" w:cs="宋体"/>
          <w:color w:val="000000"/>
          <w:szCs w:val="21"/>
          <w:highlight w:val="none"/>
        </w:rPr>
        <w:t>37</w:t>
      </w:r>
      <w:r>
        <w:rPr>
          <w:rFonts w:hint="eastAsia" w:ascii="宋体" w:hAnsi="宋体" w:cs="宋体"/>
          <w:color w:val="000000"/>
          <w:szCs w:val="21"/>
          <w:highlight w:val="none"/>
        </w:rPr>
        <w:t>号）的通知，采购代理机构对成交人的成交资格进行信用查询：</w:t>
      </w:r>
    </w:p>
    <w:p w14:paraId="24EEE06E">
      <w:pPr>
        <w:spacing w:line="360" w:lineRule="auto"/>
        <w:ind w:firstLine="210" w:firstLineChars="100"/>
        <w:rPr>
          <w:rFonts w:ascii="宋体" w:cs="宋体"/>
          <w:color w:val="000000"/>
          <w:szCs w:val="21"/>
          <w:highlight w:val="none"/>
        </w:rPr>
      </w:pPr>
      <w:r>
        <w:rPr>
          <w:rFonts w:hint="eastAsia" w:ascii="宋体" w:hAnsi="宋体" w:cs="宋体"/>
          <w:color w:val="000000"/>
          <w:szCs w:val="21"/>
          <w:highlight w:val="none"/>
        </w:rPr>
        <w:t>（1）查询渠道：“信用中国”网站</w:t>
      </w:r>
      <w:r>
        <w:rPr>
          <w:rFonts w:ascii="宋体" w:hAnsi="宋体" w:cs="宋体"/>
          <w:color w:val="000000"/>
          <w:szCs w:val="21"/>
          <w:highlight w:val="none"/>
        </w:rPr>
        <w:t>(www.creditchina.gov.cn)</w:t>
      </w:r>
      <w:r>
        <w:rPr>
          <w:rFonts w:hint="eastAsia" w:ascii="宋体" w:hAnsi="宋体" w:cs="宋体"/>
          <w:color w:val="000000"/>
          <w:szCs w:val="21"/>
          <w:highlight w:val="none"/>
        </w:rPr>
        <w:t>、中国政府采购网</w:t>
      </w:r>
      <w:r>
        <w:rPr>
          <w:rFonts w:ascii="宋体" w:hAnsi="宋体" w:cs="宋体"/>
          <w:color w:val="000000"/>
          <w:szCs w:val="21"/>
          <w:highlight w:val="none"/>
        </w:rPr>
        <w:t>(www.ccgp.gov.cn)</w:t>
      </w:r>
      <w:r>
        <w:rPr>
          <w:rFonts w:hint="eastAsia" w:ascii="宋体" w:hAnsi="宋体" w:cs="宋体"/>
          <w:color w:val="000000"/>
          <w:szCs w:val="21"/>
          <w:highlight w:val="none"/>
        </w:rPr>
        <w:t>等；</w:t>
      </w:r>
    </w:p>
    <w:p w14:paraId="795F1B5A">
      <w:pPr>
        <w:spacing w:line="360" w:lineRule="auto"/>
        <w:ind w:firstLine="210" w:firstLineChars="100"/>
        <w:outlineLvl w:val="3"/>
        <w:rPr>
          <w:rFonts w:ascii="宋体" w:cs="宋体"/>
          <w:color w:val="000000"/>
          <w:szCs w:val="21"/>
          <w:highlight w:val="none"/>
        </w:rPr>
      </w:pPr>
      <w:r>
        <w:rPr>
          <w:rFonts w:hint="eastAsia" w:ascii="宋体" w:hAnsi="宋体" w:cs="宋体"/>
          <w:color w:val="000000"/>
          <w:szCs w:val="21"/>
          <w:highlight w:val="none"/>
        </w:rPr>
        <w:t>（2）查询时间：成交通知书发出前；</w:t>
      </w:r>
    </w:p>
    <w:p w14:paraId="6805D183">
      <w:pPr>
        <w:spacing w:line="360" w:lineRule="auto"/>
        <w:ind w:firstLine="210" w:firstLineChars="100"/>
        <w:rPr>
          <w:rFonts w:ascii="宋体" w:cs="宋体"/>
          <w:color w:val="000000"/>
          <w:szCs w:val="21"/>
          <w:highlight w:val="none"/>
        </w:rPr>
      </w:pPr>
      <w:r>
        <w:rPr>
          <w:rFonts w:hint="eastAsia" w:ascii="宋体" w:hAnsi="宋体" w:cs="宋体"/>
          <w:color w:val="000000"/>
          <w:szCs w:val="21"/>
          <w:highlight w:val="none"/>
        </w:rPr>
        <w:t>（3）信用信息查询记录和证据留存方式：在查询网站中直接打印查询记录，打印材料作为采购活动资料保存。</w:t>
      </w:r>
    </w:p>
    <w:p w14:paraId="4AC4FF21">
      <w:pPr>
        <w:spacing w:line="360" w:lineRule="exact"/>
        <w:ind w:firstLine="210" w:firstLineChars="100"/>
        <w:rPr>
          <w:rFonts w:ascii="宋体" w:cs="宋体"/>
          <w:color w:val="000000"/>
          <w:szCs w:val="21"/>
          <w:highlight w:val="none"/>
        </w:rPr>
      </w:pPr>
      <w:r>
        <w:rPr>
          <w:rFonts w:hint="eastAsia" w:ascii="宋体" w:hAnsi="宋体" w:cs="宋体"/>
          <w:color w:val="000000"/>
          <w:szCs w:val="21"/>
          <w:highlight w:val="none"/>
        </w:rPr>
        <w:t>（4）信用信息使用规则：对在“信用中国”网站</w:t>
      </w:r>
      <w:r>
        <w:rPr>
          <w:rFonts w:ascii="宋体" w:hAnsi="宋体" w:cs="宋体"/>
          <w:color w:val="000000"/>
          <w:szCs w:val="21"/>
          <w:highlight w:val="none"/>
        </w:rPr>
        <w:t>(www.creditchina.gov.cn)</w:t>
      </w:r>
      <w:r>
        <w:rPr>
          <w:rFonts w:hint="eastAsia" w:ascii="宋体" w:hAnsi="宋体" w:cs="宋体"/>
          <w:color w:val="000000"/>
          <w:szCs w:val="21"/>
          <w:highlight w:val="none"/>
        </w:rPr>
        <w:t>、中国政府采购网</w:t>
      </w:r>
      <w:r>
        <w:rPr>
          <w:rFonts w:ascii="宋体" w:hAnsi="宋体" w:cs="宋体"/>
          <w:color w:val="000000"/>
          <w:szCs w:val="21"/>
          <w:highlight w:val="none"/>
        </w:rPr>
        <w:t>(www.ccgp.gov.cn)</w:t>
      </w:r>
      <w:r>
        <w:rPr>
          <w:rFonts w:hint="eastAsia" w:ascii="宋体" w:hAnsi="宋体" w:cs="宋体"/>
          <w:color w:val="000000"/>
          <w:szCs w:val="21"/>
          <w:highlight w:val="none"/>
        </w:rPr>
        <w:t>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供应商或者重新组织采购。</w:t>
      </w:r>
    </w:p>
    <w:p w14:paraId="33626365">
      <w:pPr>
        <w:spacing w:line="360" w:lineRule="exact"/>
        <w:ind w:firstLine="420" w:firstLineChars="200"/>
        <w:rPr>
          <w:color w:val="000000"/>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FC1EA2D">
      <w:pPr>
        <w:pStyle w:val="4"/>
        <w:spacing w:before="0" w:after="0" w:line="360" w:lineRule="exact"/>
        <w:ind w:firstLine="420" w:firstLineChars="200"/>
        <w:rPr>
          <w:rFonts w:hint="eastAsia" w:ascii="宋体" w:hAnsi="宋体" w:cs="宋体"/>
          <w:color w:val="000000"/>
          <w:sz w:val="21"/>
          <w:szCs w:val="21"/>
          <w:highlight w:val="none"/>
        </w:rPr>
      </w:pPr>
      <w:bookmarkStart w:id="206" w:name="_Toc4373"/>
      <w:bookmarkStart w:id="207" w:name="_Toc25072"/>
      <w:bookmarkStart w:id="208" w:name="_Toc26290"/>
      <w:bookmarkStart w:id="209" w:name="_Toc16667"/>
      <w:bookmarkStart w:id="210" w:name="_Toc10078"/>
      <w:r>
        <w:rPr>
          <w:rFonts w:hint="eastAsia" w:ascii="宋体" w:hAnsi="宋体" w:cs="宋体"/>
          <w:color w:val="000000"/>
          <w:sz w:val="21"/>
          <w:szCs w:val="21"/>
          <w:highlight w:val="none"/>
        </w:rPr>
        <w:t>27. 成交结果公告及成交通知书</w:t>
      </w:r>
      <w:bookmarkEnd w:id="206"/>
      <w:bookmarkEnd w:id="207"/>
      <w:bookmarkEnd w:id="208"/>
      <w:bookmarkEnd w:id="209"/>
      <w:bookmarkEnd w:id="210"/>
    </w:p>
    <w:p w14:paraId="70701262">
      <w:pPr>
        <w:spacing w:line="36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7</w:t>
      </w:r>
      <w:r>
        <w:rPr>
          <w:rFonts w:ascii="宋体" w:hAnsi="宋体" w:cs="宋体"/>
          <w:color w:val="000000"/>
          <w:szCs w:val="21"/>
          <w:highlight w:val="none"/>
        </w:rPr>
        <w:t xml:space="preserve">.1 </w:t>
      </w:r>
      <w:r>
        <w:rPr>
          <w:rFonts w:hint="eastAsia" w:ascii="宋体" w:hAnsi="宋体" w:cs="宋体"/>
          <w:color w:val="000000"/>
          <w:szCs w:val="21"/>
          <w:highlight w:val="none"/>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CEFD325">
      <w:pPr>
        <w:spacing w:line="360" w:lineRule="exact"/>
        <w:ind w:firstLine="420" w:firstLineChars="200"/>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7</w:t>
      </w:r>
      <w:r>
        <w:rPr>
          <w:rFonts w:ascii="宋体" w:hAnsi="宋体" w:cs="宋体"/>
          <w:color w:val="000000"/>
          <w:szCs w:val="21"/>
          <w:highlight w:val="none"/>
        </w:rPr>
        <w:t xml:space="preserve">.2 </w:t>
      </w:r>
      <w:r>
        <w:rPr>
          <w:rFonts w:hint="eastAsia" w:ascii="宋体" w:hAnsi="宋体" w:cs="宋体"/>
          <w:color w:val="000000"/>
          <w:szCs w:val="21"/>
          <w:highlight w:val="none"/>
        </w:rPr>
        <w:t>成交公告发布的同时，采购代理机构在线向成交供应商发出电子成交通知书。</w:t>
      </w:r>
    </w:p>
    <w:p w14:paraId="77DDC8DF">
      <w:pPr>
        <w:spacing w:line="360" w:lineRule="exact"/>
        <w:ind w:firstLine="420" w:firstLineChars="200"/>
        <w:rPr>
          <w:rFonts w:hint="eastAsia" w:ascii="宋体" w:hAns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7</w:t>
      </w:r>
      <w:r>
        <w:rPr>
          <w:rFonts w:ascii="宋体" w:hAnsi="宋体" w:cs="宋体"/>
          <w:color w:val="000000"/>
          <w:szCs w:val="21"/>
          <w:highlight w:val="none"/>
        </w:rPr>
        <w:t xml:space="preserve">.3 </w:t>
      </w:r>
      <w:r>
        <w:rPr>
          <w:rFonts w:hint="eastAsia" w:ascii="宋体" w:hAnsi="宋体" w:cs="宋体"/>
          <w:color w:val="000000"/>
          <w:szCs w:val="21"/>
          <w:highlight w:val="none"/>
        </w:rPr>
        <w:t>采购代理机构无义务向未成交的供应商解释未成交原因和退还响应文件。</w:t>
      </w:r>
    </w:p>
    <w:p w14:paraId="1D68F450">
      <w:pPr>
        <w:pStyle w:val="12"/>
        <w:rPr>
          <w:color w:val="000000"/>
          <w:highlight w:val="none"/>
        </w:rPr>
      </w:pPr>
    </w:p>
    <w:p w14:paraId="1AE15D46">
      <w:pPr>
        <w:pStyle w:val="3"/>
        <w:jc w:val="center"/>
        <w:rPr>
          <w:rFonts w:hint="eastAsia"/>
          <w:b/>
          <w:bCs w:val="0"/>
          <w:color w:val="000000"/>
          <w:szCs w:val="28"/>
          <w:highlight w:val="none"/>
        </w:rPr>
      </w:pPr>
      <w:bookmarkStart w:id="211" w:name="_Toc14208"/>
      <w:bookmarkStart w:id="212" w:name="_Toc5548"/>
      <w:bookmarkStart w:id="213" w:name="_Toc18170"/>
      <w:bookmarkStart w:id="214" w:name="_Toc19711"/>
      <w:bookmarkStart w:id="215" w:name="_Toc19781"/>
      <w:r>
        <w:rPr>
          <w:rFonts w:hint="eastAsia"/>
          <w:b/>
          <w:bCs w:val="0"/>
          <w:color w:val="000000"/>
          <w:szCs w:val="28"/>
          <w:highlight w:val="none"/>
        </w:rPr>
        <w:t>五、签订合同</w:t>
      </w:r>
      <w:bookmarkEnd w:id="211"/>
      <w:bookmarkEnd w:id="212"/>
      <w:bookmarkEnd w:id="213"/>
      <w:bookmarkEnd w:id="214"/>
      <w:bookmarkEnd w:id="215"/>
    </w:p>
    <w:p w14:paraId="6563E491">
      <w:pPr>
        <w:spacing w:line="360" w:lineRule="exact"/>
        <w:ind w:firstLine="411" w:firstLineChars="196"/>
        <w:outlineLvl w:val="2"/>
        <w:rPr>
          <w:rFonts w:ascii="宋体" w:hAnsi="宋体" w:cs="宋体"/>
          <w:b/>
          <w:color w:val="000000"/>
          <w:szCs w:val="21"/>
          <w:highlight w:val="none"/>
        </w:rPr>
      </w:pPr>
      <w:bookmarkStart w:id="216" w:name="_Toc6994"/>
      <w:bookmarkStart w:id="217" w:name="_Toc9151"/>
      <w:bookmarkStart w:id="218" w:name="_Toc11357"/>
      <w:bookmarkStart w:id="219" w:name="_Toc3109"/>
      <w:bookmarkStart w:id="220" w:name="_Toc4917"/>
      <w:bookmarkStart w:id="221" w:name="_Toc10047"/>
      <w:bookmarkStart w:id="222" w:name="_Toc17433"/>
      <w:bookmarkStart w:id="223" w:name="_Toc11500"/>
      <w:r>
        <w:rPr>
          <w:rFonts w:hint="eastAsia" w:ascii="宋体" w:hAnsi="宋体" w:cs="宋体"/>
          <w:b/>
          <w:color w:val="000000"/>
          <w:szCs w:val="21"/>
          <w:highlight w:val="none"/>
        </w:rPr>
        <w:t>28. 履约保证金</w:t>
      </w:r>
      <w:bookmarkEnd w:id="216"/>
      <w:bookmarkEnd w:id="217"/>
      <w:bookmarkEnd w:id="218"/>
      <w:bookmarkEnd w:id="219"/>
      <w:bookmarkEnd w:id="220"/>
      <w:bookmarkEnd w:id="221"/>
      <w:bookmarkEnd w:id="222"/>
      <w:bookmarkEnd w:id="223"/>
    </w:p>
    <w:p w14:paraId="7620B3F3">
      <w:pPr>
        <w:spacing w:line="360" w:lineRule="exact"/>
        <w:ind w:firstLine="411" w:firstLineChars="196"/>
        <w:outlineLvl w:val="3"/>
        <w:rPr>
          <w:rFonts w:hint="eastAsia" w:ascii="宋体" w:hAnsi="宋体" w:eastAsia="宋体" w:cs="宋体"/>
          <w:bCs/>
          <w:color w:val="000000"/>
          <w:szCs w:val="21"/>
          <w:highlight w:val="none"/>
          <w:lang w:eastAsia="zh-CN"/>
        </w:rPr>
      </w:pPr>
      <w:bookmarkStart w:id="224" w:name="_Toc14679"/>
      <w:bookmarkStart w:id="225" w:name="_Toc18160"/>
      <w:bookmarkStart w:id="226" w:name="_Toc22092"/>
      <w:r>
        <w:rPr>
          <w:rFonts w:hint="eastAsia" w:ascii="宋体" w:hAnsi="宋体" w:cs="宋体"/>
          <w:bCs/>
          <w:color w:val="000000"/>
          <w:szCs w:val="21"/>
          <w:highlight w:val="none"/>
        </w:rPr>
        <w:t>本项目无需缴纳履约保证金</w:t>
      </w:r>
      <w:r>
        <w:rPr>
          <w:rFonts w:hint="eastAsia" w:ascii="宋体" w:hAnsi="宋体" w:cs="宋体"/>
          <w:bCs/>
          <w:color w:val="000000"/>
          <w:szCs w:val="21"/>
          <w:highlight w:val="none"/>
          <w:lang w:eastAsia="zh-CN"/>
        </w:rPr>
        <w:t>。</w:t>
      </w:r>
    </w:p>
    <w:p w14:paraId="6E155BD7">
      <w:pPr>
        <w:spacing w:line="360" w:lineRule="exact"/>
        <w:ind w:firstLine="411" w:firstLineChars="196"/>
        <w:outlineLvl w:val="2"/>
        <w:rPr>
          <w:rFonts w:ascii="宋体" w:hAnsi="宋体" w:cs="宋体"/>
          <w:b/>
          <w:color w:val="000000"/>
          <w:szCs w:val="21"/>
          <w:highlight w:val="none"/>
        </w:rPr>
      </w:pPr>
      <w:bookmarkStart w:id="227" w:name="_Toc26069"/>
      <w:bookmarkStart w:id="228" w:name="_Toc22752"/>
      <w:bookmarkStart w:id="229" w:name="_Toc19380"/>
      <w:bookmarkStart w:id="230" w:name="_Toc6080"/>
      <w:bookmarkStart w:id="231" w:name="_Toc7259"/>
      <w:r>
        <w:rPr>
          <w:rFonts w:hint="eastAsia" w:ascii="宋体" w:hAnsi="宋体" w:cs="宋体"/>
          <w:b/>
          <w:color w:val="000000"/>
          <w:szCs w:val="21"/>
          <w:highlight w:val="none"/>
        </w:rPr>
        <w:t>29. 签订合同</w:t>
      </w:r>
      <w:bookmarkEnd w:id="224"/>
      <w:bookmarkEnd w:id="225"/>
      <w:bookmarkEnd w:id="226"/>
      <w:bookmarkEnd w:id="227"/>
      <w:bookmarkEnd w:id="228"/>
      <w:bookmarkEnd w:id="229"/>
      <w:bookmarkEnd w:id="230"/>
      <w:bookmarkEnd w:id="231"/>
    </w:p>
    <w:p w14:paraId="3ABD9FCB">
      <w:pPr>
        <w:spacing w:line="360" w:lineRule="exact"/>
        <w:ind w:left="2" w:leftChars="1" w:firstLine="420" w:firstLineChars="200"/>
        <w:rPr>
          <w:rFonts w:hint="eastAsia" w:ascii="宋体" w:hAnsi="宋体" w:cs="宋体"/>
          <w:color w:val="000000"/>
          <w:highlight w:val="none"/>
        </w:rPr>
      </w:pPr>
      <w:r>
        <w:rPr>
          <w:rFonts w:hint="eastAsia" w:ascii="宋体" w:hAnsi="宋体" w:cs="宋体"/>
          <w:color w:val="000000"/>
          <w:szCs w:val="21"/>
          <w:highlight w:val="none"/>
        </w:rPr>
        <w:t>29.1签订合同时间：成交通知书发出之日起</w:t>
      </w:r>
      <w:r>
        <w:rPr>
          <w:rFonts w:hint="eastAsia" w:ascii="宋体" w:hAnsi="宋体"/>
          <w:color w:val="000000"/>
          <w:highlight w:val="none"/>
          <w:lang w:eastAsia="zh-CN"/>
        </w:rPr>
        <w:t>八个工作</w:t>
      </w:r>
      <w:r>
        <w:rPr>
          <w:rFonts w:hint="eastAsia" w:ascii="宋体" w:hAnsi="宋体"/>
          <w:color w:val="000000"/>
          <w:highlight w:val="none"/>
        </w:rPr>
        <w:t>日内</w:t>
      </w:r>
      <w:r>
        <w:rPr>
          <w:rFonts w:hint="eastAsia" w:ascii="宋体" w:hAnsi="宋体" w:cs="宋体"/>
          <w:color w:val="000000"/>
          <w:szCs w:val="21"/>
          <w:highlight w:val="none"/>
        </w:rPr>
        <w:t>。</w:t>
      </w:r>
      <w:r>
        <w:rPr>
          <w:rFonts w:hint="eastAsia"/>
          <w:color w:val="000000"/>
          <w:highlight w:val="none"/>
        </w:rPr>
        <w:t>成交供应商收到成交通知书后</w:t>
      </w:r>
      <w:r>
        <w:rPr>
          <w:rFonts w:hint="eastAsia" w:ascii="宋体" w:hAnsi="宋体" w:cs="宋体"/>
          <w:color w:val="000000"/>
          <w:szCs w:val="21"/>
          <w:highlight w:val="none"/>
        </w:rPr>
        <w:t>，应按规定与采购人在广西政府采购云平台上在线签订电子合同。</w:t>
      </w:r>
    </w:p>
    <w:p w14:paraId="6A4506F9">
      <w:pPr>
        <w:spacing w:line="360" w:lineRule="exact"/>
        <w:ind w:left="2" w:leftChars="1" w:firstLine="420" w:firstLineChars="200"/>
        <w:rPr>
          <w:rFonts w:ascii="宋体" w:hAnsi="宋体" w:cs="宋体"/>
          <w:color w:val="000000"/>
          <w:szCs w:val="21"/>
          <w:highlight w:val="none"/>
        </w:rPr>
      </w:pPr>
      <w:r>
        <w:rPr>
          <w:rFonts w:hint="eastAsia" w:ascii="宋体" w:hAnsi="宋体" w:cs="宋体"/>
          <w:color w:val="000000"/>
          <w:highlight w:val="none"/>
        </w:rPr>
        <w:t>29.2成交供应商为联合体的，联合体各方均应与采购人签订合同，并承担连带责任。（本项目不接受联合体投标）</w:t>
      </w:r>
    </w:p>
    <w:p w14:paraId="6E03FA71">
      <w:pPr>
        <w:spacing w:line="360" w:lineRule="exact"/>
        <w:ind w:left="2" w:leftChars="1" w:firstLine="420" w:firstLineChars="200"/>
        <w:rPr>
          <w:rFonts w:ascii="宋体" w:hAnsi="宋体" w:cs="宋体"/>
          <w:color w:val="000000"/>
          <w:szCs w:val="21"/>
          <w:highlight w:val="none"/>
        </w:rPr>
      </w:pPr>
      <w:r>
        <w:rPr>
          <w:rFonts w:hint="eastAsia" w:ascii="宋体" w:hAnsi="宋体" w:cs="宋体"/>
          <w:color w:val="000000"/>
          <w:szCs w:val="21"/>
          <w:highlight w:val="none"/>
        </w:rPr>
        <w:t>29.3如成交供应商有下列情形之一的，情节严重的，由财政部门将其列入不良行为记录名单，在一至三年内禁止参加政府采购活动，并予以通报。采购人或者采购代理机构可从评标委员会推荐的成交候选供应商中按顺序重新确定成交供应商或重新组织招标。</w:t>
      </w:r>
    </w:p>
    <w:p w14:paraId="6F15C2B4">
      <w:pPr>
        <w:spacing w:line="360" w:lineRule="exact"/>
        <w:ind w:firstLine="315" w:firstLineChars="150"/>
        <w:outlineLvl w:val="3"/>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成交</w:t>
      </w:r>
      <w:r>
        <w:rPr>
          <w:rFonts w:hint="eastAsia" w:ascii="宋体" w:hAnsi="宋体" w:cs="宋体"/>
          <w:color w:val="000000"/>
          <w:szCs w:val="21"/>
          <w:highlight w:val="none"/>
        </w:rPr>
        <w:t>后不与采购人签订合同的（不可抗力除外）；</w:t>
      </w:r>
    </w:p>
    <w:p w14:paraId="41A83E4A">
      <w:pPr>
        <w:spacing w:line="360" w:lineRule="exact"/>
        <w:ind w:left="2" w:leftChars="1" w:firstLine="315" w:firstLineChars="150"/>
        <w:rPr>
          <w:rFonts w:ascii="宋体" w:hAnsi="宋体" w:cs="宋体"/>
          <w:color w:val="000000"/>
          <w:szCs w:val="21"/>
          <w:highlight w:val="none"/>
        </w:rPr>
      </w:pPr>
      <w:r>
        <w:rPr>
          <w:rFonts w:hint="eastAsia" w:ascii="宋体" w:hAnsi="宋体" w:cs="宋体"/>
          <w:color w:val="000000"/>
          <w:szCs w:val="21"/>
          <w:highlight w:val="none"/>
        </w:rPr>
        <w:t>（2）将</w:t>
      </w:r>
      <w:r>
        <w:rPr>
          <w:rFonts w:hint="eastAsia" w:ascii="宋体" w:hAnsi="宋体" w:cs="宋体"/>
          <w:color w:val="000000"/>
          <w:szCs w:val="21"/>
          <w:highlight w:val="none"/>
          <w:lang w:eastAsia="zh-CN"/>
        </w:rPr>
        <w:t>成交</w:t>
      </w:r>
      <w:r>
        <w:rPr>
          <w:rFonts w:hint="eastAsia" w:ascii="宋体" w:hAnsi="宋体" w:cs="宋体"/>
          <w:color w:val="000000"/>
          <w:szCs w:val="21"/>
          <w:highlight w:val="none"/>
        </w:rPr>
        <w:t>项目转让给他人，或者在</w:t>
      </w:r>
      <w:r>
        <w:rPr>
          <w:rFonts w:hint="eastAsia" w:ascii="宋体" w:hAnsi="宋体" w:cs="宋体"/>
          <w:color w:val="000000"/>
          <w:szCs w:val="21"/>
          <w:highlight w:val="none"/>
          <w:lang w:eastAsia="zh-CN"/>
        </w:rPr>
        <w:t>响应</w:t>
      </w:r>
      <w:r>
        <w:rPr>
          <w:rFonts w:hint="eastAsia" w:ascii="宋体" w:hAnsi="宋体" w:cs="宋体"/>
          <w:color w:val="000000"/>
          <w:szCs w:val="21"/>
          <w:highlight w:val="none"/>
        </w:rPr>
        <w:t>文件中未说明，且未经采购人同意，将</w:t>
      </w:r>
      <w:r>
        <w:rPr>
          <w:rFonts w:hint="eastAsia" w:ascii="宋体" w:hAnsi="宋体" w:cs="宋体"/>
          <w:color w:val="000000"/>
          <w:szCs w:val="21"/>
          <w:highlight w:val="none"/>
          <w:lang w:eastAsia="zh-CN"/>
        </w:rPr>
        <w:t>成交</w:t>
      </w:r>
      <w:r>
        <w:rPr>
          <w:rFonts w:hint="eastAsia" w:ascii="宋体" w:hAnsi="宋体" w:cs="宋体"/>
          <w:color w:val="000000"/>
          <w:szCs w:val="21"/>
          <w:highlight w:val="none"/>
        </w:rPr>
        <w:t>项目分包给他人的；</w:t>
      </w:r>
    </w:p>
    <w:p w14:paraId="3A399D3C">
      <w:pPr>
        <w:spacing w:line="360" w:lineRule="exact"/>
        <w:ind w:firstLine="315" w:firstLineChars="150"/>
        <w:outlineLvl w:val="3"/>
        <w:rPr>
          <w:rFonts w:ascii="宋体" w:hAnsi="宋体" w:cs="宋体"/>
          <w:color w:val="000000"/>
          <w:szCs w:val="21"/>
          <w:highlight w:val="none"/>
        </w:rPr>
      </w:pPr>
      <w:r>
        <w:rPr>
          <w:rFonts w:hint="eastAsia" w:ascii="宋体" w:hAnsi="宋体" w:cs="宋体"/>
          <w:color w:val="000000"/>
          <w:szCs w:val="21"/>
          <w:highlight w:val="none"/>
        </w:rPr>
        <w:t>（3）拒绝履行合同义务的。</w:t>
      </w:r>
    </w:p>
    <w:p w14:paraId="16187917">
      <w:pPr>
        <w:spacing w:line="360" w:lineRule="exact"/>
        <w:ind w:left="2" w:leftChars="1"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29.4合同备案存档：政府采购合同双方自签订之日起将自动存档于广西政府采购云平台上，采购人于合同签订之日起七个工作日内将一份合同原件送本级财政部门备案。</w:t>
      </w:r>
    </w:p>
    <w:p w14:paraId="55353E5B">
      <w:pPr>
        <w:pStyle w:val="12"/>
        <w:rPr>
          <w:rFonts w:hint="eastAsia"/>
          <w:color w:val="000000"/>
          <w:highlight w:val="none"/>
        </w:rPr>
      </w:pPr>
    </w:p>
    <w:p w14:paraId="1921EFB7">
      <w:pPr>
        <w:pStyle w:val="3"/>
        <w:jc w:val="center"/>
        <w:rPr>
          <w:rFonts w:hint="eastAsia"/>
          <w:b/>
          <w:bCs w:val="0"/>
          <w:color w:val="000000"/>
          <w:szCs w:val="28"/>
          <w:highlight w:val="none"/>
        </w:rPr>
      </w:pPr>
      <w:bookmarkStart w:id="232" w:name="_Toc11552"/>
      <w:bookmarkStart w:id="233" w:name="_Toc7521"/>
      <w:bookmarkStart w:id="234" w:name="_Toc23949"/>
      <w:bookmarkStart w:id="235" w:name="_Toc655"/>
      <w:bookmarkStart w:id="236" w:name="_Toc19422"/>
      <w:r>
        <w:rPr>
          <w:rFonts w:hint="eastAsia"/>
          <w:b/>
          <w:bCs w:val="0"/>
          <w:color w:val="000000"/>
          <w:szCs w:val="28"/>
          <w:highlight w:val="none"/>
        </w:rPr>
        <w:br w:type="page"/>
      </w:r>
      <w:r>
        <w:rPr>
          <w:rFonts w:hint="eastAsia"/>
          <w:b/>
          <w:bCs w:val="0"/>
          <w:color w:val="000000"/>
          <w:szCs w:val="28"/>
          <w:highlight w:val="none"/>
        </w:rPr>
        <w:t>六、其他事项</w:t>
      </w:r>
      <w:bookmarkEnd w:id="232"/>
      <w:bookmarkEnd w:id="233"/>
      <w:bookmarkEnd w:id="234"/>
      <w:bookmarkEnd w:id="235"/>
      <w:bookmarkEnd w:id="236"/>
    </w:p>
    <w:p w14:paraId="6DE230B6">
      <w:pPr>
        <w:pStyle w:val="4"/>
        <w:spacing w:before="0" w:after="0" w:line="360" w:lineRule="auto"/>
        <w:ind w:firstLine="420" w:firstLineChars="200"/>
        <w:rPr>
          <w:rFonts w:hint="eastAsia" w:ascii="宋体" w:hAnsi="宋体" w:cs="宋体"/>
          <w:color w:val="000000"/>
          <w:sz w:val="21"/>
          <w:szCs w:val="21"/>
          <w:highlight w:val="none"/>
        </w:rPr>
      </w:pPr>
      <w:bookmarkStart w:id="237" w:name="_Toc5581"/>
      <w:bookmarkStart w:id="238" w:name="_Toc13489"/>
      <w:bookmarkStart w:id="239" w:name="_Toc10892"/>
      <w:bookmarkStart w:id="240" w:name="_Toc22779"/>
      <w:bookmarkStart w:id="241" w:name="_Toc22356"/>
      <w:r>
        <w:rPr>
          <w:rFonts w:hint="eastAsia" w:ascii="宋体" w:hAnsi="宋体" w:cs="宋体"/>
          <w:color w:val="000000"/>
          <w:sz w:val="21"/>
          <w:szCs w:val="21"/>
          <w:highlight w:val="none"/>
        </w:rPr>
        <w:t>30. 采购代理服务费</w:t>
      </w:r>
      <w:bookmarkEnd w:id="237"/>
      <w:bookmarkEnd w:id="238"/>
      <w:bookmarkEnd w:id="239"/>
      <w:bookmarkEnd w:id="240"/>
      <w:bookmarkEnd w:id="241"/>
    </w:p>
    <w:p w14:paraId="327F156F">
      <w:pPr>
        <w:keepNext w:val="0"/>
        <w:keepLines w:val="0"/>
        <w:pageBreakBefore w:val="0"/>
        <w:kinsoku/>
        <w:wordWrap/>
        <w:overflowPunct/>
        <w:topLinePunct w:val="0"/>
        <w:bidi w:val="0"/>
        <w:spacing w:line="440" w:lineRule="atLeast"/>
        <w:ind w:firstLine="420" w:firstLineChars="200"/>
        <w:textAlignment w:val="auto"/>
        <w:outlineLvl w:val="9"/>
        <w:rPr>
          <w:rFonts w:hint="eastAsia" w:ascii="宋体" w:hAnsi="宋体" w:eastAsia="宋体" w:cs="宋体"/>
          <w:color w:val="auto"/>
          <w:sz w:val="21"/>
          <w:szCs w:val="21"/>
          <w:highlight w:val="none"/>
        </w:rPr>
      </w:pPr>
      <w:bookmarkStart w:id="242" w:name="_Toc2054"/>
      <w:bookmarkStart w:id="243" w:name="_Toc8467"/>
      <w:bookmarkStart w:id="244" w:name="_Toc31204"/>
      <w:bookmarkStart w:id="245" w:name="_Toc10577"/>
      <w:bookmarkStart w:id="246" w:name="_Toc3160"/>
      <w:r>
        <w:rPr>
          <w:rFonts w:hint="eastAsia" w:ascii="宋体" w:hAnsi="宋体" w:eastAsia="宋体" w:cs="宋体"/>
          <w:color w:val="auto"/>
          <w:sz w:val="21"/>
          <w:szCs w:val="21"/>
          <w:highlight w:val="none"/>
        </w:rPr>
        <w:t>本项目的招标代理服务费：参照计价格[2002]1980号《招标代理服务收费管理暂行办法》服务类收费标准</w:t>
      </w:r>
      <w:r>
        <w:rPr>
          <w:rFonts w:hint="eastAsia" w:ascii="宋体" w:hAnsi="宋体" w:cs="宋体"/>
          <w:color w:val="auto"/>
          <w:sz w:val="21"/>
          <w:szCs w:val="21"/>
          <w:highlight w:val="none"/>
          <w:lang w:val="en-US" w:eastAsia="zh-CN"/>
        </w:rPr>
        <w:t>60%</w:t>
      </w:r>
      <w:r>
        <w:rPr>
          <w:rFonts w:hint="eastAsia" w:ascii="宋体" w:hAnsi="宋体" w:eastAsia="宋体" w:cs="宋体"/>
          <w:color w:val="auto"/>
          <w:sz w:val="21"/>
          <w:szCs w:val="21"/>
          <w:highlight w:val="none"/>
        </w:rPr>
        <w:t>计取</w:t>
      </w:r>
      <w:r>
        <w:rPr>
          <w:rFonts w:hint="eastAsia" w:ascii="宋体" w:hAnsi="宋体" w:eastAsia="宋体" w:cs="宋体"/>
          <w:spacing w:val="6"/>
          <w:sz w:val="20"/>
          <w:szCs w:val="20"/>
        </w:rPr>
        <w:t>（不足人民币5000元的，按5000元</w:t>
      </w:r>
      <w:r>
        <w:rPr>
          <w:rFonts w:hint="eastAsia" w:ascii="宋体" w:hAnsi="宋体" w:eastAsia="宋体" w:cs="宋体"/>
          <w:spacing w:val="6"/>
          <w:sz w:val="20"/>
          <w:szCs w:val="20"/>
          <w:lang w:val="en-US" w:eastAsia="zh-CN"/>
        </w:rPr>
        <w:t>收取</w:t>
      </w:r>
      <w:r>
        <w:rPr>
          <w:rFonts w:hint="eastAsia" w:ascii="宋体" w:hAnsi="宋体" w:eastAsia="宋体" w:cs="宋体"/>
          <w:spacing w:val="6"/>
          <w:sz w:val="20"/>
          <w:szCs w:val="20"/>
        </w:rPr>
        <w:t>）</w:t>
      </w:r>
      <w:r>
        <w:rPr>
          <w:rFonts w:hint="eastAsia" w:ascii="宋体" w:hAnsi="宋体" w:eastAsia="宋体" w:cs="宋体"/>
          <w:color w:val="auto"/>
          <w:sz w:val="21"/>
          <w:szCs w:val="21"/>
          <w:highlight w:val="none"/>
        </w:rPr>
        <w:t>。由中标人在领取中标通知书前向</w:t>
      </w:r>
      <w:r>
        <w:rPr>
          <w:rFonts w:hint="eastAsia" w:ascii="宋体" w:hAnsi="宋体" w:cs="宋体"/>
          <w:color w:val="auto"/>
          <w:sz w:val="21"/>
          <w:szCs w:val="21"/>
          <w:highlight w:val="none"/>
          <w:lang w:eastAsia="zh-CN"/>
        </w:rPr>
        <w:t>中佳信建设管理集团有限公司</w:t>
      </w:r>
      <w:r>
        <w:rPr>
          <w:rFonts w:hint="eastAsia" w:ascii="宋体" w:hAnsi="宋体" w:eastAsia="宋体" w:cs="宋体"/>
          <w:color w:val="auto"/>
          <w:sz w:val="21"/>
          <w:szCs w:val="21"/>
          <w:highlight w:val="none"/>
        </w:rPr>
        <w:t>一次性付清代理服务费。</w:t>
      </w:r>
    </w:p>
    <w:p w14:paraId="7CF0A02E">
      <w:pPr>
        <w:keepNext w:val="0"/>
        <w:keepLines w:val="0"/>
        <w:pageBreakBefore w:val="0"/>
        <w:kinsoku/>
        <w:wordWrap/>
        <w:overflowPunct/>
        <w:topLinePunct w:val="0"/>
        <w:bidi w:val="0"/>
        <w:spacing w:line="440" w:lineRule="atLeas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招标代理服务收费标准</w:t>
      </w:r>
    </w:p>
    <w:tbl>
      <w:tblPr>
        <w:tblStyle w:val="1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6D27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trPr>
        <w:tc>
          <w:tcPr>
            <w:tcW w:w="2880" w:type="dxa"/>
          </w:tcPr>
          <w:p w14:paraId="2561FE0C">
            <w:pPr>
              <w:pStyle w:val="11"/>
              <w:keepNext w:val="0"/>
              <w:keepLines w:val="0"/>
              <w:pageBreakBefore w:val="0"/>
              <w:kinsoku/>
              <w:wordWrap/>
              <w:overflowPunct/>
              <w:topLinePunct w:val="0"/>
              <w:bidi w:val="0"/>
              <w:spacing w:line="440" w:lineRule="atLeast"/>
              <w:ind w:left="25"/>
              <w:textAlignment w:val="auto"/>
              <w:outlineLvl w:val="9"/>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267970</wp:posOffset>
                      </wp:positionV>
                      <wp:extent cx="1852295" cy="300990"/>
                      <wp:effectExtent l="635" t="4445" r="4445" b="889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1828800" cy="39624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75pt;margin-top:21.1pt;height:23.7pt;width:145.85pt;z-index:251661312;mso-width-relative:page;mso-height-relative:page;" filled="f" stroked="t" coordsize="21600,21600" o:gfxdata="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biiy9cAAAAIAQAADwAAAAAAAAABACAAAAAiAAAAZHJzL2Rvd25yZXYueG1sUEsBAhQAFAAA&#10;AAgAh07iQNHMZRLwAQAAvQMAAA4AAAAAAAAAAQAgAAAAJgEAAGRycy9lMm9Eb2MueG1sUEsFBgAA&#10;AAAGAAYAWQEAAIgFAAAAAA==&#10;">
                      <v:fill on="f" focussize="0,0"/>
                      <v:stroke color="#000000" joinstyle="round"/>
                      <v:imagedata o:title=""/>
                      <o:lock v:ext="edit" aspectratio="f"/>
                    </v:line>
                  </w:pict>
                </mc:Fallback>
              </mc:AlternateContent>
            </w:r>
            <w:r>
              <w:rPr>
                <w:rFonts w:hint="default" w:ascii="宋体" w:hAnsi="宋体" w:eastAsia="宋体" w:cs="宋体"/>
                <w:color w:val="auto"/>
                <w:sz w:val="21"/>
                <w:szCs w:val="21"/>
                <w:highlight w:val="none"/>
                <w:lang w:val="en-US"/>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10795</wp:posOffset>
                      </wp:positionV>
                      <wp:extent cx="1837690" cy="541655"/>
                      <wp:effectExtent l="1270" t="4445" r="8890" b="63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781810" cy="2959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4pt;margin-top:0.85pt;height:42.65pt;width:144.7pt;z-index:251662336;mso-width-relative:page;mso-height-relative:page;" filled="f" stroked="t" coordsize="21600,21600" o:gfxdata="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h&#10;7NaH1gAAAAgBAAAPAAAAAAAAAAEAIAAAACIAAABkcnMvZG93bnJldi54bWxQSwECFAAUAAAACACH&#10;TuJAAefb1+0BAAC9AwAADgAAAAAAAAABACAAAAAlAQAAZHJzL2Uyb0RvYy54bWxQSwUGAAAAAAYA&#10;BgBZAQAAhAUAAAAA&#10;">
                      <v:fill on="f" focussize="0,0"/>
                      <v:stroke color="#000000" joinstyle="round"/>
                      <v:imagedata o:title=""/>
                      <o:lock v:ext="edit" aspectratio="f"/>
                    </v:line>
                  </w:pict>
                </mc:Fallback>
              </mc:AlternateContent>
            </w:r>
            <w:r>
              <w:rPr>
                <w:rFonts w:hint="eastAsia"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 xml:space="preserve">           服务类型</w:t>
            </w:r>
          </w:p>
          <w:p w14:paraId="01105AE6">
            <w:pPr>
              <w:pStyle w:val="11"/>
              <w:keepNext w:val="0"/>
              <w:keepLines w:val="0"/>
              <w:pageBreakBefore w:val="0"/>
              <w:kinsoku/>
              <w:wordWrap/>
              <w:overflowPunct/>
              <w:topLinePunct w:val="0"/>
              <w:bidi w:val="0"/>
              <w:spacing w:line="440" w:lineRule="atLeast"/>
              <w:ind w:left="2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中标金额（万元）</w:t>
            </w:r>
          </w:p>
        </w:tc>
        <w:tc>
          <w:tcPr>
            <w:tcW w:w="1841" w:type="dxa"/>
            <w:vAlign w:val="center"/>
          </w:tcPr>
          <w:p w14:paraId="3FC17D2B">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992" w:type="dxa"/>
            <w:vAlign w:val="center"/>
          </w:tcPr>
          <w:p w14:paraId="7185FA83">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2293" w:type="dxa"/>
            <w:vAlign w:val="center"/>
          </w:tcPr>
          <w:p w14:paraId="52E7E4ED">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3271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tcPr>
          <w:p w14:paraId="31D57E87">
            <w:pPr>
              <w:pStyle w:val="11"/>
              <w:keepNext w:val="0"/>
              <w:keepLines w:val="0"/>
              <w:pageBreakBefore w:val="0"/>
              <w:kinsoku/>
              <w:wordWrap/>
              <w:overflowPunct/>
              <w:topLinePunct w:val="0"/>
              <w:bidi w:val="0"/>
              <w:spacing w:line="440" w:lineRule="atLeast"/>
              <w:ind w:left="2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1841" w:type="dxa"/>
          </w:tcPr>
          <w:p w14:paraId="0D790ACD">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92" w:type="dxa"/>
          </w:tcPr>
          <w:p w14:paraId="39D28562">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293" w:type="dxa"/>
          </w:tcPr>
          <w:p w14:paraId="69469017">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46E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tcPr>
          <w:p w14:paraId="79B9695B">
            <w:pPr>
              <w:pStyle w:val="11"/>
              <w:keepNext w:val="0"/>
              <w:keepLines w:val="0"/>
              <w:pageBreakBefore w:val="0"/>
              <w:kinsoku/>
              <w:wordWrap/>
              <w:overflowPunct/>
              <w:topLinePunct w:val="0"/>
              <w:bidi w:val="0"/>
              <w:spacing w:line="440" w:lineRule="atLeast"/>
              <w:ind w:left="2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w:t>
            </w:r>
          </w:p>
        </w:tc>
        <w:tc>
          <w:tcPr>
            <w:tcW w:w="1841" w:type="dxa"/>
          </w:tcPr>
          <w:p w14:paraId="001E7647">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92" w:type="dxa"/>
          </w:tcPr>
          <w:p w14:paraId="0DFCA448">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293" w:type="dxa"/>
          </w:tcPr>
          <w:p w14:paraId="3403F3E4">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1023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tcPr>
          <w:p w14:paraId="739F2C05">
            <w:pPr>
              <w:pStyle w:val="11"/>
              <w:keepNext w:val="0"/>
              <w:keepLines w:val="0"/>
              <w:pageBreakBefore w:val="0"/>
              <w:kinsoku/>
              <w:wordWrap/>
              <w:overflowPunct/>
              <w:topLinePunct w:val="0"/>
              <w:bidi w:val="0"/>
              <w:spacing w:line="440" w:lineRule="atLeast"/>
              <w:ind w:left="25"/>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1841" w:type="dxa"/>
          </w:tcPr>
          <w:p w14:paraId="082C8DD1">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992" w:type="dxa"/>
          </w:tcPr>
          <w:p w14:paraId="08D65136">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0.45%</w:t>
            </w:r>
          </w:p>
        </w:tc>
        <w:tc>
          <w:tcPr>
            <w:tcW w:w="2293" w:type="dxa"/>
          </w:tcPr>
          <w:p w14:paraId="2609D797">
            <w:pPr>
              <w:pStyle w:val="11"/>
              <w:keepNext w:val="0"/>
              <w:keepLines w:val="0"/>
              <w:pageBreakBefore w:val="0"/>
              <w:kinsoku/>
              <w:wordWrap/>
              <w:overflowPunct/>
              <w:topLinePunct w:val="0"/>
              <w:bidi w:val="0"/>
              <w:spacing w:line="440" w:lineRule="atLeast"/>
              <w:ind w:left="25"/>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0.55%</w:t>
            </w:r>
          </w:p>
        </w:tc>
      </w:tr>
    </w:tbl>
    <w:p w14:paraId="73B9BF02">
      <w:pPr>
        <w:keepNext w:val="0"/>
        <w:keepLines w:val="0"/>
        <w:pageBreakBefore w:val="0"/>
        <w:kinsoku/>
        <w:wordWrap/>
        <w:overflowPunct/>
        <w:topLinePunct w:val="0"/>
        <w:bidi w:val="0"/>
        <w:spacing w:line="440" w:lineRule="atLeast"/>
        <w:ind w:firstLine="411"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注：招标代理服务收费按差额定率累进法计算。</w:t>
      </w:r>
    </w:p>
    <w:p w14:paraId="352BAAD0">
      <w:pPr>
        <w:keepNext w:val="0"/>
        <w:keepLines w:val="0"/>
        <w:pageBreakBefore w:val="0"/>
        <w:kinsoku/>
        <w:wordWrap/>
        <w:overflowPunct/>
        <w:topLinePunct w:val="0"/>
        <w:bidi w:val="0"/>
        <w:spacing w:line="440" w:lineRule="atLeas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交纳代理服务费的银行账户：</w:t>
      </w:r>
    </w:p>
    <w:p w14:paraId="3C5900BF">
      <w:pPr>
        <w:keepNext w:val="0"/>
        <w:keepLines w:val="0"/>
        <w:pageBreakBefore w:val="0"/>
        <w:kinsoku/>
        <w:wordWrap/>
        <w:overflowPunct/>
        <w:topLinePunct w:val="0"/>
        <w:bidi w:val="0"/>
        <w:spacing w:line="440" w:lineRule="atLeast"/>
        <w:ind w:firstLine="411" w:firstLineChars="196"/>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账户名称：中佳信建设管理集团有限公司桂林市分公司</w:t>
      </w:r>
    </w:p>
    <w:p w14:paraId="0A3FFC1C">
      <w:pPr>
        <w:keepNext w:val="0"/>
        <w:keepLines w:val="0"/>
        <w:pageBreakBefore w:val="0"/>
        <w:kinsoku/>
        <w:wordWrap/>
        <w:overflowPunct/>
        <w:topLinePunct w:val="0"/>
        <w:bidi w:val="0"/>
        <w:spacing w:line="440" w:lineRule="atLeast"/>
        <w:ind w:firstLine="411" w:firstLineChars="196"/>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开户银行：桂林银行股份有限公司建干路支行</w:t>
      </w:r>
    </w:p>
    <w:p w14:paraId="0C5FAC76">
      <w:pPr>
        <w:keepNext w:val="0"/>
        <w:keepLines w:val="0"/>
        <w:pageBreakBefore w:val="0"/>
        <w:kinsoku/>
        <w:wordWrap/>
        <w:overflowPunct/>
        <w:topLinePunct w:val="0"/>
        <w:bidi w:val="0"/>
        <w:spacing w:line="440" w:lineRule="atLeast"/>
        <w:ind w:firstLine="411" w:firstLineChars="196"/>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银行账号：6600 0001 7026 4000 15</w:t>
      </w:r>
    </w:p>
    <w:p w14:paraId="7E718691">
      <w:pPr>
        <w:spacing w:line="360" w:lineRule="auto"/>
        <w:ind w:firstLine="420" w:firstLineChars="200"/>
        <w:rPr>
          <w:rFonts w:ascii="宋体" w:cs="宋体"/>
          <w:color w:val="000000"/>
          <w:szCs w:val="21"/>
          <w:highlight w:val="none"/>
        </w:rPr>
      </w:pPr>
      <w:r>
        <w:rPr>
          <w:rStyle w:val="24"/>
          <w:rFonts w:hint="eastAsia" w:ascii="宋体" w:hAnsi="宋体" w:cs="宋体"/>
          <w:color w:val="000000"/>
          <w:sz w:val="21"/>
          <w:szCs w:val="21"/>
          <w:highlight w:val="none"/>
        </w:rPr>
        <w:t>31. 解释权</w:t>
      </w:r>
      <w:bookmarkEnd w:id="242"/>
      <w:bookmarkEnd w:id="243"/>
      <w:bookmarkEnd w:id="244"/>
      <w:bookmarkEnd w:id="245"/>
      <w:bookmarkEnd w:id="246"/>
      <w:r>
        <w:rPr>
          <w:rFonts w:hint="eastAsia" w:ascii="宋体" w:hAnsi="宋体" w:cs="宋体"/>
          <w:color w:val="000000"/>
          <w:szCs w:val="21"/>
          <w:highlight w:val="none"/>
        </w:rPr>
        <w:t>：本竞争性谈判文件是根据《中华人民共和国政府采购法》《中华人民共和国政府采购法实施条例》《政府采购非招标采购方式管理办法》和政府采购管理有关规定编制，本竞争性谈判文件的解释权属于采购代理机构。</w:t>
      </w:r>
    </w:p>
    <w:p w14:paraId="0E7C756C">
      <w:pPr>
        <w:spacing w:line="360" w:lineRule="auto"/>
        <w:ind w:firstLine="420" w:firstLineChars="200"/>
        <w:rPr>
          <w:rFonts w:hint="eastAsia" w:ascii="宋体" w:hAnsi="宋体" w:cs="宋体"/>
          <w:color w:val="000000"/>
          <w:szCs w:val="21"/>
          <w:highlight w:val="none"/>
        </w:rPr>
      </w:pPr>
      <w:bookmarkStart w:id="247" w:name="_Toc30022"/>
      <w:bookmarkStart w:id="248" w:name="_Toc10995"/>
      <w:bookmarkStart w:id="249" w:name="_Toc20007"/>
      <w:bookmarkStart w:id="250" w:name="_Toc26179"/>
      <w:bookmarkStart w:id="251" w:name="_Toc7638"/>
      <w:r>
        <w:rPr>
          <w:rStyle w:val="24"/>
          <w:rFonts w:hint="eastAsia" w:ascii="宋体" w:hAnsi="宋体" w:cs="宋体"/>
          <w:color w:val="000000"/>
          <w:sz w:val="21"/>
          <w:szCs w:val="21"/>
          <w:highlight w:val="none"/>
        </w:rPr>
        <w:t>32. 监督管理机构</w:t>
      </w:r>
      <w:bookmarkEnd w:id="247"/>
      <w:bookmarkEnd w:id="248"/>
      <w:bookmarkEnd w:id="249"/>
      <w:bookmarkEnd w:id="250"/>
      <w:bookmarkEnd w:id="251"/>
      <w:r>
        <w:rPr>
          <w:rFonts w:hint="eastAsia" w:ascii="宋体" w:hAnsi="宋体" w:cs="宋体"/>
          <w:color w:val="000000"/>
          <w:szCs w:val="21"/>
          <w:highlight w:val="none"/>
        </w:rPr>
        <w:t>：</w:t>
      </w:r>
      <w:r>
        <w:rPr>
          <w:rFonts w:hint="eastAsia" w:ascii="宋体" w:hAnsi="宋体" w:cs="宋体"/>
          <w:color w:val="000000"/>
          <w:szCs w:val="21"/>
          <w:highlight w:val="none"/>
          <w:lang w:eastAsia="zh-CN"/>
        </w:rPr>
        <w:t>桂林市财政局</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 xml:space="preserve">  </w:t>
      </w:r>
      <w:r>
        <w:rPr>
          <w:rFonts w:hint="eastAsia" w:ascii="宋体" w:hAnsi="宋体" w:cs="宋体"/>
          <w:b/>
          <w:bCs/>
          <w:color w:val="000000"/>
          <w:szCs w:val="21"/>
          <w:highlight w:val="none"/>
          <w:lang w:val="en-US" w:eastAsia="zh-CN"/>
        </w:rPr>
        <w:t xml:space="preserve"> </w:t>
      </w:r>
      <w:r>
        <w:rPr>
          <w:rFonts w:hint="eastAsia" w:ascii="宋体" w:hAnsi="宋体" w:cs="宋体"/>
          <w:b/>
          <w:bCs/>
          <w:color w:val="000000"/>
          <w:szCs w:val="21"/>
          <w:highlight w:val="none"/>
        </w:rPr>
        <w:t>联系电话</w:t>
      </w:r>
      <w:r>
        <w:rPr>
          <w:rFonts w:hint="eastAsia" w:ascii="宋体" w:hAnsi="宋体" w:cs="宋体"/>
          <w:color w:val="000000"/>
          <w:szCs w:val="21"/>
          <w:highlight w:val="none"/>
        </w:rPr>
        <w:t>：</w:t>
      </w:r>
      <w:r>
        <w:rPr>
          <w:rFonts w:hint="eastAsia" w:ascii="宋体" w:hAnsi="宋体" w:cs="宋体"/>
          <w:color w:val="000000"/>
          <w:szCs w:val="21"/>
          <w:highlight w:val="none"/>
          <w:lang w:eastAsia="zh-CN"/>
        </w:rPr>
        <w:t>0773-2829504</w:t>
      </w:r>
      <w:r>
        <w:rPr>
          <w:rFonts w:hint="eastAsia" w:ascii="宋体" w:hAnsi="宋体" w:cs="宋体"/>
          <w:color w:val="000000"/>
          <w:szCs w:val="21"/>
          <w:highlight w:val="none"/>
        </w:rPr>
        <w:t>。</w:t>
      </w:r>
    </w:p>
    <w:p w14:paraId="6CD8219A">
      <w:pPr>
        <w:pStyle w:val="12"/>
        <w:rPr>
          <w:rFonts w:hint="eastAsia" w:ascii="宋体" w:hAnsi="宋体" w:cs="宋体"/>
          <w:color w:val="000000"/>
          <w:szCs w:val="21"/>
          <w:highlight w:val="none"/>
        </w:rPr>
      </w:pPr>
    </w:p>
    <w:p w14:paraId="7731A214">
      <w:pPr>
        <w:pStyle w:val="12"/>
        <w:rPr>
          <w:rFonts w:hint="eastAsia" w:ascii="宋体" w:hAnsi="宋体" w:cs="宋体"/>
          <w:color w:val="000000"/>
          <w:szCs w:val="21"/>
          <w:highlight w:val="none"/>
        </w:rPr>
      </w:pPr>
    </w:p>
    <w:p w14:paraId="5B408165">
      <w:pPr>
        <w:pStyle w:val="12"/>
        <w:rPr>
          <w:rFonts w:hint="eastAsia" w:ascii="宋体" w:hAnsi="宋体" w:cs="宋体"/>
          <w:color w:val="000000"/>
          <w:szCs w:val="21"/>
          <w:highlight w:val="none"/>
        </w:rPr>
      </w:pPr>
    </w:p>
    <w:p w14:paraId="09E7A1E3">
      <w:pPr>
        <w:pStyle w:val="12"/>
        <w:rPr>
          <w:rFonts w:hint="eastAsia" w:ascii="宋体" w:hAnsi="宋体" w:cs="宋体"/>
          <w:color w:val="000000"/>
          <w:szCs w:val="21"/>
          <w:highlight w:val="none"/>
        </w:rPr>
      </w:pPr>
    </w:p>
    <w:p w14:paraId="66A2B6FC">
      <w:pPr>
        <w:pStyle w:val="12"/>
        <w:rPr>
          <w:rFonts w:hint="eastAsia" w:ascii="宋体" w:hAnsi="宋体" w:cs="宋体"/>
          <w:color w:val="000000"/>
          <w:szCs w:val="21"/>
          <w:highlight w:val="none"/>
        </w:rPr>
      </w:pPr>
    </w:p>
    <w:p w14:paraId="04BA7400">
      <w:pPr>
        <w:pStyle w:val="12"/>
        <w:rPr>
          <w:rFonts w:hint="eastAsia" w:ascii="宋体" w:hAnsi="宋体" w:cs="宋体"/>
          <w:color w:val="000000"/>
          <w:szCs w:val="21"/>
          <w:highlight w:val="none"/>
        </w:rPr>
      </w:pPr>
    </w:p>
    <w:p w14:paraId="6CE01E2B">
      <w:pPr>
        <w:pStyle w:val="12"/>
        <w:rPr>
          <w:rFonts w:hint="eastAsia" w:ascii="宋体" w:hAnsi="宋体" w:cs="宋体"/>
          <w:color w:val="000000"/>
          <w:szCs w:val="21"/>
          <w:highlight w:val="none"/>
        </w:rPr>
      </w:pPr>
    </w:p>
    <w:p w14:paraId="1FC4D8CB">
      <w:pPr>
        <w:pStyle w:val="2"/>
        <w:numPr>
          <w:ilvl w:val="0"/>
          <w:numId w:val="1"/>
        </w:numPr>
        <w:jc w:val="center"/>
        <w:rPr>
          <w:rFonts w:hint="eastAsia"/>
          <w:color w:val="000000"/>
          <w:sz w:val="32"/>
          <w:szCs w:val="32"/>
          <w:highlight w:val="none"/>
        </w:rPr>
      </w:pPr>
      <w:bookmarkStart w:id="252" w:name="_Toc10703"/>
      <w:bookmarkStart w:id="253" w:name="_Toc5383"/>
      <w:bookmarkStart w:id="254" w:name="_Toc11914"/>
      <w:bookmarkStart w:id="255" w:name="_Toc20982"/>
      <w:bookmarkStart w:id="256" w:name="_Toc29197"/>
      <w:bookmarkStart w:id="257" w:name="_Toc22005"/>
      <w:bookmarkStart w:id="258" w:name="_Toc7875"/>
      <w:bookmarkStart w:id="259" w:name="_Toc9674"/>
      <w:bookmarkStart w:id="260" w:name="_Toc10854"/>
      <w:bookmarkStart w:id="261" w:name="_Toc15558"/>
      <w:bookmarkStart w:id="262" w:name="_Toc23082"/>
      <w:bookmarkStart w:id="263" w:name="_Toc819"/>
      <w:bookmarkStart w:id="264" w:name="_Toc18847"/>
      <w:bookmarkStart w:id="265" w:name="_Toc2583"/>
      <w:bookmarkStart w:id="266" w:name="_Toc2844"/>
      <w:r>
        <w:rPr>
          <w:rFonts w:hint="eastAsia"/>
          <w:color w:val="000000"/>
          <w:sz w:val="32"/>
          <w:szCs w:val="32"/>
          <w:highlight w:val="none"/>
        </w:rPr>
        <w:t>采购需求</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1F82381">
      <w:pPr>
        <w:spacing w:before="65" w:line="230" w:lineRule="auto"/>
        <w:ind w:left="15"/>
        <w:rPr>
          <w:rFonts w:hint="eastAsia" w:ascii="宋体" w:hAnsi="宋体" w:eastAsia="宋体" w:cs="宋体"/>
          <w:sz w:val="20"/>
          <w:szCs w:val="20"/>
          <w:lang w:eastAsia="zh-CN"/>
        </w:rPr>
      </w:pPr>
      <w:r>
        <w:rPr>
          <w:rFonts w:ascii="宋体" w:hAnsi="宋体" w:eastAsia="宋体" w:cs="宋体"/>
          <w:b/>
          <w:bCs/>
          <w:spacing w:val="8"/>
          <w:sz w:val="20"/>
          <w:szCs w:val="20"/>
          <w:lang w:eastAsia="zh-CN"/>
        </w:rPr>
        <w:t>一、总体要求</w:t>
      </w:r>
    </w:p>
    <w:p w14:paraId="74CB4395">
      <w:pPr>
        <w:spacing w:before="101" w:line="360" w:lineRule="auto"/>
        <w:ind w:left="28"/>
        <w:rPr>
          <w:rFonts w:hint="eastAsia" w:ascii="宋体" w:hAnsi="宋体" w:eastAsia="宋体" w:cs="宋体"/>
          <w:sz w:val="20"/>
          <w:szCs w:val="20"/>
          <w:lang w:eastAsia="zh-CN"/>
        </w:rPr>
      </w:pPr>
      <w:r>
        <w:rPr>
          <w:rFonts w:ascii="Times New Roman" w:hAnsi="Times New Roman" w:eastAsia="Times New Roman" w:cs="Times New Roman"/>
          <w:spacing w:val="9"/>
          <w:position w:val="1"/>
          <w:sz w:val="20"/>
          <w:szCs w:val="20"/>
          <w:lang w:eastAsia="zh-CN"/>
        </w:rPr>
        <w:t>1</w:t>
      </w:r>
      <w:r>
        <w:rPr>
          <w:rFonts w:ascii="宋体" w:hAnsi="宋体" w:eastAsia="宋体" w:cs="宋体"/>
          <w:spacing w:val="9"/>
          <w:position w:val="1"/>
          <w:sz w:val="20"/>
          <w:szCs w:val="20"/>
          <w:lang w:eastAsia="zh-CN"/>
        </w:rPr>
        <w:t>.需实现的功能、</w:t>
      </w:r>
      <w:r>
        <w:rPr>
          <w:rFonts w:hint="eastAsia" w:ascii="宋体" w:hAnsi="宋体" w:eastAsia="宋体" w:cs="宋体"/>
          <w:spacing w:val="8"/>
          <w:position w:val="1"/>
          <w:sz w:val="20"/>
          <w:szCs w:val="20"/>
          <w:lang w:eastAsia="zh-CN"/>
        </w:rPr>
        <w:t>目标</w:t>
      </w:r>
      <w:r>
        <w:rPr>
          <w:rFonts w:ascii="宋体" w:hAnsi="宋体" w:eastAsia="宋体" w:cs="宋体"/>
          <w:spacing w:val="9"/>
          <w:position w:val="1"/>
          <w:sz w:val="20"/>
          <w:szCs w:val="20"/>
          <w:lang w:eastAsia="zh-CN"/>
        </w:rPr>
        <w:t>及应用场景：满足</w:t>
      </w:r>
      <w:r>
        <w:rPr>
          <w:rFonts w:hint="eastAsia" w:ascii="宋体" w:hAnsi="宋体" w:eastAsia="宋体" w:cs="宋体"/>
          <w:spacing w:val="9"/>
          <w:position w:val="1"/>
          <w:sz w:val="20"/>
          <w:szCs w:val="20"/>
          <w:lang w:val="en-US" w:eastAsia="zh-CN"/>
        </w:rPr>
        <w:t>竞争性谈判</w:t>
      </w:r>
      <w:r>
        <w:rPr>
          <w:rFonts w:ascii="宋体" w:hAnsi="宋体" w:eastAsia="宋体" w:cs="宋体"/>
          <w:spacing w:val="8"/>
          <w:position w:val="1"/>
          <w:sz w:val="20"/>
          <w:szCs w:val="20"/>
          <w:lang w:eastAsia="zh-CN"/>
        </w:rPr>
        <w:t>文件要求，验收达到合格标准。</w:t>
      </w:r>
    </w:p>
    <w:p w14:paraId="455C6EB2">
      <w:pPr>
        <w:spacing w:before="196" w:line="360" w:lineRule="auto"/>
        <w:ind w:left="8"/>
        <w:rPr>
          <w:rFonts w:hint="eastAsia" w:ascii="宋体" w:hAnsi="宋体" w:eastAsia="宋体" w:cs="宋体"/>
          <w:sz w:val="20"/>
          <w:szCs w:val="20"/>
          <w:lang w:eastAsia="zh-CN"/>
        </w:rPr>
      </w:pPr>
      <w:r>
        <w:rPr>
          <w:rFonts w:ascii="Times New Roman" w:hAnsi="Times New Roman" w:eastAsia="Times New Roman" w:cs="Times New Roman"/>
          <w:spacing w:val="11"/>
          <w:position w:val="1"/>
          <w:sz w:val="20"/>
          <w:szCs w:val="20"/>
          <w:lang w:eastAsia="zh-CN"/>
        </w:rPr>
        <w:t>2</w:t>
      </w:r>
      <w:r>
        <w:rPr>
          <w:rFonts w:ascii="宋体" w:hAnsi="宋体" w:eastAsia="宋体" w:cs="宋体"/>
          <w:spacing w:val="11"/>
          <w:position w:val="1"/>
          <w:sz w:val="20"/>
          <w:szCs w:val="20"/>
          <w:lang w:eastAsia="zh-CN"/>
        </w:rPr>
        <w:t>.需执行的国家相关标准、行业标准、地方标准或者其他标准、规范：详见服务内容及要求。</w:t>
      </w:r>
    </w:p>
    <w:p w14:paraId="79679F7A">
      <w:pPr>
        <w:spacing w:before="198" w:line="360" w:lineRule="auto"/>
        <w:ind w:left="12"/>
        <w:rPr>
          <w:rFonts w:hint="eastAsia" w:ascii="宋体" w:hAnsi="宋体" w:eastAsia="宋体" w:cs="宋体"/>
          <w:sz w:val="20"/>
          <w:szCs w:val="20"/>
          <w:lang w:eastAsia="zh-CN"/>
        </w:rPr>
      </w:pPr>
      <w:r>
        <w:rPr>
          <w:rFonts w:ascii="Times New Roman" w:hAnsi="Times New Roman" w:eastAsia="Times New Roman" w:cs="Times New Roman"/>
          <w:spacing w:val="9"/>
          <w:position w:val="1"/>
          <w:sz w:val="20"/>
          <w:szCs w:val="20"/>
          <w:lang w:eastAsia="zh-CN"/>
        </w:rPr>
        <w:t>3</w:t>
      </w:r>
      <w:r>
        <w:rPr>
          <w:rFonts w:ascii="宋体" w:hAnsi="宋体" w:eastAsia="宋体" w:cs="宋体"/>
          <w:spacing w:val="9"/>
          <w:position w:val="1"/>
          <w:sz w:val="20"/>
          <w:szCs w:val="20"/>
          <w:lang w:eastAsia="zh-CN"/>
        </w:rPr>
        <w:t>.标的所属行业：其他未列明行业。</w:t>
      </w:r>
    </w:p>
    <w:p w14:paraId="3301B30F">
      <w:pPr>
        <w:spacing w:before="196" w:line="360" w:lineRule="auto"/>
        <w:ind w:left="7"/>
        <w:rPr>
          <w:rFonts w:hint="eastAsia" w:ascii="宋体" w:hAnsi="宋体" w:eastAsia="宋体" w:cs="宋体"/>
          <w:sz w:val="20"/>
          <w:szCs w:val="20"/>
          <w:lang w:eastAsia="zh-CN"/>
        </w:rPr>
      </w:pPr>
      <w:r>
        <w:rPr>
          <w:rFonts w:ascii="Times New Roman" w:hAnsi="Times New Roman" w:eastAsia="Times New Roman" w:cs="Times New Roman"/>
          <w:spacing w:val="11"/>
          <w:position w:val="1"/>
          <w:sz w:val="20"/>
          <w:szCs w:val="20"/>
          <w:lang w:eastAsia="zh-CN"/>
        </w:rPr>
        <w:t>4</w:t>
      </w:r>
      <w:r>
        <w:rPr>
          <w:rFonts w:ascii="宋体" w:hAnsi="宋体" w:eastAsia="宋体" w:cs="宋体"/>
          <w:spacing w:val="11"/>
          <w:position w:val="1"/>
          <w:sz w:val="20"/>
          <w:szCs w:val="20"/>
          <w:lang w:eastAsia="zh-CN"/>
        </w:rPr>
        <w:t>.采购需求要求未尽事宜由采购人与供应商</w:t>
      </w:r>
      <w:r>
        <w:rPr>
          <w:rFonts w:ascii="宋体" w:hAnsi="宋体" w:eastAsia="宋体" w:cs="宋体"/>
          <w:spacing w:val="10"/>
          <w:position w:val="1"/>
          <w:sz w:val="20"/>
          <w:szCs w:val="20"/>
          <w:lang w:eastAsia="zh-CN"/>
        </w:rPr>
        <w:t>在采购合同中约定。</w:t>
      </w:r>
    </w:p>
    <w:p w14:paraId="3CB64034">
      <w:pPr>
        <w:spacing w:before="227" w:line="360" w:lineRule="auto"/>
        <w:ind w:left="14"/>
        <w:rPr>
          <w:rFonts w:hint="eastAsia" w:ascii="宋体" w:hAnsi="宋体" w:eastAsia="宋体" w:cs="宋体"/>
          <w:sz w:val="20"/>
          <w:szCs w:val="20"/>
          <w:lang w:eastAsia="zh-CN"/>
        </w:rPr>
      </w:pPr>
      <w:r>
        <w:rPr>
          <w:rFonts w:ascii="Times New Roman" w:hAnsi="Times New Roman" w:eastAsia="Times New Roman" w:cs="Times New Roman"/>
          <w:spacing w:val="10"/>
          <w:sz w:val="20"/>
          <w:szCs w:val="20"/>
          <w:lang w:eastAsia="zh-CN"/>
        </w:rPr>
        <w:t>5</w:t>
      </w:r>
      <w:r>
        <w:rPr>
          <w:rFonts w:ascii="宋体" w:hAnsi="宋体" w:eastAsia="宋体" w:cs="宋体"/>
          <w:spacing w:val="10"/>
          <w:sz w:val="20"/>
          <w:szCs w:val="20"/>
          <w:lang w:eastAsia="zh-CN"/>
        </w:rPr>
        <w:t>.</w:t>
      </w:r>
      <w:r>
        <w:rPr>
          <w:rFonts w:hint="eastAsia" w:ascii="宋体" w:hAnsi="宋体" w:eastAsia="宋体" w:cs="宋体"/>
          <w:spacing w:val="10"/>
          <w:sz w:val="20"/>
          <w:szCs w:val="20"/>
          <w:lang w:val="en-US" w:eastAsia="zh-CN"/>
        </w:rPr>
        <w:t>本项目采购需求均为</w:t>
      </w:r>
      <w:r>
        <w:rPr>
          <w:rFonts w:ascii="宋体" w:hAnsi="宋体" w:eastAsia="宋体" w:cs="宋体"/>
          <w:spacing w:val="10"/>
          <w:sz w:val="20"/>
          <w:szCs w:val="20"/>
          <w:lang w:eastAsia="zh-CN"/>
        </w:rPr>
        <w:t>实质性要求，必须满足，如存在负偏离将导致响应被否决。</w:t>
      </w:r>
    </w:p>
    <w:p w14:paraId="1E45F1E7">
      <w:pPr>
        <w:ind w:firstLine="432" w:firstLineChars="200"/>
        <w:textAlignment w:val="center"/>
        <w:rPr>
          <w:rFonts w:hint="eastAsia" w:ascii="宋体" w:hAnsi="宋体" w:cs="宋体"/>
          <w:b/>
          <w:color w:val="000000"/>
          <w:szCs w:val="21"/>
          <w:highlight w:val="none"/>
        </w:rPr>
      </w:pPr>
      <w:r>
        <w:rPr>
          <w:rFonts w:ascii="宋体" w:hAnsi="宋体" w:eastAsia="宋体" w:cs="宋体"/>
          <w:b/>
          <w:bCs/>
          <w:spacing w:val="8"/>
          <w:sz w:val="20"/>
          <w:szCs w:val="20"/>
        </w:rPr>
        <w:t>二、项目需求</w:t>
      </w:r>
    </w:p>
    <w:tbl>
      <w:tblPr>
        <w:tblStyle w:val="19"/>
        <w:tblW w:w="4913" w:type="pc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28"/>
        <w:gridCol w:w="5209"/>
        <w:gridCol w:w="643"/>
        <w:gridCol w:w="437"/>
        <w:gridCol w:w="1072"/>
        <w:gridCol w:w="1020"/>
      </w:tblGrid>
      <w:tr w14:paraId="347D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51" w:type="pct"/>
            <w:noWrap w:val="0"/>
            <w:vAlign w:val="center"/>
          </w:tcPr>
          <w:p w14:paraId="75131351">
            <w:pPr>
              <w:adjustRightInd w:val="0"/>
              <w:spacing w:line="440" w:lineRule="exact"/>
              <w:jc w:val="center"/>
              <w:rPr>
                <w:rFonts w:ascii="宋体" w:hAnsi="宋体" w:cs="宋体"/>
                <w:b/>
                <w:color w:val="000000"/>
                <w:szCs w:val="21"/>
                <w:highlight w:val="none"/>
              </w:rPr>
            </w:pPr>
            <w:r>
              <w:rPr>
                <w:rFonts w:hint="eastAsia" w:ascii="宋体" w:hAnsi="宋体" w:cs="宋体"/>
                <w:b/>
                <w:bCs/>
                <w:color w:val="000000"/>
                <w:szCs w:val="21"/>
                <w:highlight w:val="none"/>
              </w:rPr>
              <w:t>项号</w:t>
            </w:r>
          </w:p>
        </w:tc>
        <w:tc>
          <w:tcPr>
            <w:tcW w:w="551" w:type="pct"/>
            <w:noWrap w:val="0"/>
            <w:vAlign w:val="center"/>
          </w:tcPr>
          <w:p w14:paraId="60B4095D">
            <w:pPr>
              <w:adjustRightInd w:val="0"/>
              <w:spacing w:line="440" w:lineRule="exact"/>
              <w:jc w:val="center"/>
              <w:rPr>
                <w:rFonts w:ascii="宋体" w:hAnsi="宋体" w:cs="宋体"/>
                <w:b/>
                <w:color w:val="000000"/>
                <w:szCs w:val="21"/>
                <w:highlight w:val="none"/>
              </w:rPr>
            </w:pPr>
            <w:r>
              <w:rPr>
                <w:rFonts w:hint="eastAsia" w:ascii="宋体" w:hAnsi="宋体"/>
                <w:b/>
                <w:bCs/>
                <w:color w:val="000000"/>
                <w:highlight w:val="none"/>
              </w:rPr>
              <w:t>标的名称</w:t>
            </w:r>
          </w:p>
        </w:tc>
        <w:tc>
          <w:tcPr>
            <w:tcW w:w="2546" w:type="pct"/>
            <w:noWrap w:val="0"/>
            <w:vAlign w:val="center"/>
          </w:tcPr>
          <w:p w14:paraId="47DF9073">
            <w:pPr>
              <w:adjustRightInd w:val="0"/>
              <w:spacing w:line="440" w:lineRule="exact"/>
              <w:jc w:val="center"/>
              <w:rPr>
                <w:rFonts w:hint="eastAsia" w:ascii="宋体" w:hAnsi="宋体" w:eastAsia="宋体" w:cs="宋体"/>
                <w:b/>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服务需求</w:t>
            </w:r>
          </w:p>
        </w:tc>
        <w:tc>
          <w:tcPr>
            <w:tcW w:w="314" w:type="pct"/>
            <w:noWrap w:val="0"/>
            <w:vAlign w:val="center"/>
          </w:tcPr>
          <w:p w14:paraId="56984DC6">
            <w:pPr>
              <w:adjustRightInd w:val="0"/>
              <w:spacing w:line="440" w:lineRule="exact"/>
              <w:jc w:val="center"/>
              <w:rPr>
                <w:rFonts w:ascii="宋体" w:hAnsi="宋体" w:cs="宋体"/>
                <w:b/>
                <w:color w:val="000000"/>
                <w:szCs w:val="21"/>
                <w:highlight w:val="none"/>
              </w:rPr>
            </w:pPr>
            <w:r>
              <w:rPr>
                <w:rFonts w:hint="eastAsia" w:ascii="宋体" w:hAnsi="宋体" w:cs="宋体"/>
                <w:b/>
                <w:bCs/>
                <w:color w:val="000000"/>
                <w:kern w:val="0"/>
                <w:szCs w:val="21"/>
                <w:highlight w:val="none"/>
              </w:rPr>
              <w:t>数量</w:t>
            </w:r>
          </w:p>
        </w:tc>
        <w:tc>
          <w:tcPr>
            <w:tcW w:w="213" w:type="pct"/>
            <w:noWrap w:val="0"/>
            <w:vAlign w:val="center"/>
          </w:tcPr>
          <w:p w14:paraId="152C7FB7">
            <w:pPr>
              <w:adjustRightInd w:val="0"/>
              <w:spacing w:line="440" w:lineRule="exact"/>
              <w:jc w:val="center"/>
              <w:rPr>
                <w:rFonts w:ascii="宋体" w:hAnsi="宋体" w:cs="宋体"/>
                <w:b/>
                <w:color w:val="000000"/>
                <w:szCs w:val="21"/>
                <w:highlight w:val="none"/>
              </w:rPr>
            </w:pPr>
            <w:r>
              <w:rPr>
                <w:rFonts w:hint="eastAsia" w:ascii="宋体" w:hAnsi="宋体" w:cs="宋体"/>
                <w:b/>
                <w:bCs/>
                <w:color w:val="000000"/>
                <w:kern w:val="0"/>
                <w:szCs w:val="21"/>
                <w:highlight w:val="none"/>
              </w:rPr>
              <w:t>单位</w:t>
            </w:r>
          </w:p>
        </w:tc>
        <w:tc>
          <w:tcPr>
            <w:tcW w:w="524" w:type="pct"/>
            <w:noWrap w:val="0"/>
            <w:vAlign w:val="center"/>
          </w:tcPr>
          <w:p w14:paraId="15E85E0D">
            <w:pPr>
              <w:adjustRightInd w:val="0"/>
              <w:spacing w:line="440" w:lineRule="exact"/>
              <w:jc w:val="center"/>
              <w:rPr>
                <w:rFonts w:ascii="宋体" w:hAnsi="宋体" w:cs="宋体"/>
                <w:b/>
                <w:color w:val="000000"/>
                <w:szCs w:val="21"/>
                <w:highlight w:val="none"/>
              </w:rPr>
            </w:pPr>
            <w:r>
              <w:rPr>
                <w:rFonts w:hint="eastAsia" w:ascii="宋体" w:hAnsi="宋体" w:cs="宋体"/>
                <w:b/>
                <w:color w:val="000000"/>
                <w:kern w:val="0"/>
                <w:szCs w:val="21"/>
                <w:highlight w:val="none"/>
              </w:rPr>
              <w:t>参考单价（元）</w:t>
            </w:r>
          </w:p>
        </w:tc>
        <w:tc>
          <w:tcPr>
            <w:tcW w:w="498" w:type="pct"/>
            <w:noWrap w:val="0"/>
            <w:vAlign w:val="center"/>
          </w:tcPr>
          <w:p w14:paraId="12EA0FE7">
            <w:pPr>
              <w:adjustRightInd w:val="0"/>
              <w:spacing w:line="440" w:lineRule="exact"/>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参考合价（元）</w:t>
            </w:r>
          </w:p>
        </w:tc>
      </w:tr>
      <w:tr w14:paraId="1D7C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shd w:val="clear" w:color="auto" w:fill="auto"/>
            <w:noWrap w:val="0"/>
            <w:vAlign w:val="center"/>
          </w:tcPr>
          <w:p w14:paraId="79596165">
            <w:pPr>
              <w:widowControl/>
              <w:spacing w:line="4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551" w:type="pct"/>
            <w:shd w:val="solid" w:color="FFFFFF" w:fill="auto"/>
            <w:noWrap w:val="0"/>
            <w:vAlign w:val="center"/>
          </w:tcPr>
          <w:p w14:paraId="67419D0C">
            <w:pPr>
              <w:spacing w:beforeLines="0" w:afterLine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常规运维服务</w:t>
            </w:r>
          </w:p>
        </w:tc>
        <w:tc>
          <w:tcPr>
            <w:tcW w:w="2546" w:type="pct"/>
            <w:shd w:val="solid" w:color="FFFFFF" w:fill="auto"/>
            <w:noWrap w:val="0"/>
            <w:vAlign w:val="center"/>
          </w:tcPr>
          <w:p w14:paraId="1D401D15">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对医院现使用的《弘扬CRDS5医院信息系统》（包括HIS、电子病历、全预约系统、临床路径)的应用软件进行常规维护，解决现有系统功能在运行过程中遇到的问题包括如下项目：</w:t>
            </w:r>
          </w:p>
          <w:p w14:paraId="683654CF">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（1）技术咨询；</w:t>
            </w:r>
          </w:p>
          <w:p w14:paraId="4C53D68C">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（2）日常性维护；</w:t>
            </w:r>
          </w:p>
          <w:p w14:paraId="47608279">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（3）定期检查；</w:t>
            </w:r>
          </w:p>
          <w:p w14:paraId="4C50FD19">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（4）软件更新；</w:t>
            </w:r>
          </w:p>
          <w:p w14:paraId="618262BA">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（5）系统性能优化；</w:t>
            </w:r>
          </w:p>
          <w:p w14:paraId="675C570E">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（6）应用软件重装、调试；</w:t>
            </w:r>
          </w:p>
        </w:tc>
        <w:tc>
          <w:tcPr>
            <w:tcW w:w="314" w:type="pct"/>
            <w:shd w:val="solid" w:color="FFFFFF" w:fill="auto"/>
            <w:noWrap w:val="0"/>
            <w:vAlign w:val="center"/>
          </w:tcPr>
          <w:p w14:paraId="1C0A91B6">
            <w:pPr>
              <w:widowControl/>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w:t>
            </w:r>
          </w:p>
        </w:tc>
        <w:tc>
          <w:tcPr>
            <w:tcW w:w="213" w:type="pct"/>
            <w:shd w:val="solid" w:color="FFFFFF" w:fill="auto"/>
            <w:noWrap w:val="0"/>
            <w:vAlign w:val="center"/>
          </w:tcPr>
          <w:p w14:paraId="41AC7D0D">
            <w:pPr>
              <w:widowControl/>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项</w:t>
            </w:r>
          </w:p>
        </w:tc>
        <w:tc>
          <w:tcPr>
            <w:tcW w:w="524" w:type="pct"/>
            <w:noWrap w:val="0"/>
            <w:vAlign w:val="center"/>
          </w:tcPr>
          <w:p w14:paraId="7442F210">
            <w:pPr>
              <w:widowControl/>
              <w:spacing w:line="36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110000</w:t>
            </w:r>
          </w:p>
        </w:tc>
        <w:tc>
          <w:tcPr>
            <w:tcW w:w="498" w:type="pct"/>
            <w:noWrap w:val="0"/>
            <w:vAlign w:val="center"/>
          </w:tcPr>
          <w:p w14:paraId="0412164C">
            <w:pPr>
              <w:widowControl/>
              <w:spacing w:line="36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110000</w:t>
            </w:r>
          </w:p>
        </w:tc>
      </w:tr>
      <w:tr w14:paraId="64CA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51" w:type="pct"/>
            <w:shd w:val="clear" w:color="auto" w:fill="auto"/>
            <w:noWrap w:val="0"/>
            <w:vAlign w:val="center"/>
          </w:tcPr>
          <w:p w14:paraId="0F89246F">
            <w:pPr>
              <w:widowControl/>
              <w:spacing w:line="44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551" w:type="pct"/>
            <w:shd w:val="solid" w:color="FFFFFF" w:fill="auto"/>
            <w:noWrap w:val="0"/>
            <w:vAlign w:val="center"/>
          </w:tcPr>
          <w:p w14:paraId="118AF60E">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驻点运维服务</w:t>
            </w:r>
          </w:p>
        </w:tc>
        <w:tc>
          <w:tcPr>
            <w:tcW w:w="2546" w:type="pct"/>
            <w:shd w:val="solid" w:color="FFFFFF" w:fill="auto"/>
            <w:noWrap w:val="0"/>
            <w:vAlign w:val="center"/>
          </w:tcPr>
          <w:p w14:paraId="20EB33B1">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安排一位工作经验丰富，具备相关系统的专业知识和技能，熟悉医疗流程和相关法规，与医院各部门能够很好沟通的专业技术人员常驻于医院，负责执行日常系统维护，能够快速有效地解决系统问题等事项。</w:t>
            </w:r>
          </w:p>
          <w:p w14:paraId="4261074B">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（2）驻点运维由院方按本院职工考勤制度进行考勤管理，若驻点人员未履行请假手续无故离开院区院方有权对其进行考核，并在年度绩效考核时扣除相应的维护费用。</w:t>
            </w:r>
          </w:p>
          <w:p w14:paraId="6E2E4EE3">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（3）运维人员应在年内获得弘扬内部培训证书。</w:t>
            </w:r>
          </w:p>
          <w:p w14:paraId="64C6A42C">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（4）运维人员根据医院安排应定期做项目汇报</w:t>
            </w:r>
          </w:p>
          <w:p w14:paraId="6F24A7C0">
            <w:pPr>
              <w:spacing w:line="360" w:lineRule="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（5）根据医院系统现存在的问题和运行情况，需要派入职5年以上的资深工程师或开发人员到医院现场驻点维护12周。</w:t>
            </w:r>
          </w:p>
        </w:tc>
        <w:tc>
          <w:tcPr>
            <w:tcW w:w="314" w:type="pct"/>
            <w:shd w:val="solid" w:color="FFFFFF" w:fill="auto"/>
            <w:noWrap w:val="0"/>
            <w:vAlign w:val="center"/>
          </w:tcPr>
          <w:p w14:paraId="3A41A492">
            <w:pPr>
              <w:widowControl/>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w:t>
            </w:r>
          </w:p>
        </w:tc>
        <w:tc>
          <w:tcPr>
            <w:tcW w:w="213" w:type="pct"/>
            <w:shd w:val="solid" w:color="FFFFFF" w:fill="auto"/>
            <w:noWrap w:val="0"/>
            <w:vAlign w:val="center"/>
          </w:tcPr>
          <w:p w14:paraId="4F3067DE">
            <w:pPr>
              <w:widowControl/>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项</w:t>
            </w:r>
          </w:p>
        </w:tc>
        <w:tc>
          <w:tcPr>
            <w:tcW w:w="524" w:type="pct"/>
            <w:noWrap w:val="0"/>
            <w:vAlign w:val="center"/>
          </w:tcPr>
          <w:p w14:paraId="33602898">
            <w:pPr>
              <w:widowControl/>
              <w:spacing w:line="36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160000</w:t>
            </w:r>
          </w:p>
        </w:tc>
        <w:tc>
          <w:tcPr>
            <w:tcW w:w="498" w:type="pct"/>
            <w:noWrap w:val="0"/>
            <w:vAlign w:val="center"/>
          </w:tcPr>
          <w:p w14:paraId="6D3DDE96">
            <w:pPr>
              <w:widowControl/>
              <w:spacing w:line="36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160000</w:t>
            </w:r>
          </w:p>
        </w:tc>
      </w:tr>
      <w:tr w14:paraId="3CC0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51" w:type="pct"/>
            <w:shd w:val="clear" w:color="auto" w:fill="auto"/>
            <w:noWrap w:val="0"/>
            <w:vAlign w:val="center"/>
          </w:tcPr>
          <w:p w14:paraId="6D29EE46">
            <w:pPr>
              <w:widowControl/>
              <w:spacing w:line="440" w:lineRule="exact"/>
              <w:jc w:val="center"/>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551" w:type="pct"/>
            <w:shd w:val="solid" w:color="FFFFFF" w:fill="auto"/>
            <w:noWrap w:val="0"/>
            <w:vAlign w:val="center"/>
          </w:tcPr>
          <w:p w14:paraId="68B6A339">
            <w:pPr>
              <w:widowControl/>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系统改造服务</w:t>
            </w:r>
          </w:p>
        </w:tc>
        <w:tc>
          <w:tcPr>
            <w:tcW w:w="2546" w:type="pct"/>
            <w:shd w:val="solid" w:color="FFFFFF" w:fill="auto"/>
            <w:noWrap w:val="0"/>
            <w:vAlign w:val="center"/>
          </w:tcPr>
          <w:p w14:paraId="2B6064E6">
            <w:pPr>
              <w:widowControl/>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（1）指定一名工作经验丰富、专业知识和技能的现场项目经理，统筹和组织医院系统改造的需求设计、开发、测试、实施服务。根据医院组织参加相关的信息化工作汇报。</w:t>
            </w:r>
          </w:p>
          <w:p w14:paraId="601F78E9">
            <w:pPr>
              <w:widowControl/>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（2）指定一名工作经验丰富、具有HIS系统专业知识和技能的开发人员，提供开发改造服务。</w:t>
            </w:r>
          </w:p>
          <w:p w14:paraId="65385C4C">
            <w:pPr>
              <w:widowControl/>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（3）指定一名工作经验丰富、具有电子病历系统专业知识和技能的开发人员，提供开发改造服务。</w:t>
            </w:r>
          </w:p>
          <w:p w14:paraId="4468B51A">
            <w:pPr>
              <w:widowControl/>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（4）根据项目需要，技术人员（产品经理、项目经理、实施、开发、测试）到医院进行现场服务。</w:t>
            </w:r>
          </w:p>
          <w:p w14:paraId="1CA43E77">
            <w:pPr>
              <w:widowControl/>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（5）系统改造服务以实际时长工作量结算为准。</w:t>
            </w:r>
          </w:p>
          <w:p w14:paraId="1278A1DC">
            <w:pPr>
              <w:widowControl/>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（6）改造内容一般为：收费改造、医生工作站改造、护士工作站改造、电子病历改造、药房改造、全预约改造。需求改造的指派，医院要通过了信息化小组确定并与现场人员确定时长工作量。</w:t>
            </w:r>
          </w:p>
          <w:p w14:paraId="41F56D01">
            <w:pPr>
              <w:widowControl/>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（7）医院提出系统改造需求，双方签订“系统改造需求和工作量确认单”（见附件1格式），签字科室包括信息科和临床科室（行政职能科室）2个科室及以上，或者经过信息化周例会等信息化小组确认。</w:t>
            </w:r>
          </w:p>
          <w:p w14:paraId="7ABE7B29">
            <w:pPr>
              <w:widowControl/>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（8）系统改造服务需求完成后签订 “系统改造服务验收确认单”（见附件2格式），按照季度对工作量进行统计，并根据相关合同约定支付相关改造服务费用。</w:t>
            </w:r>
          </w:p>
          <w:p w14:paraId="32E93CDF">
            <w:pPr>
              <w:widowControl/>
              <w:spacing w:line="360" w:lineRule="auto"/>
              <w:jc w:val="left"/>
              <w:rPr>
                <w:rFonts w:hint="default" w:ascii="宋体" w:hAnsi="宋体" w:eastAsia="宋体" w:cs="宋体"/>
                <w:color w:val="000000"/>
                <w:kern w:val="2"/>
                <w:sz w:val="21"/>
                <w:szCs w:val="21"/>
                <w:highlight w:val="none"/>
                <w:lang w:val="en-US" w:eastAsia="zh-CN" w:bidi="ar-SA"/>
              </w:rPr>
            </w:pPr>
            <w:r>
              <w:rPr>
                <w:rFonts w:hint="eastAsia" w:ascii="宋体" w:hAnsi="宋体" w:cs="宋体"/>
                <w:b/>
                <w:bCs/>
                <w:color w:val="000000"/>
                <w:kern w:val="2"/>
                <w:sz w:val="21"/>
                <w:szCs w:val="21"/>
                <w:highlight w:val="none"/>
                <w:lang w:val="en-US" w:eastAsia="zh-CN" w:bidi="ar-SA"/>
              </w:rPr>
              <w:t>注：此项费用按最大数量1000*700元/工作日=700000元，1000为预估数量，结算时根据供应商报价/实际用工工时数量日为最终结算金额。</w:t>
            </w:r>
          </w:p>
        </w:tc>
        <w:tc>
          <w:tcPr>
            <w:tcW w:w="314" w:type="pct"/>
            <w:shd w:val="solid" w:color="FFFFFF" w:fill="auto"/>
            <w:noWrap w:val="0"/>
            <w:vAlign w:val="center"/>
          </w:tcPr>
          <w:p w14:paraId="1FEE0828">
            <w:pPr>
              <w:widowControl/>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213" w:type="pct"/>
            <w:shd w:val="solid" w:color="FFFFFF" w:fill="auto"/>
            <w:noWrap w:val="0"/>
            <w:vAlign w:val="center"/>
          </w:tcPr>
          <w:p w14:paraId="34EC1A6D">
            <w:pPr>
              <w:widowControl/>
              <w:spacing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项</w:t>
            </w:r>
          </w:p>
        </w:tc>
        <w:tc>
          <w:tcPr>
            <w:tcW w:w="524" w:type="pct"/>
            <w:noWrap w:val="0"/>
            <w:vAlign w:val="center"/>
          </w:tcPr>
          <w:p w14:paraId="79CA8091">
            <w:pPr>
              <w:widowControl/>
              <w:spacing w:line="36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700000</w:t>
            </w:r>
          </w:p>
        </w:tc>
        <w:tc>
          <w:tcPr>
            <w:tcW w:w="498" w:type="pct"/>
            <w:noWrap w:val="0"/>
            <w:vAlign w:val="center"/>
          </w:tcPr>
          <w:p w14:paraId="27FAE74E">
            <w:pPr>
              <w:widowControl/>
              <w:spacing w:line="360" w:lineRule="auto"/>
              <w:jc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700000</w:t>
            </w:r>
          </w:p>
        </w:tc>
      </w:tr>
      <w:tr w14:paraId="0E22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449" w:type="pct"/>
            <w:gridSpan w:val="3"/>
            <w:noWrap w:val="0"/>
            <w:vAlign w:val="center"/>
          </w:tcPr>
          <w:p w14:paraId="04E0A1AA">
            <w:pPr>
              <w:spacing w:line="36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合计</w:t>
            </w:r>
          </w:p>
        </w:tc>
        <w:tc>
          <w:tcPr>
            <w:tcW w:w="1550" w:type="pct"/>
            <w:gridSpan w:val="4"/>
            <w:noWrap w:val="0"/>
            <w:vAlign w:val="center"/>
          </w:tcPr>
          <w:p w14:paraId="326FAEA3">
            <w:pPr>
              <w:spacing w:line="440" w:lineRule="exact"/>
              <w:jc w:val="center"/>
              <w:rPr>
                <w:rFonts w:hint="default" w:ascii="宋体" w:hAnsi="宋体" w:cs="宋体"/>
                <w:color w:val="000000"/>
                <w:szCs w:val="21"/>
                <w:highlight w:val="none"/>
                <w:lang w:val="en-US" w:eastAsia="zh-CN"/>
              </w:rPr>
            </w:pPr>
            <w:r>
              <w:rPr>
                <w:rFonts w:hint="eastAsia" w:ascii="宋体" w:hAnsi="宋体" w:cs="宋体"/>
                <w:b/>
                <w:bCs/>
                <w:color w:val="000000"/>
                <w:szCs w:val="21"/>
                <w:highlight w:val="none"/>
                <w:lang w:val="en-US" w:eastAsia="zh-CN"/>
              </w:rPr>
              <w:t>970000.00</w:t>
            </w:r>
          </w:p>
        </w:tc>
      </w:tr>
      <w:tr w14:paraId="4003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000" w:type="pct"/>
            <w:gridSpan w:val="7"/>
            <w:noWrap w:val="0"/>
            <w:vAlign w:val="center"/>
          </w:tcPr>
          <w:p w14:paraId="01721DA5">
            <w:pPr>
              <w:widowControl/>
              <w:spacing w:line="440" w:lineRule="exact"/>
              <w:jc w:val="center"/>
              <w:textAlignment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商务</w:t>
            </w:r>
            <w:r>
              <w:rPr>
                <w:rFonts w:hint="eastAsia" w:ascii="宋体" w:hAnsi="宋体" w:eastAsia="宋体" w:cs="宋体"/>
                <w:b/>
                <w:bCs/>
                <w:color w:val="000000"/>
                <w:sz w:val="21"/>
                <w:szCs w:val="21"/>
                <w:highlight w:val="none"/>
                <w:lang w:eastAsia="zh-CN"/>
              </w:rPr>
              <w:t>要</w:t>
            </w:r>
            <w:r>
              <w:rPr>
                <w:rFonts w:hint="eastAsia" w:ascii="宋体" w:hAnsi="宋体" w:eastAsia="宋体" w:cs="宋体"/>
                <w:b/>
                <w:bCs/>
                <w:color w:val="000000"/>
                <w:sz w:val="21"/>
                <w:szCs w:val="21"/>
                <w:highlight w:val="none"/>
              </w:rPr>
              <w:t>求</w:t>
            </w:r>
          </w:p>
        </w:tc>
      </w:tr>
      <w:tr w14:paraId="070B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2" w:type="pct"/>
            <w:gridSpan w:val="2"/>
            <w:noWrap w:val="0"/>
            <w:vAlign w:val="center"/>
          </w:tcPr>
          <w:p w14:paraId="7A7C8461">
            <w:pPr>
              <w:pStyle w:val="17"/>
              <w:widowControl/>
              <w:wordWrap w:val="0"/>
              <w:spacing w:line="23" w:lineRule="atLeast"/>
              <w:jc w:val="center"/>
              <w:rPr>
                <w:rFonts w:hint="eastAsia" w:ascii="宋体" w:hAnsi="宋体" w:cs="宋体"/>
                <w:color w:val="000000"/>
                <w:kern w:val="0"/>
                <w:szCs w:val="21"/>
                <w:highlight w:val="none"/>
              </w:rPr>
            </w:pPr>
            <w:r>
              <w:rPr>
                <w:rFonts w:hint="eastAsia" w:ascii="宋体" w:hAnsi="宋体" w:eastAsia="宋体" w:cs="宋体"/>
                <w:color w:val="auto"/>
                <w:sz w:val="21"/>
                <w:szCs w:val="21"/>
                <w:shd w:val="clear" w:color="auto" w:fill="FFFFFF"/>
              </w:rPr>
              <w:t>服务期限及地点</w:t>
            </w:r>
          </w:p>
        </w:tc>
        <w:tc>
          <w:tcPr>
            <w:tcW w:w="4097" w:type="pct"/>
            <w:gridSpan w:val="5"/>
            <w:noWrap w:val="0"/>
            <w:vAlign w:val="center"/>
          </w:tcPr>
          <w:p w14:paraId="107981A7">
            <w:pPr>
              <w:spacing w:line="276" w:lineRule="auto"/>
              <w:rPr>
                <w:rFonts w:hint="eastAsia" w:ascii="宋体" w:hAnsi="宋体"/>
                <w:bCs/>
                <w:color w:val="auto"/>
                <w:spacing w:val="-7"/>
                <w:szCs w:val="21"/>
              </w:rPr>
            </w:pPr>
            <w:r>
              <w:rPr>
                <w:rFonts w:hint="eastAsia" w:ascii="宋体" w:hAnsi="宋体"/>
                <w:bCs/>
                <w:color w:val="auto"/>
                <w:spacing w:val="-7"/>
                <w:szCs w:val="21"/>
              </w:rPr>
              <w:t>1.</w:t>
            </w:r>
            <w:r>
              <w:rPr>
                <w:rFonts w:hint="eastAsia" w:ascii="宋体" w:hAnsi="宋体" w:cs="宋体"/>
                <w:color w:val="auto"/>
                <w:szCs w:val="21"/>
                <w:shd w:val="clear" w:color="auto" w:fill="FFFFFF"/>
              </w:rPr>
              <w:t xml:space="preserve"> 服务期限：</w:t>
            </w:r>
            <w:r>
              <w:rPr>
                <w:rFonts w:hint="eastAsia" w:ascii="宋体" w:hAnsi="宋体"/>
                <w:bCs/>
                <w:color w:val="auto"/>
                <w:spacing w:val="-7"/>
                <w:szCs w:val="21"/>
              </w:rPr>
              <w:t>自签订合同之日起</w:t>
            </w:r>
            <w:r>
              <w:rPr>
                <w:rFonts w:hint="eastAsia" w:ascii="宋体" w:hAnsi="宋体"/>
                <w:bCs/>
                <w:color w:val="auto"/>
                <w:spacing w:val="-7"/>
                <w:szCs w:val="21"/>
                <w:lang w:val="en-US" w:eastAsia="zh-CN"/>
              </w:rPr>
              <w:t>1</w:t>
            </w:r>
            <w:r>
              <w:rPr>
                <w:rFonts w:hint="eastAsia" w:ascii="宋体" w:hAnsi="宋体"/>
                <w:bCs/>
                <w:color w:val="auto"/>
                <w:spacing w:val="-7"/>
                <w:szCs w:val="21"/>
              </w:rPr>
              <w:t>年。</w:t>
            </w:r>
          </w:p>
          <w:p w14:paraId="1766457C">
            <w:pPr>
              <w:rPr>
                <w:rFonts w:hint="eastAsia" w:ascii="宋体" w:hAnsi="宋体" w:cs="宋体"/>
                <w:color w:val="000000"/>
                <w:sz w:val="21"/>
                <w:szCs w:val="21"/>
                <w:highlight w:val="none"/>
                <w:lang w:val="en-US" w:eastAsia="zh-CN"/>
              </w:rPr>
            </w:pPr>
            <w:r>
              <w:rPr>
                <w:rFonts w:hint="eastAsia" w:ascii="宋体" w:hAnsi="宋体"/>
                <w:color w:val="auto"/>
              </w:rPr>
              <w:t>2.服务地点：广西桂林市内采购人指定地点。</w:t>
            </w:r>
          </w:p>
        </w:tc>
      </w:tr>
      <w:tr w14:paraId="195D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2" w:type="pct"/>
            <w:gridSpan w:val="2"/>
            <w:noWrap w:val="0"/>
            <w:vAlign w:val="center"/>
          </w:tcPr>
          <w:p w14:paraId="3E0F9FEA">
            <w:pPr>
              <w:pStyle w:val="17"/>
              <w:widowControl/>
              <w:wordWrap w:val="0"/>
              <w:spacing w:line="23" w:lineRule="atLeast"/>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保密责任</w:t>
            </w:r>
          </w:p>
        </w:tc>
        <w:tc>
          <w:tcPr>
            <w:tcW w:w="4097" w:type="pct"/>
            <w:gridSpan w:val="5"/>
            <w:noWrap w:val="0"/>
            <w:vAlign w:val="center"/>
          </w:tcPr>
          <w:p w14:paraId="3CD85A0C">
            <w:pPr>
              <w:spacing w:line="360" w:lineRule="exact"/>
              <w:jc w:val="left"/>
              <w:rPr>
                <w:rFonts w:hint="eastAsia" w:ascii="宋体" w:hAnsi="宋体"/>
                <w:color w:val="auto"/>
              </w:rPr>
            </w:pPr>
            <w:r>
              <w:rPr>
                <w:rFonts w:hint="eastAsia" w:ascii="宋体" w:hAnsi="宋体"/>
                <w:color w:val="auto"/>
                <w:lang w:val="en-US" w:eastAsia="zh-CN"/>
              </w:rPr>
              <w:t>成交供应商</w:t>
            </w:r>
            <w:r>
              <w:rPr>
                <w:rFonts w:hint="eastAsia" w:ascii="宋体" w:hAnsi="宋体"/>
                <w:color w:val="auto"/>
              </w:rPr>
              <w:t>在获取到医院有关数据库、服务器、远程登录、网络设备口令、数据信息等涉密内容时，不得透露给第三方，否则给医院造成损失应追究经济和法律责任，赔偿金额不受本合同其它条款的制约。</w:t>
            </w:r>
          </w:p>
        </w:tc>
      </w:tr>
      <w:tr w14:paraId="43FB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902" w:type="pct"/>
            <w:gridSpan w:val="2"/>
            <w:noWrap w:val="0"/>
            <w:vAlign w:val="center"/>
          </w:tcPr>
          <w:p w14:paraId="79BA93E4">
            <w:pPr>
              <w:widowControl/>
              <w:spacing w:line="360" w:lineRule="exact"/>
              <w:jc w:val="center"/>
              <w:rPr>
                <w:rFonts w:ascii="宋体" w:hAnsi="宋体" w:cs="宋体"/>
                <w:color w:val="000000"/>
                <w:szCs w:val="21"/>
                <w:highlight w:val="none"/>
              </w:rPr>
            </w:pPr>
            <w:r>
              <w:rPr>
                <w:rFonts w:hint="eastAsia" w:ascii="宋体" w:hAnsi="宋体" w:cs="宋体"/>
                <w:color w:val="000000"/>
                <w:kern w:val="0"/>
                <w:szCs w:val="21"/>
                <w:highlight w:val="none"/>
              </w:rPr>
              <w:t>付款方式</w:t>
            </w:r>
          </w:p>
        </w:tc>
        <w:tc>
          <w:tcPr>
            <w:tcW w:w="4097" w:type="pct"/>
            <w:gridSpan w:val="5"/>
            <w:noWrap w:val="0"/>
            <w:vAlign w:val="center"/>
          </w:tcPr>
          <w:p w14:paraId="00B1ADF6">
            <w:pPr>
              <w:pStyle w:val="7"/>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（1）常规运维服务和驻点运维服务部分，合同签订之日起十五个工作日内支付50%,维护期结束审验合格后支付剩下的50%余款。如在甲方各部门审验结果中不合格，则不予支付，直至审验合格后再支付。</w:t>
            </w:r>
          </w:p>
          <w:p w14:paraId="1118A8F0">
            <w:pPr>
              <w:pStyle w:val="7"/>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（2）系统改造服务部分，合同签订之日起，每季度对工作量（人/日）进行统计，甲方根据工作量换算金额支付给乙方。</w:t>
            </w:r>
          </w:p>
        </w:tc>
      </w:tr>
      <w:tr w14:paraId="07B1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2" w:type="pct"/>
            <w:gridSpan w:val="2"/>
            <w:noWrap w:val="0"/>
            <w:vAlign w:val="center"/>
          </w:tcPr>
          <w:p w14:paraId="590AF6F2">
            <w:pPr>
              <w:adjustRightInd w:val="0"/>
              <w:spacing w:line="360" w:lineRule="exact"/>
              <w:jc w:val="center"/>
              <w:rPr>
                <w:rFonts w:ascii="宋体" w:hAnsi="宋体" w:cs="宋体"/>
                <w:color w:val="000000"/>
                <w:szCs w:val="21"/>
                <w:highlight w:val="none"/>
              </w:rPr>
            </w:pPr>
            <w:r>
              <w:rPr>
                <w:rFonts w:hint="eastAsia" w:ascii="宋体" w:hAnsi="宋体" w:cs="宋体"/>
                <w:color w:val="000000"/>
                <w:szCs w:val="21"/>
                <w:highlight w:val="none"/>
              </w:rPr>
              <w:t>其他要求</w:t>
            </w:r>
          </w:p>
        </w:tc>
        <w:tc>
          <w:tcPr>
            <w:tcW w:w="4097" w:type="pct"/>
            <w:gridSpan w:val="5"/>
            <w:noWrap w:val="0"/>
            <w:vAlign w:val="center"/>
          </w:tcPr>
          <w:p w14:paraId="312F99AC">
            <w:pPr>
              <w:pStyle w:val="7"/>
              <w:spacing w:line="360" w:lineRule="auto"/>
              <w:rPr>
                <w:rFonts w:hint="eastAsia" w:ascii="宋体" w:hAnsi="宋体" w:eastAsia="宋体" w:cs="宋体"/>
                <w:b/>
                <w:bCs/>
                <w:color w:val="000000"/>
                <w:sz w:val="21"/>
                <w:szCs w:val="21"/>
                <w:highlight w:val="none"/>
              </w:rPr>
            </w:pPr>
            <w:r>
              <w:rPr>
                <w:rFonts w:hint="eastAsia" w:ascii="宋体" w:hAnsi="宋体" w:cs="宋体"/>
                <w:b w:val="0"/>
                <w:bCs w:val="0"/>
                <w:color w:val="000000"/>
                <w:sz w:val="21"/>
                <w:szCs w:val="21"/>
                <w:highlight w:val="none"/>
              </w:rPr>
              <w:t>1.</w:t>
            </w:r>
            <w:r>
              <w:rPr>
                <w:rFonts w:hint="eastAsia" w:ascii="宋体" w:hAnsi="宋体" w:eastAsia="宋体" w:cs="宋体"/>
                <w:b/>
                <w:bCs/>
                <w:color w:val="000000"/>
                <w:sz w:val="21"/>
                <w:szCs w:val="21"/>
                <w:highlight w:val="none"/>
              </w:rPr>
              <w:t>本项目采购预算金额：人民币</w:t>
            </w:r>
            <w:r>
              <w:rPr>
                <w:rFonts w:hint="eastAsia" w:ascii="宋体" w:hAnsi="宋体" w:eastAsia="宋体" w:cs="宋体"/>
                <w:b/>
                <w:bCs/>
                <w:color w:val="000000"/>
                <w:sz w:val="21"/>
                <w:szCs w:val="21"/>
                <w:highlight w:val="none"/>
                <w:lang w:eastAsia="zh-CN"/>
              </w:rPr>
              <w:t>玖拾柒万元整（¥970,000.00元）</w:t>
            </w:r>
            <w:r>
              <w:rPr>
                <w:rFonts w:hint="eastAsia" w:ascii="宋体" w:hAnsi="宋体" w:eastAsia="宋体" w:cs="宋体"/>
                <w:b/>
                <w:bCs/>
                <w:color w:val="000000"/>
                <w:sz w:val="21"/>
                <w:szCs w:val="21"/>
                <w:highlight w:val="none"/>
              </w:rPr>
              <w:t>。报价超过采购预算金额的，</w:t>
            </w:r>
            <w:r>
              <w:rPr>
                <w:rFonts w:hint="eastAsia" w:ascii="宋体" w:hAnsi="宋体" w:eastAsia="宋体" w:cs="宋体"/>
                <w:b/>
                <w:bCs/>
                <w:color w:val="000000"/>
                <w:sz w:val="21"/>
                <w:szCs w:val="21"/>
                <w:highlight w:val="none"/>
                <w:lang w:eastAsia="zh-CN"/>
              </w:rPr>
              <w:t>响应</w:t>
            </w:r>
            <w:r>
              <w:rPr>
                <w:rFonts w:hint="eastAsia" w:ascii="宋体" w:hAnsi="宋体" w:eastAsia="宋体" w:cs="宋体"/>
                <w:b/>
                <w:bCs/>
                <w:color w:val="000000"/>
                <w:sz w:val="21"/>
                <w:szCs w:val="21"/>
                <w:highlight w:val="none"/>
              </w:rPr>
              <w:t>文件按无效处理。</w:t>
            </w:r>
          </w:p>
          <w:p w14:paraId="21C65957">
            <w:pPr>
              <w:pStyle w:val="7"/>
              <w:spacing w:line="360" w:lineRule="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rPr>
              <w:t>、本项目所属行业为</w:t>
            </w:r>
            <w:r>
              <w:rPr>
                <w:rFonts w:hint="eastAsia" w:ascii="宋体" w:hAnsi="宋体" w:eastAsia="宋体" w:cs="宋体"/>
                <w:b w:val="0"/>
                <w:bCs w:val="0"/>
                <w:color w:val="000000"/>
                <w:sz w:val="21"/>
                <w:szCs w:val="21"/>
                <w:highlight w:val="none"/>
                <w:lang w:val="en-US" w:eastAsia="zh-CN"/>
              </w:rPr>
              <w:t>其他未列明行业</w:t>
            </w:r>
            <w:r>
              <w:rPr>
                <w:rFonts w:hint="eastAsia" w:ascii="宋体" w:hAnsi="宋体" w:eastAsia="宋体" w:cs="宋体"/>
                <w:b w:val="0"/>
                <w:bCs w:val="0"/>
                <w:color w:val="000000"/>
                <w:sz w:val="21"/>
                <w:szCs w:val="21"/>
                <w:highlight w:val="none"/>
              </w:rPr>
              <w:t>。</w:t>
            </w:r>
          </w:p>
          <w:p w14:paraId="312612F3">
            <w:pPr>
              <w:pStyle w:val="7"/>
              <w:spacing w:line="360" w:lineRule="auto"/>
              <w:rPr>
                <w:rFonts w:hint="eastAsia" w:ascii="宋体" w:hAnsi="宋体" w:eastAsia="宋体" w:cs="宋体"/>
                <w:b/>
                <w:bCs/>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谈判报价包含设备维修、维保服务的全部费用，包括且不限于技术咨询费、设备检查、维修及保养费、保养耗材、约定配件、维修检测工具、维修场地费、人工费、安装费；必要的保险费用和各项税金；其他如运输、装卸、调试、升级、培训、技术支持、售后服务、更新升级等费用，供应商综合考虑在报价中。</w:t>
            </w:r>
          </w:p>
        </w:tc>
      </w:tr>
    </w:tbl>
    <w:p w14:paraId="64DCF087">
      <w:pPr>
        <w:ind w:firstLine="420" w:firstLineChars="200"/>
        <w:textAlignment w:val="center"/>
        <w:rPr>
          <w:rFonts w:hint="eastAsia" w:ascii="宋体" w:hAnsi="宋体" w:cs="宋体"/>
          <w:b/>
          <w:color w:val="000000"/>
          <w:szCs w:val="21"/>
          <w:highlight w:val="none"/>
        </w:rPr>
      </w:pPr>
    </w:p>
    <w:p w14:paraId="27F1300B">
      <w:pPr>
        <w:rPr>
          <w:vanish/>
          <w:color w:val="000000"/>
          <w:szCs w:val="21"/>
          <w:highlight w:val="none"/>
        </w:rPr>
      </w:pPr>
      <w:r>
        <w:rPr>
          <w:vanish/>
          <w:color w:val="000000"/>
          <w:szCs w:val="21"/>
          <w:highlight w:val="none"/>
        </w:rPr>
        <w:br w:type="page"/>
      </w:r>
    </w:p>
    <w:p w14:paraId="32D76D8C">
      <w:pPr>
        <w:ind w:left="360" w:hanging="360"/>
        <w:jc w:val="center"/>
      </w:pPr>
      <w:r>
        <w:rPr>
          <w:rFonts w:hint="eastAsia"/>
          <w:b/>
          <w:bCs/>
          <w:sz w:val="32"/>
          <w:szCs w:val="32"/>
        </w:rPr>
        <w:t>附件1：系统改造服务需求和工作量确认单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2921"/>
        <w:gridCol w:w="992"/>
        <w:gridCol w:w="3198"/>
      </w:tblGrid>
      <w:tr w14:paraId="33AD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06" w:type="dxa"/>
            <w:gridSpan w:val="2"/>
            <w:vAlign w:val="center"/>
          </w:tcPr>
          <w:p w14:paraId="0D925E44">
            <w:pPr>
              <w:rPr>
                <w:sz w:val="22"/>
                <w14:ligatures w14:val="standardContextual"/>
              </w:rPr>
            </w:pPr>
            <w:r>
              <w:rPr>
                <w:rFonts w:hint="eastAsia"/>
                <w:b/>
                <w:bCs/>
                <w:sz w:val="22"/>
                <w14:ligatures w14:val="standardContextual"/>
              </w:rPr>
              <w:t>名称</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color w:val="FF0000"/>
                <w:sz w:val="22"/>
                <w:u w:val="single"/>
                <w14:ligatures w14:val="standardContextual"/>
              </w:rPr>
              <w:t xml:space="preserve">   </w:t>
            </w:r>
            <w:r>
              <w:rPr>
                <w:sz w:val="22"/>
                <w:u w:val="single"/>
                <w14:ligatures w14:val="standardContextual"/>
              </w:rPr>
              <w:t xml:space="preserve">       </w:t>
            </w:r>
          </w:p>
        </w:tc>
        <w:tc>
          <w:tcPr>
            <w:tcW w:w="4190" w:type="dxa"/>
            <w:gridSpan w:val="2"/>
            <w:vAlign w:val="center"/>
          </w:tcPr>
          <w:p w14:paraId="43371857">
            <w:pPr>
              <w:rPr>
                <w:sz w:val="22"/>
                <w14:ligatures w14:val="standardContextual"/>
              </w:rPr>
            </w:pPr>
            <w:r>
              <w:rPr>
                <w:rFonts w:hint="eastAsia"/>
                <w:b/>
                <w:bCs/>
                <w:sz w:val="22"/>
                <w14:ligatures w14:val="standardContextual"/>
              </w:rPr>
              <w:t>编号</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p>
        </w:tc>
      </w:tr>
      <w:tr w14:paraId="36DB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06" w:type="dxa"/>
            <w:gridSpan w:val="2"/>
            <w:vAlign w:val="center"/>
          </w:tcPr>
          <w:p w14:paraId="26DDAE54">
            <w:pPr>
              <w:rPr>
                <w:b/>
                <w:bCs/>
                <w:sz w:val="22"/>
                <w14:ligatures w14:val="standardContextual"/>
              </w:rPr>
            </w:pPr>
            <w:r>
              <w:rPr>
                <w:rFonts w:hint="eastAsia"/>
                <w:b/>
                <w:bCs/>
                <w:sz w:val="22"/>
                <w14:ligatures w14:val="standardContextual"/>
              </w:rPr>
              <w:t>使用单位</w:t>
            </w:r>
            <w:r>
              <w:rPr>
                <w:rFonts w:hint="eastAsia"/>
                <w:sz w:val="22"/>
                <w14:ligatures w14:val="standardContextual"/>
              </w:rPr>
              <w:t>：桂林市妇幼保健院</w:t>
            </w:r>
          </w:p>
        </w:tc>
        <w:tc>
          <w:tcPr>
            <w:tcW w:w="4190" w:type="dxa"/>
            <w:gridSpan w:val="2"/>
            <w:vAlign w:val="center"/>
          </w:tcPr>
          <w:p w14:paraId="217594D3">
            <w:pPr>
              <w:rPr>
                <w:b/>
                <w:bCs/>
                <w:sz w:val="22"/>
                <w14:ligatures w14:val="standardContextual"/>
              </w:rPr>
            </w:pPr>
            <w:r>
              <w:rPr>
                <w:rFonts w:hint="eastAsia"/>
                <w:b/>
                <w:bCs/>
                <w:sz w:val="22"/>
                <w14:ligatures w14:val="standardContextual"/>
              </w:rPr>
              <w:t>系统分类</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HIS    </w:t>
            </w:r>
          </w:p>
        </w:tc>
      </w:tr>
      <w:tr w14:paraId="392A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06" w:type="dxa"/>
            <w:gridSpan w:val="2"/>
            <w:vAlign w:val="center"/>
          </w:tcPr>
          <w:p w14:paraId="0F8D8EE9">
            <w:pPr>
              <w:rPr>
                <w:sz w:val="22"/>
                <w14:ligatures w14:val="standardContextual"/>
              </w:rPr>
            </w:pPr>
            <w:r>
              <w:rPr>
                <w:rFonts w:hint="eastAsia"/>
                <w:b/>
                <w:bCs/>
                <w:sz w:val="22"/>
                <w14:ligatures w14:val="standardContextual"/>
              </w:rPr>
              <w:t>承建单位</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color w:val="FF0000"/>
                <w:sz w:val="22"/>
                <w:u w:val="single"/>
                <w14:ligatures w14:val="standardContextual"/>
              </w:rPr>
              <w:t xml:space="preserve">   </w:t>
            </w:r>
            <w:r>
              <w:rPr>
                <w:sz w:val="22"/>
                <w:u w:val="single"/>
                <w14:ligatures w14:val="standardContextual"/>
              </w:rPr>
              <w:t xml:space="preserve">   </w:t>
            </w:r>
          </w:p>
        </w:tc>
        <w:tc>
          <w:tcPr>
            <w:tcW w:w="4190" w:type="dxa"/>
            <w:gridSpan w:val="2"/>
            <w:vAlign w:val="center"/>
          </w:tcPr>
          <w:p w14:paraId="44B043EE">
            <w:pPr>
              <w:rPr>
                <w:sz w:val="22"/>
                <w14:ligatures w14:val="standardContextual"/>
              </w:rPr>
            </w:pPr>
            <w:r>
              <w:rPr>
                <w:rFonts w:hint="eastAsia"/>
                <w:b/>
                <w:bCs/>
                <w:sz w:val="22"/>
                <w14:ligatures w14:val="standardContextual"/>
              </w:rPr>
              <w:t>工作量</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color w:val="FF0000"/>
                <w:sz w:val="22"/>
                <w:u w:val="single"/>
                <w14:ligatures w14:val="standardContextual"/>
              </w:rPr>
              <w:t xml:space="preserve">   </w:t>
            </w:r>
            <w:r>
              <w:rPr>
                <w:sz w:val="22"/>
                <w:u w:val="single"/>
                <w14:ligatures w14:val="standardContextual"/>
              </w:rPr>
              <w:t xml:space="preserve">   </w:t>
            </w:r>
            <w:r>
              <w:rPr>
                <w:rFonts w:hint="eastAsia"/>
                <w:sz w:val="22"/>
                <w14:ligatures w14:val="standardContextual"/>
              </w:rPr>
              <w:t>（人/日）</w:t>
            </w:r>
          </w:p>
        </w:tc>
      </w:tr>
      <w:tr w14:paraId="0B18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06" w:type="dxa"/>
            <w:gridSpan w:val="2"/>
            <w:vAlign w:val="center"/>
          </w:tcPr>
          <w:p w14:paraId="3CD2A325">
            <w:pPr>
              <w:rPr>
                <w:sz w:val="22"/>
                <w14:ligatures w14:val="standardContextual"/>
              </w:rPr>
            </w:pPr>
            <w:r>
              <w:rPr>
                <w:rFonts w:hint="eastAsia"/>
                <w:b/>
                <w:bCs/>
                <w:sz w:val="22"/>
                <w14:ligatures w14:val="standardContextual"/>
              </w:rPr>
              <w:t>现场技术人员</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color w:val="FF0000"/>
                <w:sz w:val="22"/>
                <w:u w:val="single"/>
                <w14:ligatures w14:val="standardContextual"/>
              </w:rPr>
              <w:t xml:space="preserve">   </w:t>
            </w:r>
            <w:r>
              <w:rPr>
                <w:sz w:val="22"/>
                <w:u w:val="single"/>
                <w14:ligatures w14:val="standardContextual"/>
              </w:rPr>
              <w:t xml:space="preserve">   </w:t>
            </w:r>
            <w:r>
              <w:rPr>
                <w:sz w:val="22"/>
                <w14:ligatures w14:val="standardContextual"/>
              </w:rPr>
              <w:t xml:space="preserve"> </w:t>
            </w:r>
          </w:p>
        </w:tc>
        <w:tc>
          <w:tcPr>
            <w:tcW w:w="4190" w:type="dxa"/>
            <w:gridSpan w:val="2"/>
            <w:vAlign w:val="center"/>
          </w:tcPr>
          <w:p w14:paraId="77C992FC">
            <w:pPr>
              <w:rPr>
                <w:sz w:val="22"/>
                <w14:ligatures w14:val="standardContextual"/>
              </w:rPr>
            </w:pPr>
            <w:r>
              <w:rPr>
                <w:rFonts w:hint="eastAsia"/>
                <w:b/>
                <w:bCs/>
                <w:sz w:val="22"/>
                <w14:ligatures w14:val="standardContextual"/>
              </w:rPr>
              <w:t>时间</w:t>
            </w:r>
            <w:r>
              <w:rPr>
                <w:rFonts w:hint="eastAsia"/>
                <w:sz w:val="22"/>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color w:val="FF0000"/>
                <w:sz w:val="22"/>
                <w:u w:val="single"/>
                <w14:ligatures w14:val="standardContextual"/>
              </w:rPr>
              <w:t xml:space="preserve">   </w:t>
            </w:r>
            <w:r>
              <w:rPr>
                <w:sz w:val="22"/>
                <w:u w:val="single"/>
                <w14:ligatures w14:val="standardContextual"/>
              </w:rPr>
              <w:t xml:space="preserve">       </w:t>
            </w:r>
          </w:p>
        </w:tc>
      </w:tr>
      <w:tr w14:paraId="47C6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9" w:hRule="atLeast"/>
          <w:jc w:val="center"/>
        </w:trPr>
        <w:tc>
          <w:tcPr>
            <w:tcW w:w="1185" w:type="dxa"/>
            <w:vAlign w:val="center"/>
          </w:tcPr>
          <w:p w14:paraId="531E1F1D">
            <w:pPr>
              <w:jc w:val="center"/>
              <w:rPr>
                <w:b/>
                <w:bCs/>
                <w:sz w:val="22"/>
                <w14:ligatures w14:val="standardContextual"/>
              </w:rPr>
            </w:pPr>
            <w:r>
              <w:rPr>
                <w:rFonts w:hint="eastAsia"/>
                <w:b/>
                <w:bCs/>
                <w:sz w:val="22"/>
                <w14:ligatures w14:val="standardContextual"/>
              </w:rPr>
              <w:t>需求内容</w:t>
            </w:r>
          </w:p>
        </w:tc>
        <w:tc>
          <w:tcPr>
            <w:tcW w:w="7111" w:type="dxa"/>
            <w:gridSpan w:val="3"/>
          </w:tcPr>
          <w:p w14:paraId="459C6F9B">
            <w:pPr>
              <w:pStyle w:val="28"/>
              <w:numPr>
                <w:ilvl w:val="0"/>
                <w:numId w:val="5"/>
              </w:numPr>
              <w:spacing w:after="0" w:line="240" w:lineRule="auto"/>
            </w:pPr>
            <w:r>
              <w:t>X</w:t>
            </w:r>
            <w:r>
              <w:rPr>
                <w:rFonts w:hint="eastAsia"/>
              </w:rPr>
              <w:t>x</w:t>
            </w:r>
          </w:p>
          <w:p w14:paraId="1D725F82">
            <w:pPr>
              <w:pStyle w:val="28"/>
              <w:numPr>
                <w:ilvl w:val="0"/>
                <w:numId w:val="5"/>
              </w:numPr>
              <w:spacing w:after="0" w:line="240" w:lineRule="auto"/>
            </w:pPr>
            <w:r>
              <w:t>X</w:t>
            </w:r>
            <w:r>
              <w:rPr>
                <w:rFonts w:hint="eastAsia"/>
              </w:rPr>
              <w:t>x</w:t>
            </w:r>
          </w:p>
        </w:tc>
      </w:tr>
      <w:tr w14:paraId="0D1A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85" w:type="dxa"/>
            <w:vAlign w:val="center"/>
          </w:tcPr>
          <w:p w14:paraId="2E1A66DD">
            <w:pPr>
              <w:rPr>
                <w:b/>
                <w:bCs/>
                <w:sz w:val="22"/>
                <w14:ligatures w14:val="standardContextual"/>
              </w:rPr>
            </w:pPr>
            <w:r>
              <w:rPr>
                <w:rFonts w:hint="eastAsia"/>
                <w:b/>
                <w:bCs/>
                <w:sz w:val="22"/>
                <w14:ligatures w14:val="standardContextual"/>
              </w:rPr>
              <w:t>签字确认</w:t>
            </w:r>
          </w:p>
        </w:tc>
        <w:tc>
          <w:tcPr>
            <w:tcW w:w="3913" w:type="dxa"/>
            <w:gridSpan w:val="2"/>
            <w:vAlign w:val="center"/>
          </w:tcPr>
          <w:p w14:paraId="45E8FAA9">
            <w:pPr>
              <w:rPr>
                <w:sz w:val="22"/>
                <w14:ligatures w14:val="standardContextual"/>
              </w:rPr>
            </w:pPr>
          </w:p>
        </w:tc>
        <w:tc>
          <w:tcPr>
            <w:tcW w:w="3198" w:type="dxa"/>
            <w:vAlign w:val="center"/>
          </w:tcPr>
          <w:p w14:paraId="15E4FF16">
            <w:pPr>
              <w:rPr>
                <w:b/>
                <w:bCs/>
                <w:sz w:val="22"/>
                <w14:ligatures w14:val="standardContextual"/>
              </w:rPr>
            </w:pPr>
            <w:r>
              <w:rPr>
                <w:rFonts w:hint="eastAsia"/>
                <w:b/>
                <w:bCs/>
                <w:sz w:val="22"/>
                <w14:ligatures w14:val="standardContextual"/>
              </w:rPr>
              <w:t>签字时间：</w:t>
            </w:r>
          </w:p>
        </w:tc>
      </w:tr>
    </w:tbl>
    <w:p w14:paraId="54476B33">
      <w:pPr>
        <w:pStyle w:val="28"/>
        <w:numPr>
          <w:ilvl w:val="0"/>
          <w:numId w:val="6"/>
        </w:numPr>
      </w:pPr>
      <w:r>
        <w:rPr>
          <w:rFonts w:hint="eastAsia"/>
        </w:rPr>
        <w:t>系统分类主要有：</w:t>
      </w:r>
      <w:r>
        <w:t>HIS</w:t>
      </w:r>
      <w:r>
        <w:rPr>
          <w:rFonts w:hint="eastAsia"/>
        </w:rPr>
        <w:t>、</w:t>
      </w:r>
      <w:r>
        <w:t>EMR</w:t>
      </w:r>
      <w:r>
        <w:rPr>
          <w:rFonts w:hint="eastAsia"/>
        </w:rPr>
        <w:t>、临床路径、全预约等，工作量包括：需求设计、开发、测试、实施。</w:t>
      </w:r>
    </w:p>
    <w:p w14:paraId="52E8775E">
      <w:pPr>
        <w:pStyle w:val="28"/>
        <w:numPr>
          <w:ilvl w:val="0"/>
          <w:numId w:val="6"/>
        </w:numPr>
        <w:rPr>
          <w:rFonts w:hint="eastAsia"/>
        </w:rPr>
      </w:pPr>
      <w:r>
        <w:rPr>
          <w:rFonts w:hint="eastAsia"/>
        </w:rPr>
        <w:t>使用单位对需求内容和工作量均认可后签字，签字科室包括信息科和临床科室（行政职能科室）2个科室及以上。</w:t>
      </w:r>
    </w:p>
    <w:p w14:paraId="3D9D6610">
      <w:pPr>
        <w:jc w:val="both"/>
        <w:rPr>
          <w:rFonts w:hint="eastAsia"/>
          <w:b/>
          <w:bCs/>
          <w:sz w:val="32"/>
          <w:szCs w:val="32"/>
        </w:rPr>
      </w:pPr>
    </w:p>
    <w:p w14:paraId="26182D4F">
      <w:pPr>
        <w:ind w:left="360" w:hanging="360"/>
        <w:jc w:val="center"/>
      </w:pPr>
      <w:r>
        <w:rPr>
          <w:rFonts w:hint="eastAsia"/>
          <w:b/>
          <w:bCs/>
          <w:sz w:val="32"/>
          <w:szCs w:val="32"/>
        </w:rPr>
        <w:t>附件2：系统改造验收确认单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2921"/>
        <w:gridCol w:w="992"/>
        <w:gridCol w:w="3198"/>
      </w:tblGrid>
      <w:tr w14:paraId="2837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06" w:type="dxa"/>
            <w:gridSpan w:val="2"/>
            <w:vAlign w:val="center"/>
          </w:tcPr>
          <w:p w14:paraId="088EE8E0">
            <w:pPr>
              <w:rPr>
                <w:sz w:val="22"/>
                <w14:ligatures w14:val="standardContextual"/>
              </w:rPr>
            </w:pPr>
            <w:r>
              <w:rPr>
                <w:rFonts w:hint="eastAsia"/>
                <w:b/>
                <w:bCs/>
                <w:sz w:val="22"/>
                <w14:ligatures w14:val="standardContextual"/>
              </w:rPr>
              <w:t>名称</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p>
        </w:tc>
        <w:tc>
          <w:tcPr>
            <w:tcW w:w="4190" w:type="dxa"/>
            <w:gridSpan w:val="2"/>
            <w:vAlign w:val="center"/>
          </w:tcPr>
          <w:p w14:paraId="6D887D30">
            <w:pPr>
              <w:rPr>
                <w:sz w:val="22"/>
                <w14:ligatures w14:val="standardContextual"/>
              </w:rPr>
            </w:pPr>
            <w:r>
              <w:rPr>
                <w:rFonts w:hint="eastAsia"/>
                <w:b/>
                <w:bCs/>
                <w:sz w:val="22"/>
                <w14:ligatures w14:val="standardContextual"/>
              </w:rPr>
              <w:t>编号</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p>
        </w:tc>
      </w:tr>
      <w:tr w14:paraId="7AB1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06" w:type="dxa"/>
            <w:gridSpan w:val="2"/>
            <w:vAlign w:val="center"/>
          </w:tcPr>
          <w:p w14:paraId="7731A2F6">
            <w:pPr>
              <w:rPr>
                <w:b/>
                <w:bCs/>
                <w:sz w:val="22"/>
                <w14:ligatures w14:val="standardContextual"/>
              </w:rPr>
            </w:pPr>
            <w:r>
              <w:rPr>
                <w:rFonts w:hint="eastAsia"/>
                <w:b/>
                <w:bCs/>
                <w:sz w:val="22"/>
                <w14:ligatures w14:val="standardContextual"/>
              </w:rPr>
              <w:t>使用单位</w:t>
            </w:r>
            <w:r>
              <w:rPr>
                <w:rFonts w:hint="eastAsia"/>
                <w:sz w:val="22"/>
                <w14:ligatures w14:val="standardContextual"/>
              </w:rPr>
              <w:t>：桂林市妇幼保健院</w:t>
            </w:r>
          </w:p>
        </w:tc>
        <w:tc>
          <w:tcPr>
            <w:tcW w:w="4190" w:type="dxa"/>
            <w:gridSpan w:val="2"/>
            <w:vAlign w:val="center"/>
          </w:tcPr>
          <w:p w14:paraId="4645B15A">
            <w:pPr>
              <w:rPr>
                <w:b/>
                <w:bCs/>
                <w:sz w:val="22"/>
                <w14:ligatures w14:val="standardContextual"/>
              </w:rPr>
            </w:pPr>
            <w:r>
              <w:rPr>
                <w:rFonts w:hint="eastAsia"/>
                <w:b/>
                <w:bCs/>
                <w:sz w:val="22"/>
                <w14:ligatures w14:val="standardContextual"/>
              </w:rPr>
              <w:t>系统分类</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p>
        </w:tc>
      </w:tr>
      <w:tr w14:paraId="513A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06" w:type="dxa"/>
            <w:gridSpan w:val="2"/>
            <w:vAlign w:val="center"/>
          </w:tcPr>
          <w:p w14:paraId="0A322396">
            <w:pPr>
              <w:rPr>
                <w:sz w:val="22"/>
                <w14:ligatures w14:val="standardContextual"/>
              </w:rPr>
            </w:pPr>
            <w:r>
              <w:rPr>
                <w:rFonts w:hint="eastAsia"/>
                <w:b/>
                <w:bCs/>
                <w:sz w:val="22"/>
                <w14:ligatures w14:val="standardContextual"/>
              </w:rPr>
              <w:t>承建单位</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sz w:val="22"/>
                <w14:ligatures w14:val="standardContextual"/>
              </w:rPr>
              <w:t xml:space="preserve"> </w:t>
            </w:r>
          </w:p>
        </w:tc>
        <w:tc>
          <w:tcPr>
            <w:tcW w:w="4190" w:type="dxa"/>
            <w:gridSpan w:val="2"/>
            <w:vAlign w:val="center"/>
          </w:tcPr>
          <w:p w14:paraId="408BE0C6">
            <w:pPr>
              <w:rPr>
                <w:sz w:val="22"/>
                <w14:ligatures w14:val="standardContextual"/>
              </w:rPr>
            </w:pPr>
            <w:r>
              <w:rPr>
                <w:rFonts w:hint="eastAsia"/>
                <w:b/>
                <w:bCs/>
                <w:sz w:val="22"/>
                <w14:ligatures w14:val="standardContextual"/>
              </w:rPr>
              <w:t>工作量</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color w:val="FF0000"/>
                <w:sz w:val="22"/>
                <w:u w:val="single"/>
                <w14:ligatures w14:val="standardContextual"/>
              </w:rPr>
              <w:t xml:space="preserve">   </w:t>
            </w:r>
            <w:r>
              <w:rPr>
                <w:sz w:val="22"/>
                <w:u w:val="single"/>
                <w14:ligatures w14:val="standardContextual"/>
              </w:rPr>
              <w:t xml:space="preserve">    </w:t>
            </w:r>
            <w:r>
              <w:rPr>
                <w:rFonts w:hint="eastAsia"/>
                <w:sz w:val="22"/>
                <w14:ligatures w14:val="standardContextual"/>
              </w:rPr>
              <w:t>（人/日）</w:t>
            </w:r>
          </w:p>
        </w:tc>
      </w:tr>
      <w:tr w14:paraId="037A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106" w:type="dxa"/>
            <w:gridSpan w:val="2"/>
            <w:vAlign w:val="center"/>
          </w:tcPr>
          <w:p w14:paraId="595741B7">
            <w:pPr>
              <w:rPr>
                <w:sz w:val="22"/>
                <w14:ligatures w14:val="standardContextual"/>
              </w:rPr>
            </w:pPr>
            <w:r>
              <w:rPr>
                <w:rFonts w:hint="eastAsia"/>
                <w:b/>
                <w:bCs/>
                <w:sz w:val="22"/>
                <w14:ligatures w14:val="standardContextual"/>
              </w:rPr>
              <w:t>现场技术人员</w:t>
            </w:r>
            <w:r>
              <w:rPr>
                <w:rFonts w:hint="eastAsia"/>
                <w:sz w:val="22"/>
                <w14:ligatures w14:val="standardContextual"/>
              </w:rPr>
              <w:t>：</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p>
        </w:tc>
        <w:tc>
          <w:tcPr>
            <w:tcW w:w="4190" w:type="dxa"/>
            <w:gridSpan w:val="2"/>
            <w:vAlign w:val="center"/>
          </w:tcPr>
          <w:p w14:paraId="0380E918">
            <w:pPr>
              <w:rPr>
                <w:sz w:val="22"/>
                <w14:ligatures w14:val="standardContextual"/>
              </w:rPr>
            </w:pPr>
            <w:r>
              <w:rPr>
                <w:rFonts w:hint="eastAsia"/>
                <w:b/>
                <w:bCs/>
                <w:sz w:val="22"/>
                <w14:ligatures w14:val="standardContextual"/>
              </w:rPr>
              <w:t>时间</w:t>
            </w:r>
            <w:r>
              <w:rPr>
                <w:rFonts w:hint="eastAsia"/>
                <w:sz w:val="22"/>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p>
        </w:tc>
      </w:tr>
      <w:tr w14:paraId="7D71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1185" w:type="dxa"/>
            <w:vAlign w:val="center"/>
          </w:tcPr>
          <w:p w14:paraId="1D366BD7">
            <w:pPr>
              <w:jc w:val="center"/>
              <w:rPr>
                <w:b/>
                <w:bCs/>
                <w:sz w:val="22"/>
                <w14:ligatures w14:val="standardContextual"/>
              </w:rPr>
            </w:pPr>
            <w:r>
              <w:rPr>
                <w:rFonts w:hint="eastAsia"/>
                <w:b/>
                <w:bCs/>
                <w:sz w:val="22"/>
                <w14:ligatures w14:val="standardContextual"/>
              </w:rPr>
              <w:t>需求内容</w:t>
            </w:r>
          </w:p>
        </w:tc>
        <w:tc>
          <w:tcPr>
            <w:tcW w:w="7111" w:type="dxa"/>
            <w:gridSpan w:val="3"/>
          </w:tcPr>
          <w:p w14:paraId="4BD3DBD0">
            <w:pPr>
              <w:pStyle w:val="28"/>
              <w:numPr>
                <w:ilvl w:val="0"/>
                <w:numId w:val="5"/>
              </w:numPr>
              <w:spacing w:after="0" w:line="240" w:lineRule="auto"/>
            </w:pPr>
            <w:r>
              <w:t>X</w:t>
            </w:r>
            <w:r>
              <w:rPr>
                <w:rFonts w:hint="eastAsia"/>
              </w:rPr>
              <w:t>xxx</w:t>
            </w:r>
          </w:p>
          <w:p w14:paraId="19A4AA0F">
            <w:pPr>
              <w:rPr>
                <w:sz w:val="22"/>
                <w14:ligatures w14:val="standardContextual"/>
              </w:rPr>
            </w:pPr>
          </w:p>
          <w:p w14:paraId="5D1CBFB7">
            <w:pPr>
              <w:pStyle w:val="28"/>
              <w:numPr>
                <w:ilvl w:val="0"/>
                <w:numId w:val="5"/>
              </w:numPr>
              <w:spacing w:after="0" w:line="240" w:lineRule="auto"/>
            </w:pPr>
            <w:r>
              <w:t>X</w:t>
            </w:r>
            <w:r>
              <w:rPr>
                <w:rFonts w:hint="eastAsia"/>
              </w:rPr>
              <w:t>xxx</w:t>
            </w:r>
          </w:p>
          <w:p w14:paraId="32F3A726">
            <w:pPr>
              <w:rPr>
                <w:sz w:val="22"/>
                <w14:ligatures w14:val="standardContextual"/>
              </w:rPr>
            </w:pPr>
          </w:p>
          <w:p w14:paraId="48602436">
            <w:pPr>
              <w:rPr>
                <w:sz w:val="22"/>
                <w14:ligatures w14:val="standardContextual"/>
              </w:rPr>
            </w:pPr>
          </w:p>
          <w:p w14:paraId="2B5A096E">
            <w:pPr>
              <w:pStyle w:val="28"/>
              <w:ind w:left="360"/>
              <w:rPr>
                <w:u w:val="single"/>
              </w:rPr>
            </w:pPr>
            <w:r>
              <w:rPr>
                <w:rFonts w:hint="eastAsia"/>
              </w:rPr>
              <w:t>验收意见：</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14:paraId="38288453">
            <w:pPr>
              <w:rPr>
                <w:sz w:val="22"/>
                <w14:ligatures w14:val="standardContextual"/>
              </w:rPr>
            </w:pPr>
            <w:r>
              <w:rPr>
                <w:rFonts w:hint="eastAsia"/>
                <w:sz w:val="22"/>
                <w14:ligatures w14:val="standardContextual"/>
              </w:rPr>
              <w:t xml:space="preserve"> </w:t>
            </w:r>
            <w:r>
              <w:rPr>
                <w:sz w:val="22"/>
                <w14:ligatures w14:val="standardContextual"/>
              </w:rPr>
              <w:t xml:space="preserve">  </w:t>
            </w:r>
          </w:p>
          <w:p w14:paraId="056922F2">
            <w:pPr>
              <w:ind w:firstLine="440" w:firstLineChars="200"/>
              <w:rPr>
                <w:sz w:val="22"/>
                <w14:ligatures w14:val="standardContextual"/>
              </w:rPr>
            </w:pPr>
            <w:r>
              <w:rPr>
                <w:rFonts w:hint="eastAsia"/>
                <w:sz w:val="22"/>
                <w14:ligatures w14:val="standardContextual"/>
              </w:rPr>
              <w:t>后续继续完成的问题或承诺：</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r>
              <w:rPr>
                <w:rFonts w:hint="eastAsia"/>
                <w:sz w:val="22"/>
                <w:u w:val="single"/>
                <w14:ligatures w14:val="standardContextual"/>
              </w:rPr>
              <w:t xml:space="preserve"> </w:t>
            </w:r>
            <w:r>
              <w:rPr>
                <w:sz w:val="22"/>
                <w:u w:val="single"/>
                <w14:ligatures w14:val="standardContextual"/>
              </w:rPr>
              <w:t xml:space="preserve">                </w:t>
            </w:r>
          </w:p>
          <w:p w14:paraId="2D6E59A2">
            <w:pPr>
              <w:rPr>
                <w:sz w:val="22"/>
                <w14:ligatures w14:val="standardContextual"/>
              </w:rPr>
            </w:pPr>
          </w:p>
        </w:tc>
      </w:tr>
      <w:tr w14:paraId="3071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185" w:type="dxa"/>
            <w:vAlign w:val="center"/>
          </w:tcPr>
          <w:p w14:paraId="0366C85E">
            <w:pPr>
              <w:rPr>
                <w:b/>
                <w:bCs/>
                <w:sz w:val="22"/>
                <w14:ligatures w14:val="standardContextual"/>
              </w:rPr>
            </w:pPr>
            <w:r>
              <w:rPr>
                <w:rFonts w:hint="eastAsia"/>
                <w:b/>
                <w:bCs/>
                <w:sz w:val="22"/>
                <w14:ligatures w14:val="standardContextual"/>
              </w:rPr>
              <w:t>签字确认</w:t>
            </w:r>
          </w:p>
        </w:tc>
        <w:tc>
          <w:tcPr>
            <w:tcW w:w="3913" w:type="dxa"/>
            <w:gridSpan w:val="2"/>
            <w:vAlign w:val="center"/>
          </w:tcPr>
          <w:p w14:paraId="192168EF">
            <w:pPr>
              <w:rPr>
                <w:sz w:val="22"/>
                <w14:ligatures w14:val="standardContextual"/>
              </w:rPr>
            </w:pPr>
          </w:p>
        </w:tc>
        <w:tc>
          <w:tcPr>
            <w:tcW w:w="3198" w:type="dxa"/>
            <w:vAlign w:val="center"/>
          </w:tcPr>
          <w:p w14:paraId="31C367CD">
            <w:pPr>
              <w:rPr>
                <w:b/>
                <w:bCs/>
                <w:sz w:val="22"/>
                <w14:ligatures w14:val="standardContextual"/>
              </w:rPr>
            </w:pPr>
            <w:r>
              <w:rPr>
                <w:rFonts w:hint="eastAsia"/>
                <w:b/>
                <w:bCs/>
                <w:sz w:val="22"/>
                <w14:ligatures w14:val="standardContextual"/>
              </w:rPr>
              <w:t>签字时间：</w:t>
            </w:r>
          </w:p>
        </w:tc>
      </w:tr>
    </w:tbl>
    <w:p w14:paraId="6980919A">
      <w:pPr>
        <w:rPr>
          <w:vanish/>
          <w:color w:val="000000"/>
          <w:szCs w:val="21"/>
          <w:highlight w:val="none"/>
        </w:rPr>
      </w:pPr>
    </w:p>
    <w:p w14:paraId="3D32C95A">
      <w:pPr>
        <w:rPr>
          <w:rFonts w:hint="eastAsia"/>
          <w:color w:val="000000"/>
          <w:szCs w:val="21"/>
          <w:highlight w:val="none"/>
        </w:rPr>
      </w:pPr>
      <w:bookmarkStart w:id="267" w:name="_Toc3679_WPSOffice_Level1"/>
    </w:p>
    <w:p w14:paraId="77083276">
      <w:pPr>
        <w:pStyle w:val="12"/>
        <w:ind w:left="0" w:leftChars="0" w:firstLine="0" w:firstLineChars="0"/>
        <w:rPr>
          <w:rFonts w:hint="eastAsia"/>
          <w:color w:val="000000"/>
          <w:highlight w:val="none"/>
        </w:rPr>
      </w:pPr>
    </w:p>
    <w:p w14:paraId="744E56D5">
      <w:pPr>
        <w:pStyle w:val="12"/>
        <w:ind w:firstLine="0"/>
        <w:rPr>
          <w:rFonts w:hint="eastAsia"/>
          <w:color w:val="000000"/>
          <w:highlight w:val="none"/>
        </w:rPr>
      </w:pPr>
    </w:p>
    <w:p w14:paraId="0681EED7">
      <w:pPr>
        <w:numPr>
          <w:ilvl w:val="0"/>
          <w:numId w:val="0"/>
        </w:numPr>
        <w:jc w:val="center"/>
        <w:outlineLvl w:val="9"/>
        <w:rPr>
          <w:rFonts w:hint="eastAsia"/>
          <w:color w:val="000000"/>
          <w:sz w:val="32"/>
          <w:szCs w:val="32"/>
          <w:highlight w:val="none"/>
        </w:rPr>
      </w:pPr>
      <w:bookmarkStart w:id="268" w:name="_Toc21572"/>
      <w:bookmarkStart w:id="269" w:name="_Toc3451"/>
      <w:bookmarkStart w:id="270" w:name="_Toc2465"/>
      <w:bookmarkStart w:id="271" w:name="_Toc13874"/>
      <w:bookmarkStart w:id="272" w:name="bookmark1"/>
      <w:r>
        <w:rPr>
          <w:rFonts w:hint="eastAsia"/>
          <w:color w:val="000000"/>
          <w:sz w:val="32"/>
          <w:szCs w:val="32"/>
          <w:highlight w:val="none"/>
          <w:lang w:eastAsia="zh-CN"/>
        </w:rPr>
        <w:br w:type="page"/>
      </w:r>
      <w:r>
        <w:rPr>
          <w:rFonts w:hint="eastAsia"/>
          <w:color w:val="000000"/>
          <w:sz w:val="32"/>
          <w:szCs w:val="32"/>
          <w:highlight w:val="none"/>
          <w:lang w:eastAsia="zh-CN"/>
        </w:rPr>
        <w:t>第四章</w:t>
      </w:r>
      <w:r>
        <w:rPr>
          <w:rFonts w:hint="eastAsia"/>
          <w:color w:val="000000"/>
          <w:sz w:val="32"/>
          <w:szCs w:val="32"/>
          <w:highlight w:val="none"/>
          <w:lang w:val="en-US" w:eastAsia="zh-CN"/>
        </w:rPr>
        <w:t xml:space="preserve"> </w:t>
      </w:r>
      <w:r>
        <w:rPr>
          <w:rFonts w:hint="eastAsia"/>
          <w:color w:val="000000"/>
          <w:sz w:val="32"/>
          <w:szCs w:val="32"/>
          <w:highlight w:val="none"/>
        </w:rPr>
        <w:t>评审办法</w:t>
      </w:r>
      <w:bookmarkEnd w:id="268"/>
      <w:bookmarkEnd w:id="269"/>
      <w:bookmarkEnd w:id="270"/>
      <w:bookmarkEnd w:id="271"/>
    </w:p>
    <w:bookmarkEnd w:id="272"/>
    <w:p w14:paraId="3FB0C112">
      <w:pPr>
        <w:ind w:firstLine="420" w:firstLineChars="200"/>
        <w:outlineLvl w:val="1"/>
        <w:rPr>
          <w:b/>
          <w:bCs/>
          <w:color w:val="000000"/>
          <w:highlight w:val="none"/>
        </w:rPr>
      </w:pPr>
      <w:r>
        <w:rPr>
          <w:rFonts w:hint="eastAsia"/>
          <w:b/>
          <w:bCs/>
          <w:color w:val="000000"/>
          <w:highlight w:val="none"/>
        </w:rPr>
        <w:t>一、评审依据</w:t>
      </w:r>
    </w:p>
    <w:p w14:paraId="34D69B18">
      <w:pPr>
        <w:spacing w:line="360" w:lineRule="auto"/>
        <w:ind w:firstLine="420" w:firstLineChars="200"/>
        <w:outlineLvl w:val="2"/>
        <w:rPr>
          <w:rFonts w:ascii="宋体" w:cs="宋体"/>
          <w:color w:val="000000"/>
          <w:szCs w:val="21"/>
          <w:highlight w:val="none"/>
        </w:rPr>
      </w:pPr>
      <w:r>
        <w:rPr>
          <w:rFonts w:ascii="宋体" w:hAnsi="宋体" w:cs="宋体"/>
          <w:color w:val="000000"/>
          <w:szCs w:val="21"/>
          <w:highlight w:val="none"/>
        </w:rPr>
        <w:t xml:space="preserve">1. </w:t>
      </w:r>
      <w:r>
        <w:rPr>
          <w:rFonts w:hint="eastAsia" w:ascii="宋体" w:hAnsi="宋体" w:cs="宋体"/>
          <w:color w:val="000000"/>
          <w:szCs w:val="21"/>
          <w:highlight w:val="none"/>
        </w:rPr>
        <w:t>评审依据：谈判小组以谈判文件和响应文件为评审依据。</w:t>
      </w:r>
    </w:p>
    <w:p w14:paraId="5BBC6297">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 xml:space="preserve">2. </w:t>
      </w:r>
      <w:r>
        <w:rPr>
          <w:rFonts w:hint="eastAsia" w:ascii="宋体" w:hAnsi="宋体" w:cs="宋体"/>
          <w:color w:val="000000"/>
          <w:szCs w:val="21"/>
          <w:highlight w:val="none"/>
        </w:rPr>
        <w:t>采购人和采购代理机构、竞争性谈判小组成员要严格遵守政府采购相关法律制度，依法履行各自职责，公正、客观、审慎地组织和参与评审工作。</w:t>
      </w:r>
    </w:p>
    <w:p w14:paraId="495168F6">
      <w:pPr>
        <w:ind w:firstLine="420" w:firstLineChars="200"/>
        <w:outlineLvl w:val="1"/>
        <w:rPr>
          <w:b/>
          <w:bCs/>
          <w:color w:val="000000"/>
          <w:highlight w:val="none"/>
        </w:rPr>
      </w:pPr>
      <w:r>
        <w:rPr>
          <w:rFonts w:hint="eastAsia"/>
          <w:b/>
          <w:bCs/>
          <w:color w:val="000000"/>
          <w:highlight w:val="none"/>
        </w:rPr>
        <w:t>二、评审办法</w:t>
      </w:r>
    </w:p>
    <w:p w14:paraId="7BF98B65">
      <w:pPr>
        <w:spacing w:line="360" w:lineRule="auto"/>
        <w:ind w:firstLine="420" w:firstLineChars="200"/>
        <w:rPr>
          <w:rFonts w:ascii="宋体" w:cs="宋体"/>
          <w:color w:val="000000"/>
          <w:szCs w:val="21"/>
          <w:highlight w:val="none"/>
        </w:rPr>
      </w:pPr>
      <w:r>
        <w:rPr>
          <w:rFonts w:ascii="宋体" w:hAnsi="宋体" w:cs="宋体"/>
          <w:color w:val="000000"/>
          <w:szCs w:val="21"/>
          <w:highlight w:val="none"/>
        </w:rPr>
        <w:t xml:space="preserve">1. </w:t>
      </w:r>
      <w:r>
        <w:rPr>
          <w:rFonts w:hint="eastAsia" w:ascii="宋体" w:hAnsi="宋体" w:cs="宋体"/>
          <w:color w:val="000000"/>
          <w:szCs w:val="21"/>
          <w:highlight w:val="none"/>
        </w:rPr>
        <w:t>谈判小组应当从质量和服务均能满足竞争性谈判文件全部实质性响应要求的供应商中，按照评审报价由低到高顺序提出</w:t>
      </w:r>
      <w:r>
        <w:rPr>
          <w:rFonts w:ascii="宋体" w:hAnsi="宋体" w:cs="宋体"/>
          <w:color w:val="000000"/>
          <w:szCs w:val="21"/>
          <w:highlight w:val="none"/>
        </w:rPr>
        <w:t>3</w:t>
      </w:r>
      <w:r>
        <w:rPr>
          <w:rFonts w:hint="eastAsia" w:ascii="宋体" w:hAnsi="宋体" w:cs="宋体"/>
          <w:color w:val="000000"/>
          <w:szCs w:val="21"/>
          <w:highlight w:val="none"/>
        </w:rPr>
        <w:t>名以上（含</w:t>
      </w:r>
      <w:r>
        <w:rPr>
          <w:rFonts w:ascii="宋体" w:hAnsi="宋体" w:cs="宋体"/>
          <w:color w:val="000000"/>
          <w:szCs w:val="21"/>
          <w:highlight w:val="none"/>
        </w:rPr>
        <w:t>3</w:t>
      </w:r>
      <w:r>
        <w:rPr>
          <w:rFonts w:hint="eastAsia" w:ascii="宋体" w:hAnsi="宋体" w:cs="宋体"/>
          <w:color w:val="000000"/>
          <w:szCs w:val="21"/>
          <w:highlight w:val="none"/>
        </w:rPr>
        <w:t>名）成交候选供应商。</w:t>
      </w:r>
    </w:p>
    <w:p w14:paraId="758676EC">
      <w:pPr>
        <w:spacing w:line="360" w:lineRule="auto"/>
        <w:ind w:firstLine="420" w:firstLineChars="200"/>
        <w:rPr>
          <w:rFonts w:hint="eastAsia" w:ascii="宋体" w:hAnsi="宋体" w:cs="宋体"/>
          <w:color w:val="000000"/>
          <w:szCs w:val="21"/>
          <w:highlight w:val="none"/>
        </w:rPr>
      </w:pPr>
      <w:r>
        <w:rPr>
          <w:rFonts w:ascii="宋体" w:hAnsi="宋体" w:cs="宋体"/>
          <w:color w:val="000000"/>
          <w:szCs w:val="21"/>
          <w:highlight w:val="none"/>
        </w:rPr>
        <w:t xml:space="preserve">2. </w:t>
      </w:r>
      <w:r>
        <w:rPr>
          <w:rFonts w:hint="eastAsia" w:ascii="宋体" w:hAnsi="宋体" w:cs="宋体"/>
          <w:color w:val="000000"/>
          <w:szCs w:val="21"/>
          <w:highlight w:val="none"/>
        </w:rPr>
        <w:t>根据《广西壮族自治区财政厅关于持续优化政府采购营商环境推动高质量发展的通知》（桂财采〔2024〕55号），凡符合《政府采购促进中小企业发展管理办法》（财库〔2020〕46号）规定条件且按该办法中规定的格式提供了《中小企业声明函》的小型和微型企业，对其最后报价给予20%的扣除，扣除后的价格为评审报价，即评审报价=最后报价×（1-20%）。</w:t>
      </w:r>
    </w:p>
    <w:p w14:paraId="384CEC24">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除上述情况外，评审报价</w:t>
      </w:r>
      <w:r>
        <w:rPr>
          <w:rFonts w:ascii="宋体" w:hAnsi="宋体" w:cs="宋体"/>
          <w:color w:val="000000"/>
          <w:szCs w:val="21"/>
          <w:highlight w:val="none"/>
        </w:rPr>
        <w:t>=</w:t>
      </w:r>
      <w:r>
        <w:rPr>
          <w:rFonts w:hint="eastAsia" w:ascii="宋体" w:hAnsi="宋体" w:cs="宋体"/>
          <w:color w:val="000000"/>
          <w:szCs w:val="21"/>
          <w:highlight w:val="none"/>
        </w:rPr>
        <w:t>最后报价。</w:t>
      </w:r>
    </w:p>
    <w:p w14:paraId="193568D2">
      <w:pPr>
        <w:pStyle w:val="11"/>
        <w:spacing w:line="400" w:lineRule="exact"/>
        <w:rPr>
          <w:rFonts w:hint="eastAsia" w:hAnsi="宋体" w:cs="宋体"/>
          <w:b/>
          <w:bCs/>
          <w:color w:val="000000"/>
          <w:kern w:val="2"/>
          <w:sz w:val="21"/>
          <w:highlight w:val="none"/>
        </w:rPr>
      </w:pPr>
      <w:r>
        <w:rPr>
          <w:rFonts w:hint="eastAsia" w:hAnsi="宋体" w:cs="宋体"/>
          <w:b/>
          <w:bCs/>
          <w:color w:val="000000"/>
          <w:kern w:val="2"/>
          <w:sz w:val="21"/>
          <w:highlight w:val="none"/>
        </w:rPr>
        <w:t>注：①谈判小组应当按扣除后的报价由低到高进行排序，该扣除后报价仅作为评审报价排序，不作为合同签订报价，合同将按实际最后报价签订。</w:t>
      </w:r>
    </w:p>
    <w:p w14:paraId="49D2E355">
      <w:pPr>
        <w:pStyle w:val="11"/>
        <w:spacing w:line="400" w:lineRule="exact"/>
        <w:ind w:firstLine="420" w:firstLineChars="200"/>
        <w:rPr>
          <w:rFonts w:hint="eastAsia" w:hAnsi="宋体" w:cs="宋体"/>
          <w:b/>
          <w:bCs/>
          <w:color w:val="000000"/>
          <w:kern w:val="2"/>
          <w:sz w:val="21"/>
          <w:highlight w:val="none"/>
        </w:rPr>
      </w:pPr>
      <w:r>
        <w:rPr>
          <w:rFonts w:hint="eastAsia" w:hAnsi="宋体" w:cs="宋体"/>
          <w:b/>
          <w:bCs/>
          <w:color w:val="000000"/>
          <w:kern w:val="2"/>
          <w:sz w:val="21"/>
          <w:highlight w:val="none"/>
        </w:rPr>
        <w:t>②中小微型企业划分标准按照《国家统计局关于印发&lt;统计上大中小微型企业划分办法〔2017〕&gt;的通知》（国统字〔2017〕213号）执行，具体划分标准见附表《统计上大中小微型企业划分标准》。</w:t>
      </w:r>
    </w:p>
    <w:p w14:paraId="6772BECE">
      <w:pPr>
        <w:spacing w:line="360" w:lineRule="auto"/>
        <w:ind w:firstLine="420" w:firstLineChars="200"/>
        <w:rPr>
          <w:rFonts w:hint="eastAsia"/>
          <w:color w:val="000000"/>
          <w:highlight w:val="none"/>
        </w:rPr>
      </w:pPr>
      <w:r>
        <w:rPr>
          <w:rFonts w:ascii="宋体" w:hAnsi="宋体" w:cs="宋体"/>
          <w:color w:val="000000"/>
          <w:szCs w:val="21"/>
          <w:highlight w:val="none"/>
        </w:rPr>
        <w:t xml:space="preserve">3. </w:t>
      </w:r>
      <w:r>
        <w:rPr>
          <w:rFonts w:hint="eastAsia" w:ascii="宋体" w:hAnsi="宋体" w:cs="宋体"/>
          <w:color w:val="000000"/>
          <w:szCs w:val="21"/>
          <w:highlight w:val="none"/>
        </w:rPr>
        <w:t>根据按《关于政府采购支持监狱企业发展有关问题的通知》(财库〔2014〕68号)和《关于促进残疾人就业政府采购政策的通知》（财库〔2017〕141 号）监狱企业和符合条件的残疾人福利性单位视同小型、微型企业，享受小型、微型企业评审中价格扣除的政府采购政策。残疾人福利性单位属于小型、微型企业的，不重复享受政策。监狱企业参加政府采购活动时，应当提供由省级以上监狱管理局、戒毒管理局(含新疆生产建设兵团)出具的属于监狱企业的证明文件；符合条件的残疾人福利性单位在参加政府采购活动时，应当提供本通知规定的《残疾人福利性单位声明函》，并对声明的真实性负责。</w:t>
      </w:r>
    </w:p>
    <w:p w14:paraId="648CA744">
      <w:pPr>
        <w:spacing w:line="360" w:lineRule="auto"/>
        <w:ind w:firstLine="420" w:firstLineChars="200"/>
        <w:rPr>
          <w:rFonts w:hint="eastAsia" w:ascii="宋体" w:hAnsi="宋体" w:cs="宋体"/>
          <w:b/>
          <w:bCs/>
          <w:color w:val="000000"/>
          <w:szCs w:val="21"/>
          <w:highlight w:val="none"/>
        </w:rPr>
      </w:pPr>
      <w:r>
        <w:rPr>
          <w:rFonts w:ascii="宋体" w:hAnsi="宋体" w:cs="宋体"/>
          <w:color w:val="000000"/>
          <w:szCs w:val="21"/>
          <w:highlight w:val="none"/>
        </w:rPr>
        <w:t xml:space="preserve">4. </w:t>
      </w:r>
      <w:r>
        <w:rPr>
          <w:rFonts w:hint="eastAsia" w:ascii="宋体" w:hAnsi="宋体" w:cs="宋体"/>
          <w:color w:val="000000"/>
          <w:szCs w:val="21"/>
          <w:highlight w:val="none"/>
        </w:rPr>
        <w:t>评审时，应当将通过资格性审查和符合性审查各供应商的评审报价，按照由低到高顺序排序，当评审报价相同时，以最后报价低的优先排序；当最后报价相同时，则按核心产品的价格以报价低的优先排序；当核心产品报价也相同时，则由技术指标高优先、售后服务优先原则排序；如最终不能确定优劣，则由谈判小组抽签决定排序。</w:t>
      </w:r>
    </w:p>
    <w:p w14:paraId="1DC23186">
      <w:pPr>
        <w:ind w:firstLine="420" w:firstLineChars="200"/>
        <w:outlineLvl w:val="1"/>
        <w:rPr>
          <w:rFonts w:hint="eastAsia"/>
          <w:b/>
          <w:bCs/>
          <w:color w:val="000000"/>
          <w:highlight w:val="none"/>
        </w:rPr>
      </w:pPr>
      <w:r>
        <w:rPr>
          <w:rFonts w:hint="eastAsia"/>
          <w:b/>
          <w:bCs/>
          <w:color w:val="000000"/>
          <w:highlight w:val="none"/>
        </w:rPr>
        <w:t>三、成交候选人推荐原则</w:t>
      </w:r>
    </w:p>
    <w:p w14:paraId="3DEEF270">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1</w:t>
      </w:r>
      <w:r>
        <w:rPr>
          <w:rFonts w:hint="eastAsia" w:ascii="宋体" w:hAnsi="宋体" w:cs="宋体"/>
          <w:color w:val="000000"/>
          <w:szCs w:val="21"/>
          <w:highlight w:val="none"/>
        </w:rPr>
        <w:t>）采购单位应当确定谈判小组推荐排名第一的成交候选人为成交供应商。</w:t>
      </w:r>
    </w:p>
    <w:p w14:paraId="72F19E59">
      <w:pPr>
        <w:spacing w:line="360" w:lineRule="auto"/>
        <w:ind w:firstLine="420" w:firstLineChars="200"/>
        <w:rPr>
          <w:rFonts w:asci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2</w:t>
      </w:r>
      <w:r>
        <w:rPr>
          <w:rFonts w:hint="eastAsia" w:ascii="宋体" w:hAnsi="宋体" w:cs="宋体"/>
          <w:color w:val="000000"/>
          <w:szCs w:val="21"/>
          <w:highlight w:val="none"/>
        </w:rPr>
        <w:t>）排名第一的成交候选人放弃成交、因不可抗力提出不能履行合同，或者竞争性谈判文件规定应当提交履约保证金而在规定的期限内未能提交的，或因失信行为被取消成交候选人资格的，采购单位可以确定排名第二的成交候选人为成交供应商。</w:t>
      </w:r>
    </w:p>
    <w:p w14:paraId="1742033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rPr>
        <w:t>3</w:t>
      </w:r>
      <w:r>
        <w:rPr>
          <w:rFonts w:hint="eastAsia" w:ascii="宋体" w:hAnsi="宋体" w:cs="宋体"/>
          <w:color w:val="000000"/>
          <w:szCs w:val="21"/>
          <w:highlight w:val="none"/>
        </w:rPr>
        <w:t>）排名第二的成交候选人因前款规定的同样原因不能签订合同的，采购单位可以确定排名第三的成交候选人为成交供应商。</w:t>
      </w:r>
    </w:p>
    <w:p w14:paraId="2B906AFC">
      <w:pPr>
        <w:spacing w:line="360" w:lineRule="auto"/>
        <w:ind w:firstLine="420" w:firstLineChars="200"/>
        <w:jc w:val="left"/>
        <w:outlineLvl w:val="1"/>
        <w:rPr>
          <w:rFonts w:ascii="宋体" w:hAnsi="宋体" w:cs="宋体"/>
          <w:b/>
          <w:color w:val="000000"/>
          <w:szCs w:val="21"/>
          <w:highlight w:val="none"/>
        </w:rPr>
      </w:pPr>
      <w:r>
        <w:rPr>
          <w:rFonts w:hint="eastAsia" w:ascii="宋体" w:hAnsi="宋体" w:cs="宋体"/>
          <w:b/>
          <w:color w:val="000000"/>
          <w:szCs w:val="21"/>
          <w:highlight w:val="none"/>
        </w:rPr>
        <w:t>四、特别说明</w:t>
      </w:r>
    </w:p>
    <w:p w14:paraId="4184CBE6">
      <w:pPr>
        <w:spacing w:line="360" w:lineRule="auto"/>
        <w:ind w:firstLine="420" w:firstLineChars="200"/>
        <w:rPr>
          <w:rFonts w:hint="eastAsia" w:ascii="宋体" w:hAnsi="宋体" w:eastAsia="宋体" w:cs="宋体"/>
          <w:b/>
          <w:bCs/>
          <w:color w:val="000000"/>
          <w:kern w:val="2"/>
          <w:sz w:val="21"/>
          <w:szCs w:val="21"/>
          <w:highlight w:val="none"/>
          <w:lang w:val="en-US"/>
        </w:rPr>
      </w:pPr>
      <w:r>
        <w:rPr>
          <w:rFonts w:hint="eastAsia" w:ascii="宋体" w:hAnsi="宋体" w:eastAsia="宋体" w:cs="宋体"/>
          <w:b/>
          <w:bCs/>
          <w:color w:val="000000"/>
          <w:kern w:val="2"/>
          <w:sz w:val="21"/>
          <w:szCs w:val="21"/>
          <w:highlight w:val="none"/>
          <w:lang w:val="en-US"/>
        </w:rPr>
        <w:t>评审时，谈判小组会认为</w:t>
      </w:r>
      <w:r>
        <w:rPr>
          <w:rFonts w:hint="eastAsia" w:ascii="宋体" w:hAnsi="宋体" w:eastAsia="宋体" w:cs="宋体"/>
          <w:b/>
          <w:bCs/>
          <w:color w:val="000000"/>
          <w:kern w:val="2"/>
          <w:sz w:val="21"/>
          <w:szCs w:val="21"/>
          <w:highlight w:val="none"/>
          <w:lang w:val="en-US" w:eastAsia="zh-CN"/>
        </w:rPr>
        <w:t>供应商</w:t>
      </w:r>
      <w:r>
        <w:rPr>
          <w:rFonts w:hint="eastAsia" w:ascii="宋体" w:hAnsi="宋体" w:eastAsia="宋体" w:cs="宋体"/>
          <w:b/>
          <w:bCs/>
          <w:color w:val="000000"/>
          <w:kern w:val="2"/>
          <w:sz w:val="21"/>
          <w:szCs w:val="21"/>
          <w:highlight w:val="none"/>
          <w:lang w:val="en-US"/>
        </w:rPr>
        <w:t>的报价明显低于其他通过符合性审查</w:t>
      </w:r>
      <w:r>
        <w:rPr>
          <w:rFonts w:hint="eastAsia" w:ascii="宋体" w:hAnsi="宋体" w:eastAsia="宋体" w:cs="宋体"/>
          <w:b/>
          <w:bCs/>
          <w:color w:val="000000"/>
          <w:kern w:val="2"/>
          <w:sz w:val="21"/>
          <w:szCs w:val="21"/>
          <w:highlight w:val="none"/>
          <w:lang w:val="en-US" w:eastAsia="zh-CN"/>
        </w:rPr>
        <w:t>供应商</w:t>
      </w:r>
      <w:r>
        <w:rPr>
          <w:rFonts w:hint="eastAsia" w:ascii="宋体" w:hAnsi="宋体" w:eastAsia="宋体" w:cs="宋体"/>
          <w:b/>
          <w:bCs/>
          <w:color w:val="000000"/>
          <w:kern w:val="2"/>
          <w:sz w:val="21"/>
          <w:szCs w:val="21"/>
          <w:highlight w:val="none"/>
          <w:lang w:val="en-US"/>
        </w:rPr>
        <w:t>的报价，有可能影响产品质量或者不能诚信履约的，应当在谈判小组要求的时间内按其要求提供书面说明，必要时提交相关证明材料；</w:t>
      </w:r>
      <w:r>
        <w:rPr>
          <w:rFonts w:hint="eastAsia" w:ascii="宋体" w:hAnsi="宋体" w:eastAsia="宋体" w:cs="宋体"/>
          <w:b/>
          <w:bCs/>
          <w:color w:val="000000"/>
          <w:kern w:val="2"/>
          <w:sz w:val="21"/>
          <w:szCs w:val="21"/>
          <w:highlight w:val="none"/>
          <w:lang w:val="en-US" w:eastAsia="zh-CN"/>
        </w:rPr>
        <w:t>供应商</w:t>
      </w:r>
      <w:r>
        <w:rPr>
          <w:rFonts w:hint="eastAsia" w:ascii="宋体" w:hAnsi="宋体" w:eastAsia="宋体" w:cs="宋体"/>
          <w:b/>
          <w:bCs/>
          <w:color w:val="000000"/>
          <w:kern w:val="2"/>
          <w:sz w:val="21"/>
          <w:szCs w:val="21"/>
          <w:highlight w:val="none"/>
          <w:lang w:val="en-US"/>
        </w:rPr>
        <w:t>不能证明其报价合理性的，谈判小组会应当将其作为无效投标处理。</w:t>
      </w:r>
    </w:p>
    <w:p w14:paraId="04A2DF4F">
      <w:pPr>
        <w:pStyle w:val="3"/>
        <w:ind w:left="0" w:firstLine="0"/>
        <w:rPr>
          <w:rFonts w:hint="eastAsia" w:ascii="宋体" w:hAnsi="宋体" w:cs="宋体"/>
          <w:b/>
          <w:color w:val="000000"/>
          <w:kern w:val="0"/>
          <w:sz w:val="30"/>
          <w:szCs w:val="30"/>
          <w:highlight w:val="none"/>
          <w:lang w:val="en-US"/>
        </w:rPr>
      </w:pPr>
      <w:bookmarkStart w:id="273" w:name="_Toc26491"/>
      <w:bookmarkStart w:id="274" w:name="_Toc9683"/>
      <w:bookmarkStart w:id="275" w:name="_Toc3132"/>
      <w:bookmarkStart w:id="276" w:name="_Toc21526"/>
      <w:bookmarkStart w:id="277" w:name="_Toc13442"/>
      <w:bookmarkStart w:id="278" w:name="_Toc7295"/>
      <w:r>
        <w:rPr>
          <w:rFonts w:hint="eastAsia" w:ascii="宋体" w:hAnsi="宋体" w:cs="宋体"/>
          <w:b/>
          <w:color w:val="000000"/>
          <w:kern w:val="0"/>
          <w:sz w:val="30"/>
          <w:szCs w:val="30"/>
          <w:highlight w:val="none"/>
          <w:lang w:val="en-US"/>
        </w:rPr>
        <w:br w:type="page"/>
      </w:r>
      <w:r>
        <w:rPr>
          <w:rFonts w:hint="eastAsia" w:ascii="宋体" w:hAnsi="宋体" w:cs="宋体"/>
          <w:b/>
          <w:color w:val="000000"/>
          <w:kern w:val="0"/>
          <w:sz w:val="30"/>
          <w:szCs w:val="30"/>
          <w:highlight w:val="none"/>
          <w:lang w:val="en-US"/>
        </w:rPr>
        <w:t>附件</w:t>
      </w:r>
      <w:bookmarkEnd w:id="273"/>
      <w:bookmarkEnd w:id="274"/>
      <w:bookmarkEnd w:id="275"/>
      <w:bookmarkEnd w:id="276"/>
      <w:bookmarkEnd w:id="277"/>
      <w:bookmarkEnd w:id="278"/>
    </w:p>
    <w:p w14:paraId="3B768994">
      <w:pPr>
        <w:widowControl/>
        <w:spacing w:before="156" w:beforeLines="50" w:after="156" w:afterLines="50" w:line="400" w:lineRule="exact"/>
        <w:jc w:val="center"/>
        <w:rPr>
          <w:rFonts w:hint="eastAsia" w:ascii="宋体" w:hAnsi="宋体" w:cs="宋体"/>
          <w:b/>
          <w:bCs/>
          <w:color w:val="000000"/>
          <w:kern w:val="0"/>
          <w:sz w:val="30"/>
          <w:szCs w:val="30"/>
          <w:highlight w:val="none"/>
        </w:rPr>
      </w:pPr>
      <w:bookmarkStart w:id="279" w:name="_Toc28361_WPSOffice_Level2"/>
      <w:r>
        <w:rPr>
          <w:rFonts w:hint="eastAsia" w:ascii="宋体" w:hAnsi="宋体" w:cs="宋体"/>
          <w:b/>
          <w:bCs/>
          <w:color w:val="000000"/>
          <w:kern w:val="0"/>
          <w:sz w:val="30"/>
          <w:szCs w:val="30"/>
          <w:highlight w:val="none"/>
        </w:rPr>
        <w:t>统计上大中小微型企业划分标准</w:t>
      </w:r>
      <w:bookmarkEnd w:id="27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F8D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1E3D56AF">
            <w:pPr>
              <w:widowControl/>
              <w:spacing w:line="240" w:lineRule="exact"/>
              <w:jc w:val="center"/>
              <w:rPr>
                <w:b/>
                <w:bCs/>
                <w:color w:val="000000"/>
                <w:kern w:val="0"/>
                <w:sz w:val="18"/>
                <w:szCs w:val="21"/>
                <w:highlight w:val="none"/>
              </w:rPr>
            </w:pPr>
            <w:r>
              <w:rPr>
                <w:b/>
                <w:bCs/>
                <w:color w:val="000000"/>
                <w:kern w:val="0"/>
                <w:sz w:val="18"/>
                <w:szCs w:val="21"/>
                <w:highlight w:val="none"/>
              </w:rPr>
              <w:t>行业名称</w:t>
            </w:r>
          </w:p>
        </w:tc>
        <w:tc>
          <w:tcPr>
            <w:tcW w:w="1369" w:type="dxa"/>
            <w:shd w:val="clear" w:color="auto" w:fill="FFFFFF"/>
            <w:noWrap w:val="0"/>
            <w:vAlign w:val="center"/>
          </w:tcPr>
          <w:p w14:paraId="51D4B526">
            <w:pPr>
              <w:widowControl/>
              <w:jc w:val="center"/>
              <w:rPr>
                <w:b/>
                <w:bCs/>
                <w:color w:val="000000"/>
                <w:kern w:val="0"/>
                <w:sz w:val="18"/>
                <w:szCs w:val="18"/>
                <w:highlight w:val="none"/>
              </w:rPr>
            </w:pPr>
            <w:r>
              <w:rPr>
                <w:b/>
                <w:bCs/>
                <w:color w:val="000000"/>
                <w:kern w:val="0"/>
                <w:sz w:val="18"/>
                <w:szCs w:val="18"/>
                <w:highlight w:val="none"/>
              </w:rPr>
              <w:t>指标名称</w:t>
            </w:r>
          </w:p>
        </w:tc>
        <w:tc>
          <w:tcPr>
            <w:tcW w:w="709" w:type="dxa"/>
            <w:shd w:val="clear" w:color="auto" w:fill="FFFFFF"/>
            <w:noWrap w:val="0"/>
            <w:vAlign w:val="center"/>
          </w:tcPr>
          <w:p w14:paraId="454A89EB">
            <w:pPr>
              <w:widowControl/>
              <w:jc w:val="center"/>
              <w:rPr>
                <w:rFonts w:hint="eastAsia"/>
                <w:b/>
                <w:bCs/>
                <w:color w:val="000000"/>
                <w:kern w:val="0"/>
                <w:sz w:val="18"/>
                <w:szCs w:val="18"/>
                <w:highlight w:val="none"/>
              </w:rPr>
            </w:pPr>
            <w:r>
              <w:rPr>
                <w:b/>
                <w:bCs/>
                <w:color w:val="000000"/>
                <w:kern w:val="0"/>
                <w:sz w:val="18"/>
                <w:szCs w:val="18"/>
                <w:highlight w:val="none"/>
              </w:rPr>
              <w:t>计量</w:t>
            </w:r>
          </w:p>
          <w:p w14:paraId="0237A777">
            <w:pPr>
              <w:widowControl/>
              <w:jc w:val="center"/>
              <w:rPr>
                <w:b/>
                <w:bCs/>
                <w:color w:val="000000"/>
                <w:kern w:val="0"/>
                <w:sz w:val="18"/>
                <w:szCs w:val="18"/>
                <w:highlight w:val="none"/>
              </w:rPr>
            </w:pPr>
            <w:r>
              <w:rPr>
                <w:b/>
                <w:bCs/>
                <w:color w:val="000000"/>
                <w:kern w:val="0"/>
                <w:sz w:val="18"/>
                <w:szCs w:val="18"/>
                <w:highlight w:val="none"/>
              </w:rPr>
              <w:t>单位</w:t>
            </w:r>
          </w:p>
        </w:tc>
        <w:tc>
          <w:tcPr>
            <w:tcW w:w="1125" w:type="dxa"/>
            <w:shd w:val="clear" w:color="auto" w:fill="FFFFFF"/>
            <w:noWrap w:val="0"/>
            <w:vAlign w:val="center"/>
          </w:tcPr>
          <w:p w14:paraId="2C480C59">
            <w:pPr>
              <w:widowControl/>
              <w:jc w:val="center"/>
              <w:rPr>
                <w:b/>
                <w:bCs/>
                <w:color w:val="000000"/>
                <w:kern w:val="0"/>
                <w:sz w:val="18"/>
                <w:szCs w:val="18"/>
                <w:highlight w:val="none"/>
              </w:rPr>
            </w:pPr>
            <w:r>
              <w:rPr>
                <w:b/>
                <w:bCs/>
                <w:color w:val="000000"/>
                <w:kern w:val="0"/>
                <w:sz w:val="18"/>
                <w:szCs w:val="18"/>
                <w:highlight w:val="none"/>
              </w:rPr>
              <w:t>大型</w:t>
            </w:r>
          </w:p>
        </w:tc>
        <w:tc>
          <w:tcPr>
            <w:tcW w:w="1701" w:type="dxa"/>
            <w:shd w:val="clear" w:color="auto" w:fill="FFFFFF"/>
            <w:noWrap w:val="0"/>
            <w:vAlign w:val="center"/>
          </w:tcPr>
          <w:p w14:paraId="5301A249">
            <w:pPr>
              <w:widowControl/>
              <w:jc w:val="center"/>
              <w:rPr>
                <w:b/>
                <w:bCs/>
                <w:color w:val="000000"/>
                <w:kern w:val="0"/>
                <w:sz w:val="18"/>
                <w:szCs w:val="18"/>
                <w:highlight w:val="none"/>
              </w:rPr>
            </w:pPr>
            <w:r>
              <w:rPr>
                <w:b/>
                <w:bCs/>
                <w:color w:val="000000"/>
                <w:kern w:val="0"/>
                <w:sz w:val="18"/>
                <w:szCs w:val="18"/>
                <w:highlight w:val="none"/>
              </w:rPr>
              <w:t>中型</w:t>
            </w:r>
          </w:p>
        </w:tc>
        <w:tc>
          <w:tcPr>
            <w:tcW w:w="1426" w:type="dxa"/>
            <w:shd w:val="clear" w:color="auto" w:fill="FFFFFF"/>
            <w:noWrap w:val="0"/>
            <w:vAlign w:val="center"/>
          </w:tcPr>
          <w:p w14:paraId="010D7B31">
            <w:pPr>
              <w:widowControl/>
              <w:jc w:val="center"/>
              <w:rPr>
                <w:b/>
                <w:bCs/>
                <w:color w:val="000000"/>
                <w:kern w:val="0"/>
                <w:sz w:val="18"/>
                <w:szCs w:val="18"/>
                <w:highlight w:val="none"/>
              </w:rPr>
            </w:pPr>
            <w:r>
              <w:rPr>
                <w:b/>
                <w:bCs/>
                <w:color w:val="000000"/>
                <w:kern w:val="0"/>
                <w:sz w:val="18"/>
                <w:szCs w:val="18"/>
                <w:highlight w:val="none"/>
              </w:rPr>
              <w:t>小型</w:t>
            </w:r>
          </w:p>
        </w:tc>
        <w:tc>
          <w:tcPr>
            <w:tcW w:w="992" w:type="dxa"/>
            <w:shd w:val="clear" w:color="auto" w:fill="FFFFFF"/>
            <w:noWrap w:val="0"/>
            <w:vAlign w:val="center"/>
          </w:tcPr>
          <w:p w14:paraId="5C8A59A6">
            <w:pPr>
              <w:widowControl/>
              <w:jc w:val="center"/>
              <w:rPr>
                <w:b/>
                <w:bCs/>
                <w:color w:val="000000"/>
                <w:kern w:val="0"/>
                <w:sz w:val="18"/>
                <w:szCs w:val="18"/>
                <w:highlight w:val="none"/>
              </w:rPr>
            </w:pPr>
            <w:r>
              <w:rPr>
                <w:b/>
                <w:bCs/>
                <w:color w:val="000000"/>
                <w:kern w:val="0"/>
                <w:sz w:val="18"/>
                <w:szCs w:val="18"/>
                <w:highlight w:val="none"/>
              </w:rPr>
              <w:t>微型</w:t>
            </w:r>
          </w:p>
        </w:tc>
      </w:tr>
      <w:tr w14:paraId="0315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1210CC0">
            <w:pPr>
              <w:widowControl/>
              <w:spacing w:line="240" w:lineRule="exact"/>
              <w:jc w:val="left"/>
              <w:rPr>
                <w:color w:val="000000"/>
                <w:kern w:val="0"/>
                <w:sz w:val="18"/>
                <w:szCs w:val="18"/>
                <w:highlight w:val="none"/>
              </w:rPr>
            </w:pPr>
            <w:r>
              <w:rPr>
                <w:color w:val="000000"/>
                <w:kern w:val="0"/>
                <w:sz w:val="18"/>
                <w:szCs w:val="18"/>
                <w:highlight w:val="none"/>
              </w:rPr>
              <w:t>农、林、牧、渔业</w:t>
            </w:r>
          </w:p>
        </w:tc>
        <w:tc>
          <w:tcPr>
            <w:tcW w:w="1369" w:type="dxa"/>
            <w:noWrap w:val="0"/>
            <w:vAlign w:val="center"/>
          </w:tcPr>
          <w:p w14:paraId="1B9852AE">
            <w:pPr>
              <w:widowControl/>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006302D1">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339CBB21">
            <w:pPr>
              <w:widowControl/>
              <w:jc w:val="center"/>
              <w:rPr>
                <w:color w:val="000000"/>
                <w:kern w:val="0"/>
                <w:sz w:val="18"/>
                <w:szCs w:val="18"/>
                <w:highlight w:val="none"/>
              </w:rPr>
            </w:pPr>
            <w:r>
              <w:rPr>
                <w:color w:val="000000"/>
                <w:kern w:val="0"/>
                <w:sz w:val="18"/>
                <w:szCs w:val="18"/>
                <w:highlight w:val="none"/>
              </w:rPr>
              <w:t>Y≥20000</w:t>
            </w:r>
          </w:p>
        </w:tc>
        <w:tc>
          <w:tcPr>
            <w:tcW w:w="1701" w:type="dxa"/>
            <w:noWrap w:val="0"/>
            <w:vAlign w:val="center"/>
          </w:tcPr>
          <w:p w14:paraId="680DD684">
            <w:pPr>
              <w:widowControl/>
              <w:jc w:val="center"/>
              <w:rPr>
                <w:color w:val="000000"/>
                <w:kern w:val="0"/>
                <w:sz w:val="18"/>
                <w:szCs w:val="18"/>
                <w:highlight w:val="none"/>
              </w:rPr>
            </w:pPr>
            <w:r>
              <w:rPr>
                <w:color w:val="000000"/>
                <w:kern w:val="0"/>
                <w:sz w:val="18"/>
                <w:szCs w:val="18"/>
                <w:highlight w:val="none"/>
              </w:rPr>
              <w:t>500≤Y＜20000</w:t>
            </w:r>
          </w:p>
        </w:tc>
        <w:tc>
          <w:tcPr>
            <w:tcW w:w="1426" w:type="dxa"/>
            <w:noWrap w:val="0"/>
            <w:vAlign w:val="center"/>
          </w:tcPr>
          <w:p w14:paraId="2BD7F278">
            <w:pPr>
              <w:widowControl/>
              <w:jc w:val="center"/>
              <w:rPr>
                <w:color w:val="000000"/>
                <w:kern w:val="0"/>
                <w:sz w:val="18"/>
                <w:szCs w:val="18"/>
                <w:highlight w:val="none"/>
              </w:rPr>
            </w:pPr>
            <w:r>
              <w:rPr>
                <w:color w:val="000000"/>
                <w:kern w:val="0"/>
                <w:sz w:val="18"/>
                <w:szCs w:val="18"/>
                <w:highlight w:val="none"/>
              </w:rPr>
              <w:t>50≤Y＜500</w:t>
            </w:r>
          </w:p>
        </w:tc>
        <w:tc>
          <w:tcPr>
            <w:tcW w:w="992" w:type="dxa"/>
            <w:noWrap w:val="0"/>
            <w:vAlign w:val="center"/>
          </w:tcPr>
          <w:p w14:paraId="7BA3EEAB">
            <w:pPr>
              <w:widowControl/>
              <w:jc w:val="center"/>
              <w:rPr>
                <w:color w:val="000000"/>
                <w:kern w:val="0"/>
                <w:sz w:val="18"/>
                <w:szCs w:val="18"/>
                <w:highlight w:val="none"/>
              </w:rPr>
            </w:pPr>
            <w:r>
              <w:rPr>
                <w:color w:val="000000"/>
                <w:kern w:val="0"/>
                <w:sz w:val="18"/>
                <w:szCs w:val="18"/>
                <w:highlight w:val="none"/>
              </w:rPr>
              <w:t>Y＜50</w:t>
            </w:r>
          </w:p>
        </w:tc>
      </w:tr>
      <w:tr w14:paraId="313B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FEAC3FD">
            <w:pPr>
              <w:widowControl/>
              <w:spacing w:line="240" w:lineRule="exact"/>
              <w:jc w:val="left"/>
              <w:rPr>
                <w:rFonts w:hint="eastAsia"/>
                <w:color w:val="000000"/>
                <w:kern w:val="0"/>
                <w:sz w:val="18"/>
                <w:szCs w:val="18"/>
                <w:highlight w:val="none"/>
              </w:rPr>
            </w:pPr>
            <w:r>
              <w:rPr>
                <w:color w:val="000000"/>
                <w:kern w:val="0"/>
                <w:sz w:val="18"/>
                <w:szCs w:val="18"/>
                <w:highlight w:val="none"/>
              </w:rPr>
              <w:t xml:space="preserve">工业 </w:t>
            </w:r>
            <w:r>
              <w:rPr>
                <w:rFonts w:hint="eastAsia" w:ascii="宋体" w:hAnsi="宋体" w:cs="宋体"/>
                <w:color w:val="000000"/>
                <w:kern w:val="0"/>
                <w:sz w:val="18"/>
                <w:szCs w:val="18"/>
                <w:highlight w:val="none"/>
              </w:rPr>
              <w:t>※</w:t>
            </w:r>
          </w:p>
        </w:tc>
        <w:tc>
          <w:tcPr>
            <w:tcW w:w="1369" w:type="dxa"/>
            <w:noWrap w:val="0"/>
            <w:vAlign w:val="center"/>
          </w:tcPr>
          <w:p w14:paraId="11DE1D6C">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60F56F8A">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04A0D01F">
            <w:pPr>
              <w:widowControl/>
              <w:jc w:val="center"/>
              <w:rPr>
                <w:color w:val="000000"/>
                <w:kern w:val="0"/>
                <w:sz w:val="18"/>
                <w:szCs w:val="18"/>
                <w:highlight w:val="none"/>
              </w:rPr>
            </w:pPr>
            <w:r>
              <w:rPr>
                <w:color w:val="000000"/>
                <w:kern w:val="0"/>
                <w:sz w:val="18"/>
                <w:szCs w:val="18"/>
                <w:highlight w:val="none"/>
              </w:rPr>
              <w:t>X≥1000</w:t>
            </w:r>
          </w:p>
        </w:tc>
        <w:tc>
          <w:tcPr>
            <w:tcW w:w="1701" w:type="dxa"/>
            <w:noWrap w:val="0"/>
            <w:vAlign w:val="center"/>
          </w:tcPr>
          <w:p w14:paraId="483F8128">
            <w:pPr>
              <w:widowControl/>
              <w:jc w:val="center"/>
              <w:rPr>
                <w:color w:val="000000"/>
                <w:kern w:val="0"/>
                <w:sz w:val="18"/>
                <w:szCs w:val="18"/>
                <w:highlight w:val="none"/>
              </w:rPr>
            </w:pPr>
            <w:r>
              <w:rPr>
                <w:color w:val="000000"/>
                <w:kern w:val="0"/>
                <w:sz w:val="18"/>
                <w:szCs w:val="18"/>
                <w:highlight w:val="none"/>
              </w:rPr>
              <w:t>300≤X＜1000</w:t>
            </w:r>
          </w:p>
        </w:tc>
        <w:tc>
          <w:tcPr>
            <w:tcW w:w="1426" w:type="dxa"/>
            <w:noWrap w:val="0"/>
            <w:vAlign w:val="center"/>
          </w:tcPr>
          <w:p w14:paraId="55C5357A">
            <w:pPr>
              <w:widowControl/>
              <w:jc w:val="center"/>
              <w:rPr>
                <w:color w:val="000000"/>
                <w:kern w:val="0"/>
                <w:sz w:val="18"/>
                <w:szCs w:val="18"/>
                <w:highlight w:val="none"/>
              </w:rPr>
            </w:pPr>
            <w:r>
              <w:rPr>
                <w:color w:val="000000"/>
                <w:kern w:val="0"/>
                <w:sz w:val="18"/>
                <w:szCs w:val="18"/>
                <w:highlight w:val="none"/>
              </w:rPr>
              <w:t>20≤X＜300</w:t>
            </w:r>
          </w:p>
        </w:tc>
        <w:tc>
          <w:tcPr>
            <w:tcW w:w="992" w:type="dxa"/>
            <w:noWrap w:val="0"/>
            <w:vAlign w:val="center"/>
          </w:tcPr>
          <w:p w14:paraId="53AA2667">
            <w:pPr>
              <w:widowControl/>
              <w:jc w:val="center"/>
              <w:rPr>
                <w:color w:val="000000"/>
                <w:kern w:val="0"/>
                <w:sz w:val="18"/>
                <w:szCs w:val="18"/>
                <w:highlight w:val="none"/>
              </w:rPr>
            </w:pPr>
            <w:r>
              <w:rPr>
                <w:color w:val="000000"/>
                <w:kern w:val="0"/>
                <w:sz w:val="18"/>
                <w:szCs w:val="18"/>
                <w:highlight w:val="none"/>
              </w:rPr>
              <w:t>X＜20</w:t>
            </w:r>
          </w:p>
        </w:tc>
      </w:tr>
      <w:tr w14:paraId="1212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8E4B4D4">
            <w:pPr>
              <w:widowControl/>
              <w:jc w:val="left"/>
              <w:rPr>
                <w:color w:val="000000"/>
                <w:kern w:val="0"/>
                <w:sz w:val="18"/>
                <w:szCs w:val="18"/>
                <w:highlight w:val="none"/>
              </w:rPr>
            </w:pPr>
          </w:p>
        </w:tc>
        <w:tc>
          <w:tcPr>
            <w:tcW w:w="1369" w:type="dxa"/>
            <w:noWrap w:val="0"/>
            <w:vAlign w:val="center"/>
          </w:tcPr>
          <w:p w14:paraId="1E1BB1F5">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74DF9BD0">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30A7DEFD">
            <w:pPr>
              <w:widowControl/>
              <w:jc w:val="center"/>
              <w:rPr>
                <w:color w:val="000000"/>
                <w:kern w:val="0"/>
                <w:sz w:val="18"/>
                <w:szCs w:val="18"/>
                <w:highlight w:val="none"/>
              </w:rPr>
            </w:pPr>
            <w:r>
              <w:rPr>
                <w:color w:val="000000"/>
                <w:kern w:val="0"/>
                <w:sz w:val="18"/>
                <w:szCs w:val="18"/>
                <w:highlight w:val="none"/>
              </w:rPr>
              <w:t>Y≥40000</w:t>
            </w:r>
          </w:p>
        </w:tc>
        <w:tc>
          <w:tcPr>
            <w:tcW w:w="1701" w:type="dxa"/>
            <w:noWrap w:val="0"/>
            <w:vAlign w:val="center"/>
          </w:tcPr>
          <w:p w14:paraId="772E38CC">
            <w:pPr>
              <w:widowControl/>
              <w:jc w:val="center"/>
              <w:rPr>
                <w:color w:val="000000"/>
                <w:kern w:val="0"/>
                <w:sz w:val="18"/>
                <w:szCs w:val="18"/>
                <w:highlight w:val="none"/>
              </w:rPr>
            </w:pPr>
            <w:r>
              <w:rPr>
                <w:color w:val="000000"/>
                <w:kern w:val="0"/>
                <w:sz w:val="18"/>
                <w:szCs w:val="18"/>
                <w:highlight w:val="none"/>
              </w:rPr>
              <w:t>2000≤Y＜40000</w:t>
            </w:r>
          </w:p>
        </w:tc>
        <w:tc>
          <w:tcPr>
            <w:tcW w:w="1426" w:type="dxa"/>
            <w:noWrap w:val="0"/>
            <w:vAlign w:val="center"/>
          </w:tcPr>
          <w:p w14:paraId="77616967">
            <w:pPr>
              <w:widowControl/>
              <w:jc w:val="center"/>
              <w:rPr>
                <w:color w:val="000000"/>
                <w:kern w:val="0"/>
                <w:sz w:val="18"/>
                <w:szCs w:val="18"/>
                <w:highlight w:val="none"/>
              </w:rPr>
            </w:pPr>
            <w:r>
              <w:rPr>
                <w:color w:val="000000"/>
                <w:kern w:val="0"/>
                <w:sz w:val="18"/>
                <w:szCs w:val="18"/>
                <w:highlight w:val="none"/>
              </w:rPr>
              <w:t>300≤Y＜2000</w:t>
            </w:r>
          </w:p>
        </w:tc>
        <w:tc>
          <w:tcPr>
            <w:tcW w:w="992" w:type="dxa"/>
            <w:noWrap w:val="0"/>
            <w:vAlign w:val="center"/>
          </w:tcPr>
          <w:p w14:paraId="66277B7D">
            <w:pPr>
              <w:widowControl/>
              <w:jc w:val="center"/>
              <w:rPr>
                <w:color w:val="000000"/>
                <w:kern w:val="0"/>
                <w:sz w:val="18"/>
                <w:szCs w:val="18"/>
                <w:highlight w:val="none"/>
              </w:rPr>
            </w:pPr>
            <w:r>
              <w:rPr>
                <w:color w:val="000000"/>
                <w:kern w:val="0"/>
                <w:sz w:val="18"/>
                <w:szCs w:val="18"/>
                <w:highlight w:val="none"/>
              </w:rPr>
              <w:t>Y＜300</w:t>
            </w:r>
          </w:p>
        </w:tc>
      </w:tr>
      <w:tr w14:paraId="6536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961CCF0">
            <w:pPr>
              <w:widowControl/>
              <w:spacing w:line="240" w:lineRule="exact"/>
              <w:jc w:val="left"/>
              <w:rPr>
                <w:color w:val="000000"/>
                <w:kern w:val="0"/>
                <w:sz w:val="18"/>
                <w:szCs w:val="18"/>
                <w:highlight w:val="none"/>
              </w:rPr>
            </w:pPr>
            <w:r>
              <w:rPr>
                <w:color w:val="000000"/>
                <w:kern w:val="0"/>
                <w:sz w:val="18"/>
                <w:szCs w:val="18"/>
                <w:highlight w:val="none"/>
              </w:rPr>
              <w:t>建筑业</w:t>
            </w:r>
          </w:p>
        </w:tc>
        <w:tc>
          <w:tcPr>
            <w:tcW w:w="1369" w:type="dxa"/>
            <w:noWrap w:val="0"/>
            <w:vAlign w:val="center"/>
          </w:tcPr>
          <w:p w14:paraId="2A01BCCA">
            <w:pPr>
              <w:widowControl/>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7BBF401E">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4E9C71ED">
            <w:pPr>
              <w:widowControl/>
              <w:jc w:val="center"/>
              <w:rPr>
                <w:color w:val="000000"/>
                <w:kern w:val="0"/>
                <w:sz w:val="18"/>
                <w:szCs w:val="18"/>
                <w:highlight w:val="none"/>
              </w:rPr>
            </w:pPr>
            <w:r>
              <w:rPr>
                <w:color w:val="000000"/>
                <w:kern w:val="0"/>
                <w:sz w:val="18"/>
                <w:szCs w:val="18"/>
                <w:highlight w:val="none"/>
              </w:rPr>
              <w:t>Y≥80000</w:t>
            </w:r>
          </w:p>
        </w:tc>
        <w:tc>
          <w:tcPr>
            <w:tcW w:w="1701" w:type="dxa"/>
            <w:noWrap w:val="0"/>
            <w:vAlign w:val="center"/>
          </w:tcPr>
          <w:p w14:paraId="216E7B1C">
            <w:pPr>
              <w:widowControl/>
              <w:jc w:val="center"/>
              <w:rPr>
                <w:color w:val="000000"/>
                <w:kern w:val="0"/>
                <w:sz w:val="18"/>
                <w:szCs w:val="18"/>
                <w:highlight w:val="none"/>
              </w:rPr>
            </w:pPr>
            <w:r>
              <w:rPr>
                <w:color w:val="000000"/>
                <w:kern w:val="0"/>
                <w:sz w:val="18"/>
                <w:szCs w:val="18"/>
                <w:highlight w:val="none"/>
              </w:rPr>
              <w:t>6000≤Y＜80000</w:t>
            </w:r>
          </w:p>
        </w:tc>
        <w:tc>
          <w:tcPr>
            <w:tcW w:w="1426" w:type="dxa"/>
            <w:noWrap w:val="0"/>
            <w:vAlign w:val="center"/>
          </w:tcPr>
          <w:p w14:paraId="0E36B504">
            <w:pPr>
              <w:widowControl/>
              <w:jc w:val="center"/>
              <w:rPr>
                <w:color w:val="000000"/>
                <w:kern w:val="0"/>
                <w:sz w:val="18"/>
                <w:szCs w:val="18"/>
                <w:highlight w:val="none"/>
              </w:rPr>
            </w:pPr>
            <w:r>
              <w:rPr>
                <w:color w:val="000000"/>
                <w:kern w:val="0"/>
                <w:sz w:val="18"/>
                <w:szCs w:val="18"/>
                <w:highlight w:val="none"/>
              </w:rPr>
              <w:t>300≤Y＜6000</w:t>
            </w:r>
          </w:p>
        </w:tc>
        <w:tc>
          <w:tcPr>
            <w:tcW w:w="992" w:type="dxa"/>
            <w:noWrap w:val="0"/>
            <w:vAlign w:val="center"/>
          </w:tcPr>
          <w:p w14:paraId="7E32FA72">
            <w:pPr>
              <w:widowControl/>
              <w:jc w:val="center"/>
              <w:rPr>
                <w:color w:val="000000"/>
                <w:kern w:val="0"/>
                <w:sz w:val="18"/>
                <w:szCs w:val="18"/>
                <w:highlight w:val="none"/>
              </w:rPr>
            </w:pPr>
            <w:r>
              <w:rPr>
                <w:color w:val="000000"/>
                <w:kern w:val="0"/>
                <w:sz w:val="18"/>
                <w:szCs w:val="18"/>
                <w:highlight w:val="none"/>
              </w:rPr>
              <w:t>Y＜300</w:t>
            </w:r>
          </w:p>
        </w:tc>
      </w:tr>
      <w:tr w14:paraId="6CB1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078EC0">
            <w:pPr>
              <w:widowControl/>
              <w:jc w:val="left"/>
              <w:rPr>
                <w:color w:val="000000"/>
                <w:kern w:val="0"/>
                <w:sz w:val="18"/>
                <w:szCs w:val="18"/>
                <w:highlight w:val="none"/>
              </w:rPr>
            </w:pPr>
          </w:p>
        </w:tc>
        <w:tc>
          <w:tcPr>
            <w:tcW w:w="1369" w:type="dxa"/>
            <w:noWrap w:val="0"/>
            <w:vAlign w:val="center"/>
          </w:tcPr>
          <w:p w14:paraId="0091758D">
            <w:pPr>
              <w:widowControl/>
              <w:spacing w:line="240" w:lineRule="exact"/>
              <w:jc w:val="center"/>
              <w:rPr>
                <w:color w:val="000000"/>
                <w:kern w:val="0"/>
                <w:sz w:val="18"/>
                <w:szCs w:val="18"/>
                <w:highlight w:val="none"/>
              </w:rPr>
            </w:pPr>
            <w:r>
              <w:rPr>
                <w:color w:val="000000"/>
                <w:kern w:val="0"/>
                <w:sz w:val="18"/>
                <w:szCs w:val="18"/>
                <w:highlight w:val="none"/>
              </w:rPr>
              <w:t>资产总额(Z)</w:t>
            </w:r>
          </w:p>
        </w:tc>
        <w:tc>
          <w:tcPr>
            <w:tcW w:w="709" w:type="dxa"/>
            <w:noWrap w:val="0"/>
            <w:vAlign w:val="center"/>
          </w:tcPr>
          <w:p w14:paraId="11CB0287">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5B8C3552">
            <w:pPr>
              <w:widowControl/>
              <w:jc w:val="center"/>
              <w:rPr>
                <w:color w:val="000000"/>
                <w:kern w:val="0"/>
                <w:sz w:val="18"/>
                <w:szCs w:val="18"/>
                <w:highlight w:val="none"/>
              </w:rPr>
            </w:pPr>
            <w:r>
              <w:rPr>
                <w:color w:val="000000"/>
                <w:kern w:val="0"/>
                <w:sz w:val="18"/>
                <w:szCs w:val="18"/>
                <w:highlight w:val="none"/>
              </w:rPr>
              <w:t>Z≥80000</w:t>
            </w:r>
          </w:p>
        </w:tc>
        <w:tc>
          <w:tcPr>
            <w:tcW w:w="1701" w:type="dxa"/>
            <w:noWrap w:val="0"/>
            <w:vAlign w:val="center"/>
          </w:tcPr>
          <w:p w14:paraId="6FE3CF46">
            <w:pPr>
              <w:widowControl/>
              <w:jc w:val="center"/>
              <w:rPr>
                <w:color w:val="000000"/>
                <w:kern w:val="0"/>
                <w:sz w:val="18"/>
                <w:szCs w:val="18"/>
                <w:highlight w:val="none"/>
              </w:rPr>
            </w:pPr>
            <w:r>
              <w:rPr>
                <w:color w:val="000000"/>
                <w:kern w:val="0"/>
                <w:sz w:val="18"/>
                <w:szCs w:val="18"/>
                <w:highlight w:val="none"/>
              </w:rPr>
              <w:t>5000≤Z＜80000</w:t>
            </w:r>
          </w:p>
        </w:tc>
        <w:tc>
          <w:tcPr>
            <w:tcW w:w="1426" w:type="dxa"/>
            <w:noWrap w:val="0"/>
            <w:vAlign w:val="center"/>
          </w:tcPr>
          <w:p w14:paraId="003AE4C8">
            <w:pPr>
              <w:widowControl/>
              <w:jc w:val="center"/>
              <w:rPr>
                <w:color w:val="000000"/>
                <w:kern w:val="0"/>
                <w:sz w:val="18"/>
                <w:szCs w:val="18"/>
                <w:highlight w:val="none"/>
              </w:rPr>
            </w:pPr>
            <w:r>
              <w:rPr>
                <w:color w:val="000000"/>
                <w:kern w:val="0"/>
                <w:sz w:val="18"/>
                <w:szCs w:val="18"/>
                <w:highlight w:val="none"/>
              </w:rPr>
              <w:t>300≤Z＜5000</w:t>
            </w:r>
          </w:p>
        </w:tc>
        <w:tc>
          <w:tcPr>
            <w:tcW w:w="992" w:type="dxa"/>
            <w:noWrap w:val="0"/>
            <w:vAlign w:val="center"/>
          </w:tcPr>
          <w:p w14:paraId="620B3B42">
            <w:pPr>
              <w:widowControl/>
              <w:jc w:val="center"/>
              <w:rPr>
                <w:color w:val="000000"/>
                <w:kern w:val="0"/>
                <w:sz w:val="18"/>
                <w:szCs w:val="18"/>
                <w:highlight w:val="none"/>
              </w:rPr>
            </w:pPr>
            <w:r>
              <w:rPr>
                <w:color w:val="000000"/>
                <w:kern w:val="0"/>
                <w:sz w:val="18"/>
                <w:szCs w:val="18"/>
                <w:highlight w:val="none"/>
              </w:rPr>
              <w:t>Z＜300</w:t>
            </w:r>
          </w:p>
        </w:tc>
      </w:tr>
      <w:tr w14:paraId="630A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5DD39BC">
            <w:pPr>
              <w:widowControl/>
              <w:spacing w:line="240" w:lineRule="exact"/>
              <w:jc w:val="left"/>
              <w:rPr>
                <w:color w:val="000000"/>
                <w:kern w:val="0"/>
                <w:sz w:val="18"/>
                <w:szCs w:val="18"/>
                <w:highlight w:val="none"/>
              </w:rPr>
            </w:pPr>
            <w:r>
              <w:rPr>
                <w:color w:val="000000"/>
                <w:kern w:val="0"/>
                <w:sz w:val="18"/>
                <w:szCs w:val="18"/>
                <w:highlight w:val="none"/>
              </w:rPr>
              <w:t>批发业</w:t>
            </w:r>
          </w:p>
        </w:tc>
        <w:tc>
          <w:tcPr>
            <w:tcW w:w="1369" w:type="dxa"/>
            <w:noWrap w:val="0"/>
            <w:vAlign w:val="center"/>
          </w:tcPr>
          <w:p w14:paraId="5BCEF4C4">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5B759F73">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603BE56C">
            <w:pPr>
              <w:widowControl/>
              <w:jc w:val="center"/>
              <w:rPr>
                <w:color w:val="000000"/>
                <w:kern w:val="0"/>
                <w:sz w:val="18"/>
                <w:szCs w:val="18"/>
                <w:highlight w:val="none"/>
              </w:rPr>
            </w:pPr>
            <w:r>
              <w:rPr>
                <w:color w:val="000000"/>
                <w:kern w:val="0"/>
                <w:sz w:val="18"/>
                <w:szCs w:val="18"/>
                <w:highlight w:val="none"/>
              </w:rPr>
              <w:t>X≥200</w:t>
            </w:r>
          </w:p>
        </w:tc>
        <w:tc>
          <w:tcPr>
            <w:tcW w:w="1701" w:type="dxa"/>
            <w:noWrap w:val="0"/>
            <w:vAlign w:val="center"/>
          </w:tcPr>
          <w:p w14:paraId="1F8D1A09">
            <w:pPr>
              <w:widowControl/>
              <w:jc w:val="center"/>
              <w:rPr>
                <w:color w:val="000000"/>
                <w:kern w:val="0"/>
                <w:sz w:val="18"/>
                <w:szCs w:val="18"/>
                <w:highlight w:val="none"/>
              </w:rPr>
            </w:pPr>
            <w:r>
              <w:rPr>
                <w:color w:val="000000"/>
                <w:kern w:val="0"/>
                <w:sz w:val="18"/>
                <w:szCs w:val="18"/>
                <w:highlight w:val="none"/>
              </w:rPr>
              <w:t>20≤X＜200</w:t>
            </w:r>
          </w:p>
        </w:tc>
        <w:tc>
          <w:tcPr>
            <w:tcW w:w="1426" w:type="dxa"/>
            <w:noWrap w:val="0"/>
            <w:vAlign w:val="center"/>
          </w:tcPr>
          <w:p w14:paraId="260949F3">
            <w:pPr>
              <w:widowControl/>
              <w:jc w:val="center"/>
              <w:rPr>
                <w:color w:val="000000"/>
                <w:kern w:val="0"/>
                <w:sz w:val="18"/>
                <w:szCs w:val="18"/>
                <w:highlight w:val="none"/>
              </w:rPr>
            </w:pPr>
            <w:r>
              <w:rPr>
                <w:color w:val="000000"/>
                <w:kern w:val="0"/>
                <w:sz w:val="18"/>
                <w:szCs w:val="18"/>
                <w:highlight w:val="none"/>
              </w:rPr>
              <w:t>5≤X＜20</w:t>
            </w:r>
          </w:p>
        </w:tc>
        <w:tc>
          <w:tcPr>
            <w:tcW w:w="992" w:type="dxa"/>
            <w:noWrap w:val="0"/>
            <w:vAlign w:val="center"/>
          </w:tcPr>
          <w:p w14:paraId="0D27AEB4">
            <w:pPr>
              <w:widowControl/>
              <w:jc w:val="center"/>
              <w:rPr>
                <w:color w:val="000000"/>
                <w:kern w:val="0"/>
                <w:sz w:val="18"/>
                <w:szCs w:val="18"/>
                <w:highlight w:val="none"/>
              </w:rPr>
            </w:pPr>
            <w:r>
              <w:rPr>
                <w:color w:val="000000"/>
                <w:kern w:val="0"/>
                <w:sz w:val="18"/>
                <w:szCs w:val="18"/>
                <w:highlight w:val="none"/>
              </w:rPr>
              <w:t>X＜5</w:t>
            </w:r>
          </w:p>
        </w:tc>
      </w:tr>
      <w:tr w14:paraId="7C34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B5C52B">
            <w:pPr>
              <w:widowControl/>
              <w:jc w:val="left"/>
              <w:rPr>
                <w:color w:val="000000"/>
                <w:kern w:val="0"/>
                <w:sz w:val="18"/>
                <w:szCs w:val="18"/>
                <w:highlight w:val="none"/>
              </w:rPr>
            </w:pPr>
          </w:p>
        </w:tc>
        <w:tc>
          <w:tcPr>
            <w:tcW w:w="1369" w:type="dxa"/>
            <w:noWrap w:val="0"/>
            <w:vAlign w:val="center"/>
          </w:tcPr>
          <w:p w14:paraId="7203C447">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096D1670">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098801B7">
            <w:pPr>
              <w:widowControl/>
              <w:jc w:val="center"/>
              <w:rPr>
                <w:color w:val="000000"/>
                <w:kern w:val="0"/>
                <w:sz w:val="18"/>
                <w:szCs w:val="18"/>
                <w:highlight w:val="none"/>
              </w:rPr>
            </w:pPr>
            <w:r>
              <w:rPr>
                <w:color w:val="000000"/>
                <w:kern w:val="0"/>
                <w:sz w:val="18"/>
                <w:szCs w:val="18"/>
                <w:highlight w:val="none"/>
              </w:rPr>
              <w:t>Y≥40000</w:t>
            </w:r>
          </w:p>
        </w:tc>
        <w:tc>
          <w:tcPr>
            <w:tcW w:w="1701" w:type="dxa"/>
            <w:noWrap w:val="0"/>
            <w:vAlign w:val="center"/>
          </w:tcPr>
          <w:p w14:paraId="18ABBBCB">
            <w:pPr>
              <w:widowControl/>
              <w:jc w:val="center"/>
              <w:rPr>
                <w:color w:val="000000"/>
                <w:kern w:val="0"/>
                <w:sz w:val="18"/>
                <w:szCs w:val="18"/>
                <w:highlight w:val="none"/>
              </w:rPr>
            </w:pPr>
            <w:r>
              <w:rPr>
                <w:color w:val="000000"/>
                <w:kern w:val="0"/>
                <w:sz w:val="18"/>
                <w:szCs w:val="18"/>
                <w:highlight w:val="none"/>
              </w:rPr>
              <w:t>5000≤Y＜40000</w:t>
            </w:r>
          </w:p>
        </w:tc>
        <w:tc>
          <w:tcPr>
            <w:tcW w:w="1426" w:type="dxa"/>
            <w:noWrap w:val="0"/>
            <w:vAlign w:val="center"/>
          </w:tcPr>
          <w:p w14:paraId="20B38099">
            <w:pPr>
              <w:widowControl/>
              <w:ind w:left="-1" w:leftChars="-1" w:hanging="1"/>
              <w:jc w:val="center"/>
              <w:rPr>
                <w:color w:val="000000"/>
                <w:kern w:val="0"/>
                <w:sz w:val="18"/>
                <w:szCs w:val="18"/>
                <w:highlight w:val="none"/>
              </w:rPr>
            </w:pPr>
            <w:r>
              <w:rPr>
                <w:color w:val="000000"/>
                <w:kern w:val="0"/>
                <w:sz w:val="18"/>
                <w:szCs w:val="18"/>
                <w:highlight w:val="none"/>
              </w:rPr>
              <w:t>1000≤Y＜5000</w:t>
            </w:r>
          </w:p>
        </w:tc>
        <w:tc>
          <w:tcPr>
            <w:tcW w:w="992" w:type="dxa"/>
            <w:noWrap w:val="0"/>
            <w:vAlign w:val="center"/>
          </w:tcPr>
          <w:p w14:paraId="186D9F31">
            <w:pPr>
              <w:widowControl/>
              <w:jc w:val="center"/>
              <w:rPr>
                <w:color w:val="000000"/>
                <w:kern w:val="0"/>
                <w:sz w:val="18"/>
                <w:szCs w:val="18"/>
                <w:highlight w:val="none"/>
              </w:rPr>
            </w:pPr>
            <w:r>
              <w:rPr>
                <w:color w:val="000000"/>
                <w:kern w:val="0"/>
                <w:sz w:val="18"/>
                <w:szCs w:val="18"/>
                <w:highlight w:val="none"/>
              </w:rPr>
              <w:t>Y＜1000</w:t>
            </w:r>
          </w:p>
        </w:tc>
      </w:tr>
      <w:tr w14:paraId="0404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CB0E115">
            <w:pPr>
              <w:widowControl/>
              <w:spacing w:line="240" w:lineRule="exact"/>
              <w:jc w:val="left"/>
              <w:rPr>
                <w:color w:val="000000"/>
                <w:kern w:val="0"/>
                <w:sz w:val="18"/>
                <w:szCs w:val="18"/>
                <w:highlight w:val="none"/>
              </w:rPr>
            </w:pPr>
            <w:r>
              <w:rPr>
                <w:color w:val="000000"/>
                <w:kern w:val="0"/>
                <w:sz w:val="18"/>
                <w:szCs w:val="18"/>
                <w:highlight w:val="none"/>
              </w:rPr>
              <w:t>零售业</w:t>
            </w:r>
          </w:p>
        </w:tc>
        <w:tc>
          <w:tcPr>
            <w:tcW w:w="1369" w:type="dxa"/>
            <w:noWrap w:val="0"/>
            <w:vAlign w:val="center"/>
          </w:tcPr>
          <w:p w14:paraId="0ECB860A">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2A3ADDB0">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722C08B1">
            <w:pPr>
              <w:widowControl/>
              <w:jc w:val="center"/>
              <w:rPr>
                <w:color w:val="000000"/>
                <w:kern w:val="0"/>
                <w:sz w:val="18"/>
                <w:szCs w:val="18"/>
                <w:highlight w:val="none"/>
              </w:rPr>
            </w:pPr>
            <w:r>
              <w:rPr>
                <w:color w:val="000000"/>
                <w:kern w:val="0"/>
                <w:sz w:val="18"/>
                <w:szCs w:val="18"/>
                <w:highlight w:val="none"/>
              </w:rPr>
              <w:t>X≥300</w:t>
            </w:r>
          </w:p>
        </w:tc>
        <w:tc>
          <w:tcPr>
            <w:tcW w:w="1701" w:type="dxa"/>
            <w:noWrap w:val="0"/>
            <w:vAlign w:val="center"/>
          </w:tcPr>
          <w:p w14:paraId="0E0DFE0C">
            <w:pPr>
              <w:widowControl/>
              <w:jc w:val="center"/>
              <w:rPr>
                <w:color w:val="000000"/>
                <w:kern w:val="0"/>
                <w:sz w:val="18"/>
                <w:szCs w:val="18"/>
                <w:highlight w:val="none"/>
              </w:rPr>
            </w:pPr>
            <w:r>
              <w:rPr>
                <w:color w:val="000000"/>
                <w:kern w:val="0"/>
                <w:sz w:val="18"/>
                <w:szCs w:val="18"/>
                <w:highlight w:val="none"/>
              </w:rPr>
              <w:t>50≤X＜300</w:t>
            </w:r>
          </w:p>
        </w:tc>
        <w:tc>
          <w:tcPr>
            <w:tcW w:w="1426" w:type="dxa"/>
            <w:noWrap w:val="0"/>
            <w:vAlign w:val="center"/>
          </w:tcPr>
          <w:p w14:paraId="47EC9A25">
            <w:pPr>
              <w:widowControl/>
              <w:ind w:left="-1" w:leftChars="-1" w:hanging="1"/>
              <w:jc w:val="center"/>
              <w:rPr>
                <w:color w:val="000000"/>
                <w:kern w:val="0"/>
                <w:sz w:val="18"/>
                <w:szCs w:val="18"/>
                <w:highlight w:val="none"/>
              </w:rPr>
            </w:pPr>
            <w:r>
              <w:rPr>
                <w:color w:val="000000"/>
                <w:kern w:val="0"/>
                <w:sz w:val="18"/>
                <w:szCs w:val="18"/>
                <w:highlight w:val="none"/>
              </w:rPr>
              <w:t xml:space="preserve">10≤X＜50 </w:t>
            </w:r>
          </w:p>
        </w:tc>
        <w:tc>
          <w:tcPr>
            <w:tcW w:w="992" w:type="dxa"/>
            <w:noWrap w:val="0"/>
            <w:vAlign w:val="center"/>
          </w:tcPr>
          <w:p w14:paraId="78C2560F">
            <w:pPr>
              <w:widowControl/>
              <w:jc w:val="center"/>
              <w:rPr>
                <w:color w:val="000000"/>
                <w:kern w:val="0"/>
                <w:sz w:val="18"/>
                <w:szCs w:val="18"/>
                <w:highlight w:val="none"/>
              </w:rPr>
            </w:pPr>
            <w:r>
              <w:rPr>
                <w:color w:val="000000"/>
                <w:kern w:val="0"/>
                <w:sz w:val="18"/>
                <w:szCs w:val="18"/>
                <w:highlight w:val="none"/>
              </w:rPr>
              <w:t>X＜10</w:t>
            </w:r>
          </w:p>
        </w:tc>
      </w:tr>
      <w:tr w14:paraId="4E18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6A5DF97">
            <w:pPr>
              <w:widowControl/>
              <w:jc w:val="left"/>
              <w:rPr>
                <w:color w:val="000000"/>
                <w:kern w:val="0"/>
                <w:sz w:val="18"/>
                <w:szCs w:val="18"/>
                <w:highlight w:val="none"/>
              </w:rPr>
            </w:pPr>
          </w:p>
        </w:tc>
        <w:tc>
          <w:tcPr>
            <w:tcW w:w="1369" w:type="dxa"/>
            <w:noWrap w:val="0"/>
            <w:vAlign w:val="center"/>
          </w:tcPr>
          <w:p w14:paraId="4BD873F8">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21C54B74">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3F06F156">
            <w:pPr>
              <w:widowControl/>
              <w:jc w:val="center"/>
              <w:rPr>
                <w:color w:val="000000"/>
                <w:kern w:val="0"/>
                <w:sz w:val="18"/>
                <w:szCs w:val="18"/>
                <w:highlight w:val="none"/>
              </w:rPr>
            </w:pPr>
            <w:r>
              <w:rPr>
                <w:color w:val="000000"/>
                <w:kern w:val="0"/>
                <w:sz w:val="18"/>
                <w:szCs w:val="18"/>
                <w:highlight w:val="none"/>
              </w:rPr>
              <w:t>Y≥20000</w:t>
            </w:r>
          </w:p>
        </w:tc>
        <w:tc>
          <w:tcPr>
            <w:tcW w:w="1701" w:type="dxa"/>
            <w:noWrap w:val="0"/>
            <w:vAlign w:val="center"/>
          </w:tcPr>
          <w:p w14:paraId="1E5C68BE">
            <w:pPr>
              <w:widowControl/>
              <w:jc w:val="center"/>
              <w:rPr>
                <w:color w:val="000000"/>
                <w:kern w:val="0"/>
                <w:sz w:val="18"/>
                <w:szCs w:val="18"/>
                <w:highlight w:val="none"/>
              </w:rPr>
            </w:pPr>
            <w:r>
              <w:rPr>
                <w:color w:val="000000"/>
                <w:kern w:val="0"/>
                <w:sz w:val="18"/>
                <w:szCs w:val="18"/>
                <w:highlight w:val="none"/>
              </w:rPr>
              <w:t>500≤Y＜20000</w:t>
            </w:r>
          </w:p>
        </w:tc>
        <w:tc>
          <w:tcPr>
            <w:tcW w:w="1426" w:type="dxa"/>
            <w:noWrap w:val="0"/>
            <w:vAlign w:val="center"/>
          </w:tcPr>
          <w:p w14:paraId="03B3844E">
            <w:pPr>
              <w:widowControl/>
              <w:ind w:left="-1" w:leftChars="-1" w:hanging="1"/>
              <w:jc w:val="center"/>
              <w:rPr>
                <w:color w:val="000000"/>
                <w:kern w:val="0"/>
                <w:sz w:val="18"/>
                <w:szCs w:val="18"/>
                <w:highlight w:val="none"/>
              </w:rPr>
            </w:pPr>
            <w:r>
              <w:rPr>
                <w:color w:val="000000"/>
                <w:kern w:val="0"/>
                <w:sz w:val="18"/>
                <w:szCs w:val="18"/>
                <w:highlight w:val="none"/>
              </w:rPr>
              <w:t>100≤Y＜500</w:t>
            </w:r>
          </w:p>
        </w:tc>
        <w:tc>
          <w:tcPr>
            <w:tcW w:w="992" w:type="dxa"/>
            <w:noWrap w:val="0"/>
            <w:vAlign w:val="center"/>
          </w:tcPr>
          <w:p w14:paraId="2D674D65">
            <w:pPr>
              <w:widowControl/>
              <w:jc w:val="center"/>
              <w:rPr>
                <w:color w:val="000000"/>
                <w:kern w:val="0"/>
                <w:sz w:val="18"/>
                <w:szCs w:val="18"/>
                <w:highlight w:val="none"/>
              </w:rPr>
            </w:pPr>
            <w:r>
              <w:rPr>
                <w:color w:val="000000"/>
                <w:kern w:val="0"/>
                <w:sz w:val="18"/>
                <w:szCs w:val="18"/>
                <w:highlight w:val="none"/>
              </w:rPr>
              <w:t>Y＜100</w:t>
            </w:r>
          </w:p>
        </w:tc>
      </w:tr>
      <w:tr w14:paraId="5736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B7382FE">
            <w:pPr>
              <w:widowControl/>
              <w:spacing w:line="240" w:lineRule="exact"/>
              <w:jc w:val="left"/>
              <w:rPr>
                <w:rFonts w:hint="eastAsia"/>
                <w:color w:val="000000"/>
                <w:kern w:val="0"/>
                <w:sz w:val="18"/>
                <w:szCs w:val="18"/>
                <w:highlight w:val="none"/>
              </w:rPr>
            </w:pPr>
            <w:r>
              <w:rPr>
                <w:color w:val="000000"/>
                <w:kern w:val="0"/>
                <w:sz w:val="18"/>
                <w:szCs w:val="18"/>
                <w:highlight w:val="none"/>
              </w:rPr>
              <w:t xml:space="preserve">交通运输业 </w:t>
            </w:r>
            <w:r>
              <w:rPr>
                <w:rFonts w:hint="eastAsia" w:ascii="宋体" w:hAnsi="宋体" w:cs="宋体"/>
                <w:color w:val="000000"/>
                <w:kern w:val="0"/>
                <w:sz w:val="18"/>
                <w:szCs w:val="18"/>
                <w:highlight w:val="none"/>
              </w:rPr>
              <w:t>※</w:t>
            </w:r>
          </w:p>
        </w:tc>
        <w:tc>
          <w:tcPr>
            <w:tcW w:w="1369" w:type="dxa"/>
            <w:noWrap w:val="0"/>
            <w:vAlign w:val="center"/>
          </w:tcPr>
          <w:p w14:paraId="5AF4A9C9">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13616F55">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59AC514A">
            <w:pPr>
              <w:widowControl/>
              <w:jc w:val="center"/>
              <w:rPr>
                <w:color w:val="000000"/>
                <w:kern w:val="0"/>
                <w:sz w:val="18"/>
                <w:szCs w:val="18"/>
                <w:highlight w:val="none"/>
              </w:rPr>
            </w:pPr>
            <w:r>
              <w:rPr>
                <w:color w:val="000000"/>
                <w:kern w:val="0"/>
                <w:sz w:val="18"/>
                <w:szCs w:val="18"/>
                <w:highlight w:val="none"/>
              </w:rPr>
              <w:t>X≥1000</w:t>
            </w:r>
          </w:p>
        </w:tc>
        <w:tc>
          <w:tcPr>
            <w:tcW w:w="1701" w:type="dxa"/>
            <w:noWrap w:val="0"/>
            <w:vAlign w:val="center"/>
          </w:tcPr>
          <w:p w14:paraId="15C954FA">
            <w:pPr>
              <w:widowControl/>
              <w:jc w:val="center"/>
              <w:rPr>
                <w:color w:val="000000"/>
                <w:kern w:val="0"/>
                <w:sz w:val="18"/>
                <w:szCs w:val="18"/>
                <w:highlight w:val="none"/>
              </w:rPr>
            </w:pPr>
            <w:r>
              <w:rPr>
                <w:color w:val="000000"/>
                <w:kern w:val="0"/>
                <w:sz w:val="18"/>
                <w:szCs w:val="18"/>
                <w:highlight w:val="none"/>
              </w:rPr>
              <w:t>300≤X＜1000</w:t>
            </w:r>
          </w:p>
        </w:tc>
        <w:tc>
          <w:tcPr>
            <w:tcW w:w="1426" w:type="dxa"/>
            <w:noWrap w:val="0"/>
            <w:vAlign w:val="center"/>
          </w:tcPr>
          <w:p w14:paraId="061C5602">
            <w:pPr>
              <w:widowControl/>
              <w:jc w:val="center"/>
              <w:rPr>
                <w:color w:val="000000"/>
                <w:kern w:val="0"/>
                <w:sz w:val="18"/>
                <w:szCs w:val="18"/>
                <w:highlight w:val="none"/>
              </w:rPr>
            </w:pPr>
            <w:r>
              <w:rPr>
                <w:color w:val="000000"/>
                <w:kern w:val="0"/>
                <w:sz w:val="18"/>
                <w:szCs w:val="18"/>
                <w:highlight w:val="none"/>
              </w:rPr>
              <w:t>20≤X＜300</w:t>
            </w:r>
          </w:p>
        </w:tc>
        <w:tc>
          <w:tcPr>
            <w:tcW w:w="992" w:type="dxa"/>
            <w:noWrap w:val="0"/>
            <w:vAlign w:val="center"/>
          </w:tcPr>
          <w:p w14:paraId="1FB31D1C">
            <w:pPr>
              <w:widowControl/>
              <w:jc w:val="center"/>
              <w:rPr>
                <w:color w:val="000000"/>
                <w:kern w:val="0"/>
                <w:sz w:val="18"/>
                <w:szCs w:val="18"/>
                <w:highlight w:val="none"/>
              </w:rPr>
            </w:pPr>
            <w:r>
              <w:rPr>
                <w:color w:val="000000"/>
                <w:kern w:val="0"/>
                <w:sz w:val="18"/>
                <w:szCs w:val="18"/>
                <w:highlight w:val="none"/>
              </w:rPr>
              <w:t>X＜20</w:t>
            </w:r>
          </w:p>
        </w:tc>
      </w:tr>
      <w:tr w14:paraId="0359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3F6BD56">
            <w:pPr>
              <w:widowControl/>
              <w:jc w:val="left"/>
              <w:rPr>
                <w:color w:val="000000"/>
                <w:kern w:val="0"/>
                <w:sz w:val="18"/>
                <w:szCs w:val="18"/>
                <w:highlight w:val="none"/>
              </w:rPr>
            </w:pPr>
          </w:p>
        </w:tc>
        <w:tc>
          <w:tcPr>
            <w:tcW w:w="1369" w:type="dxa"/>
            <w:noWrap w:val="0"/>
            <w:vAlign w:val="center"/>
          </w:tcPr>
          <w:p w14:paraId="39AD9EE1">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57C6E983">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3454E031">
            <w:pPr>
              <w:widowControl/>
              <w:jc w:val="center"/>
              <w:rPr>
                <w:color w:val="000000"/>
                <w:kern w:val="0"/>
                <w:sz w:val="18"/>
                <w:szCs w:val="18"/>
                <w:highlight w:val="none"/>
              </w:rPr>
            </w:pPr>
            <w:r>
              <w:rPr>
                <w:color w:val="000000"/>
                <w:kern w:val="0"/>
                <w:sz w:val="18"/>
                <w:szCs w:val="18"/>
                <w:highlight w:val="none"/>
              </w:rPr>
              <w:t>Y≥30000</w:t>
            </w:r>
          </w:p>
        </w:tc>
        <w:tc>
          <w:tcPr>
            <w:tcW w:w="1701" w:type="dxa"/>
            <w:noWrap w:val="0"/>
            <w:vAlign w:val="center"/>
          </w:tcPr>
          <w:p w14:paraId="19D8BF9C">
            <w:pPr>
              <w:widowControl/>
              <w:jc w:val="center"/>
              <w:rPr>
                <w:color w:val="000000"/>
                <w:kern w:val="0"/>
                <w:sz w:val="18"/>
                <w:szCs w:val="18"/>
                <w:highlight w:val="none"/>
              </w:rPr>
            </w:pPr>
            <w:r>
              <w:rPr>
                <w:color w:val="000000"/>
                <w:kern w:val="0"/>
                <w:sz w:val="18"/>
                <w:szCs w:val="18"/>
                <w:highlight w:val="none"/>
              </w:rPr>
              <w:t>3000≤Y＜30000</w:t>
            </w:r>
          </w:p>
        </w:tc>
        <w:tc>
          <w:tcPr>
            <w:tcW w:w="1426" w:type="dxa"/>
            <w:noWrap w:val="0"/>
            <w:vAlign w:val="center"/>
          </w:tcPr>
          <w:p w14:paraId="76017C77">
            <w:pPr>
              <w:widowControl/>
              <w:jc w:val="center"/>
              <w:rPr>
                <w:color w:val="000000"/>
                <w:kern w:val="0"/>
                <w:sz w:val="18"/>
                <w:szCs w:val="18"/>
                <w:highlight w:val="none"/>
              </w:rPr>
            </w:pPr>
            <w:r>
              <w:rPr>
                <w:color w:val="000000"/>
                <w:kern w:val="0"/>
                <w:sz w:val="18"/>
                <w:szCs w:val="18"/>
                <w:highlight w:val="none"/>
              </w:rPr>
              <w:t>200≤Y＜3000</w:t>
            </w:r>
          </w:p>
        </w:tc>
        <w:tc>
          <w:tcPr>
            <w:tcW w:w="992" w:type="dxa"/>
            <w:noWrap w:val="0"/>
            <w:vAlign w:val="center"/>
          </w:tcPr>
          <w:p w14:paraId="2AB97E33">
            <w:pPr>
              <w:widowControl/>
              <w:jc w:val="center"/>
              <w:rPr>
                <w:color w:val="000000"/>
                <w:kern w:val="0"/>
                <w:sz w:val="18"/>
                <w:szCs w:val="18"/>
                <w:highlight w:val="none"/>
              </w:rPr>
            </w:pPr>
            <w:r>
              <w:rPr>
                <w:color w:val="000000"/>
                <w:kern w:val="0"/>
                <w:sz w:val="18"/>
                <w:szCs w:val="18"/>
                <w:highlight w:val="none"/>
              </w:rPr>
              <w:t>Y＜200</w:t>
            </w:r>
          </w:p>
        </w:tc>
      </w:tr>
      <w:tr w14:paraId="49D7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4E39F7A">
            <w:pPr>
              <w:widowControl/>
              <w:spacing w:line="240" w:lineRule="exact"/>
              <w:jc w:val="left"/>
              <w:rPr>
                <w:rFonts w:hint="eastAsia"/>
                <w:color w:val="000000"/>
                <w:kern w:val="0"/>
                <w:sz w:val="18"/>
                <w:szCs w:val="18"/>
                <w:highlight w:val="none"/>
              </w:rPr>
            </w:pPr>
            <w:r>
              <w:rPr>
                <w:color w:val="000000"/>
                <w:kern w:val="0"/>
                <w:sz w:val="18"/>
                <w:szCs w:val="18"/>
                <w:highlight w:val="none"/>
              </w:rPr>
              <w:t>仓储业</w:t>
            </w:r>
            <w:r>
              <w:rPr>
                <w:rFonts w:hint="eastAsia" w:ascii="宋体" w:hAnsi="宋体" w:cs="宋体"/>
                <w:color w:val="000000"/>
                <w:kern w:val="0"/>
                <w:sz w:val="18"/>
                <w:szCs w:val="18"/>
                <w:highlight w:val="none"/>
              </w:rPr>
              <w:t>※</w:t>
            </w:r>
          </w:p>
        </w:tc>
        <w:tc>
          <w:tcPr>
            <w:tcW w:w="1369" w:type="dxa"/>
            <w:noWrap w:val="0"/>
            <w:vAlign w:val="center"/>
          </w:tcPr>
          <w:p w14:paraId="76B9F360">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35E9317B">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280B1812">
            <w:pPr>
              <w:widowControl/>
              <w:jc w:val="center"/>
              <w:rPr>
                <w:color w:val="000000"/>
                <w:kern w:val="0"/>
                <w:sz w:val="18"/>
                <w:szCs w:val="18"/>
                <w:highlight w:val="none"/>
              </w:rPr>
            </w:pPr>
            <w:r>
              <w:rPr>
                <w:color w:val="000000"/>
                <w:kern w:val="0"/>
                <w:sz w:val="18"/>
                <w:szCs w:val="18"/>
                <w:highlight w:val="none"/>
              </w:rPr>
              <w:t>X≥200</w:t>
            </w:r>
          </w:p>
        </w:tc>
        <w:tc>
          <w:tcPr>
            <w:tcW w:w="1701" w:type="dxa"/>
            <w:noWrap w:val="0"/>
            <w:vAlign w:val="center"/>
          </w:tcPr>
          <w:p w14:paraId="79FC707F">
            <w:pPr>
              <w:widowControl/>
              <w:ind w:left="1" w:leftChars="-51" w:hanging="108" w:hangingChars="60"/>
              <w:jc w:val="center"/>
              <w:rPr>
                <w:color w:val="000000"/>
                <w:kern w:val="0"/>
                <w:sz w:val="18"/>
                <w:szCs w:val="18"/>
                <w:highlight w:val="none"/>
              </w:rPr>
            </w:pPr>
            <w:r>
              <w:rPr>
                <w:color w:val="000000"/>
                <w:kern w:val="0"/>
                <w:sz w:val="18"/>
                <w:szCs w:val="18"/>
                <w:highlight w:val="none"/>
              </w:rPr>
              <w:t>100≤X＜200</w:t>
            </w:r>
          </w:p>
        </w:tc>
        <w:tc>
          <w:tcPr>
            <w:tcW w:w="1426" w:type="dxa"/>
            <w:noWrap w:val="0"/>
            <w:vAlign w:val="center"/>
          </w:tcPr>
          <w:p w14:paraId="31A3AAE4">
            <w:pPr>
              <w:widowControl/>
              <w:jc w:val="center"/>
              <w:rPr>
                <w:color w:val="000000"/>
                <w:kern w:val="0"/>
                <w:sz w:val="18"/>
                <w:szCs w:val="18"/>
                <w:highlight w:val="none"/>
              </w:rPr>
            </w:pPr>
            <w:r>
              <w:rPr>
                <w:color w:val="000000"/>
                <w:kern w:val="0"/>
                <w:sz w:val="18"/>
                <w:szCs w:val="18"/>
                <w:highlight w:val="none"/>
              </w:rPr>
              <w:t>20≤X＜100</w:t>
            </w:r>
          </w:p>
        </w:tc>
        <w:tc>
          <w:tcPr>
            <w:tcW w:w="992" w:type="dxa"/>
            <w:noWrap w:val="0"/>
            <w:vAlign w:val="center"/>
          </w:tcPr>
          <w:p w14:paraId="4F002410">
            <w:pPr>
              <w:widowControl/>
              <w:jc w:val="center"/>
              <w:rPr>
                <w:color w:val="000000"/>
                <w:kern w:val="0"/>
                <w:sz w:val="18"/>
                <w:szCs w:val="18"/>
                <w:highlight w:val="none"/>
              </w:rPr>
            </w:pPr>
            <w:r>
              <w:rPr>
                <w:color w:val="000000"/>
                <w:kern w:val="0"/>
                <w:sz w:val="18"/>
                <w:szCs w:val="18"/>
                <w:highlight w:val="none"/>
              </w:rPr>
              <w:t>X＜20</w:t>
            </w:r>
          </w:p>
        </w:tc>
      </w:tr>
      <w:tr w14:paraId="2766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64F650">
            <w:pPr>
              <w:widowControl/>
              <w:jc w:val="left"/>
              <w:rPr>
                <w:color w:val="000000"/>
                <w:kern w:val="0"/>
                <w:sz w:val="18"/>
                <w:szCs w:val="18"/>
                <w:highlight w:val="none"/>
              </w:rPr>
            </w:pPr>
          </w:p>
        </w:tc>
        <w:tc>
          <w:tcPr>
            <w:tcW w:w="1369" w:type="dxa"/>
            <w:noWrap w:val="0"/>
            <w:vAlign w:val="center"/>
          </w:tcPr>
          <w:p w14:paraId="0C5B4AFC">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627F3B64">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4D420DFD">
            <w:pPr>
              <w:widowControl/>
              <w:jc w:val="center"/>
              <w:rPr>
                <w:color w:val="000000"/>
                <w:kern w:val="0"/>
                <w:sz w:val="18"/>
                <w:szCs w:val="18"/>
                <w:highlight w:val="none"/>
              </w:rPr>
            </w:pPr>
            <w:r>
              <w:rPr>
                <w:color w:val="000000"/>
                <w:kern w:val="0"/>
                <w:sz w:val="18"/>
                <w:szCs w:val="18"/>
                <w:highlight w:val="none"/>
              </w:rPr>
              <w:t>Y≥30000</w:t>
            </w:r>
          </w:p>
        </w:tc>
        <w:tc>
          <w:tcPr>
            <w:tcW w:w="1701" w:type="dxa"/>
            <w:noWrap w:val="0"/>
            <w:vAlign w:val="center"/>
          </w:tcPr>
          <w:p w14:paraId="46E15856">
            <w:pPr>
              <w:widowControl/>
              <w:jc w:val="center"/>
              <w:rPr>
                <w:color w:val="000000"/>
                <w:kern w:val="0"/>
                <w:sz w:val="18"/>
                <w:szCs w:val="18"/>
                <w:highlight w:val="none"/>
              </w:rPr>
            </w:pPr>
            <w:r>
              <w:rPr>
                <w:color w:val="000000"/>
                <w:kern w:val="0"/>
                <w:sz w:val="18"/>
                <w:szCs w:val="18"/>
                <w:highlight w:val="none"/>
              </w:rPr>
              <w:t>1000≤Y＜30000</w:t>
            </w:r>
          </w:p>
        </w:tc>
        <w:tc>
          <w:tcPr>
            <w:tcW w:w="1426" w:type="dxa"/>
            <w:noWrap w:val="0"/>
            <w:vAlign w:val="center"/>
          </w:tcPr>
          <w:p w14:paraId="33A06246">
            <w:pPr>
              <w:widowControl/>
              <w:jc w:val="center"/>
              <w:rPr>
                <w:color w:val="000000"/>
                <w:kern w:val="0"/>
                <w:sz w:val="18"/>
                <w:szCs w:val="18"/>
                <w:highlight w:val="none"/>
              </w:rPr>
            </w:pPr>
            <w:r>
              <w:rPr>
                <w:color w:val="000000"/>
                <w:kern w:val="0"/>
                <w:sz w:val="18"/>
                <w:szCs w:val="18"/>
                <w:highlight w:val="none"/>
              </w:rPr>
              <w:t>100≤Y＜1000</w:t>
            </w:r>
          </w:p>
        </w:tc>
        <w:tc>
          <w:tcPr>
            <w:tcW w:w="992" w:type="dxa"/>
            <w:noWrap w:val="0"/>
            <w:vAlign w:val="center"/>
          </w:tcPr>
          <w:p w14:paraId="573002AB">
            <w:pPr>
              <w:widowControl/>
              <w:jc w:val="center"/>
              <w:rPr>
                <w:color w:val="000000"/>
                <w:kern w:val="0"/>
                <w:sz w:val="18"/>
                <w:szCs w:val="18"/>
                <w:highlight w:val="none"/>
              </w:rPr>
            </w:pPr>
            <w:r>
              <w:rPr>
                <w:color w:val="000000"/>
                <w:kern w:val="0"/>
                <w:sz w:val="18"/>
                <w:szCs w:val="18"/>
                <w:highlight w:val="none"/>
              </w:rPr>
              <w:t>Y＜100</w:t>
            </w:r>
          </w:p>
        </w:tc>
      </w:tr>
      <w:tr w14:paraId="0C0F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A55EC25">
            <w:pPr>
              <w:widowControl/>
              <w:spacing w:line="240" w:lineRule="exact"/>
              <w:jc w:val="left"/>
              <w:rPr>
                <w:color w:val="000000"/>
                <w:kern w:val="0"/>
                <w:sz w:val="18"/>
                <w:szCs w:val="18"/>
                <w:highlight w:val="none"/>
              </w:rPr>
            </w:pPr>
            <w:r>
              <w:rPr>
                <w:color w:val="000000"/>
                <w:kern w:val="0"/>
                <w:sz w:val="18"/>
                <w:szCs w:val="18"/>
                <w:highlight w:val="none"/>
              </w:rPr>
              <w:t>邮政业</w:t>
            </w:r>
          </w:p>
        </w:tc>
        <w:tc>
          <w:tcPr>
            <w:tcW w:w="1369" w:type="dxa"/>
            <w:noWrap w:val="0"/>
            <w:vAlign w:val="center"/>
          </w:tcPr>
          <w:p w14:paraId="10B85474">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1036EF2C">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1BCE8C16">
            <w:pPr>
              <w:widowControl/>
              <w:jc w:val="center"/>
              <w:rPr>
                <w:color w:val="000000"/>
                <w:kern w:val="0"/>
                <w:sz w:val="18"/>
                <w:szCs w:val="18"/>
                <w:highlight w:val="none"/>
              </w:rPr>
            </w:pPr>
            <w:r>
              <w:rPr>
                <w:color w:val="000000"/>
                <w:kern w:val="0"/>
                <w:sz w:val="18"/>
                <w:szCs w:val="18"/>
                <w:highlight w:val="none"/>
              </w:rPr>
              <w:t>X≥1000</w:t>
            </w:r>
          </w:p>
        </w:tc>
        <w:tc>
          <w:tcPr>
            <w:tcW w:w="1701" w:type="dxa"/>
            <w:noWrap w:val="0"/>
            <w:vAlign w:val="center"/>
          </w:tcPr>
          <w:p w14:paraId="10DC274E">
            <w:pPr>
              <w:widowControl/>
              <w:jc w:val="center"/>
              <w:rPr>
                <w:color w:val="000000"/>
                <w:kern w:val="0"/>
                <w:sz w:val="18"/>
                <w:szCs w:val="18"/>
                <w:highlight w:val="none"/>
              </w:rPr>
            </w:pPr>
            <w:r>
              <w:rPr>
                <w:color w:val="000000"/>
                <w:kern w:val="0"/>
                <w:sz w:val="18"/>
                <w:szCs w:val="18"/>
                <w:highlight w:val="none"/>
              </w:rPr>
              <w:t>300≤X＜1000</w:t>
            </w:r>
          </w:p>
        </w:tc>
        <w:tc>
          <w:tcPr>
            <w:tcW w:w="1426" w:type="dxa"/>
            <w:noWrap w:val="0"/>
            <w:vAlign w:val="center"/>
          </w:tcPr>
          <w:p w14:paraId="018FE897">
            <w:pPr>
              <w:widowControl/>
              <w:jc w:val="center"/>
              <w:rPr>
                <w:color w:val="000000"/>
                <w:kern w:val="0"/>
                <w:sz w:val="18"/>
                <w:szCs w:val="18"/>
                <w:highlight w:val="none"/>
              </w:rPr>
            </w:pPr>
            <w:r>
              <w:rPr>
                <w:color w:val="000000"/>
                <w:kern w:val="0"/>
                <w:sz w:val="18"/>
                <w:szCs w:val="18"/>
                <w:highlight w:val="none"/>
              </w:rPr>
              <w:t>20≤X＜300</w:t>
            </w:r>
          </w:p>
        </w:tc>
        <w:tc>
          <w:tcPr>
            <w:tcW w:w="992" w:type="dxa"/>
            <w:noWrap w:val="0"/>
            <w:vAlign w:val="center"/>
          </w:tcPr>
          <w:p w14:paraId="7260073D">
            <w:pPr>
              <w:widowControl/>
              <w:jc w:val="center"/>
              <w:rPr>
                <w:color w:val="000000"/>
                <w:kern w:val="0"/>
                <w:sz w:val="18"/>
                <w:szCs w:val="18"/>
                <w:highlight w:val="none"/>
              </w:rPr>
            </w:pPr>
            <w:r>
              <w:rPr>
                <w:color w:val="000000"/>
                <w:kern w:val="0"/>
                <w:sz w:val="18"/>
                <w:szCs w:val="18"/>
                <w:highlight w:val="none"/>
              </w:rPr>
              <w:t>X＜20</w:t>
            </w:r>
          </w:p>
        </w:tc>
      </w:tr>
      <w:tr w14:paraId="25E5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E9FC20">
            <w:pPr>
              <w:widowControl/>
              <w:jc w:val="left"/>
              <w:rPr>
                <w:color w:val="000000"/>
                <w:kern w:val="0"/>
                <w:sz w:val="18"/>
                <w:szCs w:val="18"/>
                <w:highlight w:val="none"/>
              </w:rPr>
            </w:pPr>
          </w:p>
        </w:tc>
        <w:tc>
          <w:tcPr>
            <w:tcW w:w="1369" w:type="dxa"/>
            <w:noWrap w:val="0"/>
            <w:vAlign w:val="center"/>
          </w:tcPr>
          <w:p w14:paraId="5D114BE1">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4D51D856">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18AA39D1">
            <w:pPr>
              <w:widowControl/>
              <w:jc w:val="center"/>
              <w:rPr>
                <w:color w:val="000000"/>
                <w:kern w:val="0"/>
                <w:sz w:val="18"/>
                <w:szCs w:val="18"/>
                <w:highlight w:val="none"/>
              </w:rPr>
            </w:pPr>
            <w:r>
              <w:rPr>
                <w:color w:val="000000"/>
                <w:kern w:val="0"/>
                <w:sz w:val="18"/>
                <w:szCs w:val="18"/>
                <w:highlight w:val="none"/>
              </w:rPr>
              <w:t>Y≥30000</w:t>
            </w:r>
          </w:p>
        </w:tc>
        <w:tc>
          <w:tcPr>
            <w:tcW w:w="1701" w:type="dxa"/>
            <w:noWrap w:val="0"/>
            <w:vAlign w:val="center"/>
          </w:tcPr>
          <w:p w14:paraId="36353155">
            <w:pPr>
              <w:widowControl/>
              <w:jc w:val="center"/>
              <w:rPr>
                <w:color w:val="000000"/>
                <w:kern w:val="0"/>
                <w:sz w:val="18"/>
                <w:szCs w:val="18"/>
                <w:highlight w:val="none"/>
              </w:rPr>
            </w:pPr>
            <w:r>
              <w:rPr>
                <w:color w:val="000000"/>
                <w:kern w:val="0"/>
                <w:sz w:val="18"/>
                <w:szCs w:val="18"/>
                <w:highlight w:val="none"/>
              </w:rPr>
              <w:t>2000≤Y＜30000</w:t>
            </w:r>
          </w:p>
        </w:tc>
        <w:tc>
          <w:tcPr>
            <w:tcW w:w="1426" w:type="dxa"/>
            <w:noWrap w:val="0"/>
            <w:vAlign w:val="center"/>
          </w:tcPr>
          <w:p w14:paraId="7452302C">
            <w:pPr>
              <w:widowControl/>
              <w:jc w:val="center"/>
              <w:rPr>
                <w:color w:val="000000"/>
                <w:kern w:val="0"/>
                <w:sz w:val="18"/>
                <w:szCs w:val="18"/>
                <w:highlight w:val="none"/>
              </w:rPr>
            </w:pPr>
            <w:r>
              <w:rPr>
                <w:color w:val="000000"/>
                <w:kern w:val="0"/>
                <w:sz w:val="18"/>
                <w:szCs w:val="18"/>
                <w:highlight w:val="none"/>
              </w:rPr>
              <w:t>100≤Y＜2000</w:t>
            </w:r>
          </w:p>
        </w:tc>
        <w:tc>
          <w:tcPr>
            <w:tcW w:w="992" w:type="dxa"/>
            <w:noWrap w:val="0"/>
            <w:vAlign w:val="center"/>
          </w:tcPr>
          <w:p w14:paraId="2AE512E7">
            <w:pPr>
              <w:widowControl/>
              <w:jc w:val="center"/>
              <w:rPr>
                <w:color w:val="000000"/>
                <w:kern w:val="0"/>
                <w:sz w:val="18"/>
                <w:szCs w:val="18"/>
                <w:highlight w:val="none"/>
              </w:rPr>
            </w:pPr>
            <w:r>
              <w:rPr>
                <w:color w:val="000000"/>
                <w:kern w:val="0"/>
                <w:sz w:val="18"/>
                <w:szCs w:val="18"/>
                <w:highlight w:val="none"/>
              </w:rPr>
              <w:t>Y＜100</w:t>
            </w:r>
          </w:p>
        </w:tc>
      </w:tr>
      <w:tr w14:paraId="197A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CD18BEC">
            <w:pPr>
              <w:widowControl/>
              <w:spacing w:line="240" w:lineRule="exact"/>
              <w:jc w:val="left"/>
              <w:rPr>
                <w:color w:val="000000"/>
                <w:kern w:val="0"/>
                <w:sz w:val="18"/>
                <w:szCs w:val="18"/>
                <w:highlight w:val="none"/>
              </w:rPr>
            </w:pPr>
            <w:r>
              <w:rPr>
                <w:color w:val="000000"/>
                <w:kern w:val="0"/>
                <w:sz w:val="18"/>
                <w:szCs w:val="18"/>
                <w:highlight w:val="none"/>
              </w:rPr>
              <w:t>住宿业</w:t>
            </w:r>
          </w:p>
        </w:tc>
        <w:tc>
          <w:tcPr>
            <w:tcW w:w="1369" w:type="dxa"/>
            <w:noWrap w:val="0"/>
            <w:vAlign w:val="center"/>
          </w:tcPr>
          <w:p w14:paraId="6B55BD73">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3E1000FD">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13BEEA41">
            <w:pPr>
              <w:widowControl/>
              <w:jc w:val="center"/>
              <w:rPr>
                <w:color w:val="000000"/>
                <w:kern w:val="0"/>
                <w:sz w:val="18"/>
                <w:szCs w:val="18"/>
                <w:highlight w:val="none"/>
              </w:rPr>
            </w:pPr>
            <w:r>
              <w:rPr>
                <w:color w:val="000000"/>
                <w:kern w:val="0"/>
                <w:sz w:val="18"/>
                <w:szCs w:val="18"/>
                <w:highlight w:val="none"/>
              </w:rPr>
              <w:t>X≥300</w:t>
            </w:r>
          </w:p>
        </w:tc>
        <w:tc>
          <w:tcPr>
            <w:tcW w:w="1701" w:type="dxa"/>
            <w:noWrap w:val="0"/>
            <w:vAlign w:val="center"/>
          </w:tcPr>
          <w:p w14:paraId="396766A4">
            <w:pPr>
              <w:widowControl/>
              <w:ind w:left="1" w:leftChars="-51" w:hanging="108" w:hangingChars="60"/>
              <w:jc w:val="center"/>
              <w:rPr>
                <w:color w:val="000000"/>
                <w:kern w:val="0"/>
                <w:sz w:val="18"/>
                <w:szCs w:val="18"/>
                <w:highlight w:val="none"/>
              </w:rPr>
            </w:pPr>
            <w:r>
              <w:rPr>
                <w:color w:val="000000"/>
                <w:kern w:val="0"/>
                <w:sz w:val="18"/>
                <w:szCs w:val="18"/>
                <w:highlight w:val="none"/>
              </w:rPr>
              <w:t>100≤X＜300</w:t>
            </w:r>
          </w:p>
        </w:tc>
        <w:tc>
          <w:tcPr>
            <w:tcW w:w="1426" w:type="dxa"/>
            <w:noWrap w:val="0"/>
            <w:vAlign w:val="center"/>
          </w:tcPr>
          <w:p w14:paraId="24695396">
            <w:pPr>
              <w:widowControl/>
              <w:jc w:val="center"/>
              <w:rPr>
                <w:color w:val="000000"/>
                <w:kern w:val="0"/>
                <w:sz w:val="18"/>
                <w:szCs w:val="18"/>
                <w:highlight w:val="none"/>
              </w:rPr>
            </w:pPr>
            <w:r>
              <w:rPr>
                <w:color w:val="000000"/>
                <w:kern w:val="0"/>
                <w:sz w:val="18"/>
                <w:szCs w:val="18"/>
                <w:highlight w:val="none"/>
              </w:rPr>
              <w:t>10≤X＜100</w:t>
            </w:r>
          </w:p>
        </w:tc>
        <w:tc>
          <w:tcPr>
            <w:tcW w:w="992" w:type="dxa"/>
            <w:noWrap w:val="0"/>
            <w:vAlign w:val="center"/>
          </w:tcPr>
          <w:p w14:paraId="0FA4EB68">
            <w:pPr>
              <w:widowControl/>
              <w:jc w:val="center"/>
              <w:rPr>
                <w:color w:val="000000"/>
                <w:kern w:val="0"/>
                <w:sz w:val="18"/>
                <w:szCs w:val="18"/>
                <w:highlight w:val="none"/>
              </w:rPr>
            </w:pPr>
            <w:r>
              <w:rPr>
                <w:color w:val="000000"/>
                <w:kern w:val="0"/>
                <w:sz w:val="18"/>
                <w:szCs w:val="18"/>
                <w:highlight w:val="none"/>
              </w:rPr>
              <w:t>X＜10</w:t>
            </w:r>
          </w:p>
        </w:tc>
      </w:tr>
      <w:tr w14:paraId="359B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9B118E9">
            <w:pPr>
              <w:widowControl/>
              <w:jc w:val="left"/>
              <w:rPr>
                <w:color w:val="000000"/>
                <w:kern w:val="0"/>
                <w:sz w:val="18"/>
                <w:szCs w:val="18"/>
                <w:highlight w:val="none"/>
              </w:rPr>
            </w:pPr>
          </w:p>
        </w:tc>
        <w:tc>
          <w:tcPr>
            <w:tcW w:w="1369" w:type="dxa"/>
            <w:noWrap w:val="0"/>
            <w:vAlign w:val="center"/>
          </w:tcPr>
          <w:p w14:paraId="2FBA047C">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1B73D10B">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18B0FA5E">
            <w:pPr>
              <w:widowControl/>
              <w:jc w:val="center"/>
              <w:rPr>
                <w:color w:val="000000"/>
                <w:kern w:val="0"/>
                <w:sz w:val="18"/>
                <w:szCs w:val="18"/>
                <w:highlight w:val="none"/>
              </w:rPr>
            </w:pPr>
            <w:r>
              <w:rPr>
                <w:color w:val="000000"/>
                <w:kern w:val="0"/>
                <w:sz w:val="18"/>
                <w:szCs w:val="18"/>
                <w:highlight w:val="none"/>
              </w:rPr>
              <w:t>Y≥10000</w:t>
            </w:r>
          </w:p>
        </w:tc>
        <w:tc>
          <w:tcPr>
            <w:tcW w:w="1701" w:type="dxa"/>
            <w:noWrap w:val="0"/>
            <w:vAlign w:val="center"/>
          </w:tcPr>
          <w:p w14:paraId="03943B44">
            <w:pPr>
              <w:widowControl/>
              <w:jc w:val="center"/>
              <w:rPr>
                <w:color w:val="000000"/>
                <w:kern w:val="0"/>
                <w:sz w:val="18"/>
                <w:szCs w:val="18"/>
                <w:highlight w:val="none"/>
              </w:rPr>
            </w:pPr>
            <w:r>
              <w:rPr>
                <w:color w:val="000000"/>
                <w:kern w:val="0"/>
                <w:sz w:val="18"/>
                <w:szCs w:val="18"/>
                <w:highlight w:val="none"/>
              </w:rPr>
              <w:t>2000≤Y＜10000</w:t>
            </w:r>
          </w:p>
        </w:tc>
        <w:tc>
          <w:tcPr>
            <w:tcW w:w="1426" w:type="dxa"/>
            <w:noWrap w:val="0"/>
            <w:vAlign w:val="center"/>
          </w:tcPr>
          <w:p w14:paraId="2100BE0F">
            <w:pPr>
              <w:widowControl/>
              <w:jc w:val="center"/>
              <w:rPr>
                <w:color w:val="000000"/>
                <w:kern w:val="0"/>
                <w:sz w:val="18"/>
                <w:szCs w:val="18"/>
                <w:highlight w:val="none"/>
              </w:rPr>
            </w:pPr>
            <w:r>
              <w:rPr>
                <w:color w:val="000000"/>
                <w:kern w:val="0"/>
                <w:sz w:val="18"/>
                <w:szCs w:val="18"/>
                <w:highlight w:val="none"/>
              </w:rPr>
              <w:t>100≤Y＜2000</w:t>
            </w:r>
          </w:p>
        </w:tc>
        <w:tc>
          <w:tcPr>
            <w:tcW w:w="992" w:type="dxa"/>
            <w:noWrap w:val="0"/>
            <w:vAlign w:val="center"/>
          </w:tcPr>
          <w:p w14:paraId="1507EEA8">
            <w:pPr>
              <w:widowControl/>
              <w:jc w:val="center"/>
              <w:rPr>
                <w:color w:val="000000"/>
                <w:kern w:val="0"/>
                <w:sz w:val="18"/>
                <w:szCs w:val="18"/>
                <w:highlight w:val="none"/>
              </w:rPr>
            </w:pPr>
            <w:r>
              <w:rPr>
                <w:color w:val="000000"/>
                <w:kern w:val="0"/>
                <w:sz w:val="18"/>
                <w:szCs w:val="18"/>
                <w:highlight w:val="none"/>
              </w:rPr>
              <w:t>Y＜100</w:t>
            </w:r>
          </w:p>
        </w:tc>
      </w:tr>
      <w:tr w14:paraId="57FB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02385B7">
            <w:pPr>
              <w:widowControl/>
              <w:spacing w:line="240" w:lineRule="exact"/>
              <w:jc w:val="left"/>
              <w:rPr>
                <w:color w:val="000000"/>
                <w:kern w:val="0"/>
                <w:sz w:val="18"/>
                <w:szCs w:val="18"/>
                <w:highlight w:val="none"/>
              </w:rPr>
            </w:pPr>
            <w:r>
              <w:rPr>
                <w:color w:val="000000"/>
                <w:kern w:val="0"/>
                <w:sz w:val="18"/>
                <w:szCs w:val="18"/>
                <w:highlight w:val="none"/>
              </w:rPr>
              <w:t>餐饮业</w:t>
            </w:r>
          </w:p>
        </w:tc>
        <w:tc>
          <w:tcPr>
            <w:tcW w:w="1369" w:type="dxa"/>
            <w:noWrap w:val="0"/>
            <w:vAlign w:val="center"/>
          </w:tcPr>
          <w:p w14:paraId="3B373E87">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164E14A1">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0C338585">
            <w:pPr>
              <w:widowControl/>
              <w:jc w:val="center"/>
              <w:rPr>
                <w:color w:val="000000"/>
                <w:kern w:val="0"/>
                <w:sz w:val="18"/>
                <w:szCs w:val="18"/>
                <w:highlight w:val="none"/>
              </w:rPr>
            </w:pPr>
            <w:r>
              <w:rPr>
                <w:color w:val="000000"/>
                <w:kern w:val="0"/>
                <w:sz w:val="18"/>
                <w:szCs w:val="18"/>
                <w:highlight w:val="none"/>
              </w:rPr>
              <w:t>X≥300</w:t>
            </w:r>
          </w:p>
        </w:tc>
        <w:tc>
          <w:tcPr>
            <w:tcW w:w="1701" w:type="dxa"/>
            <w:noWrap w:val="0"/>
            <w:vAlign w:val="center"/>
          </w:tcPr>
          <w:p w14:paraId="570B84F9">
            <w:pPr>
              <w:widowControl/>
              <w:ind w:left="1" w:leftChars="-51" w:hanging="108" w:hangingChars="60"/>
              <w:jc w:val="center"/>
              <w:rPr>
                <w:color w:val="000000"/>
                <w:kern w:val="0"/>
                <w:sz w:val="18"/>
                <w:szCs w:val="18"/>
                <w:highlight w:val="none"/>
              </w:rPr>
            </w:pPr>
            <w:r>
              <w:rPr>
                <w:color w:val="000000"/>
                <w:kern w:val="0"/>
                <w:sz w:val="18"/>
                <w:szCs w:val="18"/>
                <w:highlight w:val="none"/>
              </w:rPr>
              <w:t xml:space="preserve">100≤X＜300 </w:t>
            </w:r>
          </w:p>
        </w:tc>
        <w:tc>
          <w:tcPr>
            <w:tcW w:w="1426" w:type="dxa"/>
            <w:noWrap w:val="0"/>
            <w:vAlign w:val="center"/>
          </w:tcPr>
          <w:p w14:paraId="293FB979">
            <w:pPr>
              <w:widowControl/>
              <w:jc w:val="center"/>
              <w:rPr>
                <w:color w:val="000000"/>
                <w:kern w:val="0"/>
                <w:sz w:val="18"/>
                <w:szCs w:val="18"/>
                <w:highlight w:val="none"/>
              </w:rPr>
            </w:pPr>
            <w:r>
              <w:rPr>
                <w:color w:val="000000"/>
                <w:kern w:val="0"/>
                <w:sz w:val="18"/>
                <w:szCs w:val="18"/>
                <w:highlight w:val="none"/>
              </w:rPr>
              <w:t>10≤X＜100</w:t>
            </w:r>
          </w:p>
        </w:tc>
        <w:tc>
          <w:tcPr>
            <w:tcW w:w="992" w:type="dxa"/>
            <w:noWrap w:val="0"/>
            <w:vAlign w:val="center"/>
          </w:tcPr>
          <w:p w14:paraId="6F6AD69B">
            <w:pPr>
              <w:widowControl/>
              <w:jc w:val="center"/>
              <w:rPr>
                <w:color w:val="000000"/>
                <w:kern w:val="0"/>
                <w:sz w:val="18"/>
                <w:szCs w:val="18"/>
                <w:highlight w:val="none"/>
              </w:rPr>
            </w:pPr>
            <w:r>
              <w:rPr>
                <w:color w:val="000000"/>
                <w:kern w:val="0"/>
                <w:sz w:val="18"/>
                <w:szCs w:val="18"/>
                <w:highlight w:val="none"/>
              </w:rPr>
              <w:t>X＜10</w:t>
            </w:r>
          </w:p>
        </w:tc>
      </w:tr>
      <w:tr w14:paraId="225F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FC9192F">
            <w:pPr>
              <w:widowControl/>
              <w:jc w:val="left"/>
              <w:rPr>
                <w:color w:val="000000"/>
                <w:kern w:val="0"/>
                <w:sz w:val="18"/>
                <w:szCs w:val="18"/>
                <w:highlight w:val="none"/>
              </w:rPr>
            </w:pPr>
          </w:p>
        </w:tc>
        <w:tc>
          <w:tcPr>
            <w:tcW w:w="1369" w:type="dxa"/>
            <w:noWrap w:val="0"/>
            <w:vAlign w:val="center"/>
          </w:tcPr>
          <w:p w14:paraId="2CA134CC">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174871AD">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50009A48">
            <w:pPr>
              <w:widowControl/>
              <w:jc w:val="center"/>
              <w:rPr>
                <w:color w:val="000000"/>
                <w:kern w:val="0"/>
                <w:sz w:val="18"/>
                <w:szCs w:val="18"/>
                <w:highlight w:val="none"/>
              </w:rPr>
            </w:pPr>
            <w:r>
              <w:rPr>
                <w:color w:val="000000"/>
                <w:kern w:val="0"/>
                <w:sz w:val="18"/>
                <w:szCs w:val="18"/>
                <w:highlight w:val="none"/>
              </w:rPr>
              <w:t>Y≥10000</w:t>
            </w:r>
          </w:p>
        </w:tc>
        <w:tc>
          <w:tcPr>
            <w:tcW w:w="1701" w:type="dxa"/>
            <w:noWrap w:val="0"/>
            <w:vAlign w:val="center"/>
          </w:tcPr>
          <w:p w14:paraId="0D862F1B">
            <w:pPr>
              <w:widowControl/>
              <w:jc w:val="center"/>
              <w:rPr>
                <w:color w:val="000000"/>
                <w:kern w:val="0"/>
                <w:sz w:val="18"/>
                <w:szCs w:val="18"/>
                <w:highlight w:val="none"/>
              </w:rPr>
            </w:pPr>
            <w:r>
              <w:rPr>
                <w:color w:val="000000"/>
                <w:kern w:val="0"/>
                <w:sz w:val="18"/>
                <w:szCs w:val="18"/>
                <w:highlight w:val="none"/>
              </w:rPr>
              <w:t>2000≤Y＜10000</w:t>
            </w:r>
          </w:p>
        </w:tc>
        <w:tc>
          <w:tcPr>
            <w:tcW w:w="1426" w:type="dxa"/>
            <w:noWrap w:val="0"/>
            <w:vAlign w:val="center"/>
          </w:tcPr>
          <w:p w14:paraId="1DE9895D">
            <w:pPr>
              <w:widowControl/>
              <w:jc w:val="center"/>
              <w:rPr>
                <w:color w:val="000000"/>
                <w:kern w:val="0"/>
                <w:sz w:val="18"/>
                <w:szCs w:val="18"/>
                <w:highlight w:val="none"/>
              </w:rPr>
            </w:pPr>
            <w:r>
              <w:rPr>
                <w:color w:val="000000"/>
                <w:kern w:val="0"/>
                <w:sz w:val="18"/>
                <w:szCs w:val="18"/>
                <w:highlight w:val="none"/>
              </w:rPr>
              <w:t>100≤Y＜2000</w:t>
            </w:r>
          </w:p>
        </w:tc>
        <w:tc>
          <w:tcPr>
            <w:tcW w:w="992" w:type="dxa"/>
            <w:noWrap w:val="0"/>
            <w:vAlign w:val="center"/>
          </w:tcPr>
          <w:p w14:paraId="162B9798">
            <w:pPr>
              <w:widowControl/>
              <w:jc w:val="center"/>
              <w:rPr>
                <w:color w:val="000000"/>
                <w:kern w:val="0"/>
                <w:sz w:val="18"/>
                <w:szCs w:val="18"/>
                <w:highlight w:val="none"/>
              </w:rPr>
            </w:pPr>
            <w:r>
              <w:rPr>
                <w:color w:val="000000"/>
                <w:kern w:val="0"/>
                <w:sz w:val="18"/>
                <w:szCs w:val="18"/>
                <w:highlight w:val="none"/>
              </w:rPr>
              <w:t>Y＜100</w:t>
            </w:r>
          </w:p>
        </w:tc>
      </w:tr>
      <w:tr w14:paraId="7035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6DC416D">
            <w:pPr>
              <w:widowControl/>
              <w:spacing w:line="240" w:lineRule="exact"/>
              <w:jc w:val="left"/>
              <w:rPr>
                <w:rFonts w:hint="eastAsia"/>
                <w:color w:val="000000"/>
                <w:kern w:val="0"/>
                <w:sz w:val="18"/>
                <w:szCs w:val="18"/>
                <w:highlight w:val="none"/>
              </w:rPr>
            </w:pPr>
            <w:r>
              <w:rPr>
                <w:color w:val="000000"/>
                <w:kern w:val="0"/>
                <w:sz w:val="18"/>
                <w:szCs w:val="18"/>
                <w:highlight w:val="none"/>
              </w:rPr>
              <w:t xml:space="preserve">信息传输业 </w:t>
            </w:r>
            <w:r>
              <w:rPr>
                <w:rFonts w:hint="eastAsia" w:ascii="宋体" w:hAnsi="宋体" w:cs="宋体"/>
                <w:color w:val="000000"/>
                <w:kern w:val="0"/>
                <w:sz w:val="18"/>
                <w:szCs w:val="18"/>
                <w:highlight w:val="none"/>
              </w:rPr>
              <w:t>※</w:t>
            </w:r>
          </w:p>
        </w:tc>
        <w:tc>
          <w:tcPr>
            <w:tcW w:w="1369" w:type="dxa"/>
            <w:noWrap w:val="0"/>
            <w:vAlign w:val="center"/>
          </w:tcPr>
          <w:p w14:paraId="43F3AF2B">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174F2A71">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4ECC0289">
            <w:pPr>
              <w:widowControl/>
              <w:jc w:val="center"/>
              <w:rPr>
                <w:color w:val="000000"/>
                <w:kern w:val="0"/>
                <w:sz w:val="18"/>
                <w:szCs w:val="18"/>
                <w:highlight w:val="none"/>
              </w:rPr>
            </w:pPr>
            <w:r>
              <w:rPr>
                <w:color w:val="000000"/>
                <w:kern w:val="0"/>
                <w:sz w:val="18"/>
                <w:szCs w:val="18"/>
                <w:highlight w:val="none"/>
              </w:rPr>
              <w:t>X≥2000</w:t>
            </w:r>
          </w:p>
        </w:tc>
        <w:tc>
          <w:tcPr>
            <w:tcW w:w="1701" w:type="dxa"/>
            <w:noWrap w:val="0"/>
            <w:vAlign w:val="center"/>
          </w:tcPr>
          <w:p w14:paraId="4A3D1322">
            <w:pPr>
              <w:widowControl/>
              <w:jc w:val="center"/>
              <w:rPr>
                <w:color w:val="000000"/>
                <w:kern w:val="0"/>
                <w:sz w:val="18"/>
                <w:szCs w:val="18"/>
                <w:highlight w:val="none"/>
              </w:rPr>
            </w:pPr>
            <w:r>
              <w:rPr>
                <w:color w:val="000000"/>
                <w:kern w:val="0"/>
                <w:sz w:val="18"/>
                <w:szCs w:val="18"/>
                <w:highlight w:val="none"/>
              </w:rPr>
              <w:t>100≤X＜2000</w:t>
            </w:r>
          </w:p>
        </w:tc>
        <w:tc>
          <w:tcPr>
            <w:tcW w:w="1426" w:type="dxa"/>
            <w:noWrap w:val="0"/>
            <w:vAlign w:val="center"/>
          </w:tcPr>
          <w:p w14:paraId="1E7ED568">
            <w:pPr>
              <w:widowControl/>
              <w:jc w:val="center"/>
              <w:rPr>
                <w:color w:val="000000"/>
                <w:kern w:val="0"/>
                <w:sz w:val="18"/>
                <w:szCs w:val="18"/>
                <w:highlight w:val="none"/>
              </w:rPr>
            </w:pPr>
            <w:r>
              <w:rPr>
                <w:color w:val="000000"/>
                <w:kern w:val="0"/>
                <w:sz w:val="18"/>
                <w:szCs w:val="18"/>
                <w:highlight w:val="none"/>
              </w:rPr>
              <w:t>10≤X＜100</w:t>
            </w:r>
          </w:p>
        </w:tc>
        <w:tc>
          <w:tcPr>
            <w:tcW w:w="992" w:type="dxa"/>
            <w:noWrap w:val="0"/>
            <w:vAlign w:val="center"/>
          </w:tcPr>
          <w:p w14:paraId="4FB05234">
            <w:pPr>
              <w:widowControl/>
              <w:jc w:val="center"/>
              <w:rPr>
                <w:color w:val="000000"/>
                <w:kern w:val="0"/>
                <w:sz w:val="18"/>
                <w:szCs w:val="18"/>
                <w:highlight w:val="none"/>
              </w:rPr>
            </w:pPr>
            <w:r>
              <w:rPr>
                <w:color w:val="000000"/>
                <w:kern w:val="0"/>
                <w:sz w:val="18"/>
                <w:szCs w:val="18"/>
                <w:highlight w:val="none"/>
              </w:rPr>
              <w:t>X＜10</w:t>
            </w:r>
          </w:p>
        </w:tc>
      </w:tr>
      <w:tr w14:paraId="71D3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A9DF9D3">
            <w:pPr>
              <w:widowControl/>
              <w:jc w:val="left"/>
              <w:rPr>
                <w:color w:val="000000"/>
                <w:kern w:val="0"/>
                <w:sz w:val="18"/>
                <w:szCs w:val="18"/>
                <w:highlight w:val="none"/>
              </w:rPr>
            </w:pPr>
          </w:p>
        </w:tc>
        <w:tc>
          <w:tcPr>
            <w:tcW w:w="1369" w:type="dxa"/>
            <w:noWrap w:val="0"/>
            <w:vAlign w:val="center"/>
          </w:tcPr>
          <w:p w14:paraId="257CB537">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176719CD">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3BF521AF">
            <w:pPr>
              <w:widowControl/>
              <w:jc w:val="center"/>
              <w:rPr>
                <w:color w:val="000000"/>
                <w:kern w:val="0"/>
                <w:sz w:val="18"/>
                <w:szCs w:val="18"/>
                <w:highlight w:val="none"/>
              </w:rPr>
            </w:pPr>
            <w:r>
              <w:rPr>
                <w:color w:val="000000"/>
                <w:kern w:val="0"/>
                <w:sz w:val="18"/>
                <w:szCs w:val="18"/>
                <w:highlight w:val="none"/>
              </w:rPr>
              <w:t>Y≥100000</w:t>
            </w:r>
          </w:p>
        </w:tc>
        <w:tc>
          <w:tcPr>
            <w:tcW w:w="1701" w:type="dxa"/>
            <w:noWrap w:val="0"/>
            <w:vAlign w:val="center"/>
          </w:tcPr>
          <w:p w14:paraId="4487710D">
            <w:pPr>
              <w:widowControl/>
              <w:jc w:val="center"/>
              <w:rPr>
                <w:color w:val="000000"/>
                <w:kern w:val="0"/>
                <w:sz w:val="18"/>
                <w:szCs w:val="18"/>
                <w:highlight w:val="none"/>
              </w:rPr>
            </w:pPr>
            <w:r>
              <w:rPr>
                <w:color w:val="000000"/>
                <w:kern w:val="0"/>
                <w:sz w:val="18"/>
                <w:szCs w:val="18"/>
                <w:highlight w:val="none"/>
              </w:rPr>
              <w:t>1000≤Y＜100000</w:t>
            </w:r>
          </w:p>
        </w:tc>
        <w:tc>
          <w:tcPr>
            <w:tcW w:w="1426" w:type="dxa"/>
            <w:noWrap w:val="0"/>
            <w:vAlign w:val="center"/>
          </w:tcPr>
          <w:p w14:paraId="278D86A0">
            <w:pPr>
              <w:widowControl/>
              <w:jc w:val="center"/>
              <w:rPr>
                <w:color w:val="000000"/>
                <w:kern w:val="0"/>
                <w:sz w:val="18"/>
                <w:szCs w:val="18"/>
                <w:highlight w:val="none"/>
              </w:rPr>
            </w:pPr>
            <w:r>
              <w:rPr>
                <w:color w:val="000000"/>
                <w:kern w:val="0"/>
                <w:sz w:val="18"/>
                <w:szCs w:val="18"/>
                <w:highlight w:val="none"/>
              </w:rPr>
              <w:t>100≤Y＜1000</w:t>
            </w:r>
          </w:p>
        </w:tc>
        <w:tc>
          <w:tcPr>
            <w:tcW w:w="992" w:type="dxa"/>
            <w:noWrap w:val="0"/>
            <w:vAlign w:val="center"/>
          </w:tcPr>
          <w:p w14:paraId="774DB349">
            <w:pPr>
              <w:widowControl/>
              <w:jc w:val="center"/>
              <w:rPr>
                <w:color w:val="000000"/>
                <w:kern w:val="0"/>
                <w:sz w:val="18"/>
                <w:szCs w:val="18"/>
                <w:highlight w:val="none"/>
              </w:rPr>
            </w:pPr>
            <w:r>
              <w:rPr>
                <w:color w:val="000000"/>
                <w:kern w:val="0"/>
                <w:sz w:val="18"/>
                <w:szCs w:val="18"/>
                <w:highlight w:val="none"/>
              </w:rPr>
              <w:t>Y＜100</w:t>
            </w:r>
          </w:p>
        </w:tc>
      </w:tr>
      <w:tr w14:paraId="3714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74AF224">
            <w:pPr>
              <w:widowControl/>
              <w:spacing w:line="240" w:lineRule="exact"/>
              <w:jc w:val="left"/>
              <w:rPr>
                <w:color w:val="000000"/>
                <w:spacing w:val="-12"/>
                <w:kern w:val="0"/>
                <w:sz w:val="18"/>
                <w:szCs w:val="18"/>
                <w:highlight w:val="none"/>
              </w:rPr>
            </w:pPr>
            <w:r>
              <w:rPr>
                <w:color w:val="000000"/>
                <w:spacing w:val="-12"/>
                <w:kern w:val="0"/>
                <w:sz w:val="18"/>
                <w:szCs w:val="18"/>
                <w:highlight w:val="none"/>
              </w:rPr>
              <w:t>软件和信息技术服</w:t>
            </w:r>
            <w:r>
              <w:rPr>
                <w:color w:val="000000"/>
                <w:kern w:val="0"/>
                <w:sz w:val="18"/>
                <w:szCs w:val="18"/>
                <w:highlight w:val="none"/>
              </w:rPr>
              <w:t>务业</w:t>
            </w:r>
          </w:p>
        </w:tc>
        <w:tc>
          <w:tcPr>
            <w:tcW w:w="1369" w:type="dxa"/>
            <w:noWrap w:val="0"/>
            <w:vAlign w:val="center"/>
          </w:tcPr>
          <w:p w14:paraId="2B53DB52">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7B34C66D">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4A9AC199">
            <w:pPr>
              <w:widowControl/>
              <w:jc w:val="center"/>
              <w:rPr>
                <w:color w:val="000000"/>
                <w:kern w:val="0"/>
                <w:sz w:val="18"/>
                <w:szCs w:val="18"/>
                <w:highlight w:val="none"/>
              </w:rPr>
            </w:pPr>
            <w:r>
              <w:rPr>
                <w:color w:val="000000"/>
                <w:kern w:val="0"/>
                <w:sz w:val="18"/>
                <w:szCs w:val="18"/>
                <w:highlight w:val="none"/>
              </w:rPr>
              <w:t>X≥300</w:t>
            </w:r>
          </w:p>
        </w:tc>
        <w:tc>
          <w:tcPr>
            <w:tcW w:w="1701" w:type="dxa"/>
            <w:noWrap w:val="0"/>
            <w:vAlign w:val="center"/>
          </w:tcPr>
          <w:p w14:paraId="6677439F">
            <w:pPr>
              <w:widowControl/>
              <w:ind w:left="1" w:leftChars="-51" w:hanging="108" w:hangingChars="60"/>
              <w:jc w:val="center"/>
              <w:rPr>
                <w:color w:val="000000"/>
                <w:kern w:val="0"/>
                <w:sz w:val="18"/>
                <w:szCs w:val="18"/>
                <w:highlight w:val="none"/>
              </w:rPr>
            </w:pPr>
            <w:r>
              <w:rPr>
                <w:color w:val="000000"/>
                <w:kern w:val="0"/>
                <w:sz w:val="18"/>
                <w:szCs w:val="18"/>
                <w:highlight w:val="none"/>
              </w:rPr>
              <w:t xml:space="preserve">100≤X＜300 </w:t>
            </w:r>
          </w:p>
        </w:tc>
        <w:tc>
          <w:tcPr>
            <w:tcW w:w="1426" w:type="dxa"/>
            <w:noWrap w:val="0"/>
            <w:vAlign w:val="center"/>
          </w:tcPr>
          <w:p w14:paraId="114D87A4">
            <w:pPr>
              <w:widowControl/>
              <w:jc w:val="center"/>
              <w:rPr>
                <w:color w:val="000000"/>
                <w:kern w:val="0"/>
                <w:sz w:val="18"/>
                <w:szCs w:val="18"/>
                <w:highlight w:val="none"/>
              </w:rPr>
            </w:pPr>
            <w:r>
              <w:rPr>
                <w:color w:val="000000"/>
                <w:kern w:val="0"/>
                <w:sz w:val="18"/>
                <w:szCs w:val="18"/>
                <w:highlight w:val="none"/>
              </w:rPr>
              <w:t>10≤X＜100</w:t>
            </w:r>
          </w:p>
        </w:tc>
        <w:tc>
          <w:tcPr>
            <w:tcW w:w="992" w:type="dxa"/>
            <w:noWrap w:val="0"/>
            <w:vAlign w:val="center"/>
          </w:tcPr>
          <w:p w14:paraId="5BF12F25">
            <w:pPr>
              <w:widowControl/>
              <w:jc w:val="center"/>
              <w:rPr>
                <w:color w:val="000000"/>
                <w:kern w:val="0"/>
                <w:sz w:val="18"/>
                <w:szCs w:val="18"/>
                <w:highlight w:val="none"/>
              </w:rPr>
            </w:pPr>
            <w:r>
              <w:rPr>
                <w:color w:val="000000"/>
                <w:kern w:val="0"/>
                <w:sz w:val="18"/>
                <w:szCs w:val="18"/>
                <w:highlight w:val="none"/>
              </w:rPr>
              <w:t>X＜10</w:t>
            </w:r>
          </w:p>
        </w:tc>
      </w:tr>
      <w:tr w14:paraId="61A9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472AA91">
            <w:pPr>
              <w:widowControl/>
              <w:jc w:val="left"/>
              <w:rPr>
                <w:color w:val="000000"/>
                <w:spacing w:val="-12"/>
                <w:kern w:val="0"/>
                <w:sz w:val="18"/>
                <w:szCs w:val="18"/>
                <w:highlight w:val="none"/>
              </w:rPr>
            </w:pPr>
          </w:p>
        </w:tc>
        <w:tc>
          <w:tcPr>
            <w:tcW w:w="1369" w:type="dxa"/>
            <w:noWrap w:val="0"/>
            <w:vAlign w:val="center"/>
          </w:tcPr>
          <w:p w14:paraId="48323834">
            <w:pPr>
              <w:widowControl/>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025D65FB">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69E35978">
            <w:pPr>
              <w:widowControl/>
              <w:jc w:val="center"/>
              <w:rPr>
                <w:color w:val="000000"/>
                <w:kern w:val="0"/>
                <w:sz w:val="18"/>
                <w:szCs w:val="18"/>
                <w:highlight w:val="none"/>
              </w:rPr>
            </w:pPr>
            <w:r>
              <w:rPr>
                <w:color w:val="000000"/>
                <w:kern w:val="0"/>
                <w:sz w:val="18"/>
                <w:szCs w:val="18"/>
                <w:highlight w:val="none"/>
              </w:rPr>
              <w:t>Y≥10000</w:t>
            </w:r>
          </w:p>
        </w:tc>
        <w:tc>
          <w:tcPr>
            <w:tcW w:w="1701" w:type="dxa"/>
            <w:noWrap w:val="0"/>
            <w:vAlign w:val="center"/>
          </w:tcPr>
          <w:p w14:paraId="38C2CF7F">
            <w:pPr>
              <w:widowControl/>
              <w:jc w:val="center"/>
              <w:rPr>
                <w:color w:val="000000"/>
                <w:kern w:val="0"/>
                <w:sz w:val="18"/>
                <w:szCs w:val="18"/>
                <w:highlight w:val="none"/>
              </w:rPr>
            </w:pPr>
            <w:r>
              <w:rPr>
                <w:color w:val="000000"/>
                <w:kern w:val="0"/>
                <w:sz w:val="18"/>
                <w:szCs w:val="18"/>
                <w:highlight w:val="none"/>
              </w:rPr>
              <w:t>1000≤Y＜10000</w:t>
            </w:r>
          </w:p>
        </w:tc>
        <w:tc>
          <w:tcPr>
            <w:tcW w:w="1426" w:type="dxa"/>
            <w:noWrap w:val="0"/>
            <w:vAlign w:val="center"/>
          </w:tcPr>
          <w:p w14:paraId="610E7A55">
            <w:pPr>
              <w:widowControl/>
              <w:jc w:val="center"/>
              <w:rPr>
                <w:color w:val="000000"/>
                <w:kern w:val="0"/>
                <w:sz w:val="18"/>
                <w:szCs w:val="18"/>
                <w:highlight w:val="none"/>
              </w:rPr>
            </w:pPr>
            <w:r>
              <w:rPr>
                <w:color w:val="000000"/>
                <w:kern w:val="0"/>
                <w:sz w:val="18"/>
                <w:szCs w:val="18"/>
                <w:highlight w:val="none"/>
              </w:rPr>
              <w:t>50≤Y＜1000</w:t>
            </w:r>
          </w:p>
        </w:tc>
        <w:tc>
          <w:tcPr>
            <w:tcW w:w="992" w:type="dxa"/>
            <w:noWrap w:val="0"/>
            <w:vAlign w:val="center"/>
          </w:tcPr>
          <w:p w14:paraId="5DB30D2D">
            <w:pPr>
              <w:widowControl/>
              <w:jc w:val="center"/>
              <w:rPr>
                <w:color w:val="000000"/>
                <w:kern w:val="0"/>
                <w:sz w:val="18"/>
                <w:szCs w:val="18"/>
                <w:highlight w:val="none"/>
              </w:rPr>
            </w:pPr>
            <w:r>
              <w:rPr>
                <w:color w:val="000000"/>
                <w:kern w:val="0"/>
                <w:sz w:val="18"/>
                <w:szCs w:val="18"/>
                <w:highlight w:val="none"/>
              </w:rPr>
              <w:t>Y＜50</w:t>
            </w:r>
          </w:p>
        </w:tc>
      </w:tr>
      <w:tr w14:paraId="6B63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C5C358D">
            <w:pPr>
              <w:widowControl/>
              <w:spacing w:line="240" w:lineRule="exact"/>
              <w:jc w:val="left"/>
              <w:rPr>
                <w:color w:val="000000"/>
                <w:kern w:val="0"/>
                <w:sz w:val="18"/>
                <w:szCs w:val="18"/>
                <w:highlight w:val="none"/>
              </w:rPr>
            </w:pPr>
            <w:r>
              <w:rPr>
                <w:color w:val="000000"/>
                <w:kern w:val="0"/>
                <w:sz w:val="18"/>
                <w:szCs w:val="18"/>
                <w:highlight w:val="none"/>
              </w:rPr>
              <w:t>房地产开发经营</w:t>
            </w:r>
          </w:p>
        </w:tc>
        <w:tc>
          <w:tcPr>
            <w:tcW w:w="1369" w:type="dxa"/>
            <w:noWrap w:val="0"/>
            <w:vAlign w:val="center"/>
          </w:tcPr>
          <w:p w14:paraId="28C0BA28">
            <w:pPr>
              <w:widowControl/>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3FB5C6A9">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254C9D2E">
            <w:pPr>
              <w:widowControl/>
              <w:jc w:val="center"/>
              <w:rPr>
                <w:color w:val="000000"/>
                <w:kern w:val="0"/>
                <w:sz w:val="18"/>
                <w:szCs w:val="18"/>
                <w:highlight w:val="none"/>
              </w:rPr>
            </w:pPr>
            <w:r>
              <w:rPr>
                <w:color w:val="000000"/>
                <w:kern w:val="0"/>
                <w:sz w:val="18"/>
                <w:szCs w:val="18"/>
                <w:highlight w:val="none"/>
              </w:rPr>
              <w:t>Y≥200000</w:t>
            </w:r>
          </w:p>
        </w:tc>
        <w:tc>
          <w:tcPr>
            <w:tcW w:w="1701" w:type="dxa"/>
            <w:noWrap w:val="0"/>
            <w:vAlign w:val="center"/>
          </w:tcPr>
          <w:p w14:paraId="62C7BB68">
            <w:pPr>
              <w:widowControl/>
              <w:jc w:val="center"/>
              <w:rPr>
                <w:color w:val="000000"/>
                <w:kern w:val="0"/>
                <w:sz w:val="18"/>
                <w:szCs w:val="18"/>
                <w:highlight w:val="none"/>
              </w:rPr>
            </w:pPr>
            <w:r>
              <w:rPr>
                <w:color w:val="000000"/>
                <w:kern w:val="0"/>
                <w:sz w:val="18"/>
                <w:szCs w:val="18"/>
                <w:highlight w:val="none"/>
              </w:rPr>
              <w:t>1000≤Y＜200000</w:t>
            </w:r>
          </w:p>
        </w:tc>
        <w:tc>
          <w:tcPr>
            <w:tcW w:w="1426" w:type="dxa"/>
            <w:noWrap w:val="0"/>
            <w:vAlign w:val="center"/>
          </w:tcPr>
          <w:p w14:paraId="5608F9A1">
            <w:pPr>
              <w:widowControl/>
              <w:jc w:val="center"/>
              <w:rPr>
                <w:color w:val="000000"/>
                <w:kern w:val="0"/>
                <w:sz w:val="18"/>
                <w:szCs w:val="18"/>
                <w:highlight w:val="none"/>
              </w:rPr>
            </w:pPr>
            <w:r>
              <w:rPr>
                <w:color w:val="000000"/>
                <w:kern w:val="0"/>
                <w:sz w:val="18"/>
                <w:szCs w:val="18"/>
                <w:highlight w:val="none"/>
              </w:rPr>
              <w:t>100≤Y＜1000</w:t>
            </w:r>
          </w:p>
        </w:tc>
        <w:tc>
          <w:tcPr>
            <w:tcW w:w="992" w:type="dxa"/>
            <w:noWrap w:val="0"/>
            <w:vAlign w:val="center"/>
          </w:tcPr>
          <w:p w14:paraId="06F9C9E8">
            <w:pPr>
              <w:widowControl/>
              <w:jc w:val="center"/>
              <w:rPr>
                <w:color w:val="000000"/>
                <w:kern w:val="0"/>
                <w:sz w:val="18"/>
                <w:szCs w:val="18"/>
                <w:highlight w:val="none"/>
              </w:rPr>
            </w:pPr>
            <w:r>
              <w:rPr>
                <w:color w:val="000000"/>
                <w:kern w:val="0"/>
                <w:sz w:val="18"/>
                <w:szCs w:val="18"/>
                <w:highlight w:val="none"/>
              </w:rPr>
              <w:t>Y＜100</w:t>
            </w:r>
          </w:p>
        </w:tc>
      </w:tr>
      <w:tr w14:paraId="70F0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91384E1">
            <w:pPr>
              <w:widowControl/>
              <w:jc w:val="left"/>
              <w:rPr>
                <w:color w:val="000000"/>
                <w:kern w:val="0"/>
                <w:sz w:val="18"/>
                <w:szCs w:val="18"/>
                <w:highlight w:val="none"/>
              </w:rPr>
            </w:pPr>
          </w:p>
        </w:tc>
        <w:tc>
          <w:tcPr>
            <w:tcW w:w="1369" w:type="dxa"/>
            <w:noWrap w:val="0"/>
            <w:vAlign w:val="center"/>
          </w:tcPr>
          <w:p w14:paraId="2FDC5F1E">
            <w:pPr>
              <w:widowControl/>
              <w:spacing w:line="240" w:lineRule="exact"/>
              <w:jc w:val="center"/>
              <w:rPr>
                <w:color w:val="000000"/>
                <w:kern w:val="0"/>
                <w:sz w:val="18"/>
                <w:szCs w:val="18"/>
                <w:highlight w:val="none"/>
              </w:rPr>
            </w:pPr>
            <w:r>
              <w:rPr>
                <w:color w:val="000000"/>
                <w:kern w:val="0"/>
                <w:sz w:val="18"/>
                <w:szCs w:val="18"/>
                <w:highlight w:val="none"/>
              </w:rPr>
              <w:t>资产总额(Z)</w:t>
            </w:r>
          </w:p>
        </w:tc>
        <w:tc>
          <w:tcPr>
            <w:tcW w:w="709" w:type="dxa"/>
            <w:noWrap w:val="0"/>
            <w:vAlign w:val="center"/>
          </w:tcPr>
          <w:p w14:paraId="3CDE630B">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46CF279D">
            <w:pPr>
              <w:widowControl/>
              <w:jc w:val="center"/>
              <w:rPr>
                <w:color w:val="000000"/>
                <w:kern w:val="0"/>
                <w:sz w:val="18"/>
                <w:szCs w:val="18"/>
                <w:highlight w:val="none"/>
              </w:rPr>
            </w:pPr>
            <w:r>
              <w:rPr>
                <w:color w:val="000000"/>
                <w:kern w:val="0"/>
                <w:sz w:val="18"/>
                <w:szCs w:val="18"/>
                <w:highlight w:val="none"/>
              </w:rPr>
              <w:t>Z≥10000</w:t>
            </w:r>
          </w:p>
        </w:tc>
        <w:tc>
          <w:tcPr>
            <w:tcW w:w="1701" w:type="dxa"/>
            <w:noWrap w:val="0"/>
            <w:vAlign w:val="center"/>
          </w:tcPr>
          <w:p w14:paraId="376F4D0C">
            <w:pPr>
              <w:widowControl/>
              <w:jc w:val="center"/>
              <w:rPr>
                <w:color w:val="000000"/>
                <w:kern w:val="0"/>
                <w:sz w:val="18"/>
                <w:szCs w:val="18"/>
                <w:highlight w:val="none"/>
              </w:rPr>
            </w:pPr>
            <w:r>
              <w:rPr>
                <w:color w:val="000000"/>
                <w:kern w:val="0"/>
                <w:sz w:val="18"/>
                <w:szCs w:val="18"/>
                <w:highlight w:val="none"/>
              </w:rPr>
              <w:t>5000≤Z＜10000</w:t>
            </w:r>
          </w:p>
        </w:tc>
        <w:tc>
          <w:tcPr>
            <w:tcW w:w="1426" w:type="dxa"/>
            <w:noWrap w:val="0"/>
            <w:vAlign w:val="center"/>
          </w:tcPr>
          <w:p w14:paraId="3BCB8BC5">
            <w:pPr>
              <w:widowControl/>
              <w:jc w:val="center"/>
              <w:rPr>
                <w:color w:val="000000"/>
                <w:kern w:val="0"/>
                <w:sz w:val="18"/>
                <w:szCs w:val="18"/>
                <w:highlight w:val="none"/>
              </w:rPr>
            </w:pPr>
            <w:r>
              <w:rPr>
                <w:color w:val="000000"/>
                <w:kern w:val="0"/>
                <w:sz w:val="18"/>
                <w:szCs w:val="18"/>
                <w:highlight w:val="none"/>
              </w:rPr>
              <w:t>2000≤Z＜5000</w:t>
            </w:r>
          </w:p>
        </w:tc>
        <w:tc>
          <w:tcPr>
            <w:tcW w:w="992" w:type="dxa"/>
            <w:noWrap w:val="0"/>
            <w:vAlign w:val="center"/>
          </w:tcPr>
          <w:p w14:paraId="17BC77CC">
            <w:pPr>
              <w:widowControl/>
              <w:jc w:val="center"/>
              <w:rPr>
                <w:color w:val="000000"/>
                <w:kern w:val="0"/>
                <w:sz w:val="18"/>
                <w:szCs w:val="18"/>
                <w:highlight w:val="none"/>
              </w:rPr>
            </w:pPr>
            <w:r>
              <w:rPr>
                <w:color w:val="000000"/>
                <w:kern w:val="0"/>
                <w:sz w:val="18"/>
                <w:szCs w:val="18"/>
                <w:highlight w:val="none"/>
              </w:rPr>
              <w:t>Z＜2000</w:t>
            </w:r>
          </w:p>
        </w:tc>
      </w:tr>
      <w:tr w14:paraId="3FBF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0B8A676">
            <w:pPr>
              <w:widowControl/>
              <w:spacing w:line="240" w:lineRule="exact"/>
              <w:jc w:val="left"/>
              <w:rPr>
                <w:color w:val="000000"/>
                <w:kern w:val="0"/>
                <w:sz w:val="18"/>
                <w:szCs w:val="18"/>
                <w:highlight w:val="none"/>
              </w:rPr>
            </w:pPr>
            <w:r>
              <w:rPr>
                <w:color w:val="000000"/>
                <w:kern w:val="0"/>
                <w:sz w:val="18"/>
                <w:szCs w:val="18"/>
                <w:highlight w:val="none"/>
              </w:rPr>
              <w:t>物业管理</w:t>
            </w:r>
          </w:p>
        </w:tc>
        <w:tc>
          <w:tcPr>
            <w:tcW w:w="1369" w:type="dxa"/>
            <w:noWrap w:val="0"/>
            <w:vAlign w:val="center"/>
          </w:tcPr>
          <w:p w14:paraId="22B5A749">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78B42356">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7E487457">
            <w:pPr>
              <w:widowControl/>
              <w:jc w:val="center"/>
              <w:rPr>
                <w:color w:val="000000"/>
                <w:kern w:val="0"/>
                <w:sz w:val="18"/>
                <w:szCs w:val="18"/>
                <w:highlight w:val="none"/>
              </w:rPr>
            </w:pPr>
            <w:r>
              <w:rPr>
                <w:color w:val="000000"/>
                <w:kern w:val="0"/>
                <w:sz w:val="18"/>
                <w:szCs w:val="18"/>
                <w:highlight w:val="none"/>
              </w:rPr>
              <w:t>X≥1000</w:t>
            </w:r>
          </w:p>
        </w:tc>
        <w:tc>
          <w:tcPr>
            <w:tcW w:w="1701" w:type="dxa"/>
            <w:noWrap w:val="0"/>
            <w:vAlign w:val="center"/>
          </w:tcPr>
          <w:p w14:paraId="3193DD39">
            <w:pPr>
              <w:widowControl/>
              <w:jc w:val="center"/>
              <w:rPr>
                <w:color w:val="000000"/>
                <w:kern w:val="0"/>
                <w:sz w:val="18"/>
                <w:szCs w:val="18"/>
                <w:highlight w:val="none"/>
              </w:rPr>
            </w:pPr>
            <w:r>
              <w:rPr>
                <w:color w:val="000000"/>
                <w:kern w:val="0"/>
                <w:sz w:val="18"/>
                <w:szCs w:val="18"/>
                <w:highlight w:val="none"/>
              </w:rPr>
              <w:t>300≤X＜1000</w:t>
            </w:r>
          </w:p>
        </w:tc>
        <w:tc>
          <w:tcPr>
            <w:tcW w:w="1426" w:type="dxa"/>
            <w:noWrap w:val="0"/>
            <w:vAlign w:val="center"/>
          </w:tcPr>
          <w:p w14:paraId="65019DDC">
            <w:pPr>
              <w:widowControl/>
              <w:jc w:val="center"/>
              <w:rPr>
                <w:color w:val="000000"/>
                <w:kern w:val="0"/>
                <w:sz w:val="18"/>
                <w:szCs w:val="18"/>
                <w:highlight w:val="none"/>
              </w:rPr>
            </w:pPr>
            <w:r>
              <w:rPr>
                <w:color w:val="000000"/>
                <w:kern w:val="0"/>
                <w:sz w:val="18"/>
                <w:szCs w:val="18"/>
                <w:highlight w:val="none"/>
              </w:rPr>
              <w:t>100≤X＜300</w:t>
            </w:r>
          </w:p>
        </w:tc>
        <w:tc>
          <w:tcPr>
            <w:tcW w:w="992" w:type="dxa"/>
            <w:noWrap w:val="0"/>
            <w:vAlign w:val="center"/>
          </w:tcPr>
          <w:p w14:paraId="4B2FC371">
            <w:pPr>
              <w:widowControl/>
              <w:jc w:val="center"/>
              <w:rPr>
                <w:color w:val="000000"/>
                <w:kern w:val="0"/>
                <w:sz w:val="18"/>
                <w:szCs w:val="18"/>
                <w:highlight w:val="none"/>
              </w:rPr>
            </w:pPr>
            <w:r>
              <w:rPr>
                <w:color w:val="000000"/>
                <w:kern w:val="0"/>
                <w:sz w:val="18"/>
                <w:szCs w:val="18"/>
                <w:highlight w:val="none"/>
              </w:rPr>
              <w:t>X＜100</w:t>
            </w:r>
          </w:p>
        </w:tc>
      </w:tr>
      <w:tr w14:paraId="4794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6F4C46D">
            <w:pPr>
              <w:widowControl/>
              <w:jc w:val="left"/>
              <w:rPr>
                <w:color w:val="000000"/>
                <w:kern w:val="0"/>
                <w:sz w:val="18"/>
                <w:szCs w:val="18"/>
                <w:highlight w:val="none"/>
              </w:rPr>
            </w:pPr>
          </w:p>
        </w:tc>
        <w:tc>
          <w:tcPr>
            <w:tcW w:w="1369" w:type="dxa"/>
            <w:noWrap w:val="0"/>
            <w:vAlign w:val="center"/>
          </w:tcPr>
          <w:p w14:paraId="2AC90651">
            <w:pPr>
              <w:widowControl/>
              <w:spacing w:line="240" w:lineRule="exact"/>
              <w:jc w:val="center"/>
              <w:rPr>
                <w:color w:val="000000"/>
                <w:kern w:val="0"/>
                <w:sz w:val="18"/>
                <w:szCs w:val="18"/>
                <w:highlight w:val="none"/>
              </w:rPr>
            </w:pPr>
            <w:r>
              <w:rPr>
                <w:color w:val="000000"/>
                <w:kern w:val="0"/>
                <w:sz w:val="18"/>
                <w:szCs w:val="18"/>
                <w:highlight w:val="none"/>
              </w:rPr>
              <w:t>营业收入(Y)</w:t>
            </w:r>
          </w:p>
        </w:tc>
        <w:tc>
          <w:tcPr>
            <w:tcW w:w="709" w:type="dxa"/>
            <w:noWrap w:val="0"/>
            <w:vAlign w:val="center"/>
          </w:tcPr>
          <w:p w14:paraId="2B178775">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72F64B77">
            <w:pPr>
              <w:widowControl/>
              <w:jc w:val="center"/>
              <w:rPr>
                <w:color w:val="000000"/>
                <w:kern w:val="0"/>
                <w:sz w:val="18"/>
                <w:szCs w:val="18"/>
                <w:highlight w:val="none"/>
              </w:rPr>
            </w:pPr>
            <w:r>
              <w:rPr>
                <w:color w:val="000000"/>
                <w:kern w:val="0"/>
                <w:sz w:val="18"/>
                <w:szCs w:val="18"/>
                <w:highlight w:val="none"/>
              </w:rPr>
              <w:t>Y≥5000</w:t>
            </w:r>
          </w:p>
        </w:tc>
        <w:tc>
          <w:tcPr>
            <w:tcW w:w="1701" w:type="dxa"/>
            <w:noWrap w:val="0"/>
            <w:vAlign w:val="center"/>
          </w:tcPr>
          <w:p w14:paraId="7435D930">
            <w:pPr>
              <w:widowControl/>
              <w:ind w:left="1" w:leftChars="-51" w:hanging="108" w:hangingChars="60"/>
              <w:jc w:val="center"/>
              <w:rPr>
                <w:color w:val="000000"/>
                <w:kern w:val="0"/>
                <w:sz w:val="18"/>
                <w:szCs w:val="18"/>
                <w:highlight w:val="none"/>
              </w:rPr>
            </w:pPr>
            <w:r>
              <w:rPr>
                <w:color w:val="000000"/>
                <w:kern w:val="0"/>
                <w:sz w:val="18"/>
                <w:szCs w:val="18"/>
                <w:highlight w:val="none"/>
              </w:rPr>
              <w:t>1000≤Y＜5000</w:t>
            </w:r>
          </w:p>
        </w:tc>
        <w:tc>
          <w:tcPr>
            <w:tcW w:w="1426" w:type="dxa"/>
            <w:noWrap w:val="0"/>
            <w:vAlign w:val="center"/>
          </w:tcPr>
          <w:p w14:paraId="030AFD92">
            <w:pPr>
              <w:widowControl/>
              <w:jc w:val="center"/>
              <w:rPr>
                <w:color w:val="000000"/>
                <w:kern w:val="0"/>
                <w:sz w:val="18"/>
                <w:szCs w:val="18"/>
                <w:highlight w:val="none"/>
              </w:rPr>
            </w:pPr>
            <w:r>
              <w:rPr>
                <w:color w:val="000000"/>
                <w:kern w:val="0"/>
                <w:sz w:val="18"/>
                <w:szCs w:val="18"/>
                <w:highlight w:val="none"/>
              </w:rPr>
              <w:t>500≤Y＜1000</w:t>
            </w:r>
          </w:p>
        </w:tc>
        <w:tc>
          <w:tcPr>
            <w:tcW w:w="992" w:type="dxa"/>
            <w:noWrap w:val="0"/>
            <w:vAlign w:val="center"/>
          </w:tcPr>
          <w:p w14:paraId="18331337">
            <w:pPr>
              <w:widowControl/>
              <w:jc w:val="center"/>
              <w:rPr>
                <w:color w:val="000000"/>
                <w:kern w:val="0"/>
                <w:sz w:val="18"/>
                <w:szCs w:val="18"/>
                <w:highlight w:val="none"/>
              </w:rPr>
            </w:pPr>
            <w:r>
              <w:rPr>
                <w:color w:val="000000"/>
                <w:kern w:val="0"/>
                <w:sz w:val="18"/>
                <w:szCs w:val="18"/>
                <w:highlight w:val="none"/>
              </w:rPr>
              <w:t>Y＜500</w:t>
            </w:r>
          </w:p>
        </w:tc>
      </w:tr>
      <w:tr w14:paraId="3DA7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3DE758F">
            <w:pPr>
              <w:widowControl/>
              <w:spacing w:line="240" w:lineRule="exact"/>
              <w:jc w:val="left"/>
              <w:rPr>
                <w:color w:val="000000"/>
                <w:kern w:val="0"/>
                <w:sz w:val="18"/>
                <w:szCs w:val="18"/>
                <w:highlight w:val="none"/>
              </w:rPr>
            </w:pPr>
            <w:r>
              <w:rPr>
                <w:color w:val="000000"/>
                <w:kern w:val="0"/>
                <w:sz w:val="18"/>
                <w:szCs w:val="18"/>
                <w:highlight w:val="none"/>
              </w:rPr>
              <w:t>租赁和商务服务业</w:t>
            </w:r>
          </w:p>
        </w:tc>
        <w:tc>
          <w:tcPr>
            <w:tcW w:w="1369" w:type="dxa"/>
            <w:noWrap w:val="0"/>
            <w:vAlign w:val="center"/>
          </w:tcPr>
          <w:p w14:paraId="4C12F32A">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32B55D3F">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25D55DA8">
            <w:pPr>
              <w:widowControl/>
              <w:jc w:val="center"/>
              <w:rPr>
                <w:color w:val="000000"/>
                <w:kern w:val="0"/>
                <w:sz w:val="18"/>
                <w:szCs w:val="18"/>
                <w:highlight w:val="none"/>
              </w:rPr>
            </w:pPr>
            <w:r>
              <w:rPr>
                <w:color w:val="000000"/>
                <w:kern w:val="0"/>
                <w:sz w:val="18"/>
                <w:szCs w:val="18"/>
                <w:highlight w:val="none"/>
              </w:rPr>
              <w:t>X≥300</w:t>
            </w:r>
          </w:p>
        </w:tc>
        <w:tc>
          <w:tcPr>
            <w:tcW w:w="1701" w:type="dxa"/>
            <w:noWrap w:val="0"/>
            <w:vAlign w:val="center"/>
          </w:tcPr>
          <w:p w14:paraId="53AFB288">
            <w:pPr>
              <w:widowControl/>
              <w:ind w:left="1" w:leftChars="-51" w:hanging="108" w:hangingChars="60"/>
              <w:jc w:val="center"/>
              <w:rPr>
                <w:color w:val="000000"/>
                <w:kern w:val="0"/>
                <w:sz w:val="18"/>
                <w:szCs w:val="18"/>
                <w:highlight w:val="none"/>
              </w:rPr>
            </w:pPr>
            <w:r>
              <w:rPr>
                <w:color w:val="000000"/>
                <w:kern w:val="0"/>
                <w:sz w:val="18"/>
                <w:szCs w:val="18"/>
                <w:highlight w:val="none"/>
              </w:rPr>
              <w:t>100≤X＜300</w:t>
            </w:r>
          </w:p>
        </w:tc>
        <w:tc>
          <w:tcPr>
            <w:tcW w:w="1426" w:type="dxa"/>
            <w:noWrap w:val="0"/>
            <w:vAlign w:val="center"/>
          </w:tcPr>
          <w:p w14:paraId="28658AE0">
            <w:pPr>
              <w:widowControl/>
              <w:jc w:val="center"/>
              <w:rPr>
                <w:color w:val="000000"/>
                <w:kern w:val="0"/>
                <w:sz w:val="18"/>
                <w:szCs w:val="18"/>
                <w:highlight w:val="none"/>
              </w:rPr>
            </w:pPr>
            <w:r>
              <w:rPr>
                <w:color w:val="000000"/>
                <w:kern w:val="0"/>
                <w:sz w:val="18"/>
                <w:szCs w:val="18"/>
                <w:highlight w:val="none"/>
              </w:rPr>
              <w:t>10≤X＜100</w:t>
            </w:r>
          </w:p>
        </w:tc>
        <w:tc>
          <w:tcPr>
            <w:tcW w:w="992" w:type="dxa"/>
            <w:noWrap w:val="0"/>
            <w:vAlign w:val="center"/>
          </w:tcPr>
          <w:p w14:paraId="5A8A522B">
            <w:pPr>
              <w:widowControl/>
              <w:jc w:val="center"/>
              <w:rPr>
                <w:color w:val="000000"/>
                <w:kern w:val="0"/>
                <w:sz w:val="18"/>
                <w:szCs w:val="18"/>
                <w:highlight w:val="none"/>
              </w:rPr>
            </w:pPr>
            <w:r>
              <w:rPr>
                <w:color w:val="000000"/>
                <w:kern w:val="0"/>
                <w:sz w:val="18"/>
                <w:szCs w:val="18"/>
                <w:highlight w:val="none"/>
              </w:rPr>
              <w:t>X＜10</w:t>
            </w:r>
          </w:p>
        </w:tc>
      </w:tr>
      <w:tr w14:paraId="3F15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3832BC2">
            <w:pPr>
              <w:widowControl/>
              <w:jc w:val="left"/>
              <w:rPr>
                <w:color w:val="000000"/>
                <w:kern w:val="0"/>
                <w:sz w:val="18"/>
                <w:szCs w:val="18"/>
                <w:highlight w:val="none"/>
              </w:rPr>
            </w:pPr>
          </w:p>
        </w:tc>
        <w:tc>
          <w:tcPr>
            <w:tcW w:w="1369" w:type="dxa"/>
            <w:noWrap w:val="0"/>
            <w:vAlign w:val="center"/>
          </w:tcPr>
          <w:p w14:paraId="3264CDCA">
            <w:pPr>
              <w:widowControl/>
              <w:spacing w:line="240" w:lineRule="exact"/>
              <w:jc w:val="center"/>
              <w:rPr>
                <w:color w:val="000000"/>
                <w:kern w:val="0"/>
                <w:sz w:val="18"/>
                <w:szCs w:val="18"/>
                <w:highlight w:val="none"/>
              </w:rPr>
            </w:pPr>
            <w:r>
              <w:rPr>
                <w:color w:val="000000"/>
                <w:kern w:val="0"/>
                <w:sz w:val="18"/>
                <w:szCs w:val="18"/>
                <w:highlight w:val="none"/>
              </w:rPr>
              <w:t>资产总额(Z)</w:t>
            </w:r>
          </w:p>
        </w:tc>
        <w:tc>
          <w:tcPr>
            <w:tcW w:w="709" w:type="dxa"/>
            <w:noWrap w:val="0"/>
            <w:vAlign w:val="center"/>
          </w:tcPr>
          <w:p w14:paraId="0A72393E">
            <w:pPr>
              <w:widowControl/>
              <w:jc w:val="center"/>
              <w:rPr>
                <w:color w:val="000000"/>
                <w:kern w:val="0"/>
                <w:sz w:val="18"/>
                <w:szCs w:val="18"/>
                <w:highlight w:val="none"/>
              </w:rPr>
            </w:pPr>
            <w:r>
              <w:rPr>
                <w:color w:val="000000"/>
                <w:kern w:val="0"/>
                <w:sz w:val="18"/>
                <w:szCs w:val="18"/>
                <w:highlight w:val="none"/>
              </w:rPr>
              <w:t>万元</w:t>
            </w:r>
          </w:p>
        </w:tc>
        <w:tc>
          <w:tcPr>
            <w:tcW w:w="1125" w:type="dxa"/>
            <w:noWrap w:val="0"/>
            <w:vAlign w:val="center"/>
          </w:tcPr>
          <w:p w14:paraId="24AB1631">
            <w:pPr>
              <w:widowControl/>
              <w:jc w:val="center"/>
              <w:rPr>
                <w:color w:val="000000"/>
                <w:kern w:val="0"/>
                <w:sz w:val="18"/>
                <w:szCs w:val="18"/>
                <w:highlight w:val="none"/>
              </w:rPr>
            </w:pPr>
            <w:r>
              <w:rPr>
                <w:color w:val="000000"/>
                <w:kern w:val="0"/>
                <w:sz w:val="18"/>
                <w:szCs w:val="18"/>
                <w:highlight w:val="none"/>
              </w:rPr>
              <w:t>Z≥120000</w:t>
            </w:r>
          </w:p>
        </w:tc>
        <w:tc>
          <w:tcPr>
            <w:tcW w:w="1701" w:type="dxa"/>
            <w:noWrap w:val="0"/>
            <w:vAlign w:val="center"/>
          </w:tcPr>
          <w:p w14:paraId="6901CAAE">
            <w:pPr>
              <w:widowControl/>
              <w:jc w:val="center"/>
              <w:rPr>
                <w:color w:val="000000"/>
                <w:kern w:val="0"/>
                <w:sz w:val="18"/>
                <w:szCs w:val="18"/>
                <w:highlight w:val="none"/>
              </w:rPr>
            </w:pPr>
            <w:r>
              <w:rPr>
                <w:color w:val="000000"/>
                <w:kern w:val="0"/>
                <w:sz w:val="18"/>
                <w:szCs w:val="18"/>
                <w:highlight w:val="none"/>
              </w:rPr>
              <w:t>8000≤Z＜120000</w:t>
            </w:r>
          </w:p>
        </w:tc>
        <w:tc>
          <w:tcPr>
            <w:tcW w:w="1426" w:type="dxa"/>
            <w:noWrap w:val="0"/>
            <w:vAlign w:val="center"/>
          </w:tcPr>
          <w:p w14:paraId="031536AA">
            <w:pPr>
              <w:widowControl/>
              <w:jc w:val="center"/>
              <w:rPr>
                <w:color w:val="000000"/>
                <w:kern w:val="0"/>
                <w:sz w:val="18"/>
                <w:szCs w:val="18"/>
                <w:highlight w:val="none"/>
              </w:rPr>
            </w:pPr>
            <w:r>
              <w:rPr>
                <w:color w:val="000000"/>
                <w:kern w:val="0"/>
                <w:sz w:val="18"/>
                <w:szCs w:val="18"/>
                <w:highlight w:val="none"/>
              </w:rPr>
              <w:t>100≤Z＜8000</w:t>
            </w:r>
          </w:p>
        </w:tc>
        <w:tc>
          <w:tcPr>
            <w:tcW w:w="992" w:type="dxa"/>
            <w:noWrap w:val="0"/>
            <w:vAlign w:val="center"/>
          </w:tcPr>
          <w:p w14:paraId="22C183CB">
            <w:pPr>
              <w:widowControl/>
              <w:jc w:val="center"/>
              <w:rPr>
                <w:color w:val="000000"/>
                <w:kern w:val="0"/>
                <w:sz w:val="18"/>
                <w:szCs w:val="18"/>
                <w:highlight w:val="none"/>
              </w:rPr>
            </w:pPr>
            <w:r>
              <w:rPr>
                <w:color w:val="000000"/>
                <w:kern w:val="0"/>
                <w:sz w:val="18"/>
                <w:szCs w:val="18"/>
                <w:highlight w:val="none"/>
              </w:rPr>
              <w:t>Z＜100</w:t>
            </w:r>
          </w:p>
        </w:tc>
      </w:tr>
      <w:tr w14:paraId="630A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7A6EE51">
            <w:pPr>
              <w:widowControl/>
              <w:spacing w:line="240" w:lineRule="exact"/>
              <w:jc w:val="left"/>
              <w:rPr>
                <w:rFonts w:hint="eastAsia"/>
                <w:color w:val="000000"/>
                <w:kern w:val="0"/>
                <w:sz w:val="18"/>
                <w:szCs w:val="18"/>
                <w:highlight w:val="none"/>
              </w:rPr>
            </w:pPr>
            <w:r>
              <w:rPr>
                <w:color w:val="000000"/>
                <w:kern w:val="0"/>
                <w:sz w:val="18"/>
                <w:szCs w:val="18"/>
                <w:highlight w:val="none"/>
              </w:rPr>
              <w:t xml:space="preserve">其他未列明行业 </w:t>
            </w:r>
            <w:r>
              <w:rPr>
                <w:rFonts w:hint="eastAsia" w:ascii="宋体" w:hAnsi="宋体" w:cs="宋体"/>
                <w:color w:val="000000"/>
                <w:kern w:val="0"/>
                <w:sz w:val="18"/>
                <w:szCs w:val="18"/>
                <w:highlight w:val="none"/>
              </w:rPr>
              <w:t>※</w:t>
            </w:r>
          </w:p>
        </w:tc>
        <w:tc>
          <w:tcPr>
            <w:tcW w:w="1369" w:type="dxa"/>
            <w:noWrap w:val="0"/>
            <w:vAlign w:val="center"/>
          </w:tcPr>
          <w:p w14:paraId="183B6430">
            <w:pPr>
              <w:widowControl/>
              <w:jc w:val="center"/>
              <w:rPr>
                <w:color w:val="000000"/>
                <w:kern w:val="0"/>
                <w:sz w:val="18"/>
                <w:szCs w:val="18"/>
                <w:highlight w:val="none"/>
              </w:rPr>
            </w:pPr>
            <w:r>
              <w:rPr>
                <w:color w:val="000000"/>
                <w:kern w:val="0"/>
                <w:sz w:val="18"/>
                <w:szCs w:val="18"/>
                <w:highlight w:val="none"/>
              </w:rPr>
              <w:t>从业人员(X)</w:t>
            </w:r>
          </w:p>
        </w:tc>
        <w:tc>
          <w:tcPr>
            <w:tcW w:w="709" w:type="dxa"/>
            <w:noWrap w:val="0"/>
            <w:vAlign w:val="center"/>
          </w:tcPr>
          <w:p w14:paraId="1F5C6CD8">
            <w:pPr>
              <w:widowControl/>
              <w:jc w:val="center"/>
              <w:rPr>
                <w:color w:val="000000"/>
                <w:kern w:val="0"/>
                <w:sz w:val="18"/>
                <w:szCs w:val="18"/>
                <w:highlight w:val="none"/>
              </w:rPr>
            </w:pPr>
            <w:r>
              <w:rPr>
                <w:color w:val="000000"/>
                <w:kern w:val="0"/>
                <w:sz w:val="18"/>
                <w:szCs w:val="18"/>
                <w:highlight w:val="none"/>
              </w:rPr>
              <w:t>人</w:t>
            </w:r>
          </w:p>
        </w:tc>
        <w:tc>
          <w:tcPr>
            <w:tcW w:w="1125" w:type="dxa"/>
            <w:noWrap w:val="0"/>
            <w:vAlign w:val="center"/>
          </w:tcPr>
          <w:p w14:paraId="38B30619">
            <w:pPr>
              <w:widowControl/>
              <w:jc w:val="center"/>
              <w:rPr>
                <w:color w:val="000000"/>
                <w:kern w:val="0"/>
                <w:sz w:val="18"/>
                <w:szCs w:val="18"/>
                <w:highlight w:val="none"/>
              </w:rPr>
            </w:pPr>
            <w:r>
              <w:rPr>
                <w:color w:val="000000"/>
                <w:kern w:val="0"/>
                <w:sz w:val="18"/>
                <w:szCs w:val="18"/>
                <w:highlight w:val="none"/>
              </w:rPr>
              <w:t>X≥300</w:t>
            </w:r>
          </w:p>
        </w:tc>
        <w:tc>
          <w:tcPr>
            <w:tcW w:w="1701" w:type="dxa"/>
            <w:noWrap w:val="0"/>
            <w:vAlign w:val="center"/>
          </w:tcPr>
          <w:p w14:paraId="2A0263E4">
            <w:pPr>
              <w:widowControl/>
              <w:ind w:left="1" w:leftChars="-51" w:hanging="108" w:hangingChars="60"/>
              <w:jc w:val="center"/>
              <w:rPr>
                <w:color w:val="000000"/>
                <w:kern w:val="0"/>
                <w:sz w:val="18"/>
                <w:szCs w:val="18"/>
                <w:highlight w:val="none"/>
              </w:rPr>
            </w:pPr>
            <w:r>
              <w:rPr>
                <w:color w:val="000000"/>
                <w:kern w:val="0"/>
                <w:sz w:val="18"/>
                <w:szCs w:val="18"/>
                <w:highlight w:val="none"/>
              </w:rPr>
              <w:t>100≤X＜300</w:t>
            </w:r>
          </w:p>
        </w:tc>
        <w:tc>
          <w:tcPr>
            <w:tcW w:w="1426" w:type="dxa"/>
            <w:noWrap w:val="0"/>
            <w:vAlign w:val="center"/>
          </w:tcPr>
          <w:p w14:paraId="27D68B9D">
            <w:pPr>
              <w:widowControl/>
              <w:jc w:val="center"/>
              <w:rPr>
                <w:color w:val="000000"/>
                <w:kern w:val="0"/>
                <w:sz w:val="18"/>
                <w:szCs w:val="18"/>
                <w:highlight w:val="none"/>
              </w:rPr>
            </w:pPr>
            <w:r>
              <w:rPr>
                <w:color w:val="000000"/>
                <w:kern w:val="0"/>
                <w:sz w:val="18"/>
                <w:szCs w:val="18"/>
                <w:highlight w:val="none"/>
              </w:rPr>
              <w:t>10≤X＜100</w:t>
            </w:r>
          </w:p>
        </w:tc>
        <w:tc>
          <w:tcPr>
            <w:tcW w:w="992" w:type="dxa"/>
            <w:noWrap w:val="0"/>
            <w:vAlign w:val="center"/>
          </w:tcPr>
          <w:p w14:paraId="1639E345">
            <w:pPr>
              <w:widowControl/>
              <w:jc w:val="center"/>
              <w:rPr>
                <w:color w:val="000000"/>
                <w:kern w:val="0"/>
                <w:sz w:val="18"/>
                <w:szCs w:val="18"/>
                <w:highlight w:val="none"/>
              </w:rPr>
            </w:pPr>
            <w:r>
              <w:rPr>
                <w:color w:val="000000"/>
                <w:kern w:val="0"/>
                <w:sz w:val="18"/>
                <w:szCs w:val="18"/>
                <w:highlight w:val="none"/>
              </w:rPr>
              <w:t>X＜10</w:t>
            </w:r>
          </w:p>
        </w:tc>
      </w:tr>
    </w:tbl>
    <w:p w14:paraId="6562775D">
      <w:pPr>
        <w:widowControl/>
        <w:spacing w:line="540" w:lineRule="exact"/>
        <w:rPr>
          <w:rFonts w:hint="eastAsia" w:ascii="宋体" w:hAnsi="宋体" w:cs="宋体"/>
          <w:color w:val="000000"/>
          <w:spacing w:val="8"/>
          <w:kern w:val="0"/>
          <w:sz w:val="24"/>
          <w:highlight w:val="none"/>
        </w:rPr>
      </w:pPr>
      <w:r>
        <w:rPr>
          <w:rFonts w:hint="eastAsia" w:ascii="宋体" w:hAnsi="宋体" w:cs="宋体"/>
          <w:color w:val="000000"/>
          <w:spacing w:val="8"/>
          <w:kern w:val="0"/>
          <w:sz w:val="24"/>
          <w:highlight w:val="none"/>
        </w:rPr>
        <w:t>说明：</w:t>
      </w:r>
    </w:p>
    <w:p w14:paraId="1A0E18FC">
      <w:pPr>
        <w:pStyle w:val="11"/>
        <w:adjustRightInd w:val="0"/>
        <w:spacing w:line="380" w:lineRule="exact"/>
        <w:ind w:firstLine="512" w:firstLineChars="200"/>
        <w:contextualSpacing/>
        <w:rPr>
          <w:rFonts w:hint="eastAsia" w:hAnsi="宋体" w:cs="宋体"/>
          <w:color w:val="000000"/>
          <w:spacing w:val="8"/>
          <w:sz w:val="24"/>
          <w:szCs w:val="24"/>
          <w:highlight w:val="none"/>
        </w:rPr>
      </w:pPr>
      <w:r>
        <w:rPr>
          <w:rFonts w:hint="eastAsia" w:hAnsi="宋体" w:cs="宋体"/>
          <w:color w:val="000000"/>
          <w:spacing w:val="8"/>
          <w:sz w:val="24"/>
          <w:szCs w:val="24"/>
          <w:highlight w:val="none"/>
        </w:rPr>
        <w:t>1.大型、中型和小型企业须同时满足所列指标的下限，否则下划一档；微型企业只须满足所列指标中的一项即可。</w:t>
      </w:r>
    </w:p>
    <w:p w14:paraId="361E0123">
      <w:pPr>
        <w:pStyle w:val="11"/>
        <w:adjustRightInd w:val="0"/>
        <w:spacing w:line="380" w:lineRule="exact"/>
        <w:ind w:firstLine="512" w:firstLineChars="200"/>
        <w:contextualSpacing/>
        <w:rPr>
          <w:rFonts w:hint="eastAsia" w:hAnsi="宋体" w:cs="宋体"/>
          <w:color w:val="000000"/>
          <w:spacing w:val="8"/>
          <w:sz w:val="24"/>
          <w:szCs w:val="24"/>
          <w:highlight w:val="none"/>
        </w:rPr>
      </w:pPr>
      <w:r>
        <w:rPr>
          <w:rFonts w:hint="eastAsia" w:hAnsi="宋体" w:cs="宋体"/>
          <w:color w:val="000000"/>
          <w:spacing w:val="8"/>
          <w:sz w:val="24"/>
          <w:szCs w:val="24"/>
          <w:highlight w:val="none"/>
        </w:rPr>
        <w:t>2.附表中各行业的范围以《国民经济行业分类》（GB/T4754-2017）为准。带</w:t>
      </w:r>
      <w:r>
        <w:rPr>
          <w:rFonts w:hint="eastAsia" w:ascii="宋体" w:hAnsi="宋体" w:cs="宋体"/>
          <w:color w:val="000000"/>
          <w:kern w:val="0"/>
          <w:sz w:val="18"/>
          <w:szCs w:val="18"/>
          <w:highlight w:val="none"/>
        </w:rPr>
        <w:t>※</w:t>
      </w:r>
      <w:r>
        <w:rPr>
          <w:rFonts w:hint="eastAsia" w:hAnsi="宋体" w:cs="宋体"/>
          <w:color w:val="000000"/>
          <w:spacing w:val="8"/>
          <w:sz w:val="24"/>
          <w:szCs w:val="24"/>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7CEE347">
      <w:pPr>
        <w:pStyle w:val="11"/>
        <w:spacing w:line="380" w:lineRule="exact"/>
        <w:ind w:firstLine="512" w:firstLineChars="200"/>
        <w:rPr>
          <w:rFonts w:hint="eastAsia" w:hAnsi="宋体" w:cs="宋体"/>
          <w:color w:val="000000"/>
          <w:spacing w:val="8"/>
          <w:sz w:val="24"/>
          <w:szCs w:val="24"/>
          <w:highlight w:val="none"/>
        </w:rPr>
      </w:pPr>
      <w:r>
        <w:rPr>
          <w:rFonts w:hint="eastAsia" w:hAnsi="宋体" w:cs="宋体"/>
          <w:color w:val="000000"/>
          <w:spacing w:val="8"/>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A502C03">
      <w:pPr>
        <w:pStyle w:val="6"/>
        <w:rPr>
          <w:rFonts w:hint="eastAsia" w:ascii="仿宋_GB2312" w:hAnsi="Times New Roman" w:eastAsia="仿宋_GB2312" w:cs="宋体"/>
          <w:color w:val="000000"/>
          <w:spacing w:val="8"/>
          <w:kern w:val="0"/>
          <w:sz w:val="24"/>
          <w:highlight w:val="none"/>
        </w:rPr>
      </w:pPr>
    </w:p>
    <w:p w14:paraId="0BF70FD6">
      <w:pPr>
        <w:rPr>
          <w:rFonts w:hint="eastAsia" w:ascii="仿宋_GB2312" w:hAnsi="Times New Roman" w:eastAsia="仿宋_GB2312" w:cs="宋体"/>
          <w:color w:val="000000"/>
          <w:spacing w:val="8"/>
          <w:kern w:val="0"/>
          <w:sz w:val="24"/>
          <w:highlight w:val="none"/>
        </w:rPr>
      </w:pPr>
    </w:p>
    <w:p w14:paraId="2072E5D4">
      <w:pPr>
        <w:pStyle w:val="8"/>
        <w:rPr>
          <w:rFonts w:hint="eastAsia" w:ascii="仿宋_GB2312" w:hAnsi="Times New Roman" w:eastAsia="仿宋_GB2312" w:cs="宋体"/>
          <w:color w:val="000000"/>
          <w:spacing w:val="8"/>
          <w:kern w:val="0"/>
          <w:sz w:val="24"/>
          <w:highlight w:val="none"/>
        </w:rPr>
      </w:pPr>
    </w:p>
    <w:p w14:paraId="3BCD1FC0">
      <w:pPr>
        <w:rPr>
          <w:rFonts w:hint="eastAsia" w:ascii="仿宋_GB2312" w:hAnsi="Times New Roman" w:eastAsia="仿宋_GB2312" w:cs="宋体"/>
          <w:color w:val="000000"/>
          <w:spacing w:val="8"/>
          <w:kern w:val="0"/>
          <w:sz w:val="24"/>
          <w:highlight w:val="none"/>
        </w:rPr>
      </w:pPr>
    </w:p>
    <w:p w14:paraId="6B931337">
      <w:pPr>
        <w:pStyle w:val="8"/>
        <w:rPr>
          <w:rFonts w:hint="eastAsia" w:ascii="仿宋_GB2312" w:hAnsi="Times New Roman" w:eastAsia="仿宋_GB2312" w:cs="宋体"/>
          <w:color w:val="000000"/>
          <w:spacing w:val="8"/>
          <w:kern w:val="0"/>
          <w:sz w:val="24"/>
          <w:highlight w:val="none"/>
        </w:rPr>
      </w:pPr>
    </w:p>
    <w:p w14:paraId="3302269E">
      <w:pPr>
        <w:rPr>
          <w:rFonts w:hint="eastAsia" w:ascii="仿宋_GB2312" w:hAnsi="Times New Roman" w:eastAsia="仿宋_GB2312" w:cs="宋体"/>
          <w:color w:val="000000"/>
          <w:spacing w:val="8"/>
          <w:kern w:val="0"/>
          <w:sz w:val="24"/>
          <w:highlight w:val="none"/>
        </w:rPr>
      </w:pPr>
    </w:p>
    <w:p w14:paraId="786DA5C9">
      <w:pPr>
        <w:pStyle w:val="8"/>
        <w:rPr>
          <w:rFonts w:hint="eastAsia" w:ascii="仿宋_GB2312" w:hAnsi="Times New Roman" w:eastAsia="仿宋_GB2312" w:cs="宋体"/>
          <w:color w:val="000000"/>
          <w:spacing w:val="8"/>
          <w:kern w:val="0"/>
          <w:sz w:val="24"/>
          <w:highlight w:val="none"/>
        </w:rPr>
      </w:pPr>
    </w:p>
    <w:p w14:paraId="61479FB2">
      <w:pPr>
        <w:rPr>
          <w:rFonts w:hint="eastAsia" w:ascii="仿宋_GB2312" w:hAnsi="Times New Roman" w:eastAsia="仿宋_GB2312" w:cs="宋体"/>
          <w:color w:val="000000"/>
          <w:spacing w:val="8"/>
          <w:kern w:val="0"/>
          <w:sz w:val="24"/>
          <w:highlight w:val="none"/>
        </w:rPr>
      </w:pPr>
    </w:p>
    <w:p w14:paraId="3BAC6BF2">
      <w:pPr>
        <w:pStyle w:val="8"/>
        <w:rPr>
          <w:rFonts w:hint="eastAsia"/>
          <w:color w:val="000000"/>
          <w:highlight w:val="none"/>
        </w:rPr>
      </w:pPr>
    </w:p>
    <w:p w14:paraId="5B3FF6BE">
      <w:pPr>
        <w:rPr>
          <w:rFonts w:hint="eastAsia"/>
          <w:color w:val="000000"/>
          <w:highlight w:val="none"/>
        </w:rPr>
      </w:pPr>
    </w:p>
    <w:p w14:paraId="175971DF">
      <w:pPr>
        <w:pStyle w:val="23"/>
        <w:rPr>
          <w:rFonts w:hint="eastAsia"/>
          <w:color w:val="000000"/>
          <w:highlight w:val="none"/>
        </w:rPr>
      </w:pPr>
    </w:p>
    <w:p w14:paraId="4912CB8D">
      <w:pPr>
        <w:pStyle w:val="23"/>
        <w:rPr>
          <w:rFonts w:hint="eastAsia"/>
          <w:color w:val="000000"/>
          <w:highlight w:val="none"/>
        </w:rPr>
      </w:pPr>
    </w:p>
    <w:p w14:paraId="657A4E3A">
      <w:pPr>
        <w:pStyle w:val="23"/>
        <w:rPr>
          <w:rFonts w:hint="eastAsia"/>
          <w:color w:val="000000"/>
          <w:highlight w:val="none"/>
        </w:rPr>
      </w:pPr>
    </w:p>
    <w:p w14:paraId="20848D1E">
      <w:pPr>
        <w:pStyle w:val="23"/>
        <w:rPr>
          <w:rFonts w:hint="eastAsia"/>
          <w:color w:val="000000"/>
          <w:highlight w:val="none"/>
        </w:rPr>
      </w:pPr>
    </w:p>
    <w:p w14:paraId="2B345881">
      <w:pPr>
        <w:pStyle w:val="23"/>
        <w:rPr>
          <w:rFonts w:hint="eastAsia"/>
          <w:color w:val="000000"/>
          <w:highlight w:val="none"/>
        </w:rPr>
      </w:pPr>
    </w:p>
    <w:p w14:paraId="323B362A">
      <w:pPr>
        <w:pStyle w:val="23"/>
        <w:rPr>
          <w:rFonts w:hint="eastAsia"/>
          <w:color w:val="000000"/>
          <w:highlight w:val="none"/>
        </w:rPr>
      </w:pPr>
    </w:p>
    <w:p w14:paraId="3058D628">
      <w:pPr>
        <w:pStyle w:val="23"/>
        <w:rPr>
          <w:rFonts w:hint="eastAsia"/>
          <w:color w:val="000000"/>
          <w:highlight w:val="none"/>
        </w:rPr>
      </w:pPr>
    </w:p>
    <w:p w14:paraId="168E099B">
      <w:pPr>
        <w:pStyle w:val="23"/>
        <w:rPr>
          <w:rFonts w:hint="eastAsia"/>
          <w:color w:val="000000"/>
          <w:highlight w:val="none"/>
        </w:rPr>
      </w:pPr>
    </w:p>
    <w:p w14:paraId="333F0382">
      <w:pPr>
        <w:pStyle w:val="23"/>
        <w:rPr>
          <w:rFonts w:hint="eastAsia"/>
          <w:color w:val="000000"/>
          <w:highlight w:val="none"/>
        </w:rPr>
      </w:pPr>
    </w:p>
    <w:p w14:paraId="4EC9CF63">
      <w:pPr>
        <w:pStyle w:val="23"/>
        <w:rPr>
          <w:rFonts w:hint="eastAsia"/>
          <w:color w:val="000000"/>
          <w:highlight w:val="none"/>
        </w:rPr>
      </w:pPr>
    </w:p>
    <w:p w14:paraId="0FC3A34C">
      <w:pPr>
        <w:pStyle w:val="23"/>
        <w:rPr>
          <w:rFonts w:hint="eastAsia"/>
          <w:color w:val="000000"/>
          <w:highlight w:val="none"/>
        </w:rPr>
      </w:pPr>
    </w:p>
    <w:p w14:paraId="79222492">
      <w:pPr>
        <w:pStyle w:val="23"/>
        <w:rPr>
          <w:rFonts w:hint="eastAsia"/>
          <w:color w:val="000000"/>
          <w:highlight w:val="none"/>
        </w:rPr>
      </w:pPr>
    </w:p>
    <w:p w14:paraId="3D550808">
      <w:pPr>
        <w:pStyle w:val="2"/>
        <w:numPr>
          <w:ilvl w:val="0"/>
          <w:numId w:val="0"/>
        </w:numPr>
        <w:tabs>
          <w:tab w:val="left" w:pos="0"/>
        </w:tabs>
        <w:autoSpaceDE w:val="0"/>
        <w:autoSpaceDN w:val="0"/>
        <w:adjustRightInd w:val="0"/>
        <w:spacing w:before="0" w:after="0" w:line="360" w:lineRule="auto"/>
        <w:ind w:left="425" w:leftChars="0"/>
        <w:jc w:val="center"/>
        <w:rPr>
          <w:rFonts w:hint="eastAsia" w:ascii="宋体" w:hAnsi="宋体" w:cs="宋体"/>
          <w:color w:val="000000"/>
          <w:sz w:val="32"/>
          <w:szCs w:val="32"/>
          <w:highlight w:val="none"/>
        </w:rPr>
      </w:pPr>
      <w:bookmarkStart w:id="280" w:name="_Toc21513"/>
      <w:bookmarkStart w:id="281" w:name="_Toc22007"/>
      <w:bookmarkStart w:id="282" w:name="_Toc19630"/>
      <w:bookmarkStart w:id="283" w:name="_Toc22269"/>
      <w:bookmarkStart w:id="284" w:name="_Toc12923"/>
      <w:r>
        <w:rPr>
          <w:rFonts w:hint="eastAsia" w:ascii="宋体" w:hAnsi="宋体" w:cs="宋体"/>
          <w:color w:val="000000"/>
          <w:sz w:val="32"/>
          <w:szCs w:val="32"/>
          <w:highlight w:val="none"/>
          <w:lang w:eastAsia="zh-CN"/>
        </w:rPr>
        <w:t>第五章</w:t>
      </w:r>
      <w:r>
        <w:rPr>
          <w:rFonts w:hint="eastAsia" w:ascii="宋体" w:hAnsi="宋体" w:cs="宋体"/>
          <w:color w:val="000000"/>
          <w:sz w:val="32"/>
          <w:szCs w:val="32"/>
          <w:highlight w:val="none"/>
          <w:lang w:val="en-US" w:eastAsia="zh-CN"/>
        </w:rPr>
        <w:t xml:space="preserve"> </w:t>
      </w:r>
      <w:r>
        <w:rPr>
          <w:rFonts w:hint="eastAsia" w:ascii="宋体" w:hAnsi="宋体" w:cs="宋体"/>
          <w:color w:val="000000"/>
          <w:sz w:val="32"/>
          <w:szCs w:val="32"/>
          <w:highlight w:val="none"/>
        </w:rPr>
        <w:t>采购合同（合同主要条款及格式）</w:t>
      </w:r>
      <w:bookmarkEnd w:id="267"/>
      <w:bookmarkEnd w:id="280"/>
      <w:bookmarkEnd w:id="281"/>
      <w:bookmarkEnd w:id="282"/>
      <w:bookmarkEnd w:id="283"/>
      <w:bookmarkEnd w:id="284"/>
    </w:p>
    <w:p w14:paraId="0F167ED6">
      <w:pPr>
        <w:spacing w:line="380" w:lineRule="exac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项目名称：</w:t>
      </w:r>
      <w:r>
        <w:rPr>
          <w:rFonts w:hint="eastAsia" w:ascii="宋体" w:hAnsi="宋体"/>
          <w:color w:val="000000"/>
          <w:szCs w:val="21"/>
          <w:highlight w:val="none"/>
          <w:lang w:eastAsia="zh-CN"/>
        </w:rPr>
        <w:t>电子病历及HIS系统驻场开发、运维服务采购</w:t>
      </w:r>
    </w:p>
    <w:p w14:paraId="18291D8F">
      <w:pPr>
        <w:spacing w:line="380" w:lineRule="exact"/>
        <w:rPr>
          <w:rFonts w:hint="eastAsia" w:ascii="宋体" w:hAnsi="宋体" w:cs="宋体"/>
          <w:color w:val="000000"/>
          <w:szCs w:val="21"/>
          <w:highlight w:val="none"/>
        </w:rPr>
      </w:pPr>
      <w:r>
        <w:rPr>
          <w:rFonts w:hint="eastAsia" w:ascii="宋体" w:hAnsi="宋体" w:cs="宋体"/>
          <w:color w:val="000000"/>
          <w:szCs w:val="21"/>
          <w:highlight w:val="none"/>
        </w:rPr>
        <w:t>项目编号：GLZC2025-J3-990533-ZJXJ</w:t>
      </w:r>
    </w:p>
    <w:p w14:paraId="0A4C20B1">
      <w:pPr>
        <w:tabs>
          <w:tab w:val="left" w:pos="8767"/>
        </w:tabs>
        <w:spacing w:line="380" w:lineRule="exact"/>
        <w:rPr>
          <w:rFonts w:hint="eastAsia" w:ascii="宋体" w:hAnsi="宋体" w:cs="宋体"/>
          <w:color w:val="000000"/>
          <w:highlight w:val="none"/>
        </w:rPr>
      </w:pPr>
      <w:r>
        <w:rPr>
          <w:rFonts w:hint="eastAsia" w:ascii="宋体" w:hAnsi="宋体" w:cs="宋体"/>
          <w:color w:val="000000"/>
          <w:highlight w:val="none"/>
        </w:rPr>
        <w:t>甲方：</w:t>
      </w:r>
      <w:r>
        <w:rPr>
          <w:rFonts w:hint="eastAsia" w:ascii="宋体" w:hAnsi="宋体" w:cs="宋体"/>
          <w:color w:val="000000"/>
          <w:highlight w:val="none"/>
          <w:u w:val="single"/>
        </w:rPr>
        <w:t xml:space="preserve">                                     </w:t>
      </w:r>
      <w:r>
        <w:rPr>
          <w:rFonts w:hint="eastAsia" w:ascii="宋体" w:hAnsi="宋体" w:cs="宋体"/>
          <w:color w:val="000000"/>
          <w:highlight w:val="none"/>
        </w:rPr>
        <w:t>（采购人）</w:t>
      </w:r>
      <w:r>
        <w:rPr>
          <w:rFonts w:hint="eastAsia" w:ascii="宋体" w:hAnsi="宋体" w:cs="宋体"/>
          <w:color w:val="000000"/>
          <w:highlight w:val="none"/>
        </w:rPr>
        <w:tab/>
      </w:r>
    </w:p>
    <w:p w14:paraId="3DD72B2D">
      <w:pPr>
        <w:spacing w:line="380" w:lineRule="exact"/>
        <w:rPr>
          <w:rFonts w:hint="eastAsia" w:ascii="宋体" w:hAnsi="宋体" w:cs="宋体"/>
          <w:color w:val="000000"/>
          <w:highlight w:val="none"/>
        </w:rPr>
      </w:pPr>
      <w:r>
        <w:rPr>
          <w:rFonts w:hint="eastAsia" w:ascii="宋体" w:hAnsi="宋体" w:cs="宋体"/>
          <w:color w:val="000000"/>
          <w:highlight w:val="none"/>
        </w:rPr>
        <w:t>乙方：</w:t>
      </w:r>
      <w:r>
        <w:rPr>
          <w:rFonts w:hint="eastAsia" w:ascii="宋体" w:hAnsi="宋体" w:cs="宋体"/>
          <w:color w:val="000000"/>
          <w:highlight w:val="none"/>
          <w:u w:val="single"/>
        </w:rPr>
        <w:t xml:space="preserve">                                     </w:t>
      </w:r>
      <w:r>
        <w:rPr>
          <w:rFonts w:hint="eastAsia" w:ascii="宋体" w:hAnsi="宋体" w:cs="宋体"/>
          <w:color w:val="000000"/>
          <w:highlight w:val="none"/>
        </w:rPr>
        <w:t>（成交供应商）</w:t>
      </w:r>
    </w:p>
    <w:p w14:paraId="64AC1AC4">
      <w:pPr>
        <w:spacing w:line="380" w:lineRule="exact"/>
        <w:ind w:firstLine="420" w:firstLineChars="200"/>
        <w:rPr>
          <w:rFonts w:hint="eastAsia" w:ascii="宋体" w:hAnsi="宋体" w:cs="宋体"/>
          <w:color w:val="000000"/>
          <w:szCs w:val="21"/>
          <w:highlight w:val="none"/>
        </w:rPr>
      </w:pPr>
      <w:r>
        <w:rPr>
          <w:rFonts w:hint="eastAsia" w:ascii="宋体" w:hAnsi="宋体" w:cs="宋体"/>
          <w:color w:val="000000"/>
          <w:highlight w:val="none"/>
        </w:rPr>
        <w:t>根据《中华人民共和国政府采购法》《中华人民共和国政府采购法实施条例》《中华人民共和国民法典》等法律、法规规定，按照竞争性谈判文件（以下简称谈判文件）、响应文件规定条款和成交供应商的承诺、甲乙双方签订本采购合同。</w:t>
      </w:r>
      <w:bookmarkStart w:id="285" w:name="_Toc21389"/>
      <w:bookmarkStart w:id="286" w:name="_Toc28931"/>
      <w:bookmarkStart w:id="287" w:name="_Toc12955"/>
      <w:bookmarkStart w:id="288" w:name="_Toc12151"/>
      <w:bookmarkStart w:id="289" w:name="_Toc13049"/>
    </w:p>
    <w:p w14:paraId="3206CB4C">
      <w:pPr>
        <w:numPr>
          <w:ilvl w:val="0"/>
          <w:numId w:val="7"/>
        </w:numPr>
        <w:spacing w:line="360" w:lineRule="exact"/>
        <w:ind w:firstLine="411" w:firstLineChars="196"/>
        <w:outlineLvl w:val="1"/>
        <w:rPr>
          <w:rFonts w:hint="eastAsia" w:ascii="宋体" w:hAnsi="宋体" w:cs="宋体"/>
          <w:b/>
          <w:color w:val="000000"/>
          <w:szCs w:val="21"/>
          <w:highlight w:val="none"/>
        </w:rPr>
      </w:pPr>
      <w:bookmarkStart w:id="290" w:name="_Toc2778"/>
      <w:bookmarkStart w:id="291" w:name="_Toc28759"/>
      <w:bookmarkStart w:id="292" w:name="_Toc23991"/>
      <w:bookmarkStart w:id="293" w:name="_Toc10785"/>
      <w:r>
        <w:rPr>
          <w:rFonts w:hint="eastAsia" w:ascii="宋体" w:hAnsi="宋体" w:cs="宋体"/>
          <w:b/>
          <w:color w:val="000000"/>
          <w:szCs w:val="21"/>
          <w:highlight w:val="none"/>
        </w:rPr>
        <w:t>合同标的及合同金额</w:t>
      </w:r>
      <w:bookmarkEnd w:id="290"/>
      <w:bookmarkEnd w:id="291"/>
      <w:bookmarkEnd w:id="292"/>
      <w:bookmarkEnd w:id="293"/>
    </w:p>
    <w:tbl>
      <w:tblPr>
        <w:tblStyle w:val="19"/>
        <w:tblW w:w="104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1693"/>
        <w:gridCol w:w="1877"/>
        <w:gridCol w:w="841"/>
        <w:gridCol w:w="922"/>
        <w:gridCol w:w="1016"/>
        <w:gridCol w:w="2804"/>
        <w:gridCol w:w="823"/>
      </w:tblGrid>
      <w:tr w14:paraId="651B1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459" w:type="dxa"/>
            <w:tcBorders>
              <w:top w:val="single" w:color="auto" w:sz="4" w:space="0"/>
              <w:bottom w:val="single" w:color="auto" w:sz="4" w:space="0"/>
              <w:right w:val="single" w:color="auto" w:sz="4" w:space="0"/>
            </w:tcBorders>
            <w:noWrap w:val="0"/>
            <w:vAlign w:val="center"/>
          </w:tcPr>
          <w:p w14:paraId="6F4359BD">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项号</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01F4B8A1">
            <w:pPr>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采购内容名称</w:t>
            </w:r>
          </w:p>
        </w:tc>
        <w:tc>
          <w:tcPr>
            <w:tcW w:w="1877" w:type="dxa"/>
            <w:tcBorders>
              <w:top w:val="single" w:color="auto" w:sz="4" w:space="0"/>
              <w:left w:val="single" w:color="auto" w:sz="4" w:space="0"/>
              <w:bottom w:val="single" w:color="auto" w:sz="4" w:space="0"/>
              <w:right w:val="single" w:color="auto" w:sz="4" w:space="0"/>
            </w:tcBorders>
            <w:noWrap w:val="0"/>
            <w:vAlign w:val="center"/>
          </w:tcPr>
          <w:p w14:paraId="10AC9A53">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服务内容</w:t>
            </w:r>
          </w:p>
        </w:tc>
        <w:tc>
          <w:tcPr>
            <w:tcW w:w="841" w:type="dxa"/>
            <w:tcBorders>
              <w:top w:val="single" w:color="auto" w:sz="4" w:space="0"/>
              <w:left w:val="single" w:color="auto" w:sz="4" w:space="0"/>
              <w:bottom w:val="single" w:color="auto" w:sz="4" w:space="0"/>
              <w:right w:val="single" w:color="auto" w:sz="4" w:space="0"/>
            </w:tcBorders>
            <w:noWrap w:val="0"/>
            <w:vAlign w:val="center"/>
          </w:tcPr>
          <w:p w14:paraId="0020622F">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数量①</w:t>
            </w:r>
          </w:p>
        </w:tc>
        <w:tc>
          <w:tcPr>
            <w:tcW w:w="922" w:type="dxa"/>
            <w:tcBorders>
              <w:top w:val="single" w:color="auto" w:sz="4" w:space="0"/>
              <w:left w:val="single" w:color="auto" w:sz="4" w:space="0"/>
              <w:bottom w:val="single" w:color="auto" w:sz="4" w:space="0"/>
              <w:right w:val="single" w:color="auto" w:sz="4" w:space="0"/>
            </w:tcBorders>
            <w:noWrap w:val="0"/>
            <w:vAlign w:val="center"/>
          </w:tcPr>
          <w:p w14:paraId="3F9BE41D">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2140ED1E">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单价②</w:t>
            </w:r>
          </w:p>
        </w:tc>
        <w:tc>
          <w:tcPr>
            <w:tcW w:w="2804" w:type="dxa"/>
            <w:tcBorders>
              <w:top w:val="single" w:color="auto" w:sz="4" w:space="0"/>
              <w:left w:val="single" w:color="auto" w:sz="4" w:space="0"/>
              <w:bottom w:val="single" w:color="auto" w:sz="4" w:space="0"/>
              <w:right w:val="single" w:color="auto" w:sz="4" w:space="0"/>
            </w:tcBorders>
            <w:noWrap w:val="0"/>
            <w:vAlign w:val="center"/>
          </w:tcPr>
          <w:p w14:paraId="7F775CDA">
            <w:pPr>
              <w:spacing w:line="300" w:lineRule="exact"/>
              <w:jc w:val="center"/>
              <w:rPr>
                <w:rFonts w:hint="eastAsia" w:ascii="宋体" w:hAnsi="宋体" w:cs="宋体"/>
                <w:color w:val="000000"/>
                <w:highlight w:val="none"/>
              </w:rPr>
            </w:pPr>
            <w:r>
              <w:rPr>
                <w:rFonts w:hint="eastAsia" w:ascii="宋体" w:hAnsi="宋体" w:cs="宋体"/>
                <w:color w:val="000000"/>
                <w:highlight w:val="none"/>
              </w:rPr>
              <w:t>单项合计=数量×单价</w:t>
            </w:r>
          </w:p>
          <w:p w14:paraId="375F53E6">
            <w:pPr>
              <w:jc w:val="center"/>
              <w:rPr>
                <w:rFonts w:hint="eastAsia" w:ascii="宋体" w:hAnsi="宋体" w:cs="宋体"/>
                <w:color w:val="000000"/>
                <w:highlight w:val="none"/>
              </w:rPr>
            </w:pPr>
            <w:r>
              <w:rPr>
                <w:rFonts w:hint="eastAsia" w:ascii="宋体" w:hAnsi="宋体" w:cs="宋体"/>
                <w:color w:val="000000"/>
                <w:highlight w:val="none"/>
              </w:rPr>
              <w:t>③=</w:t>
            </w:r>
            <w:r>
              <w:rPr>
                <w:rFonts w:hint="eastAsia" w:ascii="宋体" w:hAnsi="宋体" w:cs="宋体"/>
                <w:color w:val="000000"/>
                <w:szCs w:val="21"/>
                <w:highlight w:val="none"/>
              </w:rPr>
              <w:t>①</w:t>
            </w:r>
            <w:r>
              <w:rPr>
                <w:rFonts w:hint="eastAsia" w:ascii="宋体" w:hAnsi="宋体" w:cs="宋体"/>
                <w:color w:val="000000"/>
                <w:highlight w:val="none"/>
              </w:rPr>
              <w:t>×</w:t>
            </w:r>
            <w:r>
              <w:rPr>
                <w:rFonts w:hint="eastAsia" w:ascii="宋体" w:hAnsi="宋体" w:cs="宋体"/>
                <w:color w:val="000000"/>
                <w:szCs w:val="21"/>
                <w:highlight w:val="none"/>
              </w:rPr>
              <w:t>②</w:t>
            </w:r>
          </w:p>
        </w:tc>
        <w:tc>
          <w:tcPr>
            <w:tcW w:w="823" w:type="dxa"/>
            <w:tcBorders>
              <w:top w:val="single" w:color="auto" w:sz="4" w:space="0"/>
              <w:bottom w:val="single" w:color="auto" w:sz="4" w:space="0"/>
            </w:tcBorders>
            <w:noWrap w:val="0"/>
            <w:vAlign w:val="center"/>
          </w:tcPr>
          <w:p w14:paraId="6CA9F8F7">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备注</w:t>
            </w:r>
          </w:p>
        </w:tc>
      </w:tr>
      <w:tr w14:paraId="16836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exact"/>
        </w:trPr>
        <w:tc>
          <w:tcPr>
            <w:tcW w:w="459" w:type="dxa"/>
            <w:tcBorders>
              <w:top w:val="single" w:color="auto" w:sz="4" w:space="0"/>
              <w:bottom w:val="single" w:color="auto" w:sz="4" w:space="0"/>
              <w:right w:val="single" w:color="auto" w:sz="4" w:space="0"/>
            </w:tcBorders>
            <w:noWrap w:val="0"/>
            <w:vAlign w:val="center"/>
          </w:tcPr>
          <w:p w14:paraId="09B86DFE">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39CD4F19">
            <w:pPr>
              <w:spacing w:line="360" w:lineRule="auto"/>
              <w:jc w:val="center"/>
              <w:rPr>
                <w:rFonts w:hint="eastAsia" w:ascii="宋体" w:hAnsi="宋体" w:cs="宋体"/>
                <w:color w:val="000000"/>
                <w:szCs w:val="21"/>
                <w:highlight w:val="none"/>
              </w:rPr>
            </w:pP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2998F5A">
            <w:pPr>
              <w:jc w:val="center"/>
              <w:rPr>
                <w:rFonts w:hint="eastAsia" w:ascii="宋体" w:hAnsi="宋体" w:cs="宋体"/>
                <w:color w:val="000000"/>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758F6651">
            <w:pPr>
              <w:jc w:val="center"/>
              <w:rPr>
                <w:rFonts w:hint="eastAsia" w:ascii="宋体" w:hAnsi="宋体" w:cs="宋体"/>
                <w:color w:val="000000"/>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center"/>
          </w:tcPr>
          <w:p w14:paraId="1245D3A0">
            <w:pPr>
              <w:jc w:val="center"/>
              <w:rPr>
                <w:rFonts w:hint="eastAsia" w:ascii="宋体" w:hAnsi="宋体" w:cs="宋体"/>
                <w:color w:val="000000"/>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6ED7EDB1">
            <w:pPr>
              <w:jc w:val="center"/>
              <w:rPr>
                <w:rFonts w:hint="eastAsia" w:ascii="宋体" w:hAnsi="宋体" w:cs="宋体"/>
                <w:color w:val="000000"/>
                <w:szCs w:val="21"/>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2669EE15">
            <w:pPr>
              <w:spacing w:line="300" w:lineRule="exact"/>
              <w:jc w:val="center"/>
              <w:rPr>
                <w:rFonts w:hint="eastAsia" w:ascii="宋体" w:hAnsi="宋体" w:cs="宋体"/>
                <w:b/>
                <w:bCs/>
                <w:color w:val="000000"/>
                <w:szCs w:val="21"/>
                <w:highlight w:val="none"/>
              </w:rPr>
            </w:pPr>
          </w:p>
        </w:tc>
        <w:tc>
          <w:tcPr>
            <w:tcW w:w="823" w:type="dxa"/>
            <w:tcBorders>
              <w:top w:val="single" w:color="auto" w:sz="4" w:space="0"/>
              <w:bottom w:val="single" w:color="auto" w:sz="4" w:space="0"/>
            </w:tcBorders>
            <w:noWrap w:val="0"/>
            <w:vAlign w:val="center"/>
          </w:tcPr>
          <w:p w14:paraId="2679D31E">
            <w:pPr>
              <w:spacing w:line="300" w:lineRule="exact"/>
              <w:jc w:val="center"/>
              <w:rPr>
                <w:rFonts w:hint="eastAsia" w:ascii="宋体" w:hAnsi="宋体" w:cs="宋体"/>
                <w:b/>
                <w:bCs/>
                <w:color w:val="000000"/>
                <w:szCs w:val="21"/>
                <w:highlight w:val="none"/>
              </w:rPr>
            </w:pPr>
          </w:p>
        </w:tc>
      </w:tr>
      <w:tr w14:paraId="7E00C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exact"/>
        </w:trPr>
        <w:tc>
          <w:tcPr>
            <w:tcW w:w="459" w:type="dxa"/>
            <w:tcBorders>
              <w:top w:val="single" w:color="auto" w:sz="4" w:space="0"/>
              <w:bottom w:val="single" w:color="auto" w:sz="4" w:space="0"/>
              <w:right w:val="single" w:color="auto" w:sz="4" w:space="0"/>
            </w:tcBorders>
            <w:noWrap w:val="0"/>
            <w:vAlign w:val="center"/>
          </w:tcPr>
          <w:p w14:paraId="6103991C">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6FFA283E">
            <w:pPr>
              <w:spacing w:line="360" w:lineRule="auto"/>
              <w:jc w:val="center"/>
              <w:rPr>
                <w:rFonts w:hint="eastAsia" w:ascii="宋体" w:hAnsi="宋体" w:cs="宋体"/>
                <w:color w:val="000000"/>
                <w:szCs w:val="21"/>
                <w:highlight w:val="none"/>
              </w:rPr>
            </w:pPr>
          </w:p>
        </w:tc>
        <w:tc>
          <w:tcPr>
            <w:tcW w:w="1877" w:type="dxa"/>
            <w:tcBorders>
              <w:top w:val="single" w:color="auto" w:sz="4" w:space="0"/>
              <w:left w:val="single" w:color="auto" w:sz="4" w:space="0"/>
              <w:bottom w:val="single" w:color="auto" w:sz="4" w:space="0"/>
              <w:right w:val="single" w:color="auto" w:sz="4" w:space="0"/>
            </w:tcBorders>
            <w:noWrap w:val="0"/>
            <w:vAlign w:val="center"/>
          </w:tcPr>
          <w:p w14:paraId="4EC4CB36">
            <w:pPr>
              <w:jc w:val="center"/>
              <w:rPr>
                <w:rFonts w:hint="eastAsia" w:ascii="宋体" w:hAnsi="宋体" w:cs="宋体"/>
                <w:color w:val="000000"/>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27A6D282">
            <w:pPr>
              <w:jc w:val="center"/>
              <w:rPr>
                <w:rFonts w:hint="eastAsia" w:ascii="宋体" w:hAnsi="宋体" w:cs="宋体"/>
                <w:color w:val="000000"/>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center"/>
          </w:tcPr>
          <w:p w14:paraId="3A98DD8D">
            <w:pPr>
              <w:jc w:val="center"/>
              <w:rPr>
                <w:rFonts w:hint="eastAsia" w:ascii="宋体" w:hAnsi="宋体" w:cs="宋体"/>
                <w:color w:val="000000"/>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3A734FE">
            <w:pPr>
              <w:jc w:val="center"/>
              <w:rPr>
                <w:rFonts w:hint="eastAsia" w:ascii="宋体" w:hAnsi="宋体" w:cs="宋体"/>
                <w:color w:val="000000"/>
                <w:szCs w:val="21"/>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5816E26B">
            <w:pPr>
              <w:spacing w:line="300" w:lineRule="exact"/>
              <w:jc w:val="center"/>
              <w:rPr>
                <w:rFonts w:hint="eastAsia" w:ascii="宋体" w:hAnsi="宋体" w:cs="宋体"/>
                <w:b/>
                <w:bCs/>
                <w:color w:val="000000"/>
                <w:szCs w:val="21"/>
                <w:highlight w:val="none"/>
              </w:rPr>
            </w:pPr>
          </w:p>
        </w:tc>
        <w:tc>
          <w:tcPr>
            <w:tcW w:w="823" w:type="dxa"/>
            <w:tcBorders>
              <w:top w:val="single" w:color="auto" w:sz="4" w:space="0"/>
              <w:bottom w:val="single" w:color="auto" w:sz="4" w:space="0"/>
            </w:tcBorders>
            <w:noWrap w:val="0"/>
            <w:vAlign w:val="center"/>
          </w:tcPr>
          <w:p w14:paraId="2B0A736B">
            <w:pPr>
              <w:spacing w:line="300" w:lineRule="exact"/>
              <w:jc w:val="center"/>
              <w:rPr>
                <w:rFonts w:hint="eastAsia" w:ascii="宋体" w:hAnsi="宋体" w:cs="宋体"/>
                <w:b/>
                <w:bCs/>
                <w:color w:val="000000"/>
                <w:szCs w:val="21"/>
                <w:highlight w:val="none"/>
              </w:rPr>
            </w:pPr>
          </w:p>
        </w:tc>
      </w:tr>
      <w:tr w14:paraId="0A60D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exact"/>
        </w:trPr>
        <w:tc>
          <w:tcPr>
            <w:tcW w:w="459" w:type="dxa"/>
            <w:tcBorders>
              <w:top w:val="single" w:color="auto" w:sz="4" w:space="0"/>
              <w:bottom w:val="single" w:color="auto" w:sz="4" w:space="0"/>
              <w:right w:val="single" w:color="auto" w:sz="4" w:space="0"/>
            </w:tcBorders>
            <w:noWrap w:val="0"/>
            <w:vAlign w:val="center"/>
          </w:tcPr>
          <w:p w14:paraId="203B5CBC">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3FA358B6">
            <w:pPr>
              <w:spacing w:line="360" w:lineRule="auto"/>
              <w:jc w:val="center"/>
              <w:rPr>
                <w:rFonts w:hint="eastAsia" w:ascii="宋体" w:hAnsi="宋体" w:cs="宋体"/>
                <w:color w:val="000000"/>
                <w:szCs w:val="21"/>
                <w:highlight w:val="none"/>
              </w:rPr>
            </w:pPr>
          </w:p>
        </w:tc>
        <w:tc>
          <w:tcPr>
            <w:tcW w:w="1877" w:type="dxa"/>
            <w:tcBorders>
              <w:top w:val="single" w:color="auto" w:sz="4" w:space="0"/>
              <w:left w:val="single" w:color="auto" w:sz="4" w:space="0"/>
              <w:bottom w:val="single" w:color="auto" w:sz="4" w:space="0"/>
              <w:right w:val="single" w:color="auto" w:sz="4" w:space="0"/>
            </w:tcBorders>
            <w:noWrap w:val="0"/>
            <w:vAlign w:val="center"/>
          </w:tcPr>
          <w:p w14:paraId="753827A5">
            <w:pPr>
              <w:jc w:val="center"/>
              <w:rPr>
                <w:rFonts w:hint="eastAsia" w:ascii="宋体" w:hAnsi="宋体" w:cs="宋体"/>
                <w:color w:val="000000"/>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14420F29">
            <w:pPr>
              <w:jc w:val="center"/>
              <w:rPr>
                <w:rFonts w:hint="eastAsia" w:ascii="宋体" w:hAnsi="宋体" w:cs="宋体"/>
                <w:color w:val="000000"/>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center"/>
          </w:tcPr>
          <w:p w14:paraId="76D347ED">
            <w:pPr>
              <w:jc w:val="center"/>
              <w:rPr>
                <w:rFonts w:hint="eastAsia" w:ascii="宋体" w:hAnsi="宋体" w:cs="宋体"/>
                <w:color w:val="000000"/>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05DF69E5">
            <w:pPr>
              <w:jc w:val="center"/>
              <w:rPr>
                <w:rFonts w:hint="eastAsia" w:ascii="宋体" w:hAnsi="宋体" w:cs="宋体"/>
                <w:color w:val="000000"/>
                <w:szCs w:val="21"/>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25A15AA5">
            <w:pPr>
              <w:spacing w:line="300" w:lineRule="exact"/>
              <w:jc w:val="center"/>
              <w:rPr>
                <w:rFonts w:hint="eastAsia" w:ascii="宋体" w:hAnsi="宋体" w:cs="宋体"/>
                <w:b/>
                <w:bCs/>
                <w:color w:val="000000"/>
                <w:szCs w:val="21"/>
                <w:highlight w:val="none"/>
              </w:rPr>
            </w:pPr>
          </w:p>
        </w:tc>
        <w:tc>
          <w:tcPr>
            <w:tcW w:w="823" w:type="dxa"/>
            <w:tcBorders>
              <w:top w:val="single" w:color="auto" w:sz="4" w:space="0"/>
              <w:bottom w:val="single" w:color="auto" w:sz="4" w:space="0"/>
            </w:tcBorders>
            <w:noWrap w:val="0"/>
            <w:vAlign w:val="center"/>
          </w:tcPr>
          <w:p w14:paraId="7DBBD64C">
            <w:pPr>
              <w:spacing w:line="300" w:lineRule="exact"/>
              <w:jc w:val="center"/>
              <w:rPr>
                <w:rFonts w:hint="eastAsia" w:ascii="宋体" w:hAnsi="宋体" w:cs="宋体"/>
                <w:b/>
                <w:bCs/>
                <w:color w:val="000000"/>
                <w:szCs w:val="21"/>
                <w:highlight w:val="none"/>
              </w:rPr>
            </w:pPr>
          </w:p>
        </w:tc>
      </w:tr>
      <w:tr w14:paraId="50CA5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exact"/>
        </w:trPr>
        <w:tc>
          <w:tcPr>
            <w:tcW w:w="459" w:type="dxa"/>
            <w:tcBorders>
              <w:top w:val="single" w:color="auto" w:sz="4" w:space="0"/>
              <w:bottom w:val="single" w:color="auto" w:sz="4" w:space="0"/>
              <w:right w:val="single" w:color="auto" w:sz="4" w:space="0"/>
            </w:tcBorders>
            <w:noWrap w:val="0"/>
            <w:vAlign w:val="center"/>
          </w:tcPr>
          <w:p w14:paraId="083EEDEE">
            <w:pPr>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693" w:type="dxa"/>
            <w:tcBorders>
              <w:top w:val="single" w:color="auto" w:sz="4" w:space="0"/>
              <w:left w:val="single" w:color="auto" w:sz="4" w:space="0"/>
              <w:bottom w:val="single" w:color="auto" w:sz="4" w:space="0"/>
              <w:right w:val="single" w:color="auto" w:sz="4" w:space="0"/>
            </w:tcBorders>
            <w:noWrap w:val="0"/>
            <w:vAlign w:val="center"/>
          </w:tcPr>
          <w:p w14:paraId="27D6EA43">
            <w:pPr>
              <w:spacing w:line="360" w:lineRule="auto"/>
              <w:jc w:val="center"/>
              <w:rPr>
                <w:rFonts w:hint="eastAsia" w:ascii="宋体" w:hAnsi="宋体" w:cs="宋体"/>
                <w:color w:val="000000"/>
                <w:szCs w:val="21"/>
                <w:highlight w:val="none"/>
              </w:rPr>
            </w:pPr>
          </w:p>
        </w:tc>
        <w:tc>
          <w:tcPr>
            <w:tcW w:w="1877" w:type="dxa"/>
            <w:tcBorders>
              <w:top w:val="single" w:color="auto" w:sz="4" w:space="0"/>
              <w:left w:val="single" w:color="auto" w:sz="4" w:space="0"/>
              <w:bottom w:val="single" w:color="auto" w:sz="4" w:space="0"/>
              <w:right w:val="single" w:color="auto" w:sz="4" w:space="0"/>
            </w:tcBorders>
            <w:noWrap w:val="0"/>
            <w:vAlign w:val="center"/>
          </w:tcPr>
          <w:p w14:paraId="59C28A2A">
            <w:pPr>
              <w:jc w:val="center"/>
              <w:rPr>
                <w:rFonts w:hint="eastAsia" w:ascii="宋体" w:hAnsi="宋体" w:cs="宋体"/>
                <w:color w:val="000000"/>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14:paraId="00984298">
            <w:pPr>
              <w:jc w:val="center"/>
              <w:rPr>
                <w:rFonts w:hint="eastAsia" w:ascii="宋体" w:hAnsi="宋体" w:cs="宋体"/>
                <w:color w:val="000000"/>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center"/>
          </w:tcPr>
          <w:p w14:paraId="2E7F59B4">
            <w:pPr>
              <w:jc w:val="center"/>
              <w:rPr>
                <w:rFonts w:hint="eastAsia" w:ascii="宋体" w:hAnsi="宋体" w:cs="宋体"/>
                <w:color w:val="000000"/>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0FE9C3FB">
            <w:pPr>
              <w:jc w:val="center"/>
              <w:rPr>
                <w:rFonts w:hint="eastAsia" w:ascii="宋体" w:hAnsi="宋体" w:cs="宋体"/>
                <w:color w:val="000000"/>
                <w:szCs w:val="21"/>
                <w:highlight w:val="none"/>
              </w:rPr>
            </w:pPr>
          </w:p>
        </w:tc>
        <w:tc>
          <w:tcPr>
            <w:tcW w:w="2804" w:type="dxa"/>
            <w:tcBorders>
              <w:top w:val="single" w:color="auto" w:sz="4" w:space="0"/>
              <w:left w:val="single" w:color="auto" w:sz="4" w:space="0"/>
              <w:bottom w:val="single" w:color="auto" w:sz="4" w:space="0"/>
              <w:right w:val="single" w:color="auto" w:sz="4" w:space="0"/>
            </w:tcBorders>
            <w:noWrap w:val="0"/>
            <w:vAlign w:val="center"/>
          </w:tcPr>
          <w:p w14:paraId="3710059B">
            <w:pPr>
              <w:spacing w:line="300" w:lineRule="exact"/>
              <w:jc w:val="center"/>
              <w:rPr>
                <w:rFonts w:hint="eastAsia" w:ascii="宋体" w:hAnsi="宋体" w:cs="宋体"/>
                <w:b/>
                <w:bCs/>
                <w:color w:val="000000"/>
                <w:szCs w:val="21"/>
                <w:highlight w:val="none"/>
              </w:rPr>
            </w:pPr>
          </w:p>
        </w:tc>
        <w:tc>
          <w:tcPr>
            <w:tcW w:w="823" w:type="dxa"/>
            <w:tcBorders>
              <w:top w:val="single" w:color="auto" w:sz="4" w:space="0"/>
              <w:bottom w:val="single" w:color="auto" w:sz="4" w:space="0"/>
            </w:tcBorders>
            <w:noWrap w:val="0"/>
            <w:vAlign w:val="center"/>
          </w:tcPr>
          <w:p w14:paraId="2391BD13">
            <w:pPr>
              <w:spacing w:line="300" w:lineRule="exact"/>
              <w:jc w:val="center"/>
              <w:rPr>
                <w:rFonts w:hint="eastAsia" w:ascii="宋体" w:hAnsi="宋体" w:cs="宋体"/>
                <w:b/>
                <w:bCs/>
                <w:color w:val="000000"/>
                <w:szCs w:val="21"/>
                <w:highlight w:val="none"/>
              </w:rPr>
            </w:pPr>
          </w:p>
        </w:tc>
      </w:tr>
      <w:tr w14:paraId="5CEC4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trPr>
        <w:tc>
          <w:tcPr>
            <w:tcW w:w="10435" w:type="dxa"/>
            <w:gridSpan w:val="8"/>
            <w:tcBorders>
              <w:top w:val="single" w:color="auto" w:sz="4" w:space="0"/>
              <w:bottom w:val="single" w:color="auto" w:sz="4" w:space="0"/>
            </w:tcBorders>
            <w:noWrap w:val="0"/>
            <w:vAlign w:val="center"/>
          </w:tcPr>
          <w:p w14:paraId="1C1530F4">
            <w:pPr>
              <w:spacing w:line="300" w:lineRule="exact"/>
              <w:rPr>
                <w:rFonts w:hint="eastAsia" w:ascii="宋体" w:hAnsi="宋体" w:cs="宋体"/>
                <w:color w:val="000000"/>
                <w:spacing w:val="-6"/>
                <w:szCs w:val="21"/>
                <w:highlight w:val="none"/>
              </w:rPr>
            </w:pPr>
            <w:r>
              <w:rPr>
                <w:rFonts w:hint="eastAsia" w:ascii="宋体" w:hAnsi="宋体" w:cs="宋体"/>
                <w:color w:val="000000"/>
                <w:spacing w:val="-6"/>
                <w:szCs w:val="21"/>
                <w:highlight w:val="none"/>
                <w:lang w:val="en-US" w:eastAsia="zh-CN"/>
              </w:rPr>
              <w:t>合计金额</w:t>
            </w:r>
            <w:r>
              <w:rPr>
                <w:rFonts w:hint="eastAsia" w:ascii="宋体" w:hAnsi="宋体" w:cs="宋体"/>
                <w:color w:val="000000"/>
                <w:spacing w:val="-6"/>
                <w:szCs w:val="21"/>
                <w:highlight w:val="none"/>
              </w:rPr>
              <w:t>（大写）：人民币                                                 （¥                   ）</w:t>
            </w:r>
          </w:p>
        </w:tc>
      </w:tr>
    </w:tbl>
    <w:p w14:paraId="11692391">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根据《</w:t>
      </w:r>
      <w:r>
        <w:rPr>
          <w:rFonts w:hint="eastAsia" w:ascii="宋体" w:hAnsi="宋体" w:cs="宋体"/>
          <w:color w:val="000000"/>
          <w:szCs w:val="21"/>
          <w:highlight w:val="none"/>
          <w:lang w:eastAsia="zh-CN"/>
        </w:rPr>
        <w:t>成交</w:t>
      </w:r>
      <w:r>
        <w:rPr>
          <w:rFonts w:hint="eastAsia" w:ascii="宋体" w:hAnsi="宋体" w:cs="宋体"/>
          <w:color w:val="000000"/>
          <w:szCs w:val="21"/>
          <w:highlight w:val="none"/>
        </w:rPr>
        <w:t>通知书》的</w:t>
      </w:r>
      <w:r>
        <w:rPr>
          <w:rFonts w:hint="eastAsia" w:ascii="宋体" w:hAnsi="宋体" w:cs="宋体"/>
          <w:color w:val="000000"/>
          <w:szCs w:val="21"/>
          <w:highlight w:val="none"/>
          <w:lang w:eastAsia="zh-CN"/>
        </w:rPr>
        <w:t>成交</w:t>
      </w:r>
      <w:r>
        <w:rPr>
          <w:rFonts w:hint="eastAsia" w:ascii="宋体" w:hAnsi="宋体" w:cs="宋体"/>
          <w:color w:val="000000"/>
          <w:szCs w:val="21"/>
          <w:highlight w:val="none"/>
        </w:rPr>
        <w:t>内容，合同的总金额为：</w:t>
      </w:r>
      <w:r>
        <w:rPr>
          <w:rFonts w:hint="eastAsia" w:ascii="宋体" w:hAnsi="宋体" w:cs="宋体"/>
          <w:color w:val="000000"/>
          <w:szCs w:val="21"/>
          <w:highlight w:val="none"/>
          <w:u w:val="single"/>
        </w:rPr>
        <w:t>人民币    （大写）    元</w:t>
      </w:r>
      <w:r>
        <w:rPr>
          <w:rFonts w:hint="eastAsia" w:ascii="宋体" w:hAnsi="宋体" w:cs="宋体"/>
          <w:color w:val="000000"/>
          <w:szCs w:val="21"/>
          <w:highlight w:val="none"/>
        </w:rPr>
        <w:t>（¥：</w:t>
      </w:r>
      <w:r>
        <w:rPr>
          <w:rFonts w:hint="eastAsia" w:ascii="宋体" w:hAnsi="宋体" w:cs="宋体"/>
          <w:color w:val="000000"/>
          <w:szCs w:val="21"/>
          <w:highlight w:val="none"/>
          <w:u w:val="single"/>
        </w:rPr>
        <w:t xml:space="preserve">    （小写）     </w:t>
      </w:r>
      <w:r>
        <w:rPr>
          <w:rFonts w:hint="eastAsia" w:ascii="宋体" w:hAnsi="宋体" w:cs="宋体"/>
          <w:color w:val="000000"/>
          <w:szCs w:val="21"/>
          <w:highlight w:val="none"/>
        </w:rPr>
        <w:t>）</w:t>
      </w:r>
    </w:p>
    <w:p w14:paraId="6F4465DF">
      <w:pPr>
        <w:spacing w:line="360" w:lineRule="exact"/>
        <w:ind w:firstLine="411" w:firstLineChars="196"/>
        <w:outlineLvl w:val="1"/>
        <w:rPr>
          <w:rFonts w:hint="eastAsia" w:ascii="宋体" w:hAnsi="宋体" w:cs="宋体"/>
          <w:b/>
          <w:color w:val="000000"/>
          <w:szCs w:val="21"/>
          <w:highlight w:val="none"/>
        </w:rPr>
      </w:pPr>
      <w:bookmarkStart w:id="294" w:name="_Toc21130"/>
      <w:bookmarkStart w:id="295" w:name="_Toc29389"/>
      <w:bookmarkStart w:id="296" w:name="_Toc22799"/>
      <w:bookmarkStart w:id="297" w:name="_Toc12812"/>
      <w:r>
        <w:rPr>
          <w:rFonts w:hint="eastAsia" w:ascii="宋体" w:hAnsi="宋体" w:cs="宋体"/>
          <w:b/>
          <w:color w:val="000000"/>
          <w:szCs w:val="21"/>
          <w:highlight w:val="none"/>
        </w:rPr>
        <w:t>第二条  服务保证</w:t>
      </w:r>
      <w:bookmarkEnd w:id="294"/>
      <w:bookmarkEnd w:id="295"/>
      <w:bookmarkEnd w:id="296"/>
      <w:bookmarkEnd w:id="297"/>
    </w:p>
    <w:p w14:paraId="20AF9DB6">
      <w:pPr>
        <w:snapToGrid w:val="0"/>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highlight w:val="none"/>
        </w:rPr>
        <w:t>成交供应商</w:t>
      </w:r>
      <w:r>
        <w:rPr>
          <w:rFonts w:hint="eastAsia" w:ascii="宋体" w:hAnsi="宋体" w:cs="宋体"/>
          <w:color w:val="000000"/>
          <w:szCs w:val="21"/>
          <w:highlight w:val="none"/>
        </w:rPr>
        <w:t>应按</w:t>
      </w:r>
      <w:r>
        <w:rPr>
          <w:rFonts w:hint="eastAsia" w:ascii="宋体" w:hAnsi="宋体" w:cs="宋体"/>
          <w:color w:val="000000"/>
          <w:szCs w:val="21"/>
          <w:highlight w:val="none"/>
          <w:lang w:val="en-US" w:eastAsia="zh-CN"/>
        </w:rPr>
        <w:t>竞争性谈判</w:t>
      </w:r>
      <w:r>
        <w:rPr>
          <w:rFonts w:hint="eastAsia" w:ascii="宋体" w:hAnsi="宋体" w:cs="宋体"/>
          <w:color w:val="000000"/>
          <w:szCs w:val="21"/>
          <w:highlight w:val="none"/>
        </w:rPr>
        <w:t>文件、</w:t>
      </w:r>
      <w:r>
        <w:rPr>
          <w:rFonts w:hint="eastAsia" w:ascii="宋体" w:hAnsi="宋体" w:cs="宋体"/>
          <w:color w:val="000000"/>
          <w:szCs w:val="21"/>
          <w:highlight w:val="none"/>
          <w:lang w:val="en-US" w:eastAsia="zh-CN"/>
        </w:rPr>
        <w:t>响应</w:t>
      </w:r>
      <w:r>
        <w:rPr>
          <w:rFonts w:hint="eastAsia" w:ascii="宋体" w:hAnsi="宋体" w:cs="宋体"/>
          <w:color w:val="000000"/>
          <w:szCs w:val="21"/>
          <w:highlight w:val="none"/>
        </w:rPr>
        <w:t>文件和承诺规定的服务内容向采购人提供相应服务。</w:t>
      </w:r>
    </w:p>
    <w:p w14:paraId="3196062F">
      <w:pPr>
        <w:spacing w:line="360" w:lineRule="exact"/>
        <w:ind w:firstLine="411" w:firstLineChars="196"/>
        <w:outlineLvl w:val="1"/>
        <w:rPr>
          <w:rFonts w:hint="eastAsia" w:ascii="宋体" w:hAnsi="宋体" w:cs="宋体"/>
          <w:b/>
          <w:color w:val="000000"/>
          <w:szCs w:val="21"/>
          <w:highlight w:val="none"/>
        </w:rPr>
      </w:pPr>
      <w:bookmarkStart w:id="298" w:name="_Toc11855"/>
      <w:bookmarkStart w:id="299" w:name="_Toc14441"/>
      <w:bookmarkStart w:id="300" w:name="_Toc32357"/>
      <w:bookmarkStart w:id="301" w:name="_Toc15678"/>
      <w:r>
        <w:rPr>
          <w:rFonts w:hint="eastAsia" w:ascii="宋体" w:hAnsi="宋体" w:cs="宋体"/>
          <w:b/>
          <w:color w:val="000000"/>
          <w:szCs w:val="21"/>
          <w:highlight w:val="none"/>
        </w:rPr>
        <w:t>第三条  服务期限</w:t>
      </w:r>
      <w:bookmarkEnd w:id="298"/>
      <w:bookmarkEnd w:id="299"/>
      <w:bookmarkEnd w:id="300"/>
      <w:bookmarkEnd w:id="301"/>
    </w:p>
    <w:p w14:paraId="11C677E0">
      <w:pPr>
        <w:spacing w:line="360" w:lineRule="auto"/>
        <w:ind w:firstLine="411" w:firstLineChars="196"/>
        <w:rPr>
          <w:rFonts w:hint="eastAsia" w:ascii="宋体" w:hAnsi="宋体" w:cs="宋体"/>
          <w:color w:val="000000"/>
          <w:szCs w:val="21"/>
          <w:highlight w:val="none"/>
          <w:u w:val="single"/>
        </w:rPr>
      </w:pPr>
      <w:r>
        <w:rPr>
          <w:rFonts w:hint="eastAsia" w:ascii="宋体" w:hAnsi="宋体" w:cs="宋体"/>
          <w:color w:val="000000"/>
          <w:szCs w:val="21"/>
          <w:highlight w:val="none"/>
        </w:rPr>
        <w:t xml:space="preserve">服务期限: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kern w:val="0"/>
          <w:szCs w:val="21"/>
          <w:highlight w:val="none"/>
          <w:u w:val="single"/>
        </w:rPr>
        <w:t xml:space="preserve">  。</w:t>
      </w:r>
    </w:p>
    <w:p w14:paraId="38B9AFE0">
      <w:pPr>
        <w:spacing w:line="360" w:lineRule="exact"/>
        <w:ind w:firstLine="411" w:firstLineChars="196"/>
        <w:outlineLvl w:val="1"/>
        <w:rPr>
          <w:rFonts w:hint="eastAsia" w:ascii="宋体" w:hAnsi="宋体" w:cs="宋体"/>
          <w:b/>
          <w:color w:val="000000"/>
          <w:szCs w:val="21"/>
          <w:highlight w:val="none"/>
        </w:rPr>
      </w:pPr>
      <w:bookmarkStart w:id="302" w:name="_Toc21891"/>
      <w:bookmarkStart w:id="303" w:name="_Toc30161"/>
      <w:bookmarkStart w:id="304" w:name="_Toc31717"/>
      <w:bookmarkStart w:id="305" w:name="_Toc20159"/>
      <w:r>
        <w:rPr>
          <w:rFonts w:hint="eastAsia" w:ascii="宋体" w:hAnsi="宋体" w:cs="宋体"/>
          <w:b/>
          <w:color w:val="000000"/>
          <w:szCs w:val="21"/>
          <w:highlight w:val="none"/>
        </w:rPr>
        <w:t>第四条  交付</w:t>
      </w:r>
      <w:bookmarkEnd w:id="302"/>
      <w:bookmarkEnd w:id="303"/>
      <w:bookmarkEnd w:id="304"/>
      <w:bookmarkEnd w:id="305"/>
    </w:p>
    <w:p w14:paraId="32C6D552">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1.服务时间：</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年 月</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 xml:space="preserve">日至  </w:t>
      </w:r>
      <w:r>
        <w:rPr>
          <w:rFonts w:ascii="宋体" w:hAnsi="宋体" w:cs="宋体"/>
          <w:color w:val="000000"/>
          <w:szCs w:val="21"/>
          <w:highlight w:val="none"/>
          <w:u w:val="single"/>
        </w:rPr>
        <w:t xml:space="preserve"> 年</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月</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日</w:t>
      </w:r>
      <w:r>
        <w:rPr>
          <w:rFonts w:hint="eastAsia" w:ascii="宋体" w:hAnsi="宋体" w:cs="宋体"/>
          <w:color w:val="000000"/>
          <w:szCs w:val="21"/>
          <w:highlight w:val="none"/>
          <w:u w:val="single"/>
        </w:rPr>
        <w:t xml:space="preserve">止 </w:t>
      </w:r>
      <w:r>
        <w:rPr>
          <w:rFonts w:ascii="宋体" w:hAnsi="宋体" w:cs="宋体"/>
          <w:color w:val="000000"/>
          <w:szCs w:val="21"/>
          <w:highlight w:val="none"/>
          <w:u w:val="single"/>
        </w:rPr>
        <w:t xml:space="preserve">  </w:t>
      </w:r>
      <w:r>
        <w:rPr>
          <w:rFonts w:hint="eastAsia" w:ascii="宋体" w:hAnsi="宋体" w:cs="宋体"/>
          <w:color w:val="000000"/>
          <w:szCs w:val="21"/>
          <w:highlight w:val="none"/>
        </w:rPr>
        <w:t>；服务地点：采购人指定地点。</w:t>
      </w:r>
    </w:p>
    <w:p w14:paraId="6F166E5B">
      <w:pPr>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2.乙方提供不符合</w:t>
      </w:r>
      <w:r>
        <w:rPr>
          <w:rFonts w:hint="eastAsia" w:ascii="宋体" w:hAnsi="宋体" w:cs="宋体"/>
          <w:color w:val="000000"/>
          <w:szCs w:val="21"/>
          <w:highlight w:val="none"/>
          <w:lang w:val="en-US" w:eastAsia="zh-CN"/>
        </w:rPr>
        <w:t>竞争性谈判</w:t>
      </w:r>
      <w:r>
        <w:rPr>
          <w:rFonts w:hint="eastAsia" w:ascii="宋体" w:hAnsi="宋体" w:cs="宋体"/>
          <w:color w:val="000000"/>
          <w:szCs w:val="21"/>
          <w:highlight w:val="none"/>
        </w:rPr>
        <w:t>文件和本合同规定的服务，甲方有权拒绝接受。</w:t>
      </w:r>
    </w:p>
    <w:p w14:paraId="6D01336C">
      <w:pPr>
        <w:spacing w:line="360" w:lineRule="exact"/>
        <w:ind w:firstLine="411" w:firstLineChars="196"/>
        <w:outlineLvl w:val="1"/>
        <w:rPr>
          <w:rFonts w:hint="eastAsia" w:ascii="宋体" w:hAnsi="宋体" w:cs="宋体"/>
          <w:b/>
          <w:color w:val="000000"/>
          <w:szCs w:val="21"/>
          <w:highlight w:val="none"/>
        </w:rPr>
      </w:pPr>
      <w:bookmarkStart w:id="306" w:name="_Toc10198"/>
      <w:bookmarkStart w:id="307" w:name="_Toc22624"/>
      <w:bookmarkStart w:id="308" w:name="_Toc17492"/>
      <w:bookmarkStart w:id="309" w:name="_Toc29520"/>
      <w:r>
        <w:rPr>
          <w:rFonts w:hint="eastAsia" w:ascii="宋体" w:hAnsi="宋体" w:cs="宋体"/>
          <w:b/>
          <w:color w:val="000000"/>
          <w:szCs w:val="21"/>
          <w:highlight w:val="none"/>
        </w:rPr>
        <w:t>第五条  税费</w:t>
      </w:r>
      <w:bookmarkEnd w:id="306"/>
      <w:bookmarkEnd w:id="307"/>
      <w:bookmarkEnd w:id="308"/>
      <w:bookmarkEnd w:id="309"/>
    </w:p>
    <w:p w14:paraId="571E0BC4">
      <w:pPr>
        <w:spacing w:line="360" w:lineRule="exact"/>
        <w:ind w:firstLine="411" w:firstLineChars="196"/>
        <w:rPr>
          <w:rFonts w:hint="eastAsia" w:ascii="宋体" w:hAnsi="宋体" w:cs="宋体"/>
          <w:color w:val="000000"/>
          <w:szCs w:val="21"/>
          <w:highlight w:val="none"/>
        </w:rPr>
      </w:pPr>
      <w:r>
        <w:rPr>
          <w:rFonts w:hint="eastAsia" w:ascii="宋体" w:hAnsi="宋体" w:cs="宋体"/>
          <w:color w:val="000000"/>
          <w:szCs w:val="21"/>
          <w:highlight w:val="none"/>
        </w:rPr>
        <w:t>本合同执行中相关的一切税费均由乙方负担。</w:t>
      </w:r>
    </w:p>
    <w:p w14:paraId="20119193">
      <w:pPr>
        <w:spacing w:line="360" w:lineRule="exact"/>
        <w:ind w:firstLine="411" w:firstLineChars="196"/>
        <w:outlineLvl w:val="1"/>
        <w:rPr>
          <w:rFonts w:hint="eastAsia" w:ascii="宋体" w:hAnsi="宋体" w:cs="宋体"/>
          <w:b/>
          <w:color w:val="000000"/>
          <w:szCs w:val="21"/>
          <w:highlight w:val="none"/>
        </w:rPr>
      </w:pPr>
      <w:bookmarkStart w:id="310" w:name="_Toc19425"/>
      <w:bookmarkStart w:id="311" w:name="_Toc17770"/>
      <w:bookmarkStart w:id="312" w:name="_Toc10271"/>
      <w:bookmarkStart w:id="313" w:name="_Toc30812"/>
      <w:r>
        <w:rPr>
          <w:rFonts w:hint="eastAsia" w:ascii="宋体" w:hAnsi="宋体" w:cs="宋体"/>
          <w:b/>
          <w:color w:val="000000"/>
          <w:szCs w:val="21"/>
          <w:highlight w:val="none"/>
        </w:rPr>
        <w:t>第六条  付款方式</w:t>
      </w:r>
      <w:bookmarkEnd w:id="310"/>
      <w:bookmarkEnd w:id="311"/>
      <w:bookmarkEnd w:id="312"/>
      <w:bookmarkEnd w:id="313"/>
    </w:p>
    <w:p w14:paraId="58339D1A">
      <w:pPr>
        <w:spacing w:line="380" w:lineRule="exact"/>
        <w:ind w:firstLine="411" w:firstLineChars="196"/>
        <w:outlineLvl w:val="1"/>
        <w:rPr>
          <w:rFonts w:hint="eastAsia" w:ascii="宋体" w:hAnsi="宋体" w:cs="宋体"/>
          <w:color w:val="000000"/>
          <w:szCs w:val="21"/>
          <w:highlight w:val="none"/>
        </w:rPr>
      </w:pPr>
      <w:bookmarkStart w:id="314" w:name="_Toc15669"/>
      <w:r>
        <w:rPr>
          <w:rFonts w:hint="eastAsia" w:ascii="宋体" w:hAnsi="宋体" w:cs="宋体"/>
          <w:color w:val="000000"/>
          <w:szCs w:val="21"/>
          <w:highlight w:val="none"/>
        </w:rPr>
        <w:t>（1）常规运维服务和驻点运维服务部分，合同签订之日起十五个工作日内支付50%,维护期结束审验合格后支付剩下的50%余款。如在甲方各部门审验结果中不合格，则不予支付，直至审验合格后再支付。</w:t>
      </w:r>
    </w:p>
    <w:p w14:paraId="6F92289F">
      <w:pPr>
        <w:spacing w:line="380" w:lineRule="exact"/>
        <w:ind w:firstLine="411" w:firstLineChars="196"/>
        <w:outlineLvl w:val="1"/>
        <w:rPr>
          <w:rFonts w:hint="eastAsia" w:ascii="宋体" w:hAnsi="宋体" w:cs="宋体"/>
          <w:color w:val="000000"/>
          <w:szCs w:val="21"/>
          <w:highlight w:val="none"/>
        </w:rPr>
      </w:pPr>
      <w:r>
        <w:rPr>
          <w:rFonts w:hint="eastAsia" w:ascii="宋体" w:hAnsi="宋体" w:cs="宋体"/>
          <w:color w:val="000000"/>
          <w:szCs w:val="21"/>
          <w:highlight w:val="none"/>
        </w:rPr>
        <w:t>（2）系统改造服务部分，合同签订之日起，每季度对工作量（人/日）进行统计，甲方根据工作量换算金额支付给乙方。</w:t>
      </w:r>
    </w:p>
    <w:p w14:paraId="1A496187">
      <w:pPr>
        <w:spacing w:line="380" w:lineRule="exact"/>
        <w:ind w:firstLine="411" w:firstLineChars="196"/>
        <w:outlineLvl w:val="1"/>
        <w:rPr>
          <w:rFonts w:hint="eastAsia" w:ascii="宋体" w:hAnsi="宋体" w:cs="宋体"/>
          <w:b/>
          <w:color w:val="000000"/>
          <w:szCs w:val="21"/>
          <w:highlight w:val="none"/>
        </w:rPr>
      </w:pPr>
      <w:bookmarkStart w:id="315" w:name="_Toc4636"/>
      <w:bookmarkStart w:id="316" w:name="_Toc21651"/>
      <w:bookmarkStart w:id="317" w:name="_Toc12548"/>
      <w:r>
        <w:rPr>
          <w:rFonts w:hint="eastAsia" w:ascii="宋体" w:hAnsi="宋体" w:cs="宋体"/>
          <w:b/>
          <w:color w:val="000000"/>
          <w:szCs w:val="21"/>
          <w:highlight w:val="none"/>
        </w:rPr>
        <w:t>第七条  违约责任</w:t>
      </w:r>
      <w:bookmarkEnd w:id="315"/>
      <w:bookmarkEnd w:id="316"/>
      <w:bookmarkEnd w:id="317"/>
    </w:p>
    <w:p w14:paraId="3F4C5328">
      <w:pPr>
        <w:spacing w:line="380" w:lineRule="exact"/>
        <w:ind w:firstLine="411" w:firstLineChars="196"/>
        <w:outlineLvl w:val="1"/>
        <w:rPr>
          <w:rFonts w:hint="eastAsia" w:ascii="宋体" w:hAnsi="宋体" w:cs="宋体"/>
          <w:color w:val="000000"/>
          <w:szCs w:val="21"/>
          <w:highlight w:val="none"/>
        </w:rPr>
      </w:pPr>
      <w:bookmarkStart w:id="318" w:name="_Toc21774"/>
      <w:bookmarkStart w:id="319" w:name="_Toc1175"/>
      <w:bookmarkStart w:id="320" w:name="_Toc26219"/>
      <w:bookmarkStart w:id="321" w:name="_Toc20057"/>
      <w:bookmarkStart w:id="322" w:name="_Toc25825"/>
      <w:bookmarkStart w:id="323" w:name="_Toc10840"/>
      <w:bookmarkStart w:id="324" w:name="_Toc4487"/>
      <w:bookmarkStart w:id="325" w:name="_Toc26465"/>
      <w:bookmarkStart w:id="326" w:name="_Toc24912"/>
      <w:r>
        <w:rPr>
          <w:rFonts w:hint="eastAsia" w:ascii="宋体" w:hAnsi="宋体" w:cs="宋体"/>
          <w:color w:val="000000"/>
          <w:szCs w:val="21"/>
          <w:highlight w:val="none"/>
        </w:rPr>
        <w:t>1. 乙方所提供的服务质量不合格的，应及时修正、更换，修正、更换不及时的按逾期处罚，乙方应向甲方每日支付合同金额0.3‰违约金并赔偿甲方经济损失，累计达30日或3次的，甲方有权解除合同，乙方应退回已收款并配合甲方移交相关数据、资料。</w:t>
      </w:r>
    </w:p>
    <w:p w14:paraId="4713CF00">
      <w:pPr>
        <w:spacing w:line="380" w:lineRule="exact"/>
        <w:ind w:firstLine="411" w:firstLineChars="196"/>
        <w:outlineLvl w:val="1"/>
        <w:rPr>
          <w:rFonts w:hint="eastAsia" w:ascii="宋体" w:hAnsi="宋体" w:cs="宋体"/>
          <w:color w:val="000000"/>
          <w:szCs w:val="21"/>
          <w:highlight w:val="none"/>
        </w:rPr>
      </w:pPr>
      <w:r>
        <w:rPr>
          <w:rFonts w:hint="eastAsia" w:ascii="宋体" w:hAnsi="宋体" w:cs="宋体"/>
          <w:color w:val="000000"/>
          <w:szCs w:val="21"/>
          <w:highlight w:val="none"/>
        </w:rPr>
        <w:t>2. 乙方提供的服务如果侵犯了第三方合法权益而引发的任何纠纷或诉讼，均由乙方负责交涉并承担全部责任。</w:t>
      </w:r>
    </w:p>
    <w:p w14:paraId="6E8D761F">
      <w:pPr>
        <w:spacing w:line="380" w:lineRule="exact"/>
        <w:ind w:firstLine="411" w:firstLineChars="196"/>
        <w:outlineLvl w:val="1"/>
        <w:rPr>
          <w:rFonts w:hint="eastAsia" w:ascii="宋体" w:hAnsi="宋体" w:cs="宋体"/>
          <w:color w:val="000000"/>
          <w:szCs w:val="21"/>
          <w:highlight w:val="none"/>
        </w:rPr>
      </w:pPr>
      <w:r>
        <w:rPr>
          <w:rFonts w:hint="eastAsia" w:ascii="宋体" w:hAnsi="宋体" w:cs="宋体"/>
          <w:color w:val="000000"/>
          <w:szCs w:val="21"/>
          <w:highlight w:val="none"/>
        </w:rPr>
        <w:t>3. 乙方无故延期服务交付的，每天向甲方偿付违约合同金额0.3 ‰违约金，但违约金累计不得超过合同金额 20 %，超过30天甲方有权解除合同，违约方承担因此给对方造成经济损失；甲方不能按期付款的，每天向乙方偿付延合同金额 0.1‰滞纳金，但滞纳金累计不得超过合同金额5%。</w:t>
      </w:r>
    </w:p>
    <w:p w14:paraId="1021A62D">
      <w:pPr>
        <w:spacing w:line="380" w:lineRule="exact"/>
        <w:ind w:firstLine="411" w:firstLineChars="196"/>
        <w:outlineLvl w:val="1"/>
        <w:rPr>
          <w:rFonts w:hint="eastAsia" w:ascii="宋体" w:hAnsi="宋体" w:cs="宋体"/>
          <w:color w:val="000000"/>
          <w:szCs w:val="21"/>
          <w:highlight w:val="none"/>
        </w:rPr>
      </w:pPr>
      <w:r>
        <w:rPr>
          <w:rFonts w:hint="eastAsia" w:ascii="宋体" w:hAnsi="宋体" w:cs="宋体"/>
          <w:color w:val="000000"/>
          <w:szCs w:val="21"/>
          <w:highlight w:val="none"/>
        </w:rPr>
        <w:t>4. 乙方未按本合同和投标文件中规定的服务承诺提供服务的，乙方应每次按本合同合同金额  5 %向甲方支付违约金。</w:t>
      </w:r>
    </w:p>
    <w:p w14:paraId="1964CE51">
      <w:pPr>
        <w:spacing w:line="380" w:lineRule="exact"/>
        <w:ind w:firstLine="411" w:firstLineChars="196"/>
        <w:outlineLvl w:val="1"/>
        <w:rPr>
          <w:rFonts w:hint="eastAsia" w:ascii="宋体" w:hAnsi="宋体" w:cs="宋体"/>
          <w:color w:val="000000"/>
          <w:szCs w:val="21"/>
          <w:highlight w:val="none"/>
        </w:rPr>
      </w:pPr>
      <w:r>
        <w:rPr>
          <w:rFonts w:hint="eastAsia" w:ascii="宋体" w:hAnsi="宋体" w:cs="宋体"/>
          <w:color w:val="000000"/>
          <w:szCs w:val="21"/>
          <w:highlight w:val="none"/>
        </w:rPr>
        <w:t>5. 其他违约行为按照合同金额额 5  %收取违约金并赔偿经济损失。</w:t>
      </w:r>
    </w:p>
    <w:p w14:paraId="25EBC3CF">
      <w:pPr>
        <w:spacing w:line="380" w:lineRule="exact"/>
        <w:ind w:firstLine="411" w:firstLineChars="196"/>
        <w:outlineLvl w:val="1"/>
        <w:rPr>
          <w:rFonts w:hint="eastAsia" w:ascii="宋体" w:hAnsi="宋体" w:cs="宋体"/>
          <w:b/>
          <w:color w:val="000000"/>
          <w:szCs w:val="21"/>
          <w:highlight w:val="none"/>
        </w:rPr>
      </w:pPr>
      <w:r>
        <w:rPr>
          <w:rFonts w:hint="eastAsia" w:ascii="宋体" w:hAnsi="宋体" w:cs="宋体"/>
          <w:b/>
          <w:color w:val="000000"/>
          <w:szCs w:val="21"/>
          <w:highlight w:val="none"/>
        </w:rPr>
        <w:t>第八条  不可抗力事件处理</w:t>
      </w:r>
      <w:bookmarkEnd w:id="318"/>
      <w:bookmarkEnd w:id="319"/>
      <w:bookmarkEnd w:id="320"/>
      <w:bookmarkEnd w:id="321"/>
      <w:bookmarkEnd w:id="322"/>
      <w:bookmarkEnd w:id="323"/>
      <w:bookmarkEnd w:id="324"/>
      <w:bookmarkEnd w:id="325"/>
      <w:bookmarkEnd w:id="326"/>
    </w:p>
    <w:p w14:paraId="27AFE3D2">
      <w:pPr>
        <w:spacing w:line="38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1.在合同有效期内，乙方因不可抗力事件导致不能履行合同，则合同履行期可延长，其延长期与不可抗力影响期相同。</w:t>
      </w:r>
    </w:p>
    <w:p w14:paraId="3CA70822">
      <w:pPr>
        <w:spacing w:line="380" w:lineRule="exact"/>
        <w:ind w:left="420"/>
        <w:rPr>
          <w:rFonts w:hint="eastAsia" w:ascii="宋体" w:hAnsi="宋体" w:cs="宋体"/>
          <w:color w:val="000000"/>
          <w:szCs w:val="21"/>
          <w:highlight w:val="none"/>
        </w:rPr>
      </w:pPr>
      <w:r>
        <w:rPr>
          <w:rFonts w:hint="eastAsia" w:ascii="宋体" w:hAnsi="宋体" w:cs="宋体"/>
          <w:color w:val="000000"/>
          <w:szCs w:val="21"/>
          <w:highlight w:val="none"/>
        </w:rPr>
        <w:t>2.不可抗力事件发生后，应立即通知对方，并寄送有关权威机构出具的证明。</w:t>
      </w:r>
    </w:p>
    <w:p w14:paraId="11D79761">
      <w:pPr>
        <w:spacing w:line="380" w:lineRule="exact"/>
        <w:ind w:left="420"/>
        <w:rPr>
          <w:rFonts w:hint="eastAsia" w:ascii="宋体" w:hAnsi="宋体" w:cs="宋体"/>
          <w:color w:val="000000"/>
          <w:szCs w:val="21"/>
          <w:highlight w:val="none"/>
        </w:rPr>
      </w:pPr>
      <w:r>
        <w:rPr>
          <w:rFonts w:hint="eastAsia" w:ascii="宋体" w:hAnsi="宋体" w:cs="宋体"/>
          <w:color w:val="000000"/>
          <w:szCs w:val="21"/>
          <w:highlight w:val="none"/>
        </w:rPr>
        <w:t>3.不可抗力事件延续一百二十天以上，双方应通过友好协商，确定是否继续履行合同。</w:t>
      </w:r>
    </w:p>
    <w:p w14:paraId="05582731">
      <w:pPr>
        <w:spacing w:line="380" w:lineRule="exact"/>
        <w:ind w:firstLine="411" w:firstLineChars="196"/>
        <w:outlineLvl w:val="1"/>
        <w:rPr>
          <w:rFonts w:hint="eastAsia" w:ascii="宋体" w:hAnsi="宋体" w:cs="宋体"/>
          <w:b/>
          <w:color w:val="000000"/>
          <w:szCs w:val="21"/>
          <w:highlight w:val="none"/>
        </w:rPr>
      </w:pPr>
      <w:bookmarkStart w:id="327" w:name="_Toc6737"/>
      <w:bookmarkStart w:id="328" w:name="_Toc8839"/>
      <w:bookmarkStart w:id="329" w:name="_Toc22329"/>
      <w:bookmarkStart w:id="330" w:name="_Toc30808"/>
      <w:bookmarkStart w:id="331" w:name="_Toc25061"/>
      <w:bookmarkStart w:id="332" w:name="_Toc22031"/>
      <w:bookmarkStart w:id="333" w:name="_Toc26005"/>
      <w:bookmarkStart w:id="334" w:name="_Toc10893"/>
      <w:bookmarkStart w:id="335" w:name="_Toc6977"/>
      <w:r>
        <w:rPr>
          <w:rFonts w:hint="eastAsia" w:ascii="宋体" w:hAnsi="宋体" w:cs="宋体"/>
          <w:b/>
          <w:color w:val="000000"/>
          <w:szCs w:val="21"/>
          <w:highlight w:val="none"/>
        </w:rPr>
        <w:t>第九条  合同争议解决</w:t>
      </w:r>
      <w:bookmarkEnd w:id="327"/>
      <w:bookmarkEnd w:id="328"/>
      <w:bookmarkEnd w:id="329"/>
      <w:bookmarkEnd w:id="330"/>
      <w:bookmarkEnd w:id="331"/>
      <w:bookmarkEnd w:id="332"/>
      <w:bookmarkEnd w:id="333"/>
      <w:bookmarkEnd w:id="334"/>
      <w:bookmarkEnd w:id="335"/>
    </w:p>
    <w:p w14:paraId="0CF5ACE5">
      <w:pPr>
        <w:spacing w:line="38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1、因服务问题发生争议的，应邀请国家认可的相关机构进行鉴定。服务符合要求的，鉴定费由采购人承担；服务不符合要求的，鉴定费由</w:t>
      </w:r>
      <w:r>
        <w:rPr>
          <w:rFonts w:hint="eastAsia" w:ascii="宋体" w:hAnsi="宋体" w:cs="宋体"/>
          <w:color w:val="000000"/>
          <w:szCs w:val="21"/>
          <w:highlight w:val="none"/>
          <w:lang w:eastAsia="zh-CN"/>
        </w:rPr>
        <w:t>成交</w:t>
      </w:r>
      <w:r>
        <w:rPr>
          <w:rFonts w:hint="eastAsia" w:ascii="宋体" w:hAnsi="宋体" w:cs="宋体"/>
          <w:color w:val="000000"/>
          <w:szCs w:val="21"/>
          <w:highlight w:val="none"/>
        </w:rPr>
        <w:t>人承担。</w:t>
      </w:r>
    </w:p>
    <w:p w14:paraId="68B87730">
      <w:pPr>
        <w:spacing w:line="38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2、因履行本合同引起的或与本合同有关的争议，甲乙双方应首先通过友好协商解决，如果协商不能解决，可向甲方所在地法院提起诉讼。</w:t>
      </w:r>
    </w:p>
    <w:p w14:paraId="20D5248A">
      <w:pPr>
        <w:spacing w:line="380" w:lineRule="exact"/>
        <w:ind w:left="435"/>
        <w:rPr>
          <w:rFonts w:hint="eastAsia" w:ascii="宋体" w:hAnsi="宋体" w:cs="宋体"/>
          <w:color w:val="000000"/>
          <w:szCs w:val="21"/>
          <w:highlight w:val="none"/>
        </w:rPr>
      </w:pPr>
      <w:r>
        <w:rPr>
          <w:rFonts w:hint="eastAsia" w:ascii="宋体" w:hAnsi="宋体" w:cs="宋体"/>
          <w:color w:val="000000"/>
          <w:szCs w:val="21"/>
          <w:highlight w:val="none"/>
        </w:rPr>
        <w:t>3、诉讼期间，本合同继续履行。</w:t>
      </w:r>
    </w:p>
    <w:p w14:paraId="0560EB44">
      <w:pPr>
        <w:spacing w:line="380" w:lineRule="exact"/>
        <w:ind w:firstLine="411" w:firstLineChars="196"/>
        <w:outlineLvl w:val="1"/>
        <w:rPr>
          <w:rFonts w:hint="eastAsia" w:ascii="宋体" w:hAnsi="宋体" w:cs="宋体"/>
          <w:b/>
          <w:color w:val="000000"/>
          <w:szCs w:val="21"/>
          <w:highlight w:val="none"/>
        </w:rPr>
      </w:pPr>
      <w:bookmarkStart w:id="336" w:name="_Toc13554"/>
      <w:bookmarkStart w:id="337" w:name="_Toc9426"/>
      <w:bookmarkStart w:id="338" w:name="_Toc27359"/>
      <w:bookmarkStart w:id="339" w:name="_Toc11735"/>
      <w:bookmarkStart w:id="340" w:name="_Toc15623"/>
      <w:bookmarkStart w:id="341" w:name="_Toc6654"/>
      <w:bookmarkStart w:id="342" w:name="_Toc12703"/>
      <w:bookmarkStart w:id="343" w:name="_Toc9730"/>
      <w:bookmarkStart w:id="344" w:name="_Toc12551"/>
      <w:r>
        <w:rPr>
          <w:rFonts w:hint="eastAsia" w:ascii="宋体" w:hAnsi="宋体" w:cs="宋体"/>
          <w:b/>
          <w:color w:val="000000"/>
          <w:szCs w:val="21"/>
          <w:highlight w:val="none"/>
        </w:rPr>
        <w:t>第十条  合同生效及其它</w:t>
      </w:r>
      <w:bookmarkEnd w:id="336"/>
      <w:bookmarkEnd w:id="337"/>
      <w:bookmarkEnd w:id="338"/>
      <w:bookmarkEnd w:id="339"/>
      <w:bookmarkEnd w:id="340"/>
      <w:bookmarkEnd w:id="341"/>
      <w:bookmarkEnd w:id="342"/>
      <w:bookmarkEnd w:id="343"/>
      <w:bookmarkEnd w:id="344"/>
    </w:p>
    <w:p w14:paraId="6F9C32AE">
      <w:pPr>
        <w:spacing w:line="38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1.合同经甲乙双方法定代表人、负责人、自然人或相应的授权代表签字并加盖投标人公章后生效。</w:t>
      </w:r>
    </w:p>
    <w:p w14:paraId="139254A3">
      <w:pPr>
        <w:spacing w:line="38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2.合同执行中涉及采购资金和采购内容修改或补充的，需经本级财政部门审批，并签订书面补充协议报本级财政部门备案，方可作为主合同不可分割的一部分。</w:t>
      </w:r>
    </w:p>
    <w:p w14:paraId="2B741CB7">
      <w:pPr>
        <w:spacing w:line="380" w:lineRule="exact"/>
        <w:ind w:left="435"/>
        <w:rPr>
          <w:rFonts w:hint="eastAsia" w:ascii="宋体" w:hAnsi="宋体" w:cs="宋体"/>
          <w:color w:val="000000"/>
          <w:szCs w:val="21"/>
          <w:highlight w:val="none"/>
        </w:rPr>
      </w:pPr>
      <w:r>
        <w:rPr>
          <w:rFonts w:hint="eastAsia" w:ascii="宋体" w:hAnsi="宋体" w:cs="宋体"/>
          <w:color w:val="000000"/>
          <w:szCs w:val="21"/>
          <w:highlight w:val="none"/>
        </w:rPr>
        <w:t>3.本合同未尽事宜，遵照《中华人民共和国民法典》有关条文执行。</w:t>
      </w:r>
    </w:p>
    <w:p w14:paraId="21850560">
      <w:pPr>
        <w:spacing w:line="380" w:lineRule="exact"/>
        <w:ind w:firstLine="411" w:firstLineChars="196"/>
        <w:outlineLvl w:val="1"/>
        <w:rPr>
          <w:rFonts w:hint="eastAsia" w:ascii="宋体" w:hAnsi="宋体" w:cs="宋体"/>
          <w:b/>
          <w:color w:val="000000"/>
          <w:szCs w:val="21"/>
          <w:highlight w:val="none"/>
        </w:rPr>
      </w:pPr>
      <w:bookmarkStart w:id="345" w:name="_Toc2869"/>
      <w:bookmarkStart w:id="346" w:name="_Toc12949"/>
      <w:bookmarkStart w:id="347" w:name="_Toc6494"/>
      <w:bookmarkStart w:id="348" w:name="_Toc2494"/>
      <w:bookmarkStart w:id="349" w:name="_Toc13366"/>
      <w:bookmarkStart w:id="350" w:name="_Toc19119"/>
      <w:bookmarkStart w:id="351" w:name="_Toc9983"/>
      <w:bookmarkStart w:id="352" w:name="_Toc7137"/>
      <w:bookmarkStart w:id="353" w:name="_Toc25970"/>
      <w:r>
        <w:rPr>
          <w:rFonts w:hint="eastAsia" w:ascii="宋体" w:hAnsi="宋体" w:cs="宋体"/>
          <w:b/>
          <w:color w:val="000000"/>
          <w:szCs w:val="21"/>
          <w:highlight w:val="none"/>
        </w:rPr>
        <w:t>第十一条  合同的变更、终止与转让</w:t>
      </w:r>
      <w:bookmarkEnd w:id="345"/>
      <w:bookmarkEnd w:id="346"/>
      <w:bookmarkEnd w:id="347"/>
      <w:bookmarkEnd w:id="348"/>
      <w:bookmarkEnd w:id="349"/>
      <w:bookmarkEnd w:id="350"/>
      <w:bookmarkEnd w:id="351"/>
      <w:bookmarkEnd w:id="352"/>
      <w:bookmarkEnd w:id="353"/>
    </w:p>
    <w:p w14:paraId="750E056A">
      <w:pPr>
        <w:spacing w:line="38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1.除《中华人民共和国政府采购法》第五十条规定的情形外，本合同一经签订，甲乙双方不得擅自变更，中止或终止。</w:t>
      </w:r>
    </w:p>
    <w:p w14:paraId="0672FA76">
      <w:pPr>
        <w:spacing w:line="380" w:lineRule="exact"/>
        <w:ind w:left="420"/>
        <w:rPr>
          <w:rFonts w:hint="eastAsia" w:ascii="宋体" w:hAnsi="宋体" w:cs="宋体"/>
          <w:color w:val="000000"/>
          <w:szCs w:val="21"/>
          <w:highlight w:val="none"/>
        </w:rPr>
      </w:pPr>
      <w:r>
        <w:rPr>
          <w:rFonts w:hint="eastAsia" w:ascii="宋体" w:hAnsi="宋体" w:cs="宋体"/>
          <w:color w:val="000000"/>
          <w:szCs w:val="21"/>
          <w:highlight w:val="none"/>
        </w:rPr>
        <w:t>2.乙方不得擅自转让(无进口资格的供应商委托进口货物除外)其应履行的合同义务。</w:t>
      </w:r>
    </w:p>
    <w:p w14:paraId="40369F78">
      <w:pPr>
        <w:spacing w:line="360" w:lineRule="exact"/>
        <w:ind w:firstLine="420" w:firstLineChars="200"/>
        <w:outlineLvl w:val="1"/>
        <w:rPr>
          <w:rFonts w:ascii="宋体" w:hAnsi="宋体" w:cs="宋体"/>
          <w:b/>
          <w:color w:val="000000"/>
          <w:szCs w:val="21"/>
          <w:highlight w:val="none"/>
        </w:rPr>
      </w:pPr>
      <w:bookmarkStart w:id="354" w:name="_Toc27816"/>
      <w:bookmarkStart w:id="355" w:name="_Toc23960"/>
      <w:bookmarkStart w:id="356" w:name="_Toc31397"/>
      <w:r>
        <w:rPr>
          <w:rFonts w:hint="eastAsia" w:ascii="宋体" w:hAnsi="宋体" w:cs="宋体"/>
          <w:b/>
          <w:color w:val="000000"/>
          <w:szCs w:val="21"/>
          <w:highlight w:val="none"/>
        </w:rPr>
        <w:t>第十二条  履约保证金</w:t>
      </w:r>
      <w:bookmarkEnd w:id="314"/>
      <w:bookmarkEnd w:id="354"/>
      <w:bookmarkEnd w:id="355"/>
      <w:bookmarkEnd w:id="356"/>
      <w:r>
        <w:rPr>
          <w:rFonts w:ascii="宋体" w:hAnsi="宋体" w:cs="宋体"/>
          <w:b/>
          <w:color w:val="000000"/>
          <w:szCs w:val="21"/>
          <w:highlight w:val="none"/>
        </w:rPr>
        <w:t xml:space="preserve">   </w:t>
      </w:r>
    </w:p>
    <w:p w14:paraId="57BBE0CB">
      <w:pPr>
        <w:ind w:firstLine="420" w:firstLineChars="200"/>
        <w:rPr>
          <w:rFonts w:hint="eastAsia" w:ascii="宋体" w:hAnsi="宋体" w:cs="宋体"/>
          <w:b/>
          <w:color w:val="000000"/>
          <w:szCs w:val="21"/>
          <w:highlight w:val="none"/>
        </w:rPr>
      </w:pPr>
      <w:bookmarkStart w:id="357" w:name="_Toc5120"/>
      <w:r>
        <w:rPr>
          <w:rFonts w:hint="eastAsia"/>
          <w:color w:val="000000"/>
          <w:highlight w:val="none"/>
        </w:rPr>
        <w:t>本项目无需缴纳履约保证金。</w:t>
      </w:r>
    </w:p>
    <w:p w14:paraId="534D7C75">
      <w:pPr>
        <w:spacing w:line="360" w:lineRule="exact"/>
        <w:ind w:firstLine="411" w:firstLineChars="196"/>
        <w:outlineLvl w:val="1"/>
        <w:rPr>
          <w:rFonts w:hint="eastAsia" w:ascii="宋体" w:hAnsi="宋体" w:cs="宋体"/>
          <w:b/>
          <w:color w:val="000000"/>
          <w:szCs w:val="21"/>
          <w:highlight w:val="none"/>
        </w:rPr>
      </w:pPr>
      <w:bookmarkStart w:id="358" w:name="_Toc21086"/>
      <w:bookmarkStart w:id="359" w:name="_Toc25947"/>
      <w:bookmarkStart w:id="360" w:name="_Toc14739"/>
      <w:r>
        <w:rPr>
          <w:rFonts w:hint="eastAsia" w:ascii="宋体" w:hAnsi="宋体" w:cs="宋体"/>
          <w:b/>
          <w:color w:val="000000"/>
          <w:szCs w:val="21"/>
          <w:highlight w:val="none"/>
        </w:rPr>
        <w:t>第十三条  签订本合同依据</w:t>
      </w:r>
      <w:bookmarkEnd w:id="357"/>
      <w:bookmarkEnd w:id="358"/>
      <w:bookmarkEnd w:id="359"/>
      <w:bookmarkEnd w:id="360"/>
    </w:p>
    <w:p w14:paraId="7AC0FACD">
      <w:pPr>
        <w:spacing w:line="360" w:lineRule="exact"/>
        <w:ind w:left="420"/>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竞争性谈判</w:t>
      </w:r>
      <w:r>
        <w:rPr>
          <w:rFonts w:hint="eastAsia" w:ascii="宋体" w:hAnsi="宋体" w:cs="宋体"/>
          <w:color w:val="000000"/>
          <w:szCs w:val="21"/>
          <w:highlight w:val="none"/>
        </w:rPr>
        <w:t>文件；</w:t>
      </w:r>
    </w:p>
    <w:p w14:paraId="7F2F349D">
      <w:pPr>
        <w:spacing w:line="360" w:lineRule="exact"/>
        <w:ind w:left="420"/>
        <w:rPr>
          <w:rFonts w:hint="eastAsia" w:ascii="宋体" w:hAnsi="宋体" w:cs="宋体"/>
          <w:color w:val="000000"/>
          <w:szCs w:val="21"/>
          <w:highlight w:val="none"/>
        </w:rPr>
      </w:pPr>
      <w:r>
        <w:rPr>
          <w:rFonts w:hint="eastAsia" w:ascii="宋体" w:hAnsi="宋体" w:cs="宋体"/>
          <w:color w:val="000000"/>
          <w:szCs w:val="21"/>
          <w:highlight w:val="none"/>
        </w:rPr>
        <w:t>2.乙方提供的</w:t>
      </w:r>
      <w:r>
        <w:rPr>
          <w:rFonts w:hint="eastAsia" w:ascii="宋体" w:hAnsi="宋体" w:cs="宋体"/>
          <w:color w:val="000000"/>
          <w:szCs w:val="21"/>
          <w:highlight w:val="none"/>
          <w:lang w:val="en-US" w:eastAsia="zh-CN"/>
        </w:rPr>
        <w:t>响应</w:t>
      </w:r>
      <w:r>
        <w:rPr>
          <w:rFonts w:hint="eastAsia" w:ascii="宋体" w:hAnsi="宋体" w:cs="宋体"/>
          <w:color w:val="000000"/>
          <w:szCs w:val="21"/>
          <w:highlight w:val="none"/>
        </w:rPr>
        <w:t>（或应答）文件；</w:t>
      </w:r>
    </w:p>
    <w:p w14:paraId="72670283">
      <w:pPr>
        <w:spacing w:line="360" w:lineRule="exact"/>
        <w:ind w:left="420"/>
        <w:rPr>
          <w:rFonts w:hint="eastAsia" w:ascii="宋体" w:hAnsi="宋体" w:cs="宋体"/>
          <w:color w:val="000000"/>
          <w:szCs w:val="21"/>
          <w:highlight w:val="none"/>
        </w:rPr>
      </w:pPr>
      <w:r>
        <w:rPr>
          <w:rFonts w:hint="eastAsia" w:ascii="宋体" w:hAnsi="宋体" w:cs="宋体"/>
          <w:color w:val="000000"/>
          <w:szCs w:val="21"/>
          <w:highlight w:val="none"/>
        </w:rPr>
        <w:t>3.服务承诺书；</w:t>
      </w:r>
    </w:p>
    <w:p w14:paraId="6E4900EA">
      <w:pPr>
        <w:spacing w:line="360" w:lineRule="exact"/>
        <w:ind w:left="420"/>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eastAsia="zh-CN"/>
        </w:rPr>
        <w:t>成交</w:t>
      </w:r>
      <w:r>
        <w:rPr>
          <w:rFonts w:hint="eastAsia" w:ascii="宋体" w:hAnsi="宋体" w:cs="宋体"/>
          <w:color w:val="000000"/>
          <w:szCs w:val="21"/>
          <w:highlight w:val="none"/>
        </w:rPr>
        <w:t>通知书。</w:t>
      </w:r>
    </w:p>
    <w:p w14:paraId="17592C80">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政府采购合同双方自签订之日起将自动存档于“广西政府采购云平台”上，采购人于合同签订之日起七个工作日内将一份合同原件送本级财政部门备案。</w:t>
      </w:r>
    </w:p>
    <w:p w14:paraId="6F63A366">
      <w:pPr>
        <w:spacing w:line="360" w:lineRule="exact"/>
        <w:rPr>
          <w:rFonts w:hint="eastAsia" w:ascii="宋体" w:hAnsi="宋体" w:cs="宋体"/>
          <w:color w:val="000000"/>
          <w:szCs w:val="21"/>
          <w:highlight w:val="none"/>
        </w:rPr>
      </w:pPr>
    </w:p>
    <w:p w14:paraId="3CE24F62">
      <w:pPr>
        <w:spacing w:line="360" w:lineRule="exact"/>
        <w:rPr>
          <w:rFonts w:hint="eastAsia" w:ascii="宋体" w:hAnsi="宋体" w:cs="宋体"/>
          <w:color w:val="000000"/>
          <w:szCs w:val="21"/>
          <w:highlight w:val="none"/>
          <w:u w:val="single"/>
        </w:rPr>
      </w:pPr>
      <w:r>
        <w:rPr>
          <w:rFonts w:hint="eastAsia" w:ascii="宋体" w:hAnsi="宋体" w:cs="宋体"/>
          <w:color w:val="000000"/>
          <w:szCs w:val="21"/>
          <w:highlight w:val="none"/>
        </w:rPr>
        <w:t>甲方（公章）：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乙方（公章，自然人除外）：</w:t>
      </w:r>
      <w:r>
        <w:rPr>
          <w:rFonts w:hint="eastAsia" w:ascii="宋体" w:hAnsi="宋体" w:cs="宋体"/>
          <w:color w:val="000000"/>
          <w:szCs w:val="21"/>
          <w:highlight w:val="none"/>
          <w:u w:val="single"/>
        </w:rPr>
        <w:t xml:space="preserve">                        </w:t>
      </w:r>
    </w:p>
    <w:p w14:paraId="6A076166">
      <w:pPr>
        <w:spacing w:line="360" w:lineRule="exact"/>
        <w:ind w:left="4620" w:hanging="4620" w:hangingChars="2200"/>
        <w:rPr>
          <w:rFonts w:hint="eastAsia" w:ascii="宋体" w:hAnsi="宋体" w:cs="宋体"/>
          <w:color w:val="000000"/>
          <w:szCs w:val="21"/>
          <w:highlight w:val="none"/>
          <w:u w:val="single"/>
        </w:rPr>
      </w:pPr>
      <w:r>
        <w:rPr>
          <w:rFonts w:hint="eastAsia" w:ascii="宋体" w:hAnsi="宋体" w:cs="宋体"/>
          <w:color w:val="000000"/>
          <w:szCs w:val="21"/>
          <w:highlight w:val="none"/>
        </w:rPr>
        <w:t>法定代表人签字：</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法定代表人（负责人、自然人）签字（属自然人的应在签名处加盖大拇指指印）：</w:t>
      </w:r>
      <w:r>
        <w:rPr>
          <w:rFonts w:hint="eastAsia" w:ascii="宋体" w:hAnsi="宋体" w:cs="宋体"/>
          <w:color w:val="000000"/>
          <w:szCs w:val="21"/>
          <w:highlight w:val="none"/>
          <w:u w:val="single"/>
        </w:rPr>
        <w:t xml:space="preserve">                          </w:t>
      </w:r>
    </w:p>
    <w:p w14:paraId="023A1B91">
      <w:pPr>
        <w:tabs>
          <w:tab w:val="left" w:pos="4680"/>
        </w:tabs>
        <w:spacing w:line="360" w:lineRule="exact"/>
        <w:rPr>
          <w:rFonts w:hint="eastAsia" w:ascii="宋体" w:hAnsi="宋体" w:cs="宋体"/>
          <w:color w:val="000000"/>
          <w:szCs w:val="21"/>
          <w:highlight w:val="none"/>
          <w:u w:val="single"/>
        </w:rPr>
      </w:pPr>
      <w:r>
        <w:rPr>
          <w:rFonts w:hint="eastAsia" w:ascii="宋体" w:hAnsi="宋体" w:cs="宋体"/>
          <w:color w:val="000000"/>
          <w:szCs w:val="21"/>
          <w:highlight w:val="none"/>
        </w:rPr>
        <w:t>委托代理人：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委托代理人：</w:t>
      </w:r>
      <w:r>
        <w:rPr>
          <w:rFonts w:hint="eastAsia" w:ascii="宋体" w:hAnsi="宋体" w:cs="宋体"/>
          <w:color w:val="000000"/>
          <w:szCs w:val="21"/>
          <w:highlight w:val="none"/>
          <w:u w:val="single"/>
        </w:rPr>
        <w:t xml:space="preserve">                                     </w:t>
      </w:r>
    </w:p>
    <w:p w14:paraId="7D5F4956">
      <w:pPr>
        <w:tabs>
          <w:tab w:val="left" w:pos="5040"/>
        </w:tabs>
        <w:spacing w:line="360" w:lineRule="exact"/>
        <w:rPr>
          <w:rFonts w:hint="eastAsia" w:ascii="宋体" w:hAnsi="宋体" w:cs="宋体"/>
          <w:color w:val="000000"/>
          <w:szCs w:val="21"/>
          <w:highlight w:val="none"/>
          <w:u w:val="single"/>
        </w:rPr>
      </w:pPr>
      <w:r>
        <w:rPr>
          <w:rFonts w:hint="eastAsia" w:ascii="宋体" w:hAnsi="宋体" w:cs="宋体"/>
          <w:color w:val="000000"/>
          <w:szCs w:val="21"/>
          <w:highlight w:val="none"/>
        </w:rPr>
        <w:t>电  话：</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电   话： </w:t>
      </w:r>
      <w:r>
        <w:rPr>
          <w:rFonts w:hint="eastAsia" w:ascii="宋体" w:hAnsi="宋体" w:cs="宋体"/>
          <w:color w:val="000000"/>
          <w:szCs w:val="21"/>
          <w:highlight w:val="none"/>
          <w:u w:val="single"/>
        </w:rPr>
        <w:t xml:space="preserve">                                       </w:t>
      </w:r>
    </w:p>
    <w:p w14:paraId="24A59EFC">
      <w:pPr>
        <w:tabs>
          <w:tab w:val="left" w:pos="5040"/>
        </w:tabs>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开户名称：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开户名称：</w:t>
      </w:r>
      <w:r>
        <w:rPr>
          <w:rFonts w:hint="eastAsia" w:ascii="宋体" w:hAnsi="宋体" w:cs="宋体"/>
          <w:color w:val="000000"/>
          <w:szCs w:val="21"/>
          <w:highlight w:val="none"/>
          <w:u w:val="single"/>
        </w:rPr>
        <w:t xml:space="preserve">                                       </w:t>
      </w:r>
    </w:p>
    <w:p w14:paraId="4D36FA45">
      <w:pPr>
        <w:tabs>
          <w:tab w:val="left" w:pos="5040"/>
        </w:tabs>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开户银行：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开户银行：</w:t>
      </w:r>
      <w:r>
        <w:rPr>
          <w:rFonts w:hint="eastAsia" w:ascii="宋体" w:hAnsi="宋体" w:cs="宋体"/>
          <w:color w:val="000000"/>
          <w:szCs w:val="21"/>
          <w:highlight w:val="none"/>
          <w:u w:val="single"/>
        </w:rPr>
        <w:t xml:space="preserve">                                       </w:t>
      </w:r>
    </w:p>
    <w:p w14:paraId="14E6926A">
      <w:pPr>
        <w:tabs>
          <w:tab w:val="left" w:pos="5040"/>
        </w:tabs>
        <w:spacing w:line="360" w:lineRule="exact"/>
        <w:rPr>
          <w:rFonts w:hint="eastAsia" w:ascii="宋体" w:hAnsi="宋体" w:cs="宋体"/>
          <w:color w:val="000000"/>
          <w:szCs w:val="21"/>
          <w:highlight w:val="none"/>
        </w:rPr>
      </w:pPr>
      <w:r>
        <w:rPr>
          <w:rFonts w:hint="eastAsia" w:ascii="宋体" w:hAnsi="宋体" w:cs="宋体"/>
          <w:color w:val="000000"/>
          <w:szCs w:val="21"/>
          <w:highlight w:val="none"/>
        </w:rPr>
        <w:t>银行账号：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银行账号：</w:t>
      </w:r>
      <w:r>
        <w:rPr>
          <w:rFonts w:hint="eastAsia" w:ascii="宋体" w:hAnsi="宋体" w:cs="宋体"/>
          <w:color w:val="000000"/>
          <w:szCs w:val="21"/>
          <w:highlight w:val="none"/>
          <w:u w:val="single"/>
        </w:rPr>
        <w:t xml:space="preserve">                                       </w:t>
      </w:r>
    </w:p>
    <w:p w14:paraId="66FD203D">
      <w:pPr>
        <w:tabs>
          <w:tab w:val="left" w:pos="5040"/>
        </w:tabs>
        <w:spacing w:line="360" w:lineRule="exact"/>
        <w:rPr>
          <w:rFonts w:hint="eastAsia" w:ascii="宋体" w:hAnsi="宋体" w:cs="宋体"/>
          <w:color w:val="000000"/>
          <w:highlight w:val="none"/>
        </w:rPr>
      </w:pPr>
      <w:r>
        <w:rPr>
          <w:rFonts w:hint="eastAsia" w:ascii="宋体" w:hAnsi="宋体" w:cs="宋体"/>
          <w:color w:val="000000"/>
          <w:szCs w:val="21"/>
          <w:highlight w:val="none"/>
        </w:rPr>
        <w:t>日    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日    期：</w:t>
      </w:r>
      <w:r>
        <w:rPr>
          <w:rFonts w:hint="eastAsia" w:ascii="宋体" w:hAnsi="宋体" w:cs="宋体"/>
          <w:color w:val="000000"/>
          <w:szCs w:val="21"/>
          <w:highlight w:val="none"/>
          <w:u w:val="single"/>
        </w:rPr>
        <w:t xml:space="preserve">                                       </w:t>
      </w:r>
    </w:p>
    <w:bookmarkEnd w:id="285"/>
    <w:bookmarkEnd w:id="286"/>
    <w:bookmarkEnd w:id="287"/>
    <w:bookmarkEnd w:id="288"/>
    <w:bookmarkEnd w:id="289"/>
    <w:p w14:paraId="3E3A8B56">
      <w:pPr>
        <w:rPr>
          <w:rFonts w:hint="eastAsia" w:ascii="宋体" w:hAnsi="宋体" w:cs="宋体"/>
          <w:color w:val="000000"/>
          <w:szCs w:val="21"/>
          <w:highlight w:val="none"/>
          <w:u w:val="single"/>
        </w:rPr>
      </w:pPr>
      <w:r>
        <w:rPr>
          <w:rFonts w:hint="eastAsia" w:ascii="宋体" w:hAnsi="宋体" w:cs="宋体"/>
          <w:color w:val="000000"/>
          <w:szCs w:val="21"/>
          <w:highlight w:val="none"/>
          <w:u w:val="single"/>
        </w:rPr>
        <w:br w:type="page"/>
      </w:r>
    </w:p>
    <w:p w14:paraId="4D8F7388">
      <w:pPr>
        <w:tabs>
          <w:tab w:val="left" w:pos="5040"/>
        </w:tabs>
        <w:spacing w:line="360" w:lineRule="auto"/>
        <w:rPr>
          <w:rFonts w:hint="eastAsia" w:ascii="宋体" w:hAnsi="宋体" w:cs="宋体"/>
          <w:color w:val="000000"/>
          <w:szCs w:val="21"/>
          <w:highlight w:val="none"/>
          <w:u w:val="single"/>
        </w:rPr>
      </w:pPr>
    </w:p>
    <w:p w14:paraId="1C734A86">
      <w:pPr>
        <w:pStyle w:val="2"/>
        <w:numPr>
          <w:ilvl w:val="0"/>
          <w:numId w:val="0"/>
        </w:numPr>
        <w:spacing w:line="240" w:lineRule="auto"/>
        <w:ind w:left="402" w:leftChars="0"/>
        <w:jc w:val="center"/>
        <w:rPr>
          <w:rFonts w:ascii="宋体" w:cs="宋体"/>
          <w:color w:val="000000"/>
          <w:sz w:val="32"/>
          <w:szCs w:val="32"/>
          <w:highlight w:val="none"/>
        </w:rPr>
      </w:pPr>
      <w:bookmarkStart w:id="361" w:name="_Toc17359"/>
      <w:bookmarkStart w:id="362" w:name="_Toc5228"/>
      <w:bookmarkStart w:id="363" w:name="_Toc18811"/>
      <w:bookmarkStart w:id="364" w:name="_Toc22216"/>
      <w:bookmarkStart w:id="365" w:name="_Toc30468_WPSOffice_Level1"/>
      <w:bookmarkStart w:id="366" w:name="_Toc24776"/>
      <w:r>
        <w:rPr>
          <w:rFonts w:hint="eastAsia" w:ascii="宋体" w:hAnsi="宋体" w:cs="宋体"/>
          <w:color w:val="000000"/>
          <w:sz w:val="32"/>
          <w:szCs w:val="32"/>
          <w:highlight w:val="none"/>
          <w:lang w:eastAsia="zh-CN"/>
        </w:rPr>
        <w:t>第六章</w:t>
      </w:r>
      <w:r>
        <w:rPr>
          <w:rFonts w:hint="eastAsia" w:ascii="宋体" w:hAnsi="宋体" w:cs="宋体"/>
          <w:color w:val="000000"/>
          <w:sz w:val="32"/>
          <w:szCs w:val="32"/>
          <w:highlight w:val="none"/>
          <w:lang w:val="en-US" w:eastAsia="zh-CN"/>
        </w:rPr>
        <w:t xml:space="preserve"> </w:t>
      </w:r>
      <w:r>
        <w:rPr>
          <w:rFonts w:hint="eastAsia" w:ascii="宋体" w:hAnsi="宋体" w:cs="宋体"/>
          <w:color w:val="000000"/>
          <w:sz w:val="32"/>
          <w:szCs w:val="32"/>
          <w:highlight w:val="none"/>
        </w:rPr>
        <w:t>响应</w:t>
      </w:r>
      <w:r>
        <w:rPr>
          <w:rFonts w:hint="eastAsia"/>
          <w:color w:val="000000"/>
          <w:sz w:val="32"/>
          <w:szCs w:val="32"/>
          <w:highlight w:val="none"/>
        </w:rPr>
        <w:t>文件</w:t>
      </w:r>
      <w:r>
        <w:rPr>
          <w:rFonts w:hint="eastAsia" w:ascii="宋体" w:hAnsi="宋体" w:cs="宋体"/>
          <w:color w:val="000000"/>
          <w:sz w:val="32"/>
          <w:szCs w:val="32"/>
          <w:highlight w:val="none"/>
        </w:rPr>
        <w:t>（格式）</w:t>
      </w:r>
      <w:bookmarkEnd w:id="361"/>
      <w:bookmarkEnd w:id="362"/>
      <w:bookmarkEnd w:id="363"/>
      <w:bookmarkEnd w:id="364"/>
      <w:bookmarkEnd w:id="365"/>
      <w:bookmarkEnd w:id="366"/>
    </w:p>
    <w:p w14:paraId="35D7EE1A">
      <w:pPr>
        <w:rPr>
          <w:color w:val="000000"/>
          <w:highlight w:val="none"/>
        </w:rPr>
      </w:pPr>
    </w:p>
    <w:p w14:paraId="4E509250">
      <w:pPr>
        <w:outlineLvl w:val="1"/>
        <w:rPr>
          <w:rFonts w:hint="eastAsia"/>
          <w:b/>
          <w:bCs/>
          <w:color w:val="000000"/>
          <w:sz w:val="32"/>
          <w:szCs w:val="32"/>
          <w:highlight w:val="none"/>
        </w:rPr>
      </w:pPr>
      <w:bookmarkStart w:id="367" w:name="_Toc21496"/>
      <w:bookmarkStart w:id="368" w:name="_Toc18351"/>
      <w:bookmarkStart w:id="369" w:name="_Toc497927069"/>
      <w:r>
        <w:rPr>
          <w:rFonts w:hint="eastAsia"/>
          <w:b/>
          <w:bCs/>
          <w:color w:val="000000"/>
          <w:sz w:val="32"/>
          <w:szCs w:val="32"/>
          <w:highlight w:val="none"/>
        </w:rPr>
        <w:t>一、响应文件</w:t>
      </w:r>
      <w:bookmarkEnd w:id="367"/>
      <w:bookmarkEnd w:id="368"/>
      <w:bookmarkEnd w:id="369"/>
      <w:r>
        <w:rPr>
          <w:rFonts w:hint="eastAsia"/>
          <w:b/>
          <w:bCs/>
          <w:color w:val="000000"/>
          <w:sz w:val="32"/>
          <w:szCs w:val="32"/>
          <w:highlight w:val="none"/>
        </w:rPr>
        <w:t>封面格式</w:t>
      </w:r>
    </w:p>
    <w:p w14:paraId="733E7532">
      <w:pPr>
        <w:snapToGrid w:val="0"/>
        <w:spacing w:before="156" w:beforeLines="50" w:after="50"/>
        <w:jc w:val="center"/>
        <w:rPr>
          <w:bCs/>
          <w:color w:val="000000"/>
          <w:sz w:val="32"/>
          <w:szCs w:val="32"/>
          <w:highlight w:val="none"/>
        </w:rPr>
      </w:pPr>
    </w:p>
    <w:p w14:paraId="20AD817D">
      <w:pPr>
        <w:pStyle w:val="5"/>
        <w:rPr>
          <w:color w:val="000000"/>
          <w:highlight w:val="none"/>
        </w:rPr>
      </w:pPr>
    </w:p>
    <w:p w14:paraId="6DC01CB9">
      <w:pPr>
        <w:snapToGrid w:val="0"/>
        <w:spacing w:before="156" w:beforeLines="50" w:after="50"/>
        <w:jc w:val="center"/>
        <w:rPr>
          <w:rFonts w:hint="eastAsia" w:ascii="宋体" w:hAnsi="宋体" w:cs="宋体"/>
          <w:b/>
          <w:color w:val="000000"/>
          <w:sz w:val="36"/>
          <w:szCs w:val="36"/>
          <w:highlight w:val="none"/>
        </w:rPr>
      </w:pPr>
      <w:r>
        <w:rPr>
          <w:rFonts w:hint="eastAsia" w:ascii="宋体" w:hAnsi="宋体" w:cs="宋体"/>
          <w:b/>
          <w:color w:val="000000"/>
          <w:sz w:val="36"/>
          <w:szCs w:val="36"/>
          <w:highlight w:val="none"/>
        </w:rPr>
        <w:t>响 应 文 件</w:t>
      </w:r>
    </w:p>
    <w:p w14:paraId="3B28D34A">
      <w:pPr>
        <w:snapToGrid w:val="0"/>
        <w:spacing w:before="156" w:beforeLines="50" w:after="50"/>
        <w:rPr>
          <w:rFonts w:hint="eastAsia" w:ascii="宋体" w:hAnsi="宋体" w:cs="宋体"/>
          <w:b/>
          <w:color w:val="000000"/>
          <w:sz w:val="28"/>
          <w:szCs w:val="28"/>
          <w:highlight w:val="none"/>
        </w:rPr>
      </w:pPr>
    </w:p>
    <w:p w14:paraId="188AA8DE">
      <w:pPr>
        <w:snapToGrid w:val="0"/>
        <w:spacing w:before="156" w:beforeLines="50" w:after="50"/>
        <w:ind w:firstLine="420" w:firstLineChars="150"/>
        <w:rPr>
          <w:rFonts w:hint="eastAsia" w:ascii="宋体" w:hAnsi="宋体" w:cs="宋体"/>
          <w:b/>
          <w:color w:val="000000"/>
          <w:sz w:val="28"/>
          <w:szCs w:val="28"/>
          <w:highlight w:val="none"/>
        </w:rPr>
      </w:pPr>
    </w:p>
    <w:p w14:paraId="325571F3">
      <w:pPr>
        <w:snapToGrid w:val="0"/>
        <w:spacing w:before="156" w:beforeLines="50" w:after="50"/>
        <w:ind w:firstLine="420" w:firstLineChars="150"/>
        <w:rPr>
          <w:rFonts w:hint="eastAsia" w:ascii="宋体" w:hAnsi="宋体" w:cs="宋体"/>
          <w:b/>
          <w:color w:val="000000"/>
          <w:sz w:val="28"/>
          <w:szCs w:val="28"/>
          <w:highlight w:val="none"/>
        </w:rPr>
      </w:pPr>
    </w:p>
    <w:p w14:paraId="34F292E8">
      <w:pPr>
        <w:snapToGrid w:val="0"/>
        <w:spacing w:before="156" w:beforeLines="50" w:after="50"/>
        <w:ind w:firstLine="420" w:firstLineChars="150"/>
        <w:rPr>
          <w:rFonts w:hint="eastAsia" w:ascii="宋体" w:hAnsi="宋体" w:cs="宋体"/>
          <w:b/>
          <w:color w:val="000000"/>
          <w:sz w:val="28"/>
          <w:szCs w:val="28"/>
          <w:highlight w:val="none"/>
        </w:rPr>
      </w:pPr>
    </w:p>
    <w:p w14:paraId="48E69837">
      <w:pPr>
        <w:snapToGrid w:val="0"/>
        <w:spacing w:before="156" w:beforeLines="50" w:after="50"/>
        <w:jc w:val="center"/>
        <w:outlineLvl w:val="2"/>
        <w:rPr>
          <w:rFonts w:hint="default" w:ascii="宋体" w:hAnsi="宋体" w:eastAsia="宋体" w:cs="宋体"/>
          <w:b/>
          <w:color w:val="000000"/>
          <w:sz w:val="28"/>
          <w:szCs w:val="28"/>
          <w:highlight w:val="none"/>
          <w:u w:val="single"/>
          <w:lang w:val="en-US" w:eastAsia="zh-CN"/>
        </w:rPr>
      </w:pPr>
      <w:r>
        <w:rPr>
          <w:rFonts w:hint="eastAsia" w:ascii="宋体" w:hAnsi="宋体" w:cs="宋体"/>
          <w:b/>
          <w:color w:val="000000"/>
          <w:sz w:val="28"/>
          <w:szCs w:val="28"/>
          <w:highlight w:val="none"/>
        </w:rPr>
        <w:t>项目名称：</w:t>
      </w:r>
      <w:r>
        <w:rPr>
          <w:rFonts w:hint="eastAsia" w:ascii="宋体" w:hAnsi="宋体" w:cs="宋体"/>
          <w:b/>
          <w:color w:val="000000"/>
          <w:sz w:val="28"/>
          <w:szCs w:val="28"/>
          <w:highlight w:val="none"/>
          <w:lang w:eastAsia="zh-CN"/>
        </w:rPr>
        <w:t>电子病历及HIS系统驻场开发、运维服务采购</w:t>
      </w:r>
    </w:p>
    <w:p w14:paraId="3F6ACC81">
      <w:pPr>
        <w:snapToGrid w:val="0"/>
        <w:spacing w:before="156" w:beforeLines="50" w:after="50"/>
        <w:jc w:val="center"/>
        <w:rPr>
          <w:rFonts w:hint="default"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rPr>
        <w:t>项目编号：GLZC2025-J3-990533-ZJXJ</w:t>
      </w:r>
    </w:p>
    <w:p w14:paraId="0F0C69D3">
      <w:pPr>
        <w:spacing w:line="400" w:lineRule="exact"/>
        <w:rPr>
          <w:rFonts w:hint="eastAsia" w:ascii="宋体" w:hAnsi="宋体" w:cs="宋体"/>
          <w:b/>
          <w:color w:val="000000"/>
          <w:sz w:val="28"/>
          <w:szCs w:val="28"/>
          <w:highlight w:val="none"/>
        </w:rPr>
      </w:pPr>
    </w:p>
    <w:p w14:paraId="4734F4FA">
      <w:pPr>
        <w:snapToGrid w:val="0"/>
        <w:spacing w:before="156" w:beforeLines="50" w:after="50"/>
        <w:jc w:val="center"/>
        <w:outlineLvl w:val="2"/>
        <w:rPr>
          <w:rFonts w:hint="eastAsia" w:ascii="宋体" w:hAnsi="宋体" w:eastAsia="宋体" w:cs="宋体"/>
          <w:b/>
          <w:color w:val="000000"/>
          <w:sz w:val="28"/>
          <w:szCs w:val="28"/>
          <w:highlight w:val="none"/>
          <w:u w:val="single"/>
          <w:lang w:eastAsia="zh-CN"/>
        </w:rPr>
      </w:pPr>
      <w:r>
        <w:rPr>
          <w:rFonts w:hint="eastAsia" w:ascii="宋体" w:hAnsi="宋体" w:cs="宋体"/>
          <w:b/>
          <w:color w:val="000000"/>
          <w:sz w:val="28"/>
          <w:szCs w:val="28"/>
          <w:highlight w:val="none"/>
        </w:rPr>
        <w:t>采购代理机构：</w:t>
      </w:r>
      <w:r>
        <w:rPr>
          <w:rFonts w:hint="eastAsia" w:ascii="宋体" w:hAnsi="宋体" w:cs="宋体"/>
          <w:b/>
          <w:color w:val="000000"/>
          <w:sz w:val="28"/>
          <w:szCs w:val="28"/>
          <w:highlight w:val="none"/>
          <w:u w:val="single"/>
        </w:rPr>
        <w:t xml:space="preserve"> </w:t>
      </w:r>
      <w:r>
        <w:rPr>
          <w:rFonts w:hint="eastAsia" w:ascii="宋体" w:hAnsi="宋体" w:cs="宋体"/>
          <w:b/>
          <w:color w:val="000000"/>
          <w:sz w:val="28"/>
          <w:szCs w:val="28"/>
          <w:highlight w:val="none"/>
          <w:u w:val="single"/>
          <w:lang w:eastAsia="zh-CN"/>
        </w:rPr>
        <w:t>中佳信建设管理集团有限公司</w:t>
      </w:r>
    </w:p>
    <w:p w14:paraId="08579942">
      <w:pPr>
        <w:pStyle w:val="8"/>
        <w:rPr>
          <w:rFonts w:hint="eastAsia" w:ascii="宋体" w:hAnsi="宋体" w:cs="宋体"/>
          <w:b/>
          <w:color w:val="000000"/>
          <w:sz w:val="28"/>
          <w:szCs w:val="28"/>
          <w:highlight w:val="none"/>
          <w:u w:val="single"/>
        </w:rPr>
      </w:pPr>
    </w:p>
    <w:p w14:paraId="25B139FE">
      <w:pPr>
        <w:pStyle w:val="8"/>
        <w:rPr>
          <w:rFonts w:hint="eastAsia" w:ascii="宋体" w:hAnsi="宋体" w:cs="宋体"/>
          <w:b/>
          <w:color w:val="000000"/>
          <w:sz w:val="28"/>
          <w:szCs w:val="28"/>
          <w:highlight w:val="none"/>
          <w:u w:val="single"/>
        </w:rPr>
      </w:pPr>
    </w:p>
    <w:p w14:paraId="3AB7AE39">
      <w:pPr>
        <w:pStyle w:val="9"/>
        <w:ind w:left="980" w:hanging="560" w:hangingChars="200"/>
        <w:rPr>
          <w:rFonts w:ascii="宋体" w:hAnsi="宋体" w:cs="宋体"/>
          <w:bCs/>
          <w:color w:val="000000"/>
          <w:sz w:val="28"/>
          <w:szCs w:val="28"/>
          <w:highlight w:val="none"/>
        </w:rPr>
      </w:pPr>
      <w:bookmarkStart w:id="370" w:name="_Toc4932_WPSOffice_Level2"/>
      <w:bookmarkStart w:id="371" w:name="_Toc20319_WPSOffice_Level2"/>
      <w:r>
        <w:rPr>
          <w:rFonts w:hint="eastAsia" w:ascii="宋体" w:hAnsi="宋体" w:cs="宋体"/>
          <w:bCs/>
          <w:color w:val="000000"/>
          <w:sz w:val="28"/>
          <w:szCs w:val="28"/>
          <w:highlight w:val="none"/>
        </w:rPr>
        <w:t>供应商[公章(CA签章)、自然人除外]：</w:t>
      </w:r>
      <w:r>
        <w:rPr>
          <w:rFonts w:hint="eastAsia" w:ascii="宋体" w:hAnsi="宋体" w:cs="宋体"/>
          <w:bCs/>
          <w:color w:val="000000"/>
          <w:sz w:val="28"/>
          <w:szCs w:val="28"/>
          <w:highlight w:val="none"/>
          <w:u w:val="single"/>
        </w:rPr>
        <w:t xml:space="preserve">                       </w:t>
      </w:r>
      <w:bookmarkEnd w:id="370"/>
      <w:bookmarkEnd w:id="371"/>
      <w:r>
        <w:rPr>
          <w:rFonts w:hint="eastAsia" w:ascii="宋体" w:hAnsi="宋体" w:cs="宋体"/>
          <w:bCs/>
          <w:color w:val="000000"/>
          <w:sz w:val="28"/>
          <w:szCs w:val="28"/>
          <w:highlight w:val="none"/>
          <w:u w:val="single"/>
        </w:rPr>
        <w:t xml:space="preserve">       </w:t>
      </w:r>
    </w:p>
    <w:p w14:paraId="309F42F3">
      <w:pPr>
        <w:pStyle w:val="11"/>
        <w:spacing w:line="320" w:lineRule="exact"/>
        <w:ind w:firstLine="420"/>
        <w:rPr>
          <w:rFonts w:hint="eastAsia" w:hAnsi="宋体" w:cs="宋体"/>
          <w:color w:val="000000"/>
          <w:sz w:val="28"/>
          <w:szCs w:val="28"/>
          <w:highlight w:val="none"/>
        </w:rPr>
      </w:pPr>
      <w:bookmarkStart w:id="372" w:name="_Toc9622_WPSOffice_Level2"/>
      <w:bookmarkStart w:id="373" w:name="_Toc32056_WPSOffice_Level2"/>
      <w:r>
        <w:rPr>
          <w:rFonts w:hint="eastAsia" w:hAnsi="宋体" w:cs="宋体"/>
          <w:color w:val="000000"/>
          <w:sz w:val="28"/>
          <w:szCs w:val="28"/>
          <w:highlight w:val="none"/>
        </w:rPr>
        <w:t>法定代表人、负责人、自然人或相应的委托代理人签字[或盖章(CA签章)]</w:t>
      </w:r>
    </w:p>
    <w:p w14:paraId="0195B758">
      <w:pPr>
        <w:pStyle w:val="9"/>
        <w:ind w:left="980" w:hanging="560" w:hangingChars="200"/>
        <w:rPr>
          <w:rFonts w:hint="eastAsia" w:ascii="宋体" w:hAnsi="宋体" w:cs="宋体"/>
          <w:color w:val="000000"/>
          <w:sz w:val="28"/>
          <w:szCs w:val="28"/>
          <w:highlight w:val="none"/>
          <w:u w:val="single"/>
        </w:rPr>
      </w:pPr>
      <w:r>
        <w:rPr>
          <w:rFonts w:hint="eastAsia" w:ascii="宋体" w:hAnsi="宋体" w:cs="宋体"/>
          <w:color w:val="000000"/>
          <w:sz w:val="28"/>
          <w:szCs w:val="28"/>
          <w:highlight w:val="none"/>
        </w:rPr>
        <w:t>（属自然人的应在签名处加盖大拇指指印或个人CA签章）：</w:t>
      </w:r>
      <w:r>
        <w:rPr>
          <w:rFonts w:hint="eastAsia" w:ascii="宋体" w:hAnsi="宋体" w:cs="宋体"/>
          <w:color w:val="000000"/>
          <w:sz w:val="28"/>
          <w:szCs w:val="28"/>
          <w:highlight w:val="none"/>
          <w:u w:val="single"/>
        </w:rPr>
        <w:t xml:space="preserve">              </w:t>
      </w:r>
    </w:p>
    <w:p w14:paraId="76D5E1F5">
      <w:pPr>
        <w:pStyle w:val="9"/>
        <w:ind w:left="980" w:hanging="560" w:hangingChars="200"/>
        <w:rPr>
          <w:rFonts w:ascii="宋体" w:hAnsi="宋体" w:cs="宋体"/>
          <w:bCs/>
          <w:color w:val="000000"/>
          <w:sz w:val="28"/>
          <w:szCs w:val="28"/>
          <w:highlight w:val="none"/>
          <w:u w:val="single"/>
        </w:rPr>
      </w:pPr>
      <w:r>
        <w:rPr>
          <w:rFonts w:hint="eastAsia" w:ascii="宋体" w:hAnsi="宋体" w:cs="宋体"/>
          <w:bCs/>
          <w:color w:val="000000"/>
          <w:sz w:val="28"/>
          <w:szCs w:val="28"/>
          <w:highlight w:val="none"/>
        </w:rPr>
        <w:t>联系电话：</w:t>
      </w:r>
      <w:bookmarkEnd w:id="372"/>
      <w:bookmarkEnd w:id="373"/>
      <w:r>
        <w:rPr>
          <w:rFonts w:hint="eastAsia" w:ascii="宋体" w:hAnsi="宋体" w:cs="宋体"/>
          <w:bCs/>
          <w:color w:val="000000"/>
          <w:sz w:val="28"/>
          <w:szCs w:val="28"/>
          <w:highlight w:val="none"/>
          <w:u w:val="single"/>
        </w:rPr>
        <w:t xml:space="preserve">                                                </w:t>
      </w:r>
    </w:p>
    <w:p w14:paraId="4A51DDC4">
      <w:pPr>
        <w:pStyle w:val="9"/>
        <w:ind w:left="980" w:hanging="560" w:hangingChars="200"/>
        <w:rPr>
          <w:rFonts w:hint="eastAsia" w:ascii="宋体" w:hAnsi="宋体" w:cs="宋体"/>
          <w:bCs/>
          <w:color w:val="000000"/>
          <w:sz w:val="28"/>
          <w:szCs w:val="28"/>
          <w:highlight w:val="none"/>
        </w:rPr>
      </w:pPr>
      <w:bookmarkStart w:id="374" w:name="_Toc26465_WPSOffice_Level2"/>
      <w:bookmarkStart w:id="375" w:name="_Toc15933_WPSOffice_Level2"/>
      <w:r>
        <w:rPr>
          <w:rFonts w:hint="eastAsia" w:ascii="宋体" w:hAnsi="宋体" w:cs="宋体"/>
          <w:bCs/>
          <w:color w:val="000000"/>
          <w:sz w:val="28"/>
          <w:szCs w:val="28"/>
          <w:highlight w:val="none"/>
        </w:rPr>
        <w:t>日期：</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年</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月</w:t>
      </w:r>
      <w:r>
        <w:rPr>
          <w:rFonts w:hint="eastAsia" w:ascii="宋体" w:hAnsi="宋体" w:cs="宋体"/>
          <w:bCs/>
          <w:color w:val="000000"/>
          <w:sz w:val="28"/>
          <w:szCs w:val="28"/>
          <w:highlight w:val="none"/>
          <w:u w:val="single"/>
        </w:rPr>
        <w:t xml:space="preserve">           </w:t>
      </w:r>
      <w:r>
        <w:rPr>
          <w:rFonts w:hint="eastAsia" w:ascii="宋体" w:hAnsi="宋体" w:cs="宋体"/>
          <w:bCs/>
          <w:color w:val="000000"/>
          <w:sz w:val="28"/>
          <w:szCs w:val="28"/>
          <w:highlight w:val="none"/>
        </w:rPr>
        <w:t>日</w:t>
      </w:r>
      <w:bookmarkEnd w:id="374"/>
      <w:bookmarkEnd w:id="375"/>
    </w:p>
    <w:p w14:paraId="6240B6F7">
      <w:pPr>
        <w:rPr>
          <w:rFonts w:hint="eastAsia"/>
          <w:b/>
          <w:bCs/>
          <w:color w:val="000000"/>
          <w:sz w:val="32"/>
          <w:szCs w:val="32"/>
          <w:highlight w:val="none"/>
        </w:rPr>
      </w:pPr>
      <w:bookmarkStart w:id="376" w:name="_Toc497927070"/>
      <w:bookmarkStart w:id="377" w:name="_Toc19430"/>
      <w:bookmarkStart w:id="378" w:name="_Toc21615"/>
      <w:r>
        <w:rPr>
          <w:rFonts w:hint="eastAsia"/>
          <w:b/>
          <w:bCs/>
          <w:color w:val="000000"/>
          <w:sz w:val="32"/>
          <w:szCs w:val="32"/>
          <w:highlight w:val="none"/>
        </w:rPr>
        <w:br w:type="page"/>
      </w:r>
    </w:p>
    <w:p w14:paraId="28DD046B">
      <w:pPr>
        <w:outlineLvl w:val="1"/>
        <w:rPr>
          <w:rFonts w:hint="eastAsia"/>
          <w:b/>
          <w:bCs/>
          <w:color w:val="000000"/>
          <w:sz w:val="32"/>
          <w:szCs w:val="32"/>
          <w:highlight w:val="none"/>
        </w:rPr>
      </w:pPr>
      <w:r>
        <w:rPr>
          <w:rFonts w:hint="eastAsia"/>
          <w:b/>
          <w:bCs/>
          <w:color w:val="000000"/>
          <w:sz w:val="32"/>
          <w:szCs w:val="32"/>
          <w:highlight w:val="none"/>
        </w:rPr>
        <w:t>二、响应文件组成</w:t>
      </w:r>
      <w:bookmarkEnd w:id="376"/>
      <w:bookmarkEnd w:id="377"/>
      <w:bookmarkEnd w:id="378"/>
    </w:p>
    <w:p w14:paraId="0B129550">
      <w:pPr>
        <w:spacing w:line="400" w:lineRule="exact"/>
        <w:rPr>
          <w:rFonts w:hint="eastAsia" w:ascii="宋体" w:hAnsi="宋体" w:cs="宋体"/>
          <w:b/>
          <w:bCs/>
          <w:color w:val="000000"/>
          <w:sz w:val="28"/>
          <w:szCs w:val="28"/>
          <w:highlight w:val="none"/>
        </w:rPr>
      </w:pPr>
    </w:p>
    <w:p w14:paraId="5D63CB0F">
      <w:pPr>
        <w:pStyle w:val="8"/>
        <w:rPr>
          <w:rFonts w:hint="eastAsia"/>
          <w:color w:val="000000"/>
          <w:highlight w:val="none"/>
        </w:rPr>
      </w:pPr>
    </w:p>
    <w:p w14:paraId="570E31D5">
      <w:pPr>
        <w:pStyle w:val="8"/>
        <w:rPr>
          <w:rFonts w:hint="eastAsia"/>
          <w:color w:val="000000"/>
          <w:highlight w:val="none"/>
        </w:rPr>
      </w:pPr>
    </w:p>
    <w:p w14:paraId="7450381F">
      <w:pPr>
        <w:pStyle w:val="8"/>
        <w:rPr>
          <w:rFonts w:hint="eastAsia"/>
          <w:color w:val="000000"/>
          <w:highlight w:val="none"/>
        </w:rPr>
      </w:pPr>
    </w:p>
    <w:p w14:paraId="1C6EF31B">
      <w:pPr>
        <w:spacing w:line="400" w:lineRule="exact"/>
        <w:ind w:firstLine="565" w:firstLineChars="202"/>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（一）资格性响应证明材料</w:t>
      </w:r>
    </w:p>
    <w:p w14:paraId="1659E851">
      <w:pPr>
        <w:spacing w:line="400" w:lineRule="exact"/>
        <w:ind w:firstLine="565" w:firstLineChars="202"/>
        <w:rPr>
          <w:rFonts w:hint="eastAsia" w:ascii="宋体" w:hAnsi="宋体" w:cs="宋体"/>
          <w:b/>
          <w:bCs/>
          <w:color w:val="000000"/>
          <w:sz w:val="28"/>
          <w:szCs w:val="28"/>
          <w:highlight w:val="none"/>
        </w:rPr>
      </w:pPr>
    </w:p>
    <w:p w14:paraId="59DF462F">
      <w:pPr>
        <w:spacing w:line="400" w:lineRule="exact"/>
        <w:ind w:firstLine="565" w:firstLineChars="202"/>
        <w:rPr>
          <w:rFonts w:hint="eastAsia" w:ascii="宋体" w:hAnsi="宋体" w:cs="宋体"/>
          <w:b/>
          <w:bCs/>
          <w:color w:val="000000"/>
          <w:sz w:val="28"/>
          <w:szCs w:val="28"/>
          <w:highlight w:val="none"/>
        </w:rPr>
      </w:pPr>
    </w:p>
    <w:p w14:paraId="2919A456">
      <w:pPr>
        <w:spacing w:line="400" w:lineRule="exact"/>
        <w:ind w:firstLine="565" w:firstLineChars="202"/>
        <w:rPr>
          <w:rFonts w:hint="eastAsia" w:ascii="宋体" w:hAnsi="宋体" w:cs="宋体"/>
          <w:b/>
          <w:bCs/>
          <w:color w:val="000000"/>
          <w:sz w:val="28"/>
          <w:szCs w:val="28"/>
          <w:highlight w:val="none"/>
        </w:rPr>
      </w:pPr>
    </w:p>
    <w:p w14:paraId="46C465AC">
      <w:pPr>
        <w:spacing w:line="400" w:lineRule="exact"/>
        <w:ind w:firstLine="565" w:firstLineChars="202"/>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（二）符合性响应证明材料</w:t>
      </w:r>
    </w:p>
    <w:p w14:paraId="3ECB3927">
      <w:pPr>
        <w:spacing w:line="400" w:lineRule="exact"/>
        <w:ind w:firstLine="565" w:firstLineChars="202"/>
        <w:rPr>
          <w:rFonts w:hint="eastAsia" w:ascii="宋体" w:hAnsi="宋体" w:cs="宋体"/>
          <w:b/>
          <w:bCs/>
          <w:color w:val="000000"/>
          <w:sz w:val="28"/>
          <w:szCs w:val="28"/>
          <w:highlight w:val="none"/>
        </w:rPr>
      </w:pPr>
    </w:p>
    <w:p w14:paraId="2BFE9114">
      <w:pPr>
        <w:spacing w:line="400" w:lineRule="exact"/>
        <w:ind w:firstLine="565" w:firstLineChars="202"/>
        <w:rPr>
          <w:rFonts w:hint="eastAsia" w:ascii="宋体" w:hAnsi="宋体" w:cs="宋体"/>
          <w:b/>
          <w:bCs/>
          <w:color w:val="000000"/>
          <w:sz w:val="28"/>
          <w:szCs w:val="28"/>
          <w:highlight w:val="none"/>
        </w:rPr>
      </w:pPr>
    </w:p>
    <w:p w14:paraId="18C5A54C">
      <w:pPr>
        <w:spacing w:line="400" w:lineRule="exact"/>
        <w:ind w:firstLine="565" w:firstLineChars="202"/>
        <w:rPr>
          <w:rFonts w:hint="eastAsia" w:ascii="宋体" w:hAnsi="宋体" w:cs="宋体"/>
          <w:b/>
          <w:bCs/>
          <w:color w:val="000000"/>
          <w:sz w:val="28"/>
          <w:szCs w:val="28"/>
          <w:highlight w:val="none"/>
        </w:rPr>
      </w:pPr>
    </w:p>
    <w:p w14:paraId="545C9EB0">
      <w:pPr>
        <w:spacing w:line="400" w:lineRule="exact"/>
        <w:ind w:firstLine="565" w:firstLineChars="202"/>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（三）其他有效证明材料</w:t>
      </w:r>
    </w:p>
    <w:p w14:paraId="0AB168C7">
      <w:pPr>
        <w:pStyle w:val="5"/>
        <w:rPr>
          <w:color w:val="000000"/>
          <w:highlight w:val="none"/>
        </w:rPr>
      </w:pPr>
    </w:p>
    <w:p w14:paraId="4F808039">
      <w:pPr>
        <w:rPr>
          <w:color w:val="000000"/>
          <w:highlight w:val="none"/>
        </w:rPr>
        <w:sectPr>
          <w:footerReference r:id="rId7" w:type="default"/>
          <w:pgSz w:w="11906" w:h="16838"/>
          <w:pgMar w:top="1440" w:right="935" w:bottom="1440" w:left="779" w:header="851" w:footer="992" w:gutter="0"/>
          <w:pgNumType w:fmt="numberInDash"/>
          <w:cols w:space="720" w:num="1"/>
          <w:docGrid w:type="linesAndChars" w:linePitch="312" w:charSpace="0"/>
        </w:sectPr>
      </w:pPr>
    </w:p>
    <w:p w14:paraId="7F22AF89">
      <w:pPr>
        <w:pStyle w:val="5"/>
        <w:numPr>
          <w:ilvl w:val="0"/>
          <w:numId w:val="8"/>
        </w:numPr>
        <w:spacing w:line="240" w:lineRule="auto"/>
        <w:ind w:firstLine="420"/>
        <w:jc w:val="center"/>
        <w:rPr>
          <w:color w:val="000000"/>
          <w:highlight w:val="none"/>
        </w:rPr>
      </w:pPr>
      <w:bookmarkStart w:id="379" w:name="_Toc497927071"/>
      <w:bookmarkStart w:id="380" w:name="_Toc11067"/>
      <w:bookmarkStart w:id="381" w:name="_Toc7185"/>
      <w:r>
        <w:rPr>
          <w:rFonts w:hint="eastAsia"/>
          <w:color w:val="000000"/>
          <w:sz w:val="32"/>
          <w:szCs w:val="32"/>
          <w:highlight w:val="none"/>
        </w:rPr>
        <w:t>资格性响应证明材料目录</w:t>
      </w:r>
      <w:bookmarkEnd w:id="379"/>
      <w:bookmarkEnd w:id="380"/>
      <w:bookmarkEnd w:id="381"/>
    </w:p>
    <w:p w14:paraId="2377C28E">
      <w:pPr>
        <w:spacing w:line="380" w:lineRule="exact"/>
        <w:ind w:firstLine="480" w:firstLineChars="200"/>
        <w:rPr>
          <w:rFonts w:ascii="宋体" w:cs="宋体"/>
          <w:color w:val="000000"/>
          <w:sz w:val="24"/>
          <w:highlight w:val="none"/>
        </w:rPr>
      </w:pPr>
      <w:r>
        <w:rPr>
          <w:rFonts w:hint="eastAsia" w:ascii="宋体" w:hAnsi="宋体" w:cs="宋体"/>
          <w:color w:val="000000"/>
          <w:sz w:val="24"/>
          <w:highlight w:val="none"/>
        </w:rPr>
        <w:t>1.供应商相应的法定代表人、负责人、自然人身份证正反两面扫描件</w:t>
      </w:r>
      <w:r>
        <w:rPr>
          <w:rFonts w:hint="eastAsia" w:ascii="宋体" w:hAnsi="宋体" w:cs="宋体"/>
          <w:b/>
          <w:bCs/>
          <w:color w:val="000000"/>
          <w:sz w:val="24"/>
          <w:highlight w:val="none"/>
        </w:rPr>
        <w:t>（必须提供）</w:t>
      </w:r>
      <w:r>
        <w:rPr>
          <w:rFonts w:hint="eastAsia" w:ascii="宋体" w:hAnsi="宋体" w:cs="宋体"/>
          <w:color w:val="000000"/>
          <w:sz w:val="24"/>
          <w:highlight w:val="none"/>
        </w:rPr>
        <w:t>；</w:t>
      </w:r>
    </w:p>
    <w:p w14:paraId="7C88DDCE">
      <w:pPr>
        <w:spacing w:line="38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供应商的授权委托书原件、委托代理人身份证正反面扫描件以及由县级以上（含县级）社会养老保险经办机构出具的供应商为委托代理人缴纳的响应文件递交截止时间前三个月内任意一个月养老保险证明扫描件，除供应商为以下</w:t>
      </w:r>
      <w:r>
        <w:rPr>
          <w:rFonts w:hint="eastAsia" w:ascii="宋体" w:hAnsi="宋体" w:cs="宋体"/>
          <w:color w:val="000000"/>
          <w:sz w:val="24"/>
          <w:highlight w:val="none"/>
          <w:lang w:val="en-US" w:eastAsia="zh-CN"/>
        </w:rPr>
        <w:t>四</w:t>
      </w:r>
      <w:r>
        <w:rPr>
          <w:rFonts w:hint="eastAsia" w:ascii="宋体" w:hAnsi="宋体" w:cs="宋体"/>
          <w:color w:val="000000"/>
          <w:sz w:val="24"/>
          <w:highlight w:val="none"/>
        </w:rPr>
        <w:t>种情形的：</w:t>
      </w:r>
    </w:p>
    <w:p w14:paraId="0203A2D3">
      <w:pPr>
        <w:spacing w:line="38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 如供应商为截标时间前60日以内成立的公司，可以提供供应商与委托代理人签订的劳动合同扫描件代替养老保险证明扫描件；</w:t>
      </w:r>
    </w:p>
    <w:p w14:paraId="18EEFA3D">
      <w:pPr>
        <w:spacing w:line="3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（2）如供应商为事业单位，可以提供事业单位机构编制管理证扫描件或事业单位机构为其发放工资的工资条扫描件代替养老保险证明扫描件；</w:t>
      </w:r>
    </w:p>
    <w:p w14:paraId="091BD93B">
      <w:pPr>
        <w:spacing w:line="38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（3）如委托代理人为免缴纳养老保险人员，提供免缴纳养老保险的证明材料扫描件及供应商与委托代理人签订的劳动合同扫描件代替养老保险证明扫描件。</w:t>
      </w:r>
    </w:p>
    <w:p w14:paraId="37D3D70B">
      <w:pPr>
        <w:pStyle w:val="8"/>
        <w:spacing w:line="380" w:lineRule="exact"/>
        <w:ind w:firstLine="480" w:firstLineChars="200"/>
        <w:rPr>
          <w:rFonts w:hint="eastAsia"/>
          <w:color w:val="000000"/>
          <w:highlight w:val="none"/>
        </w:rPr>
      </w:pPr>
      <w:r>
        <w:rPr>
          <w:rFonts w:hint="eastAsia" w:ascii="宋体" w:hAnsi="宋体" w:cs="宋体"/>
          <w:color w:val="000000"/>
          <w:sz w:val="24"/>
          <w:highlight w:val="none"/>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505CCC28">
      <w:pPr>
        <w:spacing w:line="380" w:lineRule="exact"/>
        <w:ind w:firstLine="480" w:firstLineChars="200"/>
        <w:rPr>
          <w:rFonts w:hint="eastAsia" w:ascii="宋体" w:cs="宋体"/>
          <w:b/>
          <w:bCs/>
          <w:color w:val="000000"/>
          <w:sz w:val="24"/>
          <w:highlight w:val="none"/>
        </w:rPr>
      </w:pPr>
      <w:r>
        <w:rPr>
          <w:rFonts w:hint="eastAsia" w:ascii="宋体" w:hAnsi="宋体" w:cs="宋体"/>
          <w:b/>
          <w:bCs/>
          <w:color w:val="000000"/>
          <w:sz w:val="24"/>
          <w:highlight w:val="none"/>
        </w:rPr>
        <w:t>【属自然人的应提供由县级以上（含县级）社会养老保险经办机构出具的自然人本人及委托代理人所缴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color w:val="000000"/>
          <w:sz w:val="24"/>
          <w:highlight w:val="none"/>
        </w:rPr>
        <w:t>】</w:t>
      </w:r>
      <w:r>
        <w:rPr>
          <w:rFonts w:hint="eastAsia" w:ascii="宋体" w:hAnsi="宋体" w:cs="宋体"/>
          <w:b/>
          <w:bCs/>
          <w:color w:val="000000"/>
          <w:sz w:val="24"/>
          <w:highlight w:val="none"/>
        </w:rPr>
        <w:t>（委托代理时必须提供；如为联合体的，授权委托书原件须由牵头人出具）；</w:t>
      </w:r>
    </w:p>
    <w:p w14:paraId="0754C2F7">
      <w:pPr>
        <w:numPr>
          <w:ilvl w:val="0"/>
          <w:numId w:val="0"/>
        </w:numPr>
        <w:spacing w:line="380" w:lineRule="exact"/>
        <w:ind w:firstLine="480" w:firstLineChars="200"/>
        <w:rPr>
          <w:rFonts w:hint="eastAsia" w:ascii="宋体" w:hAnsi="宋体" w:cs="宋体"/>
          <w:b/>
          <w:bCs/>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eastAsia="zh-CN"/>
        </w:rPr>
        <w:t>供应商</w:t>
      </w:r>
      <w:r>
        <w:rPr>
          <w:rFonts w:hint="eastAsia" w:ascii="宋体" w:hAnsi="宋体" w:cs="宋体"/>
          <w:color w:val="000000"/>
          <w:sz w:val="24"/>
          <w:highlight w:val="none"/>
        </w:rPr>
        <w:t>参加政府采购活动前3年内在经营活动中没有重大违法记录及有关信用信息的书面声明</w:t>
      </w:r>
      <w:r>
        <w:rPr>
          <w:rFonts w:hint="eastAsia" w:ascii="宋体" w:hAnsi="宋体" w:cs="宋体"/>
          <w:b/>
          <w:bCs/>
          <w:color w:val="000000"/>
          <w:sz w:val="24"/>
          <w:highlight w:val="none"/>
        </w:rPr>
        <w:t>（必须提供）；</w:t>
      </w:r>
    </w:p>
    <w:p w14:paraId="2377DF68">
      <w:pPr>
        <w:numPr>
          <w:ilvl w:val="0"/>
          <w:numId w:val="0"/>
        </w:numPr>
        <w:spacing w:line="380" w:lineRule="exact"/>
        <w:ind w:firstLine="480" w:firstLineChars="200"/>
        <w:rPr>
          <w:rFonts w:hint="eastAsia" w:ascii="宋体" w:hAnsi="宋体" w:cs="宋体"/>
          <w:b/>
          <w:bCs/>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rPr>
        <w:t>供应商的法人或者其他组织营业执照等证明文件扫描件（</w:t>
      </w:r>
      <w:r>
        <w:rPr>
          <w:rFonts w:hint="eastAsia" w:ascii="宋体" w:hAnsi="宋体" w:cs="宋体"/>
          <w:b/>
          <w:bCs/>
          <w:color w:val="000000"/>
          <w:sz w:val="24"/>
          <w:highlight w:val="none"/>
        </w:rPr>
        <w:t>必须提供，自然人除外）；</w:t>
      </w:r>
    </w:p>
    <w:p w14:paraId="7232185F">
      <w:pPr>
        <w:numPr>
          <w:ilvl w:val="0"/>
          <w:numId w:val="0"/>
        </w:numPr>
        <w:spacing w:line="380" w:lineRule="exact"/>
        <w:ind w:firstLine="480"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注：供应商为企业（包括合伙企业），应提供</w:t>
      </w:r>
      <w:r>
        <w:rPr>
          <w:rFonts w:hint="eastAsia" w:ascii="宋体" w:hAnsi="宋体" w:cs="宋体"/>
          <w:b/>
          <w:bCs/>
          <w:color w:val="000000"/>
          <w:sz w:val="24"/>
          <w:highlight w:val="none"/>
          <w:lang w:eastAsia="zh-CN"/>
        </w:rPr>
        <w:t>市场监管部门（登记机关）</w:t>
      </w:r>
      <w:r>
        <w:rPr>
          <w:rFonts w:hint="eastAsia" w:ascii="宋体" w:hAnsi="宋体" w:cs="宋体"/>
          <w:b/>
          <w:bCs/>
          <w:color w:val="000000"/>
          <w:sz w:val="24"/>
          <w:highlight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2520D5C5">
      <w:pPr>
        <w:spacing w:line="380" w:lineRule="exact"/>
        <w:ind w:firstLine="480" w:firstLineChars="200"/>
        <w:outlineLvl w:val="3"/>
        <w:rPr>
          <w:rFonts w:hint="eastAsia" w:ascii="宋体" w:hAnsi="宋体" w:cs="宋体"/>
          <w:color w:val="000000"/>
          <w:sz w:val="24"/>
          <w:highlight w:val="none"/>
        </w:rPr>
      </w:pPr>
      <w:r>
        <w:rPr>
          <w:rFonts w:hint="eastAsia" w:ascii="宋体" w:hAnsi="宋体" w:cs="宋体"/>
          <w:color w:val="000000"/>
          <w:sz w:val="24"/>
          <w:highlight w:val="none"/>
        </w:rPr>
        <w:t>5.</w:t>
      </w:r>
      <w:r>
        <w:rPr>
          <w:rFonts w:hint="eastAsia" w:ascii="宋体" w:hAnsi="宋体" w:cs="宋体"/>
          <w:color w:val="000000"/>
          <w:sz w:val="24"/>
          <w:highlight w:val="none"/>
          <w:lang w:eastAsia="zh-CN"/>
        </w:rPr>
        <w:t>供应商2023年度以来任意一个年度内的财务状况报告（或2024年以来银行出具的资信证明）</w:t>
      </w:r>
      <w:r>
        <w:rPr>
          <w:rFonts w:hint="eastAsia" w:ascii="宋体" w:hAnsi="宋体" w:cs="宋体"/>
          <w:b/>
          <w:bCs/>
          <w:color w:val="000000"/>
          <w:sz w:val="24"/>
          <w:highlight w:val="none"/>
        </w:rPr>
        <w:t>（格式自拟，必须提供）</w:t>
      </w:r>
      <w:r>
        <w:rPr>
          <w:rFonts w:hint="eastAsia" w:ascii="宋体" w:hAnsi="宋体" w:cs="宋体"/>
          <w:color w:val="000000"/>
          <w:sz w:val="24"/>
          <w:highlight w:val="none"/>
        </w:rPr>
        <w:t>；</w:t>
      </w:r>
    </w:p>
    <w:p w14:paraId="12D5B24D">
      <w:pPr>
        <w:spacing w:line="380" w:lineRule="exact"/>
        <w:ind w:firstLine="480" w:firstLineChars="200"/>
        <w:rPr>
          <w:rFonts w:hint="eastAsia" w:ascii="宋体" w:hAnsi="宋体" w:cs="宋体"/>
          <w:b/>
          <w:bCs/>
          <w:color w:val="000000"/>
          <w:sz w:val="24"/>
          <w:highlight w:val="none"/>
        </w:rPr>
      </w:pPr>
      <w:r>
        <w:rPr>
          <w:rFonts w:hint="eastAsia" w:ascii="宋体" w:hAnsi="宋体" w:cs="宋体"/>
          <w:color w:val="000000"/>
          <w:sz w:val="24"/>
          <w:highlight w:val="none"/>
        </w:rPr>
        <w:t>6.供应商截止开标时间前近半年内任意一个月或任一季度依法缴纳税收的证明材料【增值税发票(税收完税证明)或企业所得税完税证明</w:t>
      </w:r>
      <w:r>
        <w:rPr>
          <w:rFonts w:hint="eastAsia" w:ascii="宋体" w:hAnsi="宋体" w:cs="宋体"/>
          <w:color w:val="000000"/>
          <w:sz w:val="24"/>
          <w:highlight w:val="none"/>
          <w:lang w:eastAsia="zh-CN"/>
        </w:rPr>
        <w:t>或税务部门出具的免税证明或税务部门出具的无欠税证明</w:t>
      </w:r>
      <w:r>
        <w:rPr>
          <w:rFonts w:hint="eastAsia" w:ascii="宋体" w:hAnsi="宋体" w:cs="宋体"/>
          <w:color w:val="000000"/>
          <w:sz w:val="24"/>
          <w:highlight w:val="none"/>
        </w:rPr>
        <w:t>】扫描件</w:t>
      </w:r>
      <w:r>
        <w:rPr>
          <w:rFonts w:hint="eastAsia" w:ascii="宋体" w:hAnsi="宋体" w:cs="宋体"/>
          <w:b/>
          <w:bCs/>
          <w:color w:val="000000"/>
          <w:sz w:val="24"/>
          <w:highlight w:val="none"/>
        </w:rPr>
        <w:t>（必须提供）；</w:t>
      </w:r>
    </w:p>
    <w:p w14:paraId="0D6CC57E">
      <w:pPr>
        <w:spacing w:line="380" w:lineRule="exact"/>
        <w:rPr>
          <w:rFonts w:hint="eastAsia" w:ascii="宋体" w:hAnsi="宋体" w:cs="宋体"/>
          <w:b/>
          <w:bCs/>
          <w:color w:val="000000"/>
          <w:sz w:val="24"/>
          <w:highlight w:val="none"/>
        </w:rPr>
      </w:pPr>
      <w:r>
        <w:rPr>
          <w:rFonts w:hint="eastAsia" w:ascii="宋体" w:hAnsi="宋体" w:cs="宋体"/>
          <w:b/>
          <w:bCs/>
          <w:color w:val="000000"/>
          <w:sz w:val="24"/>
          <w:highlight w:val="none"/>
        </w:rPr>
        <w:t>供应商提供的以上相关证明材料属于“必须提供”的文件应加盖供应商公章（CA签章）/自然人签字或加盖个人CA签章，否则响应无效。</w:t>
      </w:r>
    </w:p>
    <w:p w14:paraId="6AE16DCB">
      <w:pPr>
        <w:spacing w:line="440" w:lineRule="atLeast"/>
        <w:rPr>
          <w:rFonts w:hint="eastAsia" w:ascii="宋体" w:hAnsi="宋体"/>
          <w:b/>
          <w:color w:val="000000"/>
          <w:sz w:val="24"/>
          <w:highlight w:val="none"/>
        </w:rPr>
      </w:pPr>
    </w:p>
    <w:p w14:paraId="69ADAE51">
      <w:pPr>
        <w:spacing w:line="440" w:lineRule="atLeast"/>
        <w:rPr>
          <w:rFonts w:hint="eastAsia" w:ascii="宋体" w:hAnsi="宋体"/>
          <w:b/>
          <w:color w:val="000000"/>
          <w:sz w:val="24"/>
          <w:highlight w:val="none"/>
        </w:rPr>
      </w:pPr>
      <w:r>
        <w:rPr>
          <w:rFonts w:hint="eastAsia" w:ascii="宋体" w:hAnsi="宋体"/>
          <w:b/>
          <w:color w:val="000000"/>
          <w:sz w:val="24"/>
          <w:highlight w:val="none"/>
        </w:rPr>
        <w:t>1</w:t>
      </w:r>
      <w:r>
        <w:rPr>
          <w:rFonts w:ascii="宋体" w:hAnsi="宋体"/>
          <w:b/>
          <w:color w:val="000000"/>
          <w:sz w:val="24"/>
          <w:highlight w:val="none"/>
        </w:rPr>
        <w:t>.</w:t>
      </w:r>
      <w:r>
        <w:rPr>
          <w:rFonts w:hint="eastAsia" w:ascii="宋体" w:hAnsi="宋体"/>
          <w:b/>
          <w:color w:val="000000"/>
          <w:sz w:val="24"/>
          <w:highlight w:val="none"/>
        </w:rPr>
        <w:t>供应商相应的法定代表人、负责人、自然人身份证正反两面扫描件（必须提供）；</w:t>
      </w:r>
    </w:p>
    <w:p w14:paraId="5AB3392C">
      <w:pPr>
        <w:spacing w:line="440" w:lineRule="atLeast"/>
        <w:rPr>
          <w:rFonts w:hint="eastAsia" w:ascii="宋体" w:hAnsi="宋体"/>
          <w:b/>
          <w:color w:val="000000"/>
          <w:sz w:val="24"/>
          <w:highlight w:val="none"/>
        </w:rPr>
      </w:pPr>
      <w:r>
        <w:rPr>
          <w:rFonts w:hint="eastAsia" w:ascii="宋体" w:hAnsi="宋体"/>
          <w:b/>
          <w:color w:val="000000"/>
          <w:sz w:val="24"/>
          <w:highlight w:val="none"/>
        </w:rPr>
        <w:t>2.供应商的授权委托书原件、委托代理人身份证正反面扫描件以及由县级以上（含县级）社会养老保险经办机构出具的供应商为委托代理人缴纳的响应文件递交截止时间前三个月内任意一个月养老保险证明扫描件，除供应商为以下</w:t>
      </w:r>
      <w:r>
        <w:rPr>
          <w:rFonts w:hint="eastAsia" w:ascii="宋体" w:hAnsi="宋体"/>
          <w:b/>
          <w:color w:val="000000"/>
          <w:sz w:val="24"/>
          <w:highlight w:val="none"/>
          <w:lang w:val="en-US" w:eastAsia="zh-CN"/>
        </w:rPr>
        <w:t>四</w:t>
      </w:r>
      <w:r>
        <w:rPr>
          <w:rFonts w:hint="eastAsia" w:ascii="宋体" w:hAnsi="宋体"/>
          <w:b/>
          <w:color w:val="000000"/>
          <w:sz w:val="24"/>
          <w:highlight w:val="none"/>
        </w:rPr>
        <w:t>种情形的：</w:t>
      </w:r>
    </w:p>
    <w:p w14:paraId="13E83335">
      <w:pPr>
        <w:spacing w:line="440" w:lineRule="atLeast"/>
        <w:rPr>
          <w:rFonts w:hint="eastAsia" w:ascii="宋体" w:hAnsi="宋体"/>
          <w:b/>
          <w:color w:val="000000"/>
          <w:sz w:val="24"/>
          <w:highlight w:val="none"/>
        </w:rPr>
      </w:pPr>
      <w:r>
        <w:rPr>
          <w:rFonts w:hint="eastAsia" w:ascii="宋体" w:hAnsi="宋体"/>
          <w:b/>
          <w:color w:val="000000"/>
          <w:sz w:val="24"/>
          <w:highlight w:val="none"/>
        </w:rPr>
        <w:t>（1） 如供应商为截标时间前60日以内成立的公司，可以提供供应商与委托代理人签订的劳动合同扫描件代替养老保险证明扫描件；</w:t>
      </w:r>
    </w:p>
    <w:p w14:paraId="328CD1FF">
      <w:pPr>
        <w:spacing w:line="440" w:lineRule="atLeast"/>
        <w:rPr>
          <w:rFonts w:ascii="宋体" w:hAnsi="宋体"/>
          <w:b/>
          <w:color w:val="000000"/>
          <w:sz w:val="24"/>
          <w:highlight w:val="none"/>
        </w:rPr>
      </w:pPr>
      <w:r>
        <w:rPr>
          <w:rFonts w:hint="eastAsia" w:ascii="宋体" w:hAnsi="宋体"/>
          <w:b/>
          <w:color w:val="000000"/>
          <w:sz w:val="24"/>
          <w:highlight w:val="none"/>
        </w:rPr>
        <w:t>（2）如供应商为事业单位，可以提供事业单位机构编制管理证扫描件或事业单位机构为其发放工资的工资条扫描件代替养老保险证明扫描件；</w:t>
      </w:r>
    </w:p>
    <w:p w14:paraId="5B3FED57">
      <w:pPr>
        <w:spacing w:line="440" w:lineRule="atLeast"/>
        <w:rPr>
          <w:rFonts w:hint="eastAsia" w:ascii="宋体" w:hAnsi="宋体"/>
          <w:b/>
          <w:color w:val="000000"/>
          <w:sz w:val="24"/>
          <w:highlight w:val="none"/>
        </w:rPr>
      </w:pPr>
      <w:r>
        <w:rPr>
          <w:rFonts w:hint="eastAsia" w:ascii="宋体" w:hAnsi="宋体"/>
          <w:b/>
          <w:color w:val="000000"/>
          <w:sz w:val="24"/>
          <w:highlight w:val="none"/>
        </w:rPr>
        <w:t>（3）如委托代理人为免缴纳养老保险人员，提供免缴纳养老保险的证明材料扫描件及供应商与委托代理人签订的劳动合同扫描件代替养老保险证明扫描件。</w:t>
      </w:r>
    </w:p>
    <w:p w14:paraId="2839BD95">
      <w:pPr>
        <w:pStyle w:val="3"/>
        <w:ind w:left="0" w:firstLine="0"/>
        <w:rPr>
          <w:rFonts w:hint="eastAsia"/>
          <w:color w:val="000000"/>
          <w:sz w:val="24"/>
          <w:szCs w:val="24"/>
          <w:highlight w:val="none"/>
        </w:rPr>
      </w:pPr>
      <w:bookmarkStart w:id="382" w:name="_Toc930"/>
      <w:bookmarkStart w:id="383" w:name="_Toc27419"/>
      <w:bookmarkStart w:id="384" w:name="_Toc27755"/>
      <w:bookmarkStart w:id="385" w:name="_Toc24869"/>
      <w:r>
        <w:rPr>
          <w:rFonts w:hint="eastAsia" w:ascii="宋体" w:hAnsi="宋体"/>
          <w:b/>
          <w:color w:val="000000"/>
          <w:sz w:val="24"/>
          <w:szCs w:val="24"/>
          <w:highlight w:val="none"/>
          <w:lang w:val="en-US"/>
        </w:rPr>
        <w:t>（4</w:t>
      </w:r>
      <w:r>
        <w:rPr>
          <w:rFonts w:hint="eastAsia" w:ascii="宋体" w:hAnsi="宋体"/>
          <w:b/>
          <w:color w:val="000000"/>
          <w:sz w:val="24"/>
          <w:szCs w:val="24"/>
          <w:highlight w:val="none"/>
        </w:rPr>
        <w:t>）</w:t>
      </w:r>
      <w:r>
        <w:rPr>
          <w:rFonts w:hint="eastAsia" w:ascii="宋体" w:hAnsi="宋体"/>
          <w:b/>
          <w:color w:val="000000"/>
          <w:sz w:val="24"/>
          <w:szCs w:val="24"/>
          <w:highlight w:val="none"/>
          <w:lang w:val="en-US"/>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bookmarkEnd w:id="382"/>
      <w:bookmarkEnd w:id="383"/>
      <w:bookmarkEnd w:id="384"/>
      <w:bookmarkEnd w:id="385"/>
    </w:p>
    <w:p w14:paraId="1BC6A0A5">
      <w:pPr>
        <w:spacing w:line="440" w:lineRule="atLeast"/>
        <w:rPr>
          <w:rFonts w:hint="eastAsia" w:ascii="宋体" w:hAnsi="宋体"/>
          <w:b/>
          <w:color w:val="000000"/>
          <w:sz w:val="24"/>
          <w:highlight w:val="none"/>
        </w:rPr>
      </w:pPr>
      <w:r>
        <w:rPr>
          <w:rFonts w:hint="eastAsia" w:ascii="宋体" w:hAnsi="宋体"/>
          <w:b/>
          <w:color w:val="000000"/>
          <w:sz w:val="24"/>
          <w:highlight w:val="none"/>
        </w:rPr>
        <w:t>【属自然人的应提供由县级以上（含县级）社会养老保险经办机构出具的自然人本人及委托代理人所缴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14:paraId="62C5C903">
      <w:pPr>
        <w:pStyle w:val="23"/>
        <w:rPr>
          <w:rFonts w:hint="eastAsia"/>
          <w:color w:val="000000"/>
          <w:highlight w:val="none"/>
        </w:rPr>
      </w:pPr>
    </w:p>
    <w:p w14:paraId="5FB58D0D">
      <w:pPr>
        <w:pStyle w:val="11"/>
        <w:rPr>
          <w:rFonts w:hint="eastAsia" w:hAnsi="宋体"/>
          <w:b/>
          <w:color w:val="000000"/>
          <w:sz w:val="32"/>
          <w:highlight w:val="none"/>
        </w:rPr>
      </w:pPr>
    </w:p>
    <w:p w14:paraId="7C236ACB">
      <w:pPr>
        <w:pStyle w:val="11"/>
        <w:rPr>
          <w:rFonts w:hint="eastAsia" w:hAnsi="宋体"/>
          <w:b/>
          <w:color w:val="000000"/>
          <w:sz w:val="32"/>
          <w:highlight w:val="none"/>
        </w:rPr>
      </w:pPr>
    </w:p>
    <w:p w14:paraId="7799460E">
      <w:pPr>
        <w:pStyle w:val="11"/>
        <w:rPr>
          <w:rFonts w:hint="eastAsia" w:hAnsi="宋体"/>
          <w:b/>
          <w:color w:val="000000"/>
          <w:sz w:val="32"/>
          <w:highlight w:val="none"/>
        </w:rPr>
      </w:pPr>
    </w:p>
    <w:p w14:paraId="51FF0B9A">
      <w:pPr>
        <w:pStyle w:val="11"/>
        <w:rPr>
          <w:rFonts w:hint="eastAsia" w:hAnsi="宋体"/>
          <w:b/>
          <w:color w:val="000000"/>
          <w:sz w:val="32"/>
          <w:highlight w:val="none"/>
        </w:rPr>
      </w:pPr>
    </w:p>
    <w:p w14:paraId="6E93EAAA">
      <w:pPr>
        <w:pStyle w:val="11"/>
        <w:rPr>
          <w:rFonts w:hint="eastAsia" w:hAnsi="宋体"/>
          <w:b/>
          <w:color w:val="000000"/>
          <w:sz w:val="32"/>
          <w:highlight w:val="none"/>
        </w:rPr>
      </w:pPr>
    </w:p>
    <w:p w14:paraId="74C290D8">
      <w:pPr>
        <w:pStyle w:val="11"/>
        <w:rPr>
          <w:rFonts w:hAnsi="宋体"/>
          <w:b/>
          <w:color w:val="000000"/>
          <w:sz w:val="32"/>
          <w:highlight w:val="none"/>
        </w:rPr>
      </w:pPr>
      <w:r>
        <w:rPr>
          <w:rFonts w:hint="eastAsia" w:hAnsi="宋体"/>
          <w:b/>
          <w:color w:val="000000"/>
          <w:sz w:val="32"/>
          <w:highlight w:val="none"/>
        </w:rPr>
        <w:br w:type="page"/>
      </w:r>
      <w:r>
        <w:rPr>
          <w:rFonts w:hint="eastAsia" w:hAnsi="宋体"/>
          <w:b/>
          <w:color w:val="000000"/>
          <w:sz w:val="32"/>
          <w:highlight w:val="none"/>
        </w:rPr>
        <w:t>附件：</w:t>
      </w:r>
      <w:r>
        <w:rPr>
          <w:rFonts w:hAnsi="宋体"/>
          <w:b/>
          <w:color w:val="000000"/>
          <w:sz w:val="32"/>
          <w:highlight w:val="none"/>
        </w:rPr>
        <w:t xml:space="preserve">            </w:t>
      </w:r>
    </w:p>
    <w:p w14:paraId="14C6872E">
      <w:pPr>
        <w:pStyle w:val="11"/>
        <w:ind w:firstLine="627" w:firstLineChars="196"/>
        <w:jc w:val="center"/>
        <w:outlineLvl w:val="4"/>
        <w:rPr>
          <w:rFonts w:hAnsi="宋体"/>
          <w:b/>
          <w:color w:val="000000"/>
          <w:sz w:val="32"/>
          <w:highlight w:val="none"/>
        </w:rPr>
      </w:pPr>
      <w:bookmarkStart w:id="386" w:name="_Toc964_WPSOffice_Level1"/>
      <w:bookmarkStart w:id="387" w:name="_Toc5420_WPSOffice_Level1"/>
      <w:r>
        <w:rPr>
          <w:rFonts w:hint="eastAsia" w:hAnsi="宋体"/>
          <w:b/>
          <w:color w:val="000000"/>
          <w:sz w:val="32"/>
          <w:highlight w:val="none"/>
        </w:rPr>
        <w:t>授权委托书（格式一）</w:t>
      </w:r>
      <w:bookmarkEnd w:id="386"/>
      <w:bookmarkEnd w:id="387"/>
    </w:p>
    <w:p w14:paraId="375E0560">
      <w:pPr>
        <w:pStyle w:val="11"/>
        <w:rPr>
          <w:rFonts w:hAnsi="宋体"/>
          <w:color w:val="000000"/>
          <w:highlight w:val="none"/>
        </w:rPr>
      </w:pPr>
    </w:p>
    <w:p w14:paraId="36FD8FC4">
      <w:pPr>
        <w:spacing w:line="400" w:lineRule="exact"/>
        <w:rPr>
          <w:rFonts w:ascii="宋体"/>
          <w:color w:val="000000"/>
          <w:highlight w:val="non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lang w:eastAsia="zh-CN"/>
        </w:rPr>
        <w:t>中佳信建设管理集团有限公司</w:t>
      </w:r>
      <w:r>
        <w:rPr>
          <w:rFonts w:hint="eastAsia" w:ascii="宋体" w:hAnsi="宋体"/>
          <w:color w:val="000000"/>
          <w:szCs w:val="21"/>
          <w:highlight w:val="none"/>
          <w:u w:val="single"/>
        </w:rPr>
        <w:t xml:space="preserve"> </w:t>
      </w:r>
    </w:p>
    <w:p w14:paraId="7126EE75">
      <w:pPr>
        <w:spacing w:line="400" w:lineRule="exact"/>
        <w:rPr>
          <w:rFonts w:ascii="宋体"/>
          <w:color w:val="000000"/>
          <w:szCs w:val="21"/>
          <w:highlight w:val="none"/>
        </w:rPr>
      </w:pPr>
    </w:p>
    <w:p w14:paraId="75DEA978">
      <w:pPr>
        <w:pStyle w:val="11"/>
        <w:spacing w:line="400" w:lineRule="exact"/>
        <w:ind w:firstLine="420" w:firstLineChars="200"/>
        <w:rPr>
          <w:rFonts w:hint="eastAsia" w:hAnsi="宋体" w:cs="宋体"/>
          <w:color w:val="000000"/>
          <w:sz w:val="21"/>
          <w:highlight w:val="none"/>
        </w:rPr>
      </w:pPr>
      <w:r>
        <w:rPr>
          <w:rFonts w:hint="eastAsia" w:hAnsi="宋体" w:cs="宋体"/>
          <w:color w:val="000000"/>
          <w:sz w:val="21"/>
          <w:highlight w:val="none"/>
        </w:rPr>
        <w:t>我</w:t>
      </w:r>
      <w:r>
        <w:rPr>
          <w:rFonts w:hint="eastAsia" w:hAnsi="宋体" w:cs="宋体"/>
          <w:color w:val="000000"/>
          <w:sz w:val="21"/>
          <w:highlight w:val="none"/>
          <w:u w:val="single"/>
        </w:rPr>
        <w:t xml:space="preserve">              </w:t>
      </w:r>
      <w:r>
        <w:rPr>
          <w:rFonts w:hint="eastAsia" w:hAnsi="宋体" w:cs="宋体"/>
          <w:color w:val="000000"/>
          <w:sz w:val="21"/>
          <w:highlight w:val="none"/>
        </w:rPr>
        <w:t>（姓名）系</w:t>
      </w:r>
      <w:r>
        <w:rPr>
          <w:rFonts w:hint="eastAsia" w:hAnsi="宋体" w:cs="宋体"/>
          <w:color w:val="000000"/>
          <w:sz w:val="21"/>
          <w:highlight w:val="none"/>
          <w:u w:val="single"/>
        </w:rPr>
        <w:t xml:space="preserve">                              </w:t>
      </w:r>
      <w:r>
        <w:rPr>
          <w:rFonts w:hint="eastAsia" w:hAnsi="宋体" w:cs="宋体"/>
          <w:color w:val="000000"/>
          <w:sz w:val="21"/>
          <w:highlight w:val="none"/>
        </w:rPr>
        <w:t>（供应商名称）的法定代表人（负责人），现授权委托本单位在职职工</w:t>
      </w:r>
      <w:r>
        <w:rPr>
          <w:rFonts w:hint="eastAsia" w:hAnsi="宋体" w:cs="宋体"/>
          <w:color w:val="000000"/>
          <w:sz w:val="21"/>
          <w:highlight w:val="none"/>
          <w:u w:val="single"/>
        </w:rPr>
        <w:t xml:space="preserve">            </w:t>
      </w:r>
      <w:r>
        <w:rPr>
          <w:rFonts w:hint="eastAsia" w:hAnsi="宋体" w:cs="宋体"/>
          <w:color w:val="000000"/>
          <w:sz w:val="21"/>
          <w:highlight w:val="none"/>
        </w:rPr>
        <w:t>（姓 名）以我公司名义参加</w:t>
      </w:r>
      <w:r>
        <w:rPr>
          <w:rFonts w:hint="eastAsia" w:hAnsi="宋体" w:cs="宋体"/>
          <w:color w:val="000000"/>
          <w:sz w:val="21"/>
          <w:highlight w:val="none"/>
          <w:u w:val="single"/>
        </w:rPr>
        <w:t xml:space="preserve">      （项目名称及项目编号）        </w:t>
      </w:r>
      <w:r>
        <w:rPr>
          <w:rFonts w:hint="eastAsia" w:hAnsi="宋体" w:cs="宋体"/>
          <w:color w:val="000000"/>
          <w:sz w:val="21"/>
          <w:highlight w:val="none"/>
        </w:rPr>
        <w:t>项目的谈判活动，并代表我方全权办理针对上述项目的谈判、签约等具体事务和签署相关文件。</w:t>
      </w:r>
    </w:p>
    <w:p w14:paraId="1A82940F">
      <w:pPr>
        <w:pStyle w:val="11"/>
        <w:spacing w:line="400" w:lineRule="exact"/>
        <w:ind w:firstLine="420" w:firstLineChars="200"/>
        <w:rPr>
          <w:rFonts w:hint="eastAsia" w:hAnsi="宋体" w:cs="宋体"/>
          <w:color w:val="000000"/>
          <w:sz w:val="21"/>
          <w:highlight w:val="none"/>
        </w:rPr>
      </w:pPr>
      <w:r>
        <w:rPr>
          <w:rFonts w:hint="eastAsia" w:hAnsi="宋体" w:cs="宋体"/>
          <w:color w:val="000000"/>
          <w:sz w:val="21"/>
          <w:highlight w:val="none"/>
        </w:rPr>
        <w:t>我方对被授权人的签字事项负全部责任。</w:t>
      </w:r>
    </w:p>
    <w:p w14:paraId="0A1E07B6">
      <w:pPr>
        <w:pStyle w:val="11"/>
        <w:spacing w:line="400" w:lineRule="exact"/>
        <w:ind w:firstLine="420" w:firstLineChars="200"/>
        <w:rPr>
          <w:rFonts w:hint="eastAsia" w:hAnsi="宋体" w:cs="宋体"/>
          <w:color w:val="000000"/>
          <w:sz w:val="21"/>
          <w:highlight w:val="none"/>
          <w:u w:val="single"/>
        </w:rPr>
      </w:pPr>
      <w:r>
        <w:rPr>
          <w:rFonts w:hint="eastAsia" w:hAnsi="宋体" w:cs="宋体"/>
          <w:color w:val="000000"/>
          <w:sz w:val="21"/>
          <w:highlight w:val="none"/>
        </w:rPr>
        <w:t>授权委托代理期限：从</w:t>
      </w:r>
      <w:r>
        <w:rPr>
          <w:rFonts w:hint="eastAsia" w:hAnsi="宋体" w:cs="宋体"/>
          <w:color w:val="000000"/>
          <w:sz w:val="21"/>
          <w:highlight w:val="none"/>
          <w:u w:val="single"/>
        </w:rPr>
        <w:t xml:space="preserve">       </w:t>
      </w:r>
      <w:r>
        <w:rPr>
          <w:rFonts w:hint="eastAsia" w:hAnsi="宋体" w:cs="宋体"/>
          <w:color w:val="000000"/>
          <w:sz w:val="21"/>
          <w:highlight w:val="none"/>
        </w:rPr>
        <w:t>年</w:t>
      </w:r>
      <w:r>
        <w:rPr>
          <w:rFonts w:hint="eastAsia" w:hAnsi="宋体" w:cs="宋体"/>
          <w:color w:val="000000"/>
          <w:sz w:val="21"/>
          <w:highlight w:val="none"/>
          <w:u w:val="single"/>
        </w:rPr>
        <w:t xml:space="preserve">     </w:t>
      </w:r>
      <w:r>
        <w:rPr>
          <w:rFonts w:hint="eastAsia" w:hAnsi="宋体" w:cs="宋体"/>
          <w:color w:val="000000"/>
          <w:sz w:val="21"/>
          <w:highlight w:val="none"/>
        </w:rPr>
        <w:t xml:space="preserve">月 </w:t>
      </w:r>
      <w:r>
        <w:rPr>
          <w:rFonts w:hint="eastAsia" w:hAnsi="宋体" w:cs="宋体"/>
          <w:color w:val="000000"/>
          <w:sz w:val="21"/>
          <w:highlight w:val="none"/>
          <w:u w:val="single"/>
        </w:rPr>
        <w:t xml:space="preserve">    </w:t>
      </w:r>
      <w:r>
        <w:rPr>
          <w:rFonts w:hint="eastAsia" w:hAnsi="宋体" w:cs="宋体"/>
          <w:color w:val="000000"/>
          <w:sz w:val="21"/>
          <w:highlight w:val="none"/>
        </w:rPr>
        <w:t xml:space="preserve"> 日起至</w:t>
      </w:r>
      <w:r>
        <w:rPr>
          <w:rFonts w:hint="eastAsia" w:hAnsi="宋体" w:cs="宋体"/>
          <w:color w:val="000000"/>
          <w:sz w:val="21"/>
          <w:highlight w:val="none"/>
          <w:u w:val="single"/>
        </w:rPr>
        <w:t xml:space="preserve">         </w:t>
      </w:r>
      <w:r>
        <w:rPr>
          <w:rFonts w:hint="eastAsia" w:hAnsi="宋体" w:cs="宋体"/>
          <w:color w:val="000000"/>
          <w:sz w:val="21"/>
          <w:highlight w:val="none"/>
        </w:rPr>
        <w:t>年</w:t>
      </w:r>
      <w:r>
        <w:rPr>
          <w:rFonts w:hint="eastAsia" w:hAnsi="宋体" w:cs="宋体"/>
          <w:color w:val="000000"/>
          <w:sz w:val="21"/>
          <w:highlight w:val="none"/>
          <w:u w:val="single"/>
        </w:rPr>
        <w:t xml:space="preserve">     </w:t>
      </w:r>
      <w:r>
        <w:rPr>
          <w:rFonts w:hint="eastAsia" w:hAnsi="宋体" w:cs="宋体"/>
          <w:color w:val="000000"/>
          <w:sz w:val="21"/>
          <w:highlight w:val="none"/>
        </w:rPr>
        <w:t xml:space="preserve">月 </w:t>
      </w:r>
      <w:r>
        <w:rPr>
          <w:rFonts w:hint="eastAsia" w:hAnsi="宋体" w:cs="宋体"/>
          <w:color w:val="000000"/>
          <w:sz w:val="21"/>
          <w:highlight w:val="none"/>
          <w:u w:val="single"/>
        </w:rPr>
        <w:t xml:space="preserve">     </w:t>
      </w:r>
      <w:r>
        <w:rPr>
          <w:rFonts w:hint="eastAsia" w:hAnsi="宋体" w:cs="宋体"/>
          <w:color w:val="000000"/>
          <w:sz w:val="21"/>
          <w:highlight w:val="none"/>
        </w:rPr>
        <w:t>日止。</w:t>
      </w:r>
    </w:p>
    <w:p w14:paraId="6D85772D">
      <w:pPr>
        <w:pStyle w:val="11"/>
        <w:spacing w:line="400" w:lineRule="exact"/>
        <w:rPr>
          <w:rFonts w:hint="eastAsia" w:hAnsi="宋体" w:cs="宋体"/>
          <w:color w:val="000000"/>
          <w:sz w:val="21"/>
          <w:highlight w:val="none"/>
          <w:u w:val="single"/>
        </w:rPr>
      </w:pPr>
      <w:r>
        <w:rPr>
          <w:rFonts w:hint="eastAsia" w:hAnsi="宋体" w:cs="宋体"/>
          <w:color w:val="000000"/>
          <w:sz w:val="21"/>
          <w:highlight w:val="none"/>
        </w:rPr>
        <w:t xml:space="preserve">                                                                                             </w:t>
      </w:r>
    </w:p>
    <w:p w14:paraId="4DEE0215">
      <w:pPr>
        <w:spacing w:line="4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代理人无转委托权,特此委托。 </w:t>
      </w:r>
    </w:p>
    <w:p w14:paraId="7ECF3BC4">
      <w:pPr>
        <w:snapToGrid w:val="0"/>
        <w:spacing w:line="400" w:lineRule="exact"/>
        <w:ind w:firstLine="525"/>
        <w:rPr>
          <w:rFonts w:hint="eastAsia" w:ascii="宋体" w:hAnsi="宋体" w:cs="宋体"/>
          <w:color w:val="000000"/>
          <w:szCs w:val="21"/>
          <w:highlight w:val="none"/>
        </w:rPr>
      </w:pPr>
    </w:p>
    <w:p w14:paraId="2778BA8F">
      <w:pPr>
        <w:snapToGrid w:val="0"/>
        <w:spacing w:line="400" w:lineRule="exact"/>
        <w:ind w:firstLine="420"/>
        <w:outlineLvl w:val="4"/>
        <w:rPr>
          <w:rFonts w:hint="eastAsia" w:ascii="宋体" w:hAnsi="宋体" w:cs="宋体"/>
          <w:color w:val="000000"/>
          <w:szCs w:val="21"/>
          <w:highlight w:val="none"/>
        </w:rPr>
      </w:pPr>
      <w:r>
        <w:rPr>
          <w:rFonts w:hint="eastAsia" w:ascii="宋体" w:hAnsi="宋体" w:cs="宋体"/>
          <w:color w:val="000000"/>
          <w:szCs w:val="21"/>
          <w:highlight w:val="none"/>
        </w:rPr>
        <w:t>我已在下面签字，以资证明。</w:t>
      </w:r>
    </w:p>
    <w:p w14:paraId="574D140E">
      <w:pPr>
        <w:snapToGrid w:val="0"/>
        <w:spacing w:line="400" w:lineRule="exact"/>
        <w:ind w:firstLine="420"/>
        <w:rPr>
          <w:rFonts w:ascii="宋体"/>
          <w:color w:val="000000"/>
          <w:szCs w:val="21"/>
          <w:highlight w:val="none"/>
        </w:rPr>
      </w:pPr>
    </w:p>
    <w:p w14:paraId="2FF5CF96">
      <w:pPr>
        <w:snapToGrid w:val="0"/>
        <w:spacing w:line="400" w:lineRule="exact"/>
        <w:ind w:firstLine="420"/>
        <w:rPr>
          <w:rFonts w:ascii="宋体"/>
          <w:color w:val="000000"/>
          <w:szCs w:val="21"/>
          <w:highlight w:val="none"/>
        </w:rPr>
      </w:pPr>
    </w:p>
    <w:p w14:paraId="4BCE7126">
      <w:pPr>
        <w:snapToGrid w:val="0"/>
        <w:spacing w:line="400" w:lineRule="exact"/>
        <w:ind w:firstLine="420"/>
        <w:rPr>
          <w:rFonts w:ascii="宋体" w:hAnsi="宋体" w:cs="宋体"/>
          <w:color w:val="000000"/>
          <w:szCs w:val="21"/>
          <w:highlight w:val="none"/>
          <w:u w:val="single"/>
        </w:rPr>
      </w:pPr>
      <w:r>
        <w:rPr>
          <w:rFonts w:hint="eastAsia" w:ascii="宋体" w:hAnsi="宋体" w:cs="宋体"/>
          <w:color w:val="000000"/>
          <w:szCs w:val="21"/>
          <w:highlight w:val="none"/>
        </w:rPr>
        <w:t>供应商[公章（CA签章）]：</w:t>
      </w:r>
      <w:r>
        <w:rPr>
          <w:rFonts w:hint="eastAsia" w:ascii="宋体" w:hAnsi="宋体" w:cs="宋体"/>
          <w:color w:val="000000"/>
          <w:szCs w:val="21"/>
          <w:highlight w:val="none"/>
          <w:u w:val="single"/>
        </w:rPr>
        <w:t xml:space="preserve">                                   </w:t>
      </w:r>
    </w:p>
    <w:p w14:paraId="1C06B09A">
      <w:pPr>
        <w:snapToGrid w:val="0"/>
        <w:spacing w:line="400" w:lineRule="exact"/>
        <w:ind w:firstLine="420"/>
        <w:rPr>
          <w:rFonts w:ascii="宋体" w:hAnsi="宋体" w:cs="宋体"/>
          <w:color w:val="000000"/>
          <w:szCs w:val="21"/>
          <w:highlight w:val="none"/>
        </w:rPr>
      </w:pPr>
    </w:p>
    <w:p w14:paraId="37CD7507">
      <w:pPr>
        <w:snapToGrid w:val="0"/>
        <w:spacing w:line="400" w:lineRule="exact"/>
        <w:ind w:firstLine="420"/>
        <w:rPr>
          <w:rFonts w:ascii="宋体" w:hAnsi="宋体" w:cs="宋体"/>
          <w:color w:val="000000"/>
          <w:szCs w:val="21"/>
          <w:highlight w:val="none"/>
        </w:rPr>
      </w:pPr>
      <w:r>
        <w:rPr>
          <w:rFonts w:hint="eastAsia" w:ascii="宋体" w:hAnsi="宋体" w:cs="宋体"/>
          <w:color w:val="000000"/>
          <w:szCs w:val="21"/>
          <w:highlight w:val="none"/>
        </w:rPr>
        <w:t>法定代表人（负责人）签字（或个人CA签章）：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71FA6E89">
      <w:pPr>
        <w:snapToGrid w:val="0"/>
        <w:spacing w:line="400" w:lineRule="exact"/>
        <w:ind w:firstLine="420"/>
        <w:rPr>
          <w:rFonts w:ascii="宋体"/>
          <w:color w:val="000000"/>
          <w:szCs w:val="21"/>
          <w:highlight w:val="none"/>
        </w:rPr>
      </w:pPr>
    </w:p>
    <w:p w14:paraId="6C0C5EC7">
      <w:pPr>
        <w:spacing w:line="400" w:lineRule="exact"/>
        <w:ind w:firstLine="600" w:firstLineChars="250"/>
        <w:rPr>
          <w:rFonts w:ascii="宋体" w:hAnsi="宋体" w:cs="宋体"/>
          <w:b/>
          <w:color w:val="000000"/>
          <w:sz w:val="24"/>
          <w:highlight w:val="none"/>
        </w:rPr>
      </w:pPr>
      <w:r>
        <w:rPr>
          <w:rFonts w:hint="eastAsia" w:ascii="宋体" w:hAnsi="宋体" w:cs="宋体"/>
          <w:b/>
          <w:color w:val="000000"/>
          <w:sz w:val="24"/>
          <w:highlight w:val="none"/>
        </w:rPr>
        <w:t>注：</w:t>
      </w:r>
      <w:r>
        <w:rPr>
          <w:rFonts w:hint="eastAsia" w:ascii="宋体" w:hAnsi="宋体" w:cs="宋体"/>
          <w:b/>
          <w:color w:val="000000"/>
          <w:sz w:val="24"/>
          <w:highlight w:val="none"/>
          <w:lang w:eastAsia="zh-CN"/>
        </w:rPr>
        <w:t>供应商</w:t>
      </w:r>
      <w:r>
        <w:rPr>
          <w:rFonts w:hint="eastAsia" w:ascii="宋体" w:hAnsi="宋体" w:cs="宋体"/>
          <w:b/>
          <w:color w:val="000000"/>
          <w:sz w:val="24"/>
          <w:highlight w:val="none"/>
        </w:rPr>
        <w:t>的授权委托书原件、委托代理人身份证正反面扫描件以及由县级以上（含县级）社会养老保险经办机构出具的</w:t>
      </w:r>
      <w:r>
        <w:rPr>
          <w:rFonts w:hint="eastAsia" w:ascii="宋体" w:hAnsi="宋体" w:cs="宋体"/>
          <w:b/>
          <w:color w:val="000000"/>
          <w:sz w:val="24"/>
          <w:highlight w:val="none"/>
          <w:lang w:eastAsia="zh-CN"/>
        </w:rPr>
        <w:t>供应商</w:t>
      </w:r>
      <w:r>
        <w:rPr>
          <w:rFonts w:hint="eastAsia" w:ascii="宋体" w:hAnsi="宋体" w:cs="宋体"/>
          <w:b/>
          <w:color w:val="000000"/>
          <w:sz w:val="24"/>
          <w:highlight w:val="none"/>
        </w:rPr>
        <w:t>为委托代理人缴纳的开标截止时间前三个月内任意一个月养老保险证明扫描件（如</w:t>
      </w:r>
      <w:r>
        <w:rPr>
          <w:rFonts w:hint="eastAsia" w:ascii="宋体" w:hAnsi="宋体" w:cs="宋体"/>
          <w:b/>
          <w:color w:val="000000"/>
          <w:sz w:val="24"/>
          <w:highlight w:val="none"/>
          <w:lang w:eastAsia="zh-CN"/>
        </w:rPr>
        <w:t>供应商</w:t>
      </w:r>
      <w:r>
        <w:rPr>
          <w:rFonts w:hint="eastAsia" w:ascii="宋体" w:hAnsi="宋体" w:cs="宋体"/>
          <w:b/>
          <w:color w:val="000000"/>
          <w:sz w:val="24"/>
          <w:highlight w:val="none"/>
        </w:rPr>
        <w:t>为截标时间前60日以内成立的公司，可以提供</w:t>
      </w:r>
      <w:r>
        <w:rPr>
          <w:rFonts w:hint="eastAsia" w:ascii="宋体" w:hAnsi="宋体" w:cs="宋体"/>
          <w:b/>
          <w:color w:val="000000"/>
          <w:sz w:val="24"/>
          <w:highlight w:val="none"/>
          <w:lang w:eastAsia="zh-CN"/>
        </w:rPr>
        <w:t>供应商</w:t>
      </w:r>
      <w:r>
        <w:rPr>
          <w:rFonts w:hint="eastAsia" w:ascii="宋体" w:hAnsi="宋体" w:cs="宋体"/>
          <w:b/>
          <w:color w:val="000000"/>
          <w:sz w:val="24"/>
          <w:highlight w:val="none"/>
        </w:rPr>
        <w:t>与委托代理人签订的劳动合同扫描件代替养老保险证明扫描件；如</w:t>
      </w:r>
      <w:r>
        <w:rPr>
          <w:rFonts w:hint="eastAsia" w:ascii="宋体" w:hAnsi="宋体" w:cs="宋体"/>
          <w:b/>
          <w:color w:val="000000"/>
          <w:sz w:val="24"/>
          <w:highlight w:val="none"/>
          <w:lang w:eastAsia="zh-CN"/>
        </w:rPr>
        <w:t>供应商</w:t>
      </w:r>
      <w:r>
        <w:rPr>
          <w:rFonts w:hint="eastAsia" w:ascii="宋体" w:hAnsi="宋体" w:cs="宋体"/>
          <w:b/>
          <w:color w:val="000000"/>
          <w:sz w:val="24"/>
          <w:highlight w:val="none"/>
        </w:rPr>
        <w:t>为事业单位，可以提供事业单位机构编制管理证扫描件或事业单位机构为其发放工资的工资条扫描件代替养老保险证明扫描件；如委托代理人为免缴纳养老保险人员，提供免缴纳养老保险的证明材料扫描件及</w:t>
      </w:r>
      <w:r>
        <w:rPr>
          <w:rFonts w:hint="eastAsia" w:ascii="宋体" w:hAnsi="宋体" w:cs="宋体"/>
          <w:b/>
          <w:color w:val="000000"/>
          <w:sz w:val="24"/>
          <w:highlight w:val="none"/>
          <w:lang w:eastAsia="zh-CN"/>
        </w:rPr>
        <w:t>供应商</w:t>
      </w:r>
      <w:r>
        <w:rPr>
          <w:rFonts w:hint="eastAsia" w:ascii="宋体" w:hAnsi="宋体" w:cs="宋体"/>
          <w:b/>
          <w:color w:val="000000"/>
          <w:sz w:val="24"/>
          <w:highlight w:val="none"/>
        </w:rPr>
        <w:t>与委托代理人签订的劳动合同扫描件代替养老保险证明扫描件；如因社会养老保险经办机构系统升级等原因，暂时无法向</w:t>
      </w:r>
      <w:r>
        <w:rPr>
          <w:rFonts w:hint="eastAsia" w:ascii="宋体" w:hAnsi="宋体" w:cs="宋体"/>
          <w:b/>
          <w:color w:val="000000"/>
          <w:sz w:val="24"/>
          <w:highlight w:val="none"/>
          <w:lang w:eastAsia="zh-CN"/>
        </w:rPr>
        <w:t>供应商</w:t>
      </w:r>
      <w:r>
        <w:rPr>
          <w:rFonts w:hint="eastAsia" w:ascii="宋体" w:hAnsi="宋体" w:cs="宋体"/>
          <w:b/>
          <w:color w:val="000000"/>
          <w:sz w:val="24"/>
          <w:highlight w:val="none"/>
        </w:rPr>
        <w:t>提供社会养老保险缴纳情况查询服务时，</w:t>
      </w:r>
      <w:r>
        <w:rPr>
          <w:rFonts w:hint="eastAsia" w:ascii="宋体" w:hAnsi="宋体" w:cs="宋体"/>
          <w:b/>
          <w:color w:val="000000"/>
          <w:sz w:val="24"/>
          <w:highlight w:val="none"/>
          <w:lang w:eastAsia="zh-CN"/>
        </w:rPr>
        <w:t>供应商</w:t>
      </w:r>
      <w:r>
        <w:rPr>
          <w:rFonts w:hint="eastAsia" w:ascii="宋体" w:hAnsi="宋体" w:cs="宋体"/>
          <w:b/>
          <w:color w:val="000000"/>
          <w:sz w:val="24"/>
          <w:highlight w:val="none"/>
        </w:rPr>
        <w:t>可以提供已为委托代理人缴纳社会养老保险的承诺书，须同时提供无法查询的相关证明材料，包括但不限于查询网站截图、公告等。）（委托代理时必须提供）。</w:t>
      </w:r>
    </w:p>
    <w:p w14:paraId="031C0838">
      <w:pPr>
        <w:snapToGrid w:val="0"/>
        <w:spacing w:line="400" w:lineRule="exact"/>
        <w:rPr>
          <w:rFonts w:hint="eastAsia" w:ascii="宋体" w:hAnsi="宋体"/>
          <w:b/>
          <w:color w:val="000000"/>
          <w:szCs w:val="21"/>
          <w:highlight w:val="none"/>
        </w:rPr>
      </w:pPr>
    </w:p>
    <w:p w14:paraId="01EEF2F1">
      <w:pPr>
        <w:rPr>
          <w:color w:val="000000"/>
          <w:highlight w:val="none"/>
        </w:rPr>
      </w:pPr>
    </w:p>
    <w:p w14:paraId="650D4FC0">
      <w:pPr>
        <w:pStyle w:val="11"/>
        <w:jc w:val="both"/>
        <w:rPr>
          <w:rFonts w:hint="eastAsia" w:hAnsi="宋体"/>
          <w:b/>
          <w:color w:val="000000"/>
          <w:sz w:val="32"/>
          <w:highlight w:val="none"/>
        </w:rPr>
      </w:pPr>
      <w:bookmarkStart w:id="388" w:name="_Toc6975_WPSOffice_Level1"/>
      <w:bookmarkStart w:id="389" w:name="_Toc21370_WPSOffice_Level1"/>
    </w:p>
    <w:p w14:paraId="26F12A5B">
      <w:pPr>
        <w:pStyle w:val="11"/>
        <w:jc w:val="center"/>
        <w:rPr>
          <w:rFonts w:hAnsi="宋体"/>
          <w:b/>
          <w:color w:val="000000"/>
          <w:sz w:val="32"/>
          <w:highlight w:val="none"/>
        </w:rPr>
      </w:pPr>
      <w:r>
        <w:rPr>
          <w:rFonts w:hint="eastAsia" w:hAnsi="宋体"/>
          <w:b/>
          <w:color w:val="000000"/>
          <w:sz w:val="32"/>
          <w:highlight w:val="none"/>
        </w:rPr>
        <w:t>授权委托书（格式二）</w:t>
      </w:r>
      <w:bookmarkEnd w:id="388"/>
      <w:bookmarkEnd w:id="389"/>
    </w:p>
    <w:p w14:paraId="289322E4">
      <w:pPr>
        <w:snapToGrid w:val="0"/>
        <w:spacing w:line="400" w:lineRule="exact"/>
        <w:rPr>
          <w:rFonts w:hint="eastAsia" w:ascii="宋体" w:hAnsi="宋体" w:eastAsia="宋体" w:cs="宋体"/>
          <w:color w:val="000000"/>
          <w:highlight w:val="none"/>
          <w:lang w:eastAsia="zh-CN"/>
        </w:rPr>
      </w:pPr>
      <w:r>
        <w:rPr>
          <w:rFonts w:hint="eastAsia" w:ascii="宋体" w:hAnsi="宋体" w:cs="宋体"/>
          <w:b/>
          <w:color w:val="000000"/>
          <w:szCs w:val="21"/>
          <w:highlight w:val="none"/>
        </w:rPr>
        <w:t>致</w:t>
      </w:r>
      <w:r>
        <w:rPr>
          <w:rFonts w:hint="eastAsia" w:ascii="宋体" w:hAnsi="宋体" w:cs="宋体"/>
          <w:color w:val="000000"/>
          <w:szCs w:val="21"/>
          <w:highlight w:val="none"/>
        </w:rPr>
        <w:t>：</w:t>
      </w:r>
      <w:r>
        <w:rPr>
          <w:rFonts w:hint="eastAsia" w:ascii="宋体" w:hAnsi="宋体" w:cs="宋体"/>
          <w:color w:val="000000"/>
          <w:highlight w:val="none"/>
          <w:u w:val="single"/>
          <w:lang w:eastAsia="zh-CN"/>
        </w:rPr>
        <w:t>中佳信建设管理集团有限公司</w:t>
      </w:r>
    </w:p>
    <w:p w14:paraId="2C8E2282">
      <w:pPr>
        <w:snapToGrid w:val="0"/>
        <w:spacing w:line="400" w:lineRule="exact"/>
        <w:rPr>
          <w:rFonts w:ascii="宋体" w:hAnsi="宋体" w:cs="宋体"/>
          <w:color w:val="000000"/>
          <w:szCs w:val="21"/>
          <w:highlight w:val="none"/>
          <w:u w:val="single"/>
        </w:rPr>
      </w:pPr>
    </w:p>
    <w:p w14:paraId="7FE68708">
      <w:pPr>
        <w:pStyle w:val="11"/>
        <w:spacing w:line="340" w:lineRule="exact"/>
        <w:ind w:firstLine="420" w:firstLineChars="200"/>
        <w:rPr>
          <w:rFonts w:hAnsi="宋体" w:cs="宋体"/>
          <w:color w:val="000000"/>
          <w:sz w:val="21"/>
          <w:highlight w:val="none"/>
        </w:rPr>
      </w:pPr>
      <w:r>
        <w:rPr>
          <w:rFonts w:hint="eastAsia" w:hAnsi="宋体" w:cs="宋体"/>
          <w:color w:val="000000"/>
          <w:sz w:val="21"/>
          <w:highlight w:val="none"/>
        </w:rPr>
        <w:t>我</w:t>
      </w:r>
      <w:r>
        <w:rPr>
          <w:rFonts w:hint="eastAsia" w:hAnsi="宋体" w:cs="宋体"/>
          <w:color w:val="000000"/>
          <w:sz w:val="21"/>
          <w:highlight w:val="none"/>
          <w:u w:val="single"/>
        </w:rPr>
        <w:t xml:space="preserve">              </w:t>
      </w:r>
      <w:r>
        <w:rPr>
          <w:rFonts w:hint="eastAsia" w:hAnsi="宋体" w:cs="宋体"/>
          <w:color w:val="000000"/>
          <w:sz w:val="21"/>
          <w:highlight w:val="none"/>
        </w:rPr>
        <w:t>（姓名）系自然人，现授权委托</w:t>
      </w:r>
      <w:r>
        <w:rPr>
          <w:rFonts w:hint="eastAsia" w:hAnsi="宋体" w:cs="宋体"/>
          <w:color w:val="000000"/>
          <w:sz w:val="21"/>
          <w:highlight w:val="none"/>
          <w:u w:val="single"/>
        </w:rPr>
        <w:t xml:space="preserve">            </w:t>
      </w:r>
      <w:r>
        <w:rPr>
          <w:rFonts w:hint="eastAsia" w:hAnsi="宋体" w:cs="宋体"/>
          <w:color w:val="000000"/>
          <w:sz w:val="21"/>
          <w:highlight w:val="none"/>
        </w:rPr>
        <w:t>（姓 名），身份证号码：</w:t>
      </w:r>
      <w:r>
        <w:rPr>
          <w:rFonts w:hint="eastAsia" w:hAnsi="宋体" w:cs="宋体"/>
          <w:color w:val="000000"/>
          <w:sz w:val="21"/>
          <w:highlight w:val="none"/>
          <w:u w:val="single"/>
        </w:rPr>
        <w:t xml:space="preserve">              </w:t>
      </w:r>
      <w:r>
        <w:rPr>
          <w:rFonts w:hint="eastAsia" w:hAnsi="宋体" w:cs="宋体"/>
          <w:color w:val="000000"/>
          <w:sz w:val="21"/>
          <w:highlight w:val="none"/>
        </w:rPr>
        <w:t>以本人名义参加</w:t>
      </w:r>
      <w:r>
        <w:rPr>
          <w:rFonts w:hint="eastAsia" w:hAnsi="宋体" w:cs="宋体"/>
          <w:color w:val="000000"/>
          <w:sz w:val="21"/>
          <w:highlight w:val="none"/>
          <w:u w:val="single"/>
        </w:rPr>
        <w:t xml:space="preserve">      （项目名称及项目编号）        </w:t>
      </w:r>
      <w:r>
        <w:rPr>
          <w:rFonts w:hint="eastAsia" w:hAnsi="宋体" w:cs="宋体"/>
          <w:color w:val="000000"/>
          <w:sz w:val="21"/>
          <w:highlight w:val="none"/>
        </w:rPr>
        <w:t>项目的投标活动，并代表本人全权办理针对上述项目的投标、开标、评标、签约等具体事务和签署相关文件。</w:t>
      </w:r>
    </w:p>
    <w:p w14:paraId="15E49DFA">
      <w:pPr>
        <w:pStyle w:val="11"/>
        <w:spacing w:line="340" w:lineRule="exact"/>
        <w:ind w:firstLine="420" w:firstLineChars="200"/>
        <w:rPr>
          <w:rFonts w:hAnsi="宋体" w:cs="宋体"/>
          <w:color w:val="000000"/>
          <w:sz w:val="21"/>
          <w:highlight w:val="none"/>
        </w:rPr>
      </w:pPr>
      <w:r>
        <w:rPr>
          <w:rFonts w:hint="eastAsia" w:hAnsi="宋体" w:cs="宋体"/>
          <w:color w:val="000000"/>
          <w:sz w:val="21"/>
          <w:highlight w:val="none"/>
        </w:rPr>
        <w:t>本人对被授权人的签字事项负全部责任。</w:t>
      </w:r>
    </w:p>
    <w:p w14:paraId="5915EDC0">
      <w:pPr>
        <w:pStyle w:val="11"/>
        <w:spacing w:line="400" w:lineRule="exact"/>
        <w:ind w:firstLine="420" w:firstLineChars="200"/>
        <w:rPr>
          <w:rFonts w:hAnsi="宋体" w:cs="宋体"/>
          <w:color w:val="000000"/>
          <w:sz w:val="21"/>
          <w:highlight w:val="none"/>
          <w:u w:val="single"/>
        </w:rPr>
      </w:pPr>
      <w:r>
        <w:rPr>
          <w:rFonts w:hint="eastAsia" w:hAnsi="宋体" w:cs="宋体"/>
          <w:color w:val="000000"/>
          <w:sz w:val="21"/>
          <w:highlight w:val="none"/>
        </w:rPr>
        <w:t>授权委托代理期限：自即日起至该项目政府采购活动结束。</w:t>
      </w:r>
    </w:p>
    <w:p w14:paraId="3B2E22C4">
      <w:pPr>
        <w:pStyle w:val="11"/>
        <w:spacing w:line="340" w:lineRule="exact"/>
        <w:ind w:firstLine="400" w:firstLineChars="200"/>
        <w:rPr>
          <w:rFonts w:hAnsi="宋体" w:cs="宋体"/>
          <w:color w:val="000000"/>
          <w:highlight w:val="none"/>
          <w:u w:val="single"/>
        </w:rPr>
      </w:pPr>
    </w:p>
    <w:p w14:paraId="2E30ACC9">
      <w:pPr>
        <w:pStyle w:val="11"/>
        <w:spacing w:line="340" w:lineRule="exact"/>
        <w:rPr>
          <w:rFonts w:hAnsi="宋体" w:cs="宋体"/>
          <w:color w:val="000000"/>
          <w:highlight w:val="none"/>
          <w:u w:val="single"/>
        </w:rPr>
      </w:pPr>
      <w:r>
        <w:rPr>
          <w:rFonts w:hint="eastAsia" w:hAnsi="宋体" w:cs="宋体"/>
          <w:color w:val="000000"/>
          <w:highlight w:val="none"/>
        </w:rPr>
        <w:t xml:space="preserve">                                                                                             </w:t>
      </w:r>
    </w:p>
    <w:p w14:paraId="0B742190">
      <w:pPr>
        <w:spacing w:line="3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rPr>
        <w:t xml:space="preserve">代理人无转委托权,特此委托。 </w:t>
      </w:r>
    </w:p>
    <w:p w14:paraId="2C9C0804">
      <w:pPr>
        <w:snapToGrid w:val="0"/>
        <w:spacing w:line="340" w:lineRule="exact"/>
        <w:ind w:firstLine="525"/>
        <w:rPr>
          <w:rFonts w:ascii="宋体" w:hAnsi="宋体" w:cs="宋体"/>
          <w:color w:val="000000"/>
          <w:szCs w:val="21"/>
          <w:highlight w:val="none"/>
        </w:rPr>
      </w:pPr>
    </w:p>
    <w:p w14:paraId="67E7C132">
      <w:pPr>
        <w:snapToGrid w:val="0"/>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我已在下面签字，以资证明。</w:t>
      </w:r>
    </w:p>
    <w:p w14:paraId="73CEF6D3">
      <w:pPr>
        <w:snapToGrid w:val="0"/>
        <w:spacing w:line="340" w:lineRule="exact"/>
        <w:ind w:firstLine="420"/>
        <w:rPr>
          <w:rFonts w:ascii="宋体" w:hAnsi="宋体" w:cs="宋体"/>
          <w:color w:val="000000"/>
          <w:szCs w:val="21"/>
          <w:highlight w:val="none"/>
        </w:rPr>
      </w:pPr>
    </w:p>
    <w:p w14:paraId="64F893F0">
      <w:pPr>
        <w:snapToGrid w:val="0"/>
        <w:spacing w:line="340" w:lineRule="exact"/>
        <w:ind w:firstLine="420"/>
        <w:rPr>
          <w:rFonts w:ascii="宋体" w:hAnsi="宋体" w:cs="宋体"/>
          <w:color w:val="000000"/>
          <w:szCs w:val="21"/>
          <w:highlight w:val="none"/>
        </w:rPr>
      </w:pPr>
      <w:r>
        <w:rPr>
          <w:rFonts w:hint="eastAsia" w:ascii="宋体" w:hAnsi="宋体" w:cs="宋体"/>
          <w:color w:val="000000"/>
          <w:szCs w:val="21"/>
          <w:highlight w:val="none"/>
        </w:rPr>
        <w:t>自然人签字并在签名处加盖大拇指指印或个人CA签章：</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44177F39">
      <w:pPr>
        <w:rPr>
          <w:color w:val="000000"/>
          <w:highlight w:val="none"/>
        </w:rPr>
      </w:pPr>
    </w:p>
    <w:p w14:paraId="60940C5E">
      <w:pPr>
        <w:pStyle w:val="12"/>
        <w:ind w:firstLine="420" w:firstLineChars="200"/>
        <w:rPr>
          <w:color w:val="000000"/>
          <w:highlight w:val="none"/>
        </w:rPr>
      </w:pPr>
      <w:r>
        <w:rPr>
          <w:rFonts w:hint="eastAsia" w:hAnsi="宋体"/>
          <w:b/>
          <w:color w:val="000000"/>
          <w:sz w:val="21"/>
          <w:szCs w:val="21"/>
          <w:highlight w:val="none"/>
          <w:lang w:eastAsia="zh-CN"/>
        </w:rPr>
        <w:t>附：</w:t>
      </w:r>
      <w:r>
        <w:rPr>
          <w:rFonts w:hint="eastAsia" w:ascii="宋体" w:hAnsi="宋体"/>
          <w:b/>
          <w:color w:val="000000"/>
          <w:sz w:val="21"/>
          <w:szCs w:val="21"/>
          <w:highlight w:val="none"/>
        </w:rPr>
        <w:t>委托代理人身份证正反面</w:t>
      </w:r>
      <w:r>
        <w:rPr>
          <w:rFonts w:hint="eastAsia" w:hAnsi="宋体"/>
          <w:b/>
          <w:color w:val="000000"/>
          <w:sz w:val="21"/>
          <w:szCs w:val="21"/>
          <w:highlight w:val="none"/>
          <w:lang w:eastAsia="zh-CN"/>
        </w:rPr>
        <w:t>扫描件</w:t>
      </w:r>
    </w:p>
    <w:p w14:paraId="677F4208">
      <w:pPr>
        <w:pStyle w:val="12"/>
        <w:rPr>
          <w:color w:val="000000"/>
          <w:highlight w:val="none"/>
        </w:rPr>
      </w:pPr>
    </w:p>
    <w:p w14:paraId="06282979">
      <w:pPr>
        <w:pStyle w:val="12"/>
        <w:rPr>
          <w:color w:val="000000"/>
          <w:highlight w:val="none"/>
        </w:rPr>
      </w:pPr>
    </w:p>
    <w:p w14:paraId="3B41C263">
      <w:pPr>
        <w:pStyle w:val="12"/>
        <w:rPr>
          <w:color w:val="000000"/>
          <w:highlight w:val="none"/>
        </w:rPr>
      </w:pPr>
    </w:p>
    <w:p w14:paraId="75EF7870">
      <w:pPr>
        <w:pStyle w:val="12"/>
        <w:rPr>
          <w:color w:val="000000"/>
          <w:highlight w:val="none"/>
        </w:rPr>
      </w:pPr>
    </w:p>
    <w:p w14:paraId="73F547CA">
      <w:pPr>
        <w:pStyle w:val="12"/>
        <w:rPr>
          <w:color w:val="000000"/>
          <w:highlight w:val="none"/>
        </w:rPr>
      </w:pPr>
    </w:p>
    <w:p w14:paraId="6A2A5168">
      <w:pPr>
        <w:pStyle w:val="12"/>
        <w:rPr>
          <w:color w:val="000000"/>
          <w:highlight w:val="none"/>
        </w:rPr>
      </w:pPr>
    </w:p>
    <w:p w14:paraId="2AE3AC38">
      <w:pPr>
        <w:pStyle w:val="12"/>
        <w:rPr>
          <w:color w:val="000000"/>
          <w:highlight w:val="none"/>
        </w:rPr>
      </w:pPr>
    </w:p>
    <w:p w14:paraId="12E13E00">
      <w:pPr>
        <w:pStyle w:val="12"/>
        <w:rPr>
          <w:color w:val="000000"/>
          <w:highlight w:val="none"/>
        </w:rPr>
      </w:pPr>
    </w:p>
    <w:p w14:paraId="7AB8EA6D">
      <w:pPr>
        <w:pStyle w:val="12"/>
        <w:rPr>
          <w:color w:val="000000"/>
          <w:highlight w:val="none"/>
        </w:rPr>
      </w:pPr>
    </w:p>
    <w:p w14:paraId="7762D108">
      <w:pPr>
        <w:pStyle w:val="12"/>
        <w:rPr>
          <w:color w:val="000000"/>
          <w:highlight w:val="none"/>
        </w:rPr>
      </w:pPr>
    </w:p>
    <w:p w14:paraId="22192364">
      <w:pPr>
        <w:pStyle w:val="12"/>
        <w:rPr>
          <w:color w:val="000000"/>
          <w:highlight w:val="none"/>
        </w:rPr>
      </w:pPr>
    </w:p>
    <w:p w14:paraId="5AB76BE3">
      <w:pPr>
        <w:pStyle w:val="12"/>
        <w:rPr>
          <w:color w:val="000000"/>
          <w:highlight w:val="none"/>
        </w:rPr>
      </w:pPr>
    </w:p>
    <w:p w14:paraId="5028802E">
      <w:pPr>
        <w:pStyle w:val="8"/>
        <w:rPr>
          <w:color w:val="000000"/>
          <w:highlight w:val="none"/>
        </w:rPr>
      </w:pPr>
    </w:p>
    <w:p w14:paraId="6ECAC163">
      <w:pPr>
        <w:pStyle w:val="11"/>
        <w:spacing w:line="340" w:lineRule="exact"/>
        <w:ind w:left="0" w:leftChars="0" w:firstLine="0" w:firstLineChars="0"/>
        <w:rPr>
          <w:rFonts w:hAnsi="宋体"/>
          <w:b/>
          <w:color w:val="000000"/>
          <w:sz w:val="32"/>
          <w:szCs w:val="32"/>
          <w:highlight w:val="none"/>
        </w:rPr>
      </w:pPr>
      <w:r>
        <w:rPr>
          <w:rFonts w:hint="eastAsia"/>
          <w:b/>
          <w:color w:val="000000"/>
          <w:sz w:val="28"/>
          <w:szCs w:val="28"/>
          <w:highlight w:val="none"/>
        </w:rPr>
        <w:t>3</w:t>
      </w:r>
      <w:r>
        <w:rPr>
          <w:b/>
          <w:color w:val="000000"/>
          <w:sz w:val="28"/>
          <w:szCs w:val="28"/>
          <w:highlight w:val="none"/>
        </w:rPr>
        <w:t>.</w:t>
      </w:r>
      <w:r>
        <w:rPr>
          <w:rFonts w:hint="eastAsia"/>
          <w:b/>
          <w:color w:val="000000"/>
          <w:sz w:val="28"/>
          <w:szCs w:val="28"/>
          <w:highlight w:val="none"/>
          <w:lang w:eastAsia="zh-CN"/>
        </w:rPr>
        <w:t>供应商</w:t>
      </w:r>
      <w:r>
        <w:rPr>
          <w:rFonts w:hint="eastAsia"/>
          <w:b/>
          <w:color w:val="000000"/>
          <w:sz w:val="28"/>
          <w:szCs w:val="28"/>
          <w:highlight w:val="none"/>
        </w:rPr>
        <w:t>参加政府采购活动前3年内在经营活动中没有重大违法记录及有关信用信息的书面声明（必须提供）；</w:t>
      </w:r>
    </w:p>
    <w:p w14:paraId="1C9191BA">
      <w:pPr>
        <w:pStyle w:val="11"/>
        <w:spacing w:line="400" w:lineRule="exact"/>
        <w:ind w:left="420" w:leftChars="200" w:firstLine="156" w:firstLineChars="49"/>
        <w:rPr>
          <w:rFonts w:hint="eastAsia" w:hAnsi="宋体"/>
          <w:b/>
          <w:color w:val="000000"/>
          <w:sz w:val="32"/>
          <w:szCs w:val="32"/>
          <w:highlight w:val="none"/>
        </w:rPr>
      </w:pPr>
    </w:p>
    <w:p w14:paraId="06C5759B">
      <w:pPr>
        <w:pStyle w:val="11"/>
        <w:spacing w:line="400" w:lineRule="exact"/>
        <w:ind w:left="420" w:leftChars="200" w:firstLine="156" w:firstLineChars="49"/>
        <w:rPr>
          <w:rFonts w:hint="eastAsia" w:hAnsi="宋体"/>
          <w:b/>
          <w:color w:val="000000"/>
          <w:sz w:val="32"/>
          <w:szCs w:val="32"/>
          <w:highlight w:val="none"/>
        </w:rPr>
      </w:pPr>
    </w:p>
    <w:p w14:paraId="21C6540C">
      <w:pPr>
        <w:pStyle w:val="11"/>
        <w:spacing w:line="400" w:lineRule="exact"/>
        <w:ind w:left="420" w:leftChars="200" w:firstLine="156" w:firstLineChars="49"/>
        <w:rPr>
          <w:rFonts w:hAnsi="宋体"/>
          <w:b/>
          <w:color w:val="000000"/>
          <w:sz w:val="32"/>
          <w:szCs w:val="32"/>
          <w:highlight w:val="none"/>
        </w:rPr>
      </w:pPr>
      <w:r>
        <w:rPr>
          <w:rFonts w:hint="eastAsia" w:hAnsi="宋体"/>
          <w:b/>
          <w:color w:val="000000"/>
          <w:sz w:val="32"/>
          <w:szCs w:val="32"/>
          <w:highlight w:val="none"/>
        </w:rPr>
        <w:t>附件：</w:t>
      </w:r>
    </w:p>
    <w:p w14:paraId="408E0293">
      <w:pPr>
        <w:pStyle w:val="11"/>
        <w:spacing w:line="400" w:lineRule="exact"/>
        <w:jc w:val="center"/>
        <w:rPr>
          <w:rFonts w:hAnsi="宋体"/>
          <w:b/>
          <w:color w:val="000000"/>
          <w:sz w:val="32"/>
          <w:szCs w:val="32"/>
          <w:highlight w:val="none"/>
        </w:rPr>
      </w:pPr>
      <w:bookmarkStart w:id="390" w:name="_Toc30304_WPSOffice_Level1"/>
      <w:bookmarkStart w:id="391" w:name="_Toc30890_WPSOffice_Level1"/>
      <w:r>
        <w:rPr>
          <w:rFonts w:hint="eastAsia" w:hAnsi="宋体"/>
          <w:b/>
          <w:color w:val="000000"/>
          <w:sz w:val="32"/>
          <w:szCs w:val="32"/>
          <w:highlight w:val="none"/>
        </w:rPr>
        <w:t>声</w:t>
      </w:r>
      <w:r>
        <w:rPr>
          <w:rFonts w:hAnsi="宋体"/>
          <w:b/>
          <w:color w:val="000000"/>
          <w:sz w:val="32"/>
          <w:szCs w:val="32"/>
          <w:highlight w:val="none"/>
        </w:rPr>
        <w:t xml:space="preserve">   </w:t>
      </w:r>
      <w:r>
        <w:rPr>
          <w:rFonts w:hint="eastAsia" w:hAnsi="宋体"/>
          <w:b/>
          <w:color w:val="000000"/>
          <w:sz w:val="32"/>
          <w:szCs w:val="32"/>
          <w:highlight w:val="none"/>
        </w:rPr>
        <w:t>明</w:t>
      </w:r>
      <w:bookmarkEnd w:id="390"/>
      <w:bookmarkEnd w:id="391"/>
    </w:p>
    <w:p w14:paraId="4AE6116F">
      <w:pPr>
        <w:snapToGrid w:val="0"/>
        <w:spacing w:line="400" w:lineRule="exact"/>
        <w:outlineLvl w:val="4"/>
        <w:rPr>
          <w:rFonts w:hint="eastAsia" w:ascii="宋体" w:hAnsi="宋体" w:cs="宋体"/>
          <w:color w:val="000000"/>
          <w:szCs w:val="21"/>
          <w:highlight w:val="none"/>
        </w:rPr>
      </w:pPr>
      <w:r>
        <w:rPr>
          <w:rFonts w:hint="eastAsia" w:ascii="宋体" w:hAnsi="宋体"/>
          <w:b/>
          <w:color w:val="000000"/>
          <w:szCs w:val="21"/>
          <w:highlight w:val="none"/>
        </w:rPr>
        <w:t>致</w:t>
      </w:r>
      <w:r>
        <w:rPr>
          <w:rFonts w:hint="eastAsia" w:ascii="宋体" w:hAnsi="宋体"/>
          <w:color w:val="000000"/>
          <w:szCs w:val="21"/>
          <w:highlight w:val="none"/>
        </w:rPr>
        <w:t>：</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中佳信建设管理集团有限公司</w:t>
      </w:r>
      <w:r>
        <w:rPr>
          <w:rFonts w:hint="eastAsia" w:ascii="宋体" w:hAnsi="宋体" w:cs="宋体"/>
          <w:color w:val="000000"/>
          <w:szCs w:val="21"/>
          <w:highlight w:val="none"/>
          <w:u w:val="single"/>
        </w:rPr>
        <w:t xml:space="preserve"> </w:t>
      </w:r>
    </w:p>
    <w:p w14:paraId="30735081">
      <w:pPr>
        <w:snapToGrid w:val="0"/>
        <w:spacing w:line="400" w:lineRule="exact"/>
        <w:rPr>
          <w:rFonts w:hint="eastAsia" w:ascii="宋体" w:hAnsi="宋体" w:cs="宋体"/>
          <w:color w:val="000000"/>
          <w:szCs w:val="21"/>
          <w:highlight w:val="none"/>
          <w:u w:val="single"/>
        </w:rPr>
      </w:pPr>
    </w:p>
    <w:p w14:paraId="0CD79B08">
      <w:pPr>
        <w:pStyle w:val="11"/>
        <w:spacing w:line="400" w:lineRule="exact"/>
        <w:ind w:firstLine="420" w:firstLineChars="200"/>
        <w:rPr>
          <w:rFonts w:hint="eastAsia" w:hAnsi="宋体" w:cs="宋体"/>
          <w:color w:val="000000"/>
          <w:sz w:val="21"/>
          <w:highlight w:val="none"/>
        </w:rPr>
      </w:pPr>
      <w:r>
        <w:rPr>
          <w:rFonts w:hint="eastAsia" w:hAnsi="宋体" w:cs="宋体"/>
          <w:color w:val="000000"/>
          <w:sz w:val="21"/>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FF0E466">
      <w:pPr>
        <w:snapToGrid w:val="0"/>
        <w:spacing w:line="400" w:lineRule="exact"/>
        <w:ind w:firstLine="420"/>
        <w:rPr>
          <w:rFonts w:ascii="宋体"/>
          <w:color w:val="000000"/>
          <w:szCs w:val="21"/>
          <w:highlight w:val="none"/>
        </w:rPr>
      </w:pPr>
    </w:p>
    <w:p w14:paraId="473E09B3">
      <w:pPr>
        <w:snapToGrid w:val="0"/>
        <w:spacing w:line="400" w:lineRule="exact"/>
        <w:ind w:firstLine="1890" w:firstLineChars="900"/>
        <w:rPr>
          <w:rFonts w:hint="eastAsia" w:hAnsi="宋体"/>
          <w:color w:val="000000"/>
          <w:highlight w:val="none"/>
        </w:rPr>
      </w:pPr>
      <w:r>
        <w:rPr>
          <w:rFonts w:hint="eastAsia" w:ascii="宋体" w:hAnsi="宋体" w:cs="宋体"/>
          <w:color w:val="000000"/>
          <w:szCs w:val="21"/>
          <w:highlight w:val="none"/>
        </w:rPr>
        <w:t>供应商[公章(CA签章)，自然人签字或个人CA签章]：</w:t>
      </w:r>
      <w:r>
        <w:rPr>
          <w:rFonts w:hint="eastAsia" w:ascii="宋体" w:hAnsi="宋体" w:cs="宋体"/>
          <w:color w:val="000000"/>
          <w:szCs w:val="21"/>
          <w:highlight w:val="none"/>
          <w:u w:val="single"/>
        </w:rPr>
        <w:t xml:space="preserve">                                         </w:t>
      </w:r>
    </w:p>
    <w:p w14:paraId="6488367E">
      <w:pPr>
        <w:pStyle w:val="11"/>
        <w:ind w:firstLine="3800" w:firstLineChars="1900"/>
        <w:rPr>
          <w:rFonts w:hint="eastAsia" w:hAnsi="宋体"/>
          <w:color w:val="000000"/>
          <w:highlight w:val="none"/>
        </w:rPr>
      </w:pPr>
    </w:p>
    <w:p w14:paraId="025CD180">
      <w:pPr>
        <w:pStyle w:val="11"/>
        <w:ind w:firstLine="5000" w:firstLineChars="2500"/>
        <w:rPr>
          <w:rFonts w:hAnsi="宋体"/>
          <w:color w:val="000000"/>
          <w:highlight w:val="none"/>
          <w:u w:val="single"/>
        </w:rPr>
      </w:pPr>
      <w:r>
        <w:rPr>
          <w:rFonts w:hint="eastAsia" w:hAnsi="宋体"/>
          <w:color w:val="000000"/>
          <w:highlight w:val="none"/>
        </w:rPr>
        <w:t>日</w:t>
      </w:r>
      <w:r>
        <w:rPr>
          <w:rFonts w:hAnsi="宋体"/>
          <w:color w:val="000000"/>
          <w:highlight w:val="none"/>
        </w:rPr>
        <w:t xml:space="preserve">          </w:t>
      </w:r>
      <w:r>
        <w:rPr>
          <w:rFonts w:hint="eastAsia" w:hAnsi="宋体"/>
          <w:color w:val="000000"/>
          <w:highlight w:val="none"/>
        </w:rPr>
        <w:t>期：</w:t>
      </w:r>
      <w:r>
        <w:rPr>
          <w:rFonts w:hAnsi="宋体"/>
          <w:color w:val="000000"/>
          <w:highlight w:val="none"/>
          <w:u w:val="single"/>
        </w:rPr>
        <w:t xml:space="preserve">    </w:t>
      </w:r>
      <w:r>
        <w:rPr>
          <w:rFonts w:hint="eastAsia" w:hAnsi="宋体"/>
          <w:color w:val="000000"/>
          <w:highlight w:val="none"/>
          <w:u w:val="single"/>
        </w:rPr>
        <w:t xml:space="preserve">   </w:t>
      </w:r>
      <w:r>
        <w:rPr>
          <w:rFonts w:hAnsi="宋体"/>
          <w:color w:val="000000"/>
          <w:highlight w:val="none"/>
          <w:u w:val="single"/>
        </w:rPr>
        <w:t xml:space="preserve">    </w:t>
      </w:r>
      <w:r>
        <w:rPr>
          <w:rFonts w:hint="eastAsia" w:hAnsi="宋体"/>
          <w:color w:val="000000"/>
          <w:highlight w:val="none"/>
          <w:u w:val="single"/>
        </w:rPr>
        <w:t xml:space="preserve">                 </w:t>
      </w:r>
      <w:r>
        <w:rPr>
          <w:rFonts w:hAnsi="宋体"/>
          <w:color w:val="000000"/>
          <w:highlight w:val="none"/>
          <w:u w:val="single"/>
        </w:rPr>
        <w:t xml:space="preserve">  </w:t>
      </w:r>
    </w:p>
    <w:p w14:paraId="02D6463D">
      <w:pPr>
        <w:pStyle w:val="11"/>
        <w:spacing w:line="340" w:lineRule="exact"/>
        <w:rPr>
          <w:b/>
          <w:color w:val="000000"/>
          <w:sz w:val="28"/>
          <w:szCs w:val="28"/>
          <w:highlight w:val="none"/>
        </w:rPr>
      </w:pPr>
    </w:p>
    <w:p w14:paraId="4521D480">
      <w:pPr>
        <w:pStyle w:val="6"/>
        <w:rPr>
          <w:b/>
          <w:color w:val="000000"/>
          <w:sz w:val="28"/>
          <w:szCs w:val="28"/>
          <w:highlight w:val="none"/>
        </w:rPr>
      </w:pPr>
    </w:p>
    <w:p w14:paraId="762CC735">
      <w:pPr>
        <w:pStyle w:val="12"/>
        <w:ind w:firstLine="0"/>
        <w:rPr>
          <w:b/>
          <w:color w:val="000000"/>
          <w:sz w:val="28"/>
          <w:szCs w:val="28"/>
          <w:highlight w:val="none"/>
        </w:rPr>
      </w:pPr>
    </w:p>
    <w:p w14:paraId="55D5E4EE">
      <w:pPr>
        <w:pStyle w:val="12"/>
        <w:rPr>
          <w:b/>
          <w:color w:val="000000"/>
          <w:sz w:val="28"/>
          <w:szCs w:val="28"/>
          <w:highlight w:val="none"/>
        </w:rPr>
      </w:pPr>
    </w:p>
    <w:p w14:paraId="0E0386FF">
      <w:pPr>
        <w:pStyle w:val="11"/>
        <w:spacing w:line="340" w:lineRule="exact"/>
        <w:rPr>
          <w:b/>
          <w:color w:val="000000"/>
          <w:sz w:val="28"/>
          <w:szCs w:val="28"/>
          <w:highlight w:val="none"/>
        </w:rPr>
      </w:pPr>
      <w:r>
        <w:rPr>
          <w:rFonts w:hint="eastAsia"/>
          <w:b/>
          <w:color w:val="000000"/>
          <w:sz w:val="28"/>
          <w:szCs w:val="28"/>
          <w:highlight w:val="none"/>
        </w:rPr>
        <w:t>4</w:t>
      </w:r>
      <w:r>
        <w:rPr>
          <w:b/>
          <w:color w:val="000000"/>
          <w:sz w:val="28"/>
          <w:szCs w:val="28"/>
          <w:highlight w:val="none"/>
        </w:rPr>
        <w:t>.</w:t>
      </w:r>
      <w:r>
        <w:rPr>
          <w:rFonts w:hint="eastAsia"/>
          <w:b/>
          <w:color w:val="000000"/>
          <w:sz w:val="28"/>
          <w:szCs w:val="28"/>
          <w:highlight w:val="none"/>
        </w:rPr>
        <w:t>供应商的法人或者其他组织营业执照等证明文件扫描件（必须提供，自然人除外）；</w:t>
      </w:r>
    </w:p>
    <w:p w14:paraId="66693C29">
      <w:pPr>
        <w:tabs>
          <w:tab w:val="left" w:pos="1305"/>
        </w:tabs>
        <w:spacing w:line="340" w:lineRule="exact"/>
        <w:rPr>
          <w:rFonts w:ascii="宋体"/>
          <w:b/>
          <w:color w:val="000000"/>
          <w:szCs w:val="21"/>
          <w:highlight w:val="none"/>
        </w:rPr>
      </w:pPr>
    </w:p>
    <w:p w14:paraId="1743B3D2">
      <w:pPr>
        <w:tabs>
          <w:tab w:val="left" w:pos="1305"/>
        </w:tabs>
        <w:spacing w:line="400" w:lineRule="exact"/>
        <w:rPr>
          <w:rFonts w:hint="eastAsia"/>
          <w:b/>
          <w:color w:val="000000"/>
          <w:sz w:val="28"/>
          <w:szCs w:val="28"/>
          <w:highlight w:val="none"/>
        </w:rPr>
      </w:pPr>
      <w:r>
        <w:rPr>
          <w:rFonts w:hint="eastAsia" w:ascii="宋体" w:hAnsi="宋体"/>
          <w:b/>
          <w:color w:val="000000"/>
          <w:szCs w:val="21"/>
          <w:highlight w:val="none"/>
        </w:rPr>
        <w:t>注：①法人包括企业法人、机关法人、事业单位法人和社会团体法人；其他组织主要包括合伙企业、非企业专业服务机构、个体工商户、农村承包经营户。②如供应商为企业（包括合伙企业），应提供</w:t>
      </w:r>
      <w:r>
        <w:rPr>
          <w:rFonts w:hint="eastAsia" w:ascii="宋体" w:hAnsi="宋体"/>
          <w:b/>
          <w:color w:val="000000"/>
          <w:szCs w:val="21"/>
          <w:highlight w:val="none"/>
          <w:lang w:eastAsia="zh-CN"/>
        </w:rPr>
        <w:t>市场监管部门（登记机关）</w:t>
      </w:r>
      <w:r>
        <w:rPr>
          <w:rFonts w:hint="eastAsia" w:ascii="宋体" w:hAnsi="宋体"/>
          <w:b/>
          <w:color w:val="000000"/>
          <w:szCs w:val="21"/>
          <w:highlight w:val="non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b/>
          <w:color w:val="000000"/>
          <w:szCs w:val="21"/>
          <w:highlight w:val="none"/>
          <w:lang w:eastAsia="zh-CN"/>
        </w:rPr>
        <w:t>扫描件</w:t>
      </w:r>
      <w:r>
        <w:rPr>
          <w:rFonts w:hint="eastAsia" w:ascii="宋体" w:hAnsi="宋体"/>
          <w:b/>
          <w:color w:val="000000"/>
          <w:szCs w:val="21"/>
          <w:highlight w:val="none"/>
        </w:rPr>
        <w:t>）</w:t>
      </w:r>
      <w:bookmarkStart w:id="392" w:name="_Toc497927079"/>
      <w:bookmarkStart w:id="393" w:name="_Toc7899"/>
      <w:bookmarkStart w:id="394" w:name="_Toc19582"/>
    </w:p>
    <w:p w14:paraId="4716CA13">
      <w:pPr>
        <w:pStyle w:val="11"/>
        <w:spacing w:line="340" w:lineRule="exact"/>
        <w:outlineLvl w:val="3"/>
        <w:rPr>
          <w:rFonts w:hint="eastAsia"/>
          <w:b/>
          <w:color w:val="000000"/>
          <w:sz w:val="28"/>
          <w:szCs w:val="28"/>
          <w:highlight w:val="none"/>
        </w:rPr>
      </w:pPr>
      <w:r>
        <w:rPr>
          <w:rFonts w:hint="eastAsia"/>
          <w:b/>
          <w:color w:val="000000"/>
          <w:sz w:val="28"/>
          <w:szCs w:val="28"/>
          <w:highlight w:val="none"/>
        </w:rPr>
        <w:t>5.</w:t>
      </w:r>
      <w:r>
        <w:rPr>
          <w:rFonts w:hint="eastAsia"/>
          <w:b/>
          <w:color w:val="000000"/>
          <w:sz w:val="28"/>
          <w:szCs w:val="28"/>
          <w:highlight w:val="none"/>
          <w:lang w:eastAsia="zh-CN"/>
        </w:rPr>
        <w:t>供应商2023年度以来任意一个年度内的财务状况报告（或2024年以来银行出具的资信证明）</w:t>
      </w:r>
      <w:r>
        <w:rPr>
          <w:rFonts w:hint="eastAsia"/>
          <w:b/>
          <w:color w:val="000000"/>
          <w:sz w:val="28"/>
          <w:szCs w:val="28"/>
          <w:highlight w:val="none"/>
        </w:rPr>
        <w:t>（格式自拟，必须提供）；</w:t>
      </w:r>
    </w:p>
    <w:p w14:paraId="4AAC4305">
      <w:pPr>
        <w:pStyle w:val="11"/>
        <w:spacing w:line="340" w:lineRule="exact"/>
        <w:rPr>
          <w:rFonts w:hint="eastAsia"/>
          <w:b/>
          <w:color w:val="000000"/>
          <w:sz w:val="28"/>
          <w:szCs w:val="28"/>
          <w:highlight w:val="none"/>
        </w:rPr>
      </w:pPr>
    </w:p>
    <w:p w14:paraId="44E1917B">
      <w:pPr>
        <w:rPr>
          <w:rFonts w:hint="eastAsia"/>
          <w:color w:val="000000"/>
          <w:highlight w:val="none"/>
        </w:rPr>
      </w:pPr>
    </w:p>
    <w:p w14:paraId="5B8EA695">
      <w:pPr>
        <w:pStyle w:val="12"/>
        <w:rPr>
          <w:rFonts w:hint="eastAsia"/>
          <w:color w:val="000000"/>
          <w:highlight w:val="none"/>
        </w:rPr>
      </w:pPr>
    </w:p>
    <w:p w14:paraId="781723E7">
      <w:pPr>
        <w:pStyle w:val="12"/>
        <w:rPr>
          <w:rFonts w:hint="eastAsia"/>
          <w:color w:val="000000"/>
          <w:highlight w:val="none"/>
        </w:rPr>
      </w:pPr>
    </w:p>
    <w:p w14:paraId="327E1A39">
      <w:pPr>
        <w:pStyle w:val="12"/>
        <w:rPr>
          <w:rFonts w:hint="eastAsia"/>
          <w:color w:val="000000"/>
          <w:highlight w:val="none"/>
        </w:rPr>
      </w:pPr>
    </w:p>
    <w:p w14:paraId="640E5762">
      <w:pPr>
        <w:pStyle w:val="11"/>
        <w:rPr>
          <w:rFonts w:hint="eastAsia"/>
          <w:b/>
          <w:color w:val="000000"/>
          <w:sz w:val="28"/>
          <w:szCs w:val="28"/>
          <w:highlight w:val="none"/>
          <w:lang w:eastAsia="zh-CN"/>
        </w:rPr>
      </w:pPr>
      <w:r>
        <w:rPr>
          <w:rFonts w:hint="eastAsia"/>
          <w:b/>
          <w:color w:val="000000"/>
          <w:sz w:val="28"/>
          <w:szCs w:val="28"/>
          <w:highlight w:val="none"/>
        </w:rPr>
        <w:t>6.供应商截止开标时间前近半年内任意一个月或任一季度依法缴纳税收的证明材料【增值税发票(税收完税证明)或企业所得税完税证明</w:t>
      </w:r>
      <w:r>
        <w:rPr>
          <w:rFonts w:hint="eastAsia"/>
          <w:b/>
          <w:color w:val="000000"/>
          <w:sz w:val="28"/>
          <w:szCs w:val="28"/>
          <w:highlight w:val="none"/>
          <w:lang w:eastAsia="zh-CN"/>
        </w:rPr>
        <w:t>或税务部门出具的免税证明或税务部门出具的无欠税证明</w:t>
      </w:r>
      <w:r>
        <w:rPr>
          <w:rFonts w:hint="eastAsia"/>
          <w:b/>
          <w:color w:val="000000"/>
          <w:sz w:val="28"/>
          <w:szCs w:val="28"/>
          <w:highlight w:val="none"/>
        </w:rPr>
        <w:t>】扫描件（必须提供）</w:t>
      </w:r>
      <w:r>
        <w:rPr>
          <w:rFonts w:hint="eastAsia"/>
          <w:b/>
          <w:color w:val="000000"/>
          <w:sz w:val="28"/>
          <w:szCs w:val="28"/>
          <w:highlight w:val="none"/>
          <w:lang w:eastAsia="zh-CN"/>
        </w:rPr>
        <w:t>；</w:t>
      </w:r>
    </w:p>
    <w:p w14:paraId="5893FA02">
      <w:pPr>
        <w:pStyle w:val="11"/>
        <w:rPr>
          <w:rFonts w:hint="eastAsia"/>
          <w:b/>
          <w:color w:val="000000"/>
          <w:sz w:val="28"/>
          <w:szCs w:val="28"/>
          <w:highlight w:val="none"/>
          <w:lang w:val="en-US" w:eastAsia="zh-CN"/>
        </w:rPr>
      </w:pPr>
    </w:p>
    <w:p w14:paraId="732EADB8">
      <w:pPr>
        <w:pStyle w:val="11"/>
        <w:rPr>
          <w:rFonts w:hint="eastAsia"/>
          <w:b/>
          <w:color w:val="000000"/>
          <w:sz w:val="28"/>
          <w:szCs w:val="28"/>
          <w:highlight w:val="none"/>
          <w:lang w:val="en-US" w:eastAsia="zh-CN"/>
        </w:rPr>
      </w:pPr>
    </w:p>
    <w:p w14:paraId="38883745">
      <w:pPr>
        <w:pStyle w:val="11"/>
        <w:rPr>
          <w:rFonts w:hint="eastAsia"/>
          <w:b/>
          <w:color w:val="000000"/>
          <w:sz w:val="28"/>
          <w:szCs w:val="28"/>
          <w:highlight w:val="none"/>
          <w:lang w:val="en-US" w:eastAsia="zh-CN"/>
        </w:rPr>
      </w:pPr>
    </w:p>
    <w:p w14:paraId="42707635">
      <w:pPr>
        <w:pStyle w:val="11"/>
        <w:rPr>
          <w:rFonts w:hint="eastAsia"/>
          <w:b/>
          <w:color w:val="000000"/>
          <w:sz w:val="28"/>
          <w:szCs w:val="28"/>
          <w:highlight w:val="none"/>
          <w:lang w:val="en-US" w:eastAsia="zh-CN"/>
        </w:rPr>
      </w:pPr>
    </w:p>
    <w:p w14:paraId="2ED7ED1E">
      <w:pPr>
        <w:pStyle w:val="11"/>
        <w:rPr>
          <w:rFonts w:hint="eastAsia"/>
          <w:b/>
          <w:color w:val="000000"/>
          <w:sz w:val="28"/>
          <w:szCs w:val="28"/>
          <w:highlight w:val="none"/>
          <w:lang w:val="en-US" w:eastAsia="zh-CN"/>
        </w:rPr>
      </w:pPr>
    </w:p>
    <w:p w14:paraId="49218E33">
      <w:pPr>
        <w:pStyle w:val="6"/>
        <w:rPr>
          <w:rFonts w:hint="eastAsia"/>
          <w:color w:val="000000"/>
          <w:highlight w:val="none"/>
          <w:lang w:val="en-US" w:eastAsia="zh-CN"/>
        </w:rPr>
      </w:pPr>
    </w:p>
    <w:p w14:paraId="6D638BE3">
      <w:pPr>
        <w:pStyle w:val="11"/>
        <w:rPr>
          <w:color w:val="000000"/>
          <w:highlight w:val="none"/>
        </w:rPr>
      </w:pPr>
    </w:p>
    <w:p w14:paraId="1A2EAAA5">
      <w:pPr>
        <w:pStyle w:val="6"/>
        <w:rPr>
          <w:color w:val="000000"/>
          <w:highlight w:val="none"/>
        </w:rPr>
      </w:pPr>
    </w:p>
    <w:p w14:paraId="5102CAB4">
      <w:pPr>
        <w:rPr>
          <w:color w:val="000000"/>
          <w:highlight w:val="none"/>
        </w:rPr>
      </w:pPr>
    </w:p>
    <w:p w14:paraId="045D852A">
      <w:pPr>
        <w:pStyle w:val="12"/>
        <w:rPr>
          <w:color w:val="000000"/>
          <w:highlight w:val="none"/>
        </w:rPr>
      </w:pPr>
    </w:p>
    <w:p w14:paraId="49F0C95C">
      <w:pPr>
        <w:pStyle w:val="12"/>
        <w:rPr>
          <w:color w:val="000000"/>
          <w:highlight w:val="none"/>
        </w:rPr>
      </w:pPr>
    </w:p>
    <w:p w14:paraId="3D0D19A9">
      <w:pPr>
        <w:pStyle w:val="12"/>
        <w:rPr>
          <w:color w:val="000000"/>
          <w:highlight w:val="none"/>
        </w:rPr>
      </w:pPr>
    </w:p>
    <w:p w14:paraId="22131584">
      <w:pPr>
        <w:pStyle w:val="12"/>
        <w:rPr>
          <w:color w:val="000000"/>
          <w:highlight w:val="none"/>
        </w:rPr>
      </w:pPr>
    </w:p>
    <w:p w14:paraId="1A3867B4">
      <w:pPr>
        <w:numPr>
          <w:ilvl w:val="0"/>
          <w:numId w:val="8"/>
        </w:numPr>
        <w:jc w:val="center"/>
        <w:outlineLvl w:val="2"/>
        <w:rPr>
          <w:b/>
          <w:bCs/>
          <w:color w:val="000000"/>
          <w:sz w:val="32"/>
          <w:szCs w:val="32"/>
          <w:highlight w:val="none"/>
        </w:rPr>
      </w:pPr>
      <w:r>
        <w:rPr>
          <w:b/>
          <w:bCs/>
          <w:color w:val="000000"/>
          <w:sz w:val="32"/>
          <w:szCs w:val="32"/>
          <w:highlight w:val="none"/>
        </w:rPr>
        <w:br w:type="page"/>
      </w:r>
      <w:r>
        <w:rPr>
          <w:b/>
          <w:bCs/>
          <w:color w:val="000000"/>
          <w:sz w:val="32"/>
          <w:szCs w:val="32"/>
          <w:highlight w:val="none"/>
        </w:rPr>
        <w:t>符合性响应证明材料目录</w:t>
      </w:r>
      <w:bookmarkEnd w:id="392"/>
      <w:bookmarkEnd w:id="393"/>
      <w:bookmarkEnd w:id="394"/>
    </w:p>
    <w:p w14:paraId="2B8266C4">
      <w:pPr>
        <w:pStyle w:val="3"/>
        <w:rPr>
          <w:color w:val="000000"/>
          <w:highlight w:val="none"/>
        </w:rPr>
      </w:pPr>
    </w:p>
    <w:p w14:paraId="2AEAA80D">
      <w:pPr>
        <w:spacing w:line="60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1.响应函（格式见附件）</w:t>
      </w:r>
      <w:r>
        <w:rPr>
          <w:rFonts w:hint="eastAsia" w:ascii="宋体" w:hAnsi="宋体" w:cs="宋体"/>
          <w:b/>
          <w:bCs/>
          <w:color w:val="000000"/>
          <w:sz w:val="24"/>
          <w:highlight w:val="none"/>
        </w:rPr>
        <w:t>（必须提供）</w:t>
      </w:r>
      <w:r>
        <w:rPr>
          <w:rFonts w:hint="eastAsia" w:ascii="宋体" w:hAnsi="宋体" w:cs="宋体"/>
          <w:color w:val="000000"/>
          <w:sz w:val="24"/>
          <w:highlight w:val="none"/>
        </w:rPr>
        <w:t>；</w:t>
      </w:r>
    </w:p>
    <w:p w14:paraId="060901F8">
      <w:pPr>
        <w:spacing w:line="60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2.谈判报价表（格式见附件）</w:t>
      </w:r>
      <w:r>
        <w:rPr>
          <w:rFonts w:hint="eastAsia" w:ascii="宋体" w:hAnsi="宋体" w:cs="宋体"/>
          <w:b/>
          <w:bCs/>
          <w:color w:val="000000"/>
          <w:sz w:val="24"/>
          <w:highlight w:val="none"/>
        </w:rPr>
        <w:t>（必须提供）</w:t>
      </w:r>
      <w:r>
        <w:rPr>
          <w:rFonts w:hint="eastAsia" w:ascii="宋体" w:hAnsi="宋体" w:cs="宋体"/>
          <w:color w:val="000000"/>
          <w:sz w:val="24"/>
          <w:highlight w:val="none"/>
        </w:rPr>
        <w:t>；</w:t>
      </w:r>
    </w:p>
    <w:p w14:paraId="4E36E9E1">
      <w:pPr>
        <w:spacing w:line="60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color w:val="000000"/>
          <w:sz w:val="24"/>
          <w:highlight w:val="none"/>
          <w:lang w:eastAsia="zh-CN"/>
        </w:rPr>
        <w:t>服务需求偏离表</w:t>
      </w:r>
      <w:r>
        <w:rPr>
          <w:rFonts w:hint="eastAsia" w:ascii="宋体" w:hAnsi="宋体" w:cs="宋体"/>
          <w:b/>
          <w:bCs/>
          <w:color w:val="000000"/>
          <w:sz w:val="24"/>
          <w:highlight w:val="none"/>
        </w:rPr>
        <w:t>（必须提供）</w:t>
      </w:r>
      <w:r>
        <w:rPr>
          <w:rFonts w:hint="eastAsia" w:ascii="宋体" w:hAnsi="宋体" w:cs="宋体"/>
          <w:color w:val="000000"/>
          <w:sz w:val="24"/>
          <w:highlight w:val="none"/>
        </w:rPr>
        <w:t>；</w:t>
      </w:r>
    </w:p>
    <w:p w14:paraId="5BE91D8C">
      <w:pPr>
        <w:spacing w:line="60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4.商务响应表</w:t>
      </w:r>
      <w:r>
        <w:rPr>
          <w:rFonts w:hint="eastAsia" w:ascii="宋体" w:hAnsi="宋体" w:cs="宋体"/>
          <w:b/>
          <w:bCs/>
          <w:color w:val="000000"/>
          <w:sz w:val="24"/>
          <w:highlight w:val="none"/>
        </w:rPr>
        <w:t>（必须提供）</w:t>
      </w:r>
      <w:r>
        <w:rPr>
          <w:rFonts w:hint="eastAsia" w:ascii="宋体" w:hAnsi="宋体" w:cs="宋体"/>
          <w:color w:val="000000"/>
          <w:sz w:val="24"/>
          <w:highlight w:val="none"/>
        </w:rPr>
        <w:t>；</w:t>
      </w:r>
    </w:p>
    <w:p w14:paraId="4853AD44">
      <w:pPr>
        <w:spacing w:line="60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5.</w:t>
      </w:r>
      <w:r>
        <w:rPr>
          <w:rFonts w:hint="eastAsia" w:ascii="宋体" w:hAnsi="宋体" w:cs="宋体"/>
          <w:color w:val="000000"/>
          <w:sz w:val="24"/>
          <w:highlight w:val="none"/>
          <w:lang w:eastAsia="zh-CN"/>
        </w:rPr>
        <w:t>售后服务承诺书</w:t>
      </w:r>
      <w:r>
        <w:rPr>
          <w:rFonts w:hint="eastAsia" w:ascii="宋体" w:hAnsi="宋体" w:cs="宋体"/>
          <w:color w:val="000000"/>
          <w:sz w:val="24"/>
          <w:highlight w:val="none"/>
        </w:rPr>
        <w:t>（必须包含售后服务要求的全部内容）</w:t>
      </w:r>
      <w:r>
        <w:rPr>
          <w:rFonts w:hint="eastAsia" w:ascii="宋体" w:hAnsi="宋体" w:cs="宋体"/>
          <w:b/>
          <w:bCs/>
          <w:color w:val="000000"/>
          <w:sz w:val="24"/>
          <w:highlight w:val="none"/>
        </w:rPr>
        <w:t>（必须提供）</w:t>
      </w:r>
      <w:r>
        <w:rPr>
          <w:rFonts w:hint="eastAsia" w:ascii="宋体" w:hAnsi="宋体" w:cs="宋体"/>
          <w:color w:val="000000"/>
          <w:sz w:val="24"/>
          <w:highlight w:val="none"/>
        </w:rPr>
        <w:t>；</w:t>
      </w:r>
    </w:p>
    <w:p w14:paraId="18835B69">
      <w:pPr>
        <w:spacing w:line="600" w:lineRule="auto"/>
        <w:ind w:firstLine="480" w:firstLineChars="200"/>
        <w:outlineLvl w:val="3"/>
        <w:rPr>
          <w:rFonts w:hint="eastAsia" w:ascii="宋体" w:hAnsi="宋体" w:cs="宋体"/>
          <w:color w:val="000000"/>
          <w:sz w:val="24"/>
          <w:highlight w:val="none"/>
        </w:rPr>
      </w:pPr>
      <w:r>
        <w:rPr>
          <w:rFonts w:hint="eastAsia" w:ascii="宋体" w:hAnsi="宋体" w:cs="宋体"/>
          <w:color w:val="000000"/>
          <w:sz w:val="24"/>
          <w:highlight w:val="none"/>
        </w:rPr>
        <w:t>6.“采购需求”需提供的有效证明文件（按其要求提供）。</w:t>
      </w:r>
    </w:p>
    <w:p w14:paraId="23DE0A5E">
      <w:pPr>
        <w:spacing w:line="360" w:lineRule="auto"/>
        <w:ind w:firstLine="480" w:firstLineChars="200"/>
        <w:rPr>
          <w:rFonts w:hint="eastAsia" w:ascii="宋体" w:hAnsi="宋体" w:cs="宋体"/>
          <w:b/>
          <w:bCs/>
          <w:color w:val="000000"/>
          <w:sz w:val="24"/>
          <w:highlight w:val="none"/>
        </w:rPr>
      </w:pPr>
    </w:p>
    <w:p w14:paraId="572E1B23">
      <w:pPr>
        <w:spacing w:line="360" w:lineRule="auto"/>
        <w:ind w:firstLine="480"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供应商提供的以上相关证明材料属于“必须提供”的文件应加盖供应商公章（CA签章）/自然人签字或加盖个人CA签章，否则响应无效。</w:t>
      </w:r>
    </w:p>
    <w:p w14:paraId="00B321C1">
      <w:pPr>
        <w:pStyle w:val="5"/>
        <w:rPr>
          <w:rFonts w:hint="eastAsia"/>
          <w:color w:val="000000"/>
          <w:highlight w:val="none"/>
        </w:rPr>
      </w:pPr>
    </w:p>
    <w:p w14:paraId="19991923">
      <w:pPr>
        <w:pStyle w:val="11"/>
        <w:spacing w:line="340" w:lineRule="exact"/>
        <w:rPr>
          <w:b/>
          <w:color w:val="000000"/>
          <w:sz w:val="28"/>
          <w:szCs w:val="28"/>
          <w:highlight w:val="none"/>
        </w:rPr>
      </w:pPr>
    </w:p>
    <w:p w14:paraId="592A1FE9">
      <w:pPr>
        <w:pStyle w:val="11"/>
        <w:spacing w:line="340" w:lineRule="exact"/>
        <w:rPr>
          <w:b/>
          <w:color w:val="000000"/>
          <w:sz w:val="28"/>
          <w:szCs w:val="28"/>
          <w:highlight w:val="none"/>
        </w:rPr>
      </w:pPr>
    </w:p>
    <w:p w14:paraId="20FA9CB0">
      <w:pPr>
        <w:pStyle w:val="6"/>
        <w:rPr>
          <w:b/>
          <w:color w:val="000000"/>
          <w:sz w:val="28"/>
          <w:szCs w:val="28"/>
          <w:highlight w:val="none"/>
        </w:rPr>
      </w:pPr>
    </w:p>
    <w:p w14:paraId="25E3C3D4">
      <w:pPr>
        <w:rPr>
          <w:b/>
          <w:color w:val="000000"/>
          <w:sz w:val="28"/>
          <w:szCs w:val="28"/>
          <w:highlight w:val="none"/>
        </w:rPr>
      </w:pPr>
    </w:p>
    <w:p w14:paraId="037ACB13">
      <w:pPr>
        <w:pStyle w:val="3"/>
        <w:rPr>
          <w:b/>
          <w:color w:val="000000"/>
          <w:szCs w:val="28"/>
          <w:highlight w:val="none"/>
        </w:rPr>
      </w:pPr>
    </w:p>
    <w:p w14:paraId="3857F4A9">
      <w:pPr>
        <w:rPr>
          <w:b/>
          <w:color w:val="000000"/>
          <w:szCs w:val="28"/>
          <w:highlight w:val="none"/>
        </w:rPr>
      </w:pPr>
    </w:p>
    <w:p w14:paraId="5E1EAA56">
      <w:pPr>
        <w:rPr>
          <w:b/>
          <w:color w:val="000000"/>
          <w:szCs w:val="28"/>
          <w:highlight w:val="none"/>
        </w:rPr>
      </w:pPr>
    </w:p>
    <w:p w14:paraId="385AD062">
      <w:pPr>
        <w:rPr>
          <w:b/>
          <w:color w:val="000000"/>
          <w:szCs w:val="28"/>
          <w:highlight w:val="none"/>
        </w:rPr>
      </w:pPr>
    </w:p>
    <w:p w14:paraId="7FADA7A2">
      <w:pPr>
        <w:rPr>
          <w:b/>
          <w:color w:val="000000"/>
          <w:szCs w:val="28"/>
          <w:highlight w:val="none"/>
        </w:rPr>
      </w:pPr>
    </w:p>
    <w:p w14:paraId="4CB1F939">
      <w:pPr>
        <w:rPr>
          <w:b/>
          <w:color w:val="000000"/>
          <w:szCs w:val="28"/>
          <w:highlight w:val="none"/>
        </w:rPr>
      </w:pPr>
    </w:p>
    <w:p w14:paraId="0D3DF1CB">
      <w:pPr>
        <w:rPr>
          <w:b/>
          <w:color w:val="000000"/>
          <w:sz w:val="28"/>
          <w:szCs w:val="28"/>
          <w:highlight w:val="none"/>
        </w:rPr>
      </w:pPr>
    </w:p>
    <w:p w14:paraId="5C92236E">
      <w:pPr>
        <w:rPr>
          <w:b/>
          <w:color w:val="000000"/>
          <w:sz w:val="28"/>
          <w:szCs w:val="28"/>
          <w:highlight w:val="none"/>
        </w:rPr>
      </w:pPr>
      <w:r>
        <w:rPr>
          <w:b/>
          <w:color w:val="000000"/>
          <w:sz w:val="28"/>
          <w:szCs w:val="28"/>
          <w:highlight w:val="none"/>
        </w:rPr>
        <w:br w:type="page"/>
      </w:r>
    </w:p>
    <w:p w14:paraId="7D9E30DA">
      <w:pPr>
        <w:pStyle w:val="11"/>
        <w:numPr>
          <w:ilvl w:val="0"/>
          <w:numId w:val="9"/>
        </w:numPr>
        <w:spacing w:line="340" w:lineRule="exact"/>
        <w:outlineLvl w:val="3"/>
        <w:rPr>
          <w:rFonts w:hint="eastAsia"/>
          <w:b/>
          <w:color w:val="000000"/>
          <w:sz w:val="28"/>
          <w:szCs w:val="28"/>
          <w:highlight w:val="none"/>
        </w:rPr>
      </w:pPr>
      <w:r>
        <w:rPr>
          <w:rFonts w:hint="eastAsia"/>
          <w:b/>
          <w:color w:val="000000"/>
          <w:sz w:val="28"/>
          <w:szCs w:val="28"/>
          <w:highlight w:val="none"/>
        </w:rPr>
        <w:t>响应函（格式见附件）（必须提供）</w:t>
      </w:r>
    </w:p>
    <w:p w14:paraId="0F8B2CAC">
      <w:pPr>
        <w:spacing w:line="440" w:lineRule="atLeast"/>
        <w:rPr>
          <w:rFonts w:ascii="宋体"/>
          <w:b/>
          <w:color w:val="000000"/>
          <w:sz w:val="24"/>
          <w:highlight w:val="none"/>
        </w:rPr>
      </w:pPr>
      <w:r>
        <w:rPr>
          <w:rFonts w:hint="eastAsia" w:ascii="宋体" w:hAnsi="宋体"/>
          <w:b/>
          <w:color w:val="000000"/>
          <w:sz w:val="24"/>
          <w:highlight w:val="none"/>
        </w:rPr>
        <w:t>附件：</w:t>
      </w:r>
    </w:p>
    <w:p w14:paraId="56E9229E">
      <w:pPr>
        <w:pStyle w:val="11"/>
        <w:ind w:firstLine="800" w:firstLineChars="250"/>
        <w:jc w:val="center"/>
        <w:rPr>
          <w:rFonts w:hAnsi="宋体"/>
          <w:b/>
          <w:color w:val="000000"/>
          <w:sz w:val="32"/>
          <w:highlight w:val="none"/>
        </w:rPr>
      </w:pPr>
      <w:r>
        <w:rPr>
          <w:rFonts w:hint="eastAsia" w:hAnsi="宋体"/>
          <w:b/>
          <w:color w:val="000000"/>
          <w:sz w:val="32"/>
          <w:highlight w:val="none"/>
        </w:rPr>
        <w:t>响</w:t>
      </w:r>
      <w:r>
        <w:rPr>
          <w:rFonts w:hAnsi="宋体"/>
          <w:b/>
          <w:color w:val="000000"/>
          <w:sz w:val="32"/>
          <w:highlight w:val="none"/>
        </w:rPr>
        <w:t xml:space="preserve"> </w:t>
      </w:r>
      <w:r>
        <w:rPr>
          <w:rFonts w:hint="eastAsia" w:hAnsi="宋体"/>
          <w:b/>
          <w:color w:val="000000"/>
          <w:sz w:val="32"/>
          <w:highlight w:val="none"/>
        </w:rPr>
        <w:t>应</w:t>
      </w:r>
      <w:r>
        <w:rPr>
          <w:rFonts w:hAnsi="宋体"/>
          <w:b/>
          <w:color w:val="000000"/>
          <w:sz w:val="32"/>
          <w:highlight w:val="none"/>
        </w:rPr>
        <w:t xml:space="preserve"> </w:t>
      </w:r>
      <w:r>
        <w:rPr>
          <w:rFonts w:hint="eastAsia" w:hAnsi="宋体"/>
          <w:b/>
          <w:color w:val="000000"/>
          <w:sz w:val="32"/>
          <w:highlight w:val="none"/>
        </w:rPr>
        <w:t>函</w:t>
      </w:r>
      <w:r>
        <w:rPr>
          <w:rFonts w:hAnsi="宋体"/>
          <w:b/>
          <w:color w:val="000000"/>
          <w:sz w:val="32"/>
          <w:highlight w:val="none"/>
        </w:rPr>
        <w:t xml:space="preserve"> </w:t>
      </w:r>
      <w:r>
        <w:rPr>
          <w:rFonts w:hint="eastAsia" w:hAnsi="宋体"/>
          <w:b/>
          <w:color w:val="000000"/>
          <w:sz w:val="32"/>
          <w:highlight w:val="none"/>
        </w:rPr>
        <w:t>（格</w:t>
      </w:r>
      <w:r>
        <w:rPr>
          <w:rFonts w:hAnsi="宋体"/>
          <w:b/>
          <w:color w:val="000000"/>
          <w:sz w:val="32"/>
          <w:highlight w:val="none"/>
        </w:rPr>
        <w:t xml:space="preserve"> </w:t>
      </w:r>
      <w:r>
        <w:rPr>
          <w:rFonts w:hint="eastAsia" w:hAnsi="宋体"/>
          <w:b/>
          <w:color w:val="000000"/>
          <w:sz w:val="32"/>
          <w:highlight w:val="none"/>
        </w:rPr>
        <w:t>式）</w:t>
      </w:r>
    </w:p>
    <w:p w14:paraId="77F750DA">
      <w:pPr>
        <w:spacing w:line="240" w:lineRule="exact"/>
        <w:jc w:val="center"/>
        <w:rPr>
          <w:rFonts w:ascii="宋体"/>
          <w:color w:val="000000"/>
          <w:sz w:val="32"/>
          <w:highlight w:val="none"/>
        </w:rPr>
      </w:pPr>
    </w:p>
    <w:p w14:paraId="7713FAA5">
      <w:pPr>
        <w:spacing w:line="400" w:lineRule="exac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致</w:t>
      </w:r>
      <w:r>
        <w:rPr>
          <w:rFonts w:hint="eastAsia" w:ascii="宋体" w:hAnsi="宋体" w:cs="宋体"/>
          <w:color w:val="000000"/>
          <w:szCs w:val="21"/>
          <w:highlight w:val="none"/>
          <w:u w:val="single"/>
        </w:rPr>
        <w:t>：</w:t>
      </w:r>
      <w:r>
        <w:rPr>
          <w:rFonts w:hint="eastAsia" w:ascii="宋体" w:hAnsi="宋体" w:cs="宋体"/>
          <w:color w:val="000000"/>
          <w:szCs w:val="21"/>
          <w:highlight w:val="none"/>
          <w:u w:val="single"/>
          <w:lang w:eastAsia="zh-CN"/>
        </w:rPr>
        <w:t>中佳信建设管理集团有限公司</w:t>
      </w:r>
    </w:p>
    <w:p w14:paraId="4D9D562F">
      <w:pPr>
        <w:spacing w:line="400" w:lineRule="exact"/>
        <w:rPr>
          <w:rFonts w:hint="eastAsia" w:ascii="宋体" w:hAnsi="宋体" w:cs="宋体"/>
          <w:color w:val="000000"/>
          <w:szCs w:val="21"/>
          <w:highlight w:val="none"/>
        </w:rPr>
      </w:pPr>
    </w:p>
    <w:p w14:paraId="122937CE">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根据贵方</w:t>
      </w:r>
      <w:r>
        <w:rPr>
          <w:rFonts w:hint="eastAsia" w:hAnsi="宋体" w:cs="宋体"/>
          <w:color w:val="000000"/>
          <w:sz w:val="21"/>
          <w:highlight w:val="none"/>
          <w:u w:val="single"/>
        </w:rPr>
        <w:t xml:space="preserve">       </w:t>
      </w:r>
      <w:r>
        <w:rPr>
          <w:rFonts w:hint="eastAsia" w:hAnsi="宋体" w:cs="宋体"/>
          <w:color w:val="000000"/>
          <w:sz w:val="21"/>
          <w:highlight w:val="none"/>
        </w:rPr>
        <w:t>项目谈判文件，项目编号：</w:t>
      </w:r>
      <w:r>
        <w:rPr>
          <w:rFonts w:hint="eastAsia" w:hAnsi="宋体" w:cs="宋体"/>
          <w:color w:val="000000"/>
          <w:sz w:val="21"/>
          <w:highlight w:val="none"/>
          <w:u w:val="single"/>
        </w:rPr>
        <w:t xml:space="preserve">            </w:t>
      </w:r>
      <w:r>
        <w:rPr>
          <w:rFonts w:hint="eastAsia" w:hAnsi="宋体" w:cs="宋体"/>
          <w:color w:val="000000"/>
          <w:sz w:val="21"/>
          <w:highlight w:val="none"/>
        </w:rPr>
        <w:t>，签字代表</w:t>
      </w:r>
      <w:r>
        <w:rPr>
          <w:rFonts w:hint="eastAsia" w:hAnsi="宋体" w:cs="宋体"/>
          <w:color w:val="000000"/>
          <w:sz w:val="21"/>
          <w:highlight w:val="none"/>
          <w:u w:val="single"/>
        </w:rPr>
        <w:t xml:space="preserve">         </w:t>
      </w:r>
      <w:r>
        <w:rPr>
          <w:rFonts w:hint="eastAsia" w:hAnsi="宋体" w:cs="宋体"/>
          <w:color w:val="000000"/>
          <w:sz w:val="21"/>
          <w:highlight w:val="none"/>
        </w:rPr>
        <w:t xml:space="preserve">（姓名）经正式授权并代表供应商 </w:t>
      </w:r>
      <w:r>
        <w:rPr>
          <w:rFonts w:hint="eastAsia" w:hAnsi="宋体" w:cs="宋体"/>
          <w:color w:val="000000"/>
          <w:sz w:val="21"/>
          <w:highlight w:val="none"/>
          <w:u w:val="single"/>
        </w:rPr>
        <w:t xml:space="preserve">                                   （</w:t>
      </w:r>
      <w:r>
        <w:rPr>
          <w:rFonts w:hint="eastAsia" w:hAnsi="宋体" w:cs="宋体"/>
          <w:color w:val="000000"/>
          <w:sz w:val="21"/>
          <w:highlight w:val="none"/>
        </w:rPr>
        <w:t>供应商单位名称），提交电子响应文件。</w:t>
      </w:r>
    </w:p>
    <w:p w14:paraId="1570DF98">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据此函，签字代表宣布同意如下：</w:t>
      </w:r>
    </w:p>
    <w:p w14:paraId="39CF1FCD">
      <w:pPr>
        <w:pStyle w:val="11"/>
        <w:spacing w:line="360" w:lineRule="exact"/>
        <w:ind w:firstLine="420"/>
        <w:outlineLvl w:val="3"/>
        <w:rPr>
          <w:rFonts w:hint="eastAsia" w:hAnsi="宋体" w:cs="宋体"/>
          <w:color w:val="000000"/>
          <w:sz w:val="21"/>
          <w:highlight w:val="none"/>
        </w:rPr>
      </w:pPr>
      <w:r>
        <w:rPr>
          <w:rFonts w:hint="eastAsia" w:hAnsi="宋体" w:cs="宋体"/>
          <w:color w:val="000000"/>
          <w:sz w:val="21"/>
          <w:highlight w:val="none"/>
        </w:rPr>
        <w:t>1. 按谈判文件采购需求和谈判报价表：</w:t>
      </w:r>
    </w:p>
    <w:p w14:paraId="7710E053">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谈判总报价（大写）</w:t>
      </w:r>
      <w:r>
        <w:rPr>
          <w:rFonts w:hint="eastAsia" w:hAnsi="宋体" w:cs="宋体"/>
          <w:color w:val="000000"/>
          <w:sz w:val="21"/>
          <w:highlight w:val="none"/>
          <w:u w:val="single"/>
        </w:rPr>
        <w:t xml:space="preserve">                </w:t>
      </w:r>
      <w:r>
        <w:rPr>
          <w:rFonts w:hint="eastAsia" w:hAnsi="宋体" w:cs="宋体"/>
          <w:color w:val="000000"/>
          <w:sz w:val="21"/>
          <w:highlight w:val="none"/>
        </w:rPr>
        <w:t>元人民币(¥</w:t>
      </w:r>
      <w:r>
        <w:rPr>
          <w:rFonts w:hint="eastAsia" w:hAnsi="宋体" w:cs="宋体"/>
          <w:color w:val="000000"/>
          <w:sz w:val="21"/>
          <w:highlight w:val="none"/>
          <w:u w:val="single"/>
        </w:rPr>
        <w:t xml:space="preserve">            </w:t>
      </w:r>
      <w:r>
        <w:rPr>
          <w:rFonts w:hint="eastAsia" w:hAnsi="宋体" w:cs="宋体"/>
          <w:color w:val="000000"/>
          <w:sz w:val="21"/>
          <w:highlight w:val="none"/>
        </w:rPr>
        <w:t>)。</w:t>
      </w:r>
    </w:p>
    <w:p w14:paraId="56F7FA5F">
      <w:pPr>
        <w:pStyle w:val="11"/>
        <w:spacing w:line="360" w:lineRule="exact"/>
        <w:ind w:firstLine="420"/>
        <w:outlineLvl w:val="3"/>
        <w:rPr>
          <w:rFonts w:hint="eastAsia" w:hAnsi="宋体" w:cs="宋体"/>
          <w:color w:val="000000"/>
          <w:sz w:val="21"/>
          <w:highlight w:val="none"/>
        </w:rPr>
      </w:pPr>
      <w:r>
        <w:rPr>
          <w:rFonts w:hint="eastAsia" w:hAnsi="宋体" w:cs="宋体"/>
          <w:color w:val="000000"/>
          <w:sz w:val="21"/>
          <w:highlight w:val="none"/>
        </w:rPr>
        <w:t>2.我方承诺已具备谈判文件规定的供应商资格条件。</w:t>
      </w:r>
    </w:p>
    <w:p w14:paraId="36C6C783">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3.我方已详细审核谈判文件，包括修改文件（如有的话）和有关附件，将自行承担因对全部谈判文件理解不正确或误解而产生的相应后果。</w:t>
      </w:r>
    </w:p>
    <w:p w14:paraId="5B66BC39">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4. 响应文件有效期为响应文件递交截止时间之日起90天。</w:t>
      </w:r>
    </w:p>
    <w:p w14:paraId="3B8669FC">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5. 如我方成交：</w:t>
      </w:r>
    </w:p>
    <w:p w14:paraId="2D26DF5C">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（1）我方承诺在收到成交通知书后，在成交通知书规定的期限内与采购人签订合同。</w:t>
      </w:r>
    </w:p>
    <w:p w14:paraId="01B0F406">
      <w:pPr>
        <w:pStyle w:val="11"/>
        <w:spacing w:line="360" w:lineRule="exact"/>
        <w:ind w:firstLine="420"/>
        <w:outlineLvl w:val="4"/>
        <w:rPr>
          <w:rFonts w:hint="eastAsia" w:hAnsi="宋体" w:cs="宋体"/>
          <w:color w:val="000000"/>
          <w:sz w:val="21"/>
          <w:highlight w:val="none"/>
        </w:rPr>
      </w:pPr>
      <w:r>
        <w:rPr>
          <w:rFonts w:hint="eastAsia" w:hAnsi="宋体" w:cs="宋体"/>
          <w:color w:val="000000"/>
          <w:sz w:val="21"/>
          <w:highlight w:val="none"/>
        </w:rPr>
        <w:t>（2）我方承诺按照谈判文件规定递交履约担保。</w:t>
      </w:r>
    </w:p>
    <w:p w14:paraId="2945240B">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（3）我方承诺本响应文件至本项目合同履行完毕止均保持有效，按谈判文件及政府采购法律、法规的规定履行合同责任和义务。</w:t>
      </w:r>
    </w:p>
    <w:p w14:paraId="43CB2CF5">
      <w:pPr>
        <w:pStyle w:val="11"/>
        <w:spacing w:line="360" w:lineRule="exact"/>
        <w:ind w:firstLine="420"/>
        <w:rPr>
          <w:rFonts w:hint="eastAsia" w:hAnsi="宋体" w:cs="宋体"/>
          <w:color w:val="000000"/>
          <w:sz w:val="21"/>
          <w:highlight w:val="none"/>
        </w:rPr>
      </w:pPr>
      <w:r>
        <w:rPr>
          <w:rFonts w:hint="eastAsia" w:hAnsi="宋体" w:cs="宋体"/>
          <w:color w:val="000000"/>
          <w:sz w:val="21"/>
          <w:highlight w:val="none"/>
        </w:rPr>
        <w:t>与本项目有关的正式通讯地址为：</w:t>
      </w:r>
    </w:p>
    <w:p w14:paraId="1E3669D3">
      <w:pPr>
        <w:pStyle w:val="11"/>
        <w:spacing w:line="400" w:lineRule="exact"/>
        <w:ind w:firstLine="420"/>
        <w:rPr>
          <w:rFonts w:hint="eastAsia" w:hAnsi="宋体" w:cs="宋体"/>
          <w:color w:val="000000"/>
          <w:sz w:val="21"/>
          <w:highlight w:val="none"/>
        </w:rPr>
      </w:pPr>
    </w:p>
    <w:p w14:paraId="72D80686">
      <w:pPr>
        <w:pStyle w:val="11"/>
        <w:spacing w:line="320" w:lineRule="exact"/>
        <w:ind w:firstLine="420"/>
        <w:rPr>
          <w:rFonts w:hint="eastAsia" w:hAnsi="宋体" w:cs="宋体"/>
          <w:color w:val="000000"/>
          <w:sz w:val="21"/>
          <w:highlight w:val="none"/>
          <w:u w:val="single"/>
        </w:rPr>
      </w:pPr>
      <w:r>
        <w:rPr>
          <w:rFonts w:hint="eastAsia" w:hAnsi="宋体" w:cs="宋体"/>
          <w:color w:val="000000"/>
          <w:sz w:val="21"/>
          <w:highlight w:val="none"/>
        </w:rPr>
        <w:t>地址：</w:t>
      </w:r>
      <w:r>
        <w:rPr>
          <w:rFonts w:hint="eastAsia" w:hAnsi="宋体" w:cs="宋体"/>
          <w:color w:val="000000"/>
          <w:sz w:val="21"/>
          <w:highlight w:val="none"/>
          <w:u w:val="single"/>
        </w:rPr>
        <w:t xml:space="preserve">                                   </w:t>
      </w:r>
      <w:r>
        <w:rPr>
          <w:rFonts w:hint="eastAsia" w:hAnsi="宋体" w:cs="宋体"/>
          <w:color w:val="000000"/>
          <w:sz w:val="21"/>
          <w:highlight w:val="none"/>
        </w:rPr>
        <w:t xml:space="preserve"> 邮编：</w:t>
      </w:r>
      <w:r>
        <w:rPr>
          <w:rFonts w:hint="eastAsia" w:hAnsi="宋体" w:cs="宋体"/>
          <w:color w:val="000000"/>
          <w:sz w:val="21"/>
          <w:highlight w:val="none"/>
          <w:u w:val="single"/>
        </w:rPr>
        <w:t xml:space="preserve">          </w:t>
      </w:r>
      <w:r>
        <w:rPr>
          <w:rFonts w:hint="eastAsia" w:hAnsi="宋体" w:cs="宋体"/>
          <w:color w:val="000000"/>
          <w:sz w:val="21"/>
          <w:highlight w:val="none"/>
        </w:rPr>
        <w:t xml:space="preserve">  电话、传真：</w:t>
      </w:r>
      <w:r>
        <w:rPr>
          <w:rFonts w:hint="eastAsia" w:hAnsi="宋体" w:cs="宋体"/>
          <w:color w:val="000000"/>
          <w:sz w:val="21"/>
          <w:highlight w:val="none"/>
          <w:u w:val="single"/>
        </w:rPr>
        <w:t xml:space="preserve">            </w:t>
      </w:r>
    </w:p>
    <w:p w14:paraId="61C25CA4">
      <w:pPr>
        <w:pStyle w:val="11"/>
        <w:spacing w:line="320" w:lineRule="exact"/>
        <w:ind w:firstLine="420"/>
        <w:rPr>
          <w:rFonts w:hint="eastAsia" w:hAnsi="宋体" w:cs="宋体"/>
          <w:color w:val="000000"/>
          <w:sz w:val="21"/>
          <w:highlight w:val="none"/>
        </w:rPr>
      </w:pPr>
      <w:r>
        <w:rPr>
          <w:rFonts w:hint="eastAsia" w:hAnsi="宋体" w:cs="宋体"/>
          <w:color w:val="000000"/>
          <w:sz w:val="21"/>
          <w:highlight w:val="none"/>
        </w:rPr>
        <w:t>开户名称：</w:t>
      </w:r>
      <w:r>
        <w:rPr>
          <w:rFonts w:hint="eastAsia" w:hAnsi="宋体" w:cs="宋体"/>
          <w:color w:val="000000"/>
          <w:sz w:val="21"/>
          <w:highlight w:val="none"/>
          <w:u w:val="single"/>
        </w:rPr>
        <w:t xml:space="preserve">                                        </w:t>
      </w:r>
    </w:p>
    <w:p w14:paraId="35D0C0AB">
      <w:pPr>
        <w:pStyle w:val="11"/>
        <w:spacing w:line="320" w:lineRule="exact"/>
        <w:ind w:firstLine="420"/>
        <w:rPr>
          <w:rFonts w:hint="eastAsia" w:hAnsi="宋体" w:cs="宋体"/>
          <w:color w:val="000000"/>
          <w:sz w:val="21"/>
          <w:highlight w:val="none"/>
        </w:rPr>
      </w:pPr>
      <w:r>
        <w:rPr>
          <w:rFonts w:hint="eastAsia" w:hAnsi="宋体" w:cs="宋体"/>
          <w:color w:val="000000"/>
          <w:sz w:val="21"/>
          <w:highlight w:val="none"/>
        </w:rPr>
        <w:t>开户银行：</w:t>
      </w:r>
      <w:r>
        <w:rPr>
          <w:rFonts w:hint="eastAsia" w:hAnsi="宋体" w:cs="宋体"/>
          <w:color w:val="000000"/>
          <w:sz w:val="21"/>
          <w:highlight w:val="none"/>
          <w:u w:val="single"/>
        </w:rPr>
        <w:t xml:space="preserve">                               　       </w:t>
      </w:r>
    </w:p>
    <w:p w14:paraId="7E6D917F">
      <w:pPr>
        <w:pStyle w:val="11"/>
        <w:spacing w:line="320" w:lineRule="exact"/>
        <w:ind w:firstLine="420"/>
        <w:rPr>
          <w:rFonts w:hint="eastAsia" w:hAnsi="宋体" w:cs="宋体"/>
          <w:color w:val="000000"/>
          <w:sz w:val="21"/>
          <w:highlight w:val="none"/>
        </w:rPr>
      </w:pPr>
      <w:r>
        <w:rPr>
          <w:rFonts w:hint="eastAsia" w:hAnsi="宋体" w:cs="宋体"/>
          <w:color w:val="000000"/>
          <w:sz w:val="21"/>
          <w:highlight w:val="none"/>
        </w:rPr>
        <w:t>账号：</w:t>
      </w:r>
      <w:r>
        <w:rPr>
          <w:rFonts w:hint="eastAsia" w:hAnsi="宋体" w:cs="宋体"/>
          <w:color w:val="000000"/>
          <w:sz w:val="21"/>
          <w:highlight w:val="none"/>
          <w:u w:val="single"/>
        </w:rPr>
        <w:t xml:space="preserve">                                   　　　   </w:t>
      </w:r>
    </w:p>
    <w:p w14:paraId="611492DE">
      <w:pPr>
        <w:pStyle w:val="11"/>
        <w:spacing w:line="320" w:lineRule="exact"/>
        <w:ind w:firstLine="420"/>
        <w:rPr>
          <w:rFonts w:hint="eastAsia" w:hAnsi="宋体" w:cs="宋体"/>
          <w:bCs/>
          <w:color w:val="000000"/>
          <w:sz w:val="21"/>
          <w:highlight w:val="none"/>
          <w:u w:val="single"/>
        </w:rPr>
      </w:pPr>
      <w:r>
        <w:rPr>
          <w:rFonts w:hint="eastAsia" w:hAnsi="宋体" w:cs="宋体"/>
          <w:bCs/>
          <w:color w:val="000000"/>
          <w:sz w:val="21"/>
          <w:highlight w:val="none"/>
        </w:rPr>
        <w:t>供应商[公章(CA签章)、自然人除外]：</w:t>
      </w:r>
      <w:r>
        <w:rPr>
          <w:rFonts w:hint="eastAsia" w:hAnsi="宋体" w:cs="宋体"/>
          <w:bCs/>
          <w:color w:val="000000"/>
          <w:sz w:val="21"/>
          <w:highlight w:val="none"/>
          <w:u w:val="single"/>
        </w:rPr>
        <w:t xml:space="preserve">                              </w:t>
      </w:r>
    </w:p>
    <w:p w14:paraId="5A61D938">
      <w:pPr>
        <w:pStyle w:val="11"/>
        <w:spacing w:line="320" w:lineRule="exact"/>
        <w:ind w:firstLine="420"/>
        <w:rPr>
          <w:rFonts w:hint="eastAsia" w:hAnsi="宋体" w:cs="宋体"/>
          <w:color w:val="000000"/>
          <w:sz w:val="21"/>
          <w:highlight w:val="none"/>
          <w:u w:val="single"/>
        </w:rPr>
      </w:pPr>
      <w:r>
        <w:rPr>
          <w:rFonts w:hint="eastAsia" w:hAnsi="宋体" w:cs="宋体"/>
          <w:color w:val="000000"/>
          <w:sz w:val="21"/>
          <w:highlight w:val="none"/>
        </w:rPr>
        <w:t>法定代表人、负责人、自然人或相应的委托代理人签字[或盖章(CA签章)]（属自然人的应在签名处加盖大拇指指印或个人CA签章）：</w:t>
      </w:r>
      <w:r>
        <w:rPr>
          <w:rFonts w:hint="eastAsia" w:hAnsi="宋体" w:cs="宋体"/>
          <w:color w:val="000000"/>
          <w:sz w:val="21"/>
          <w:highlight w:val="none"/>
          <w:u w:val="single"/>
        </w:rPr>
        <w:t xml:space="preserve">              </w:t>
      </w:r>
    </w:p>
    <w:p w14:paraId="41A3C1FD">
      <w:pPr>
        <w:ind w:firstLine="420" w:firstLineChars="200"/>
        <w:rPr>
          <w:rFonts w:hint="eastAsia" w:ascii="宋体" w:hAnsi="宋体" w:cs="宋体"/>
          <w:color w:val="000000"/>
          <w:szCs w:val="21"/>
          <w:highlight w:val="none"/>
          <w:u w:val="single"/>
        </w:rPr>
      </w:pPr>
      <w:r>
        <w:rPr>
          <w:rFonts w:hint="eastAsia" w:ascii="宋体" w:hAnsi="宋体" w:cs="宋体"/>
          <w:bCs/>
          <w:color w:val="000000"/>
          <w:szCs w:val="21"/>
          <w:highlight w:val="none"/>
        </w:rPr>
        <w:t>响应</w:t>
      </w:r>
      <w:r>
        <w:rPr>
          <w:rFonts w:hint="eastAsia" w:ascii="宋体" w:hAnsi="宋体" w:cs="宋体"/>
          <w:color w:val="000000"/>
          <w:szCs w:val="21"/>
          <w:highlight w:val="none"/>
        </w:rPr>
        <w:t>日期：</w:t>
      </w:r>
      <w:r>
        <w:rPr>
          <w:rFonts w:hint="eastAsia" w:ascii="宋体" w:hAnsi="宋体" w:cs="宋体"/>
          <w:color w:val="000000"/>
          <w:szCs w:val="21"/>
          <w:highlight w:val="none"/>
          <w:u w:val="single"/>
        </w:rPr>
        <w:t xml:space="preserve">                              </w:t>
      </w:r>
    </w:p>
    <w:p w14:paraId="486D084A">
      <w:pPr>
        <w:pStyle w:val="8"/>
        <w:rPr>
          <w:rFonts w:hint="eastAsia"/>
          <w:color w:val="000000"/>
          <w:highlight w:val="none"/>
        </w:rPr>
      </w:pPr>
    </w:p>
    <w:p w14:paraId="0F066716">
      <w:pPr>
        <w:pStyle w:val="11"/>
        <w:spacing w:line="320" w:lineRule="exact"/>
        <w:ind w:firstLine="420"/>
        <w:rPr>
          <w:rFonts w:hint="eastAsia" w:hAnsi="宋体" w:cs="宋体"/>
          <w:bCs/>
          <w:color w:val="000000"/>
          <w:sz w:val="21"/>
          <w:highlight w:val="none"/>
        </w:rPr>
      </w:pPr>
      <w:r>
        <w:rPr>
          <w:rFonts w:hint="eastAsia" w:hAnsi="宋体" w:cs="宋体"/>
          <w:bCs/>
          <w:color w:val="000000"/>
          <w:sz w:val="21"/>
          <w:highlight w:val="none"/>
        </w:rPr>
        <w:t>注：1.未按照本响应函（格式）要求填报的响应函将被视为非实质性响应</w:t>
      </w:r>
      <w:r>
        <w:rPr>
          <w:rFonts w:hint="eastAsia" w:hAnsi="宋体" w:cs="宋体"/>
          <w:bCs/>
          <w:color w:val="000000"/>
          <w:sz w:val="21"/>
          <w:highlight w:val="none"/>
          <w:lang w:eastAsia="zh-CN"/>
        </w:rPr>
        <w:t>竞争性谈判</w:t>
      </w:r>
      <w:r>
        <w:rPr>
          <w:rFonts w:hint="eastAsia" w:hAnsi="宋体" w:cs="宋体"/>
          <w:bCs/>
          <w:color w:val="000000"/>
          <w:sz w:val="21"/>
          <w:highlight w:val="none"/>
        </w:rPr>
        <w:t>通知书要求，从而导致该响应被拒绝。</w:t>
      </w:r>
    </w:p>
    <w:p w14:paraId="7EA32559">
      <w:pPr>
        <w:pStyle w:val="11"/>
        <w:spacing w:line="320" w:lineRule="exact"/>
        <w:ind w:firstLine="840" w:firstLineChars="400"/>
        <w:rPr>
          <w:rFonts w:hint="eastAsia" w:hAnsi="宋体" w:cs="宋体"/>
          <w:b/>
          <w:bCs/>
          <w:color w:val="000000"/>
          <w:sz w:val="21"/>
          <w:highlight w:val="none"/>
        </w:rPr>
        <w:sectPr>
          <w:pgSz w:w="11906" w:h="16838"/>
          <w:pgMar w:top="1440" w:right="935" w:bottom="1440" w:left="779" w:header="851" w:footer="992" w:gutter="0"/>
          <w:pgNumType w:fmt="numberInDash"/>
          <w:cols w:space="720" w:num="1"/>
          <w:docGrid w:type="linesAndChars" w:linePitch="312" w:charSpace="0"/>
        </w:sectPr>
      </w:pPr>
      <w:r>
        <w:rPr>
          <w:rFonts w:hint="eastAsia" w:hAnsi="宋体" w:cs="宋体"/>
          <w:bCs/>
          <w:color w:val="000000"/>
          <w:sz w:val="21"/>
          <w:highlight w:val="none"/>
        </w:rPr>
        <w:t>2.响应函须由法定代表人（负责人/自然人）或委托代理人签字或CA个人签章并加盖供应商公章（自然人签字并加盖大拇指指印或个人CA签章</w:t>
      </w:r>
    </w:p>
    <w:p w14:paraId="72587259">
      <w:pPr>
        <w:pStyle w:val="11"/>
        <w:numPr>
          <w:ilvl w:val="0"/>
          <w:numId w:val="9"/>
        </w:numPr>
        <w:spacing w:line="340" w:lineRule="exact"/>
        <w:outlineLvl w:val="3"/>
        <w:rPr>
          <w:b/>
          <w:color w:val="000000"/>
          <w:sz w:val="28"/>
          <w:szCs w:val="28"/>
          <w:highlight w:val="none"/>
        </w:rPr>
      </w:pPr>
      <w:r>
        <w:rPr>
          <w:rFonts w:hint="eastAsia"/>
          <w:b/>
          <w:color w:val="000000"/>
          <w:sz w:val="28"/>
          <w:szCs w:val="28"/>
          <w:highlight w:val="none"/>
        </w:rPr>
        <w:t>谈判报价表（格式见附件）（必须提供）；</w:t>
      </w:r>
    </w:p>
    <w:p w14:paraId="276D5AE3">
      <w:pPr>
        <w:pStyle w:val="25"/>
        <w:ind w:firstLine="0" w:firstLineChars="0"/>
        <w:rPr>
          <w:b/>
          <w:color w:val="000000"/>
          <w:highlight w:val="none"/>
        </w:rPr>
      </w:pPr>
      <w:r>
        <w:rPr>
          <w:rFonts w:hint="eastAsia"/>
          <w:b/>
          <w:bCs/>
          <w:color w:val="000000"/>
          <w:sz w:val="30"/>
          <w:szCs w:val="30"/>
          <w:highlight w:val="none"/>
        </w:rPr>
        <w:t>附件：</w:t>
      </w:r>
      <w:r>
        <w:rPr>
          <w:rFonts w:hint="eastAsia"/>
          <w:b/>
          <w:color w:val="000000"/>
          <w:highlight w:val="none"/>
        </w:rPr>
        <w:t xml:space="preserve">                                      </w:t>
      </w:r>
    </w:p>
    <w:p w14:paraId="7D92A518">
      <w:pPr>
        <w:pStyle w:val="11"/>
        <w:spacing w:line="320" w:lineRule="exact"/>
        <w:ind w:left="420"/>
        <w:jc w:val="center"/>
        <w:rPr>
          <w:rFonts w:hAnsi="宋体"/>
          <w:b/>
          <w:color w:val="000000"/>
          <w:sz w:val="32"/>
          <w:highlight w:val="none"/>
        </w:rPr>
      </w:pPr>
      <w:r>
        <w:rPr>
          <w:rFonts w:hint="eastAsia" w:hAnsi="宋体"/>
          <w:b/>
          <w:color w:val="000000"/>
          <w:sz w:val="32"/>
          <w:highlight w:val="none"/>
        </w:rPr>
        <w:t>谈判报价表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570"/>
        <w:gridCol w:w="1740"/>
        <w:gridCol w:w="780"/>
        <w:gridCol w:w="855"/>
        <w:gridCol w:w="810"/>
        <w:gridCol w:w="1785"/>
        <w:gridCol w:w="1710"/>
      </w:tblGrid>
      <w:tr w14:paraId="2E776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bottom w:val="single" w:color="auto" w:sz="4" w:space="0"/>
              <w:right w:val="single" w:color="auto" w:sz="4" w:space="0"/>
            </w:tcBorders>
            <w:noWrap w:val="0"/>
            <w:vAlign w:val="center"/>
          </w:tcPr>
          <w:p w14:paraId="01D213A8">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项号</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C32FFCB">
            <w:pPr>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采购内容名称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AC26E86">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服务内容</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49778C6D">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数量①</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0BE99B7">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单位</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1F35B4BF">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单价②</w:t>
            </w: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CC532E9">
            <w:pPr>
              <w:spacing w:line="300" w:lineRule="exact"/>
              <w:jc w:val="center"/>
              <w:rPr>
                <w:rFonts w:hint="eastAsia" w:ascii="宋体" w:hAnsi="宋体" w:cs="宋体"/>
                <w:color w:val="000000"/>
                <w:highlight w:val="none"/>
              </w:rPr>
            </w:pPr>
            <w:r>
              <w:rPr>
                <w:rFonts w:hint="eastAsia" w:ascii="宋体" w:hAnsi="宋体" w:cs="宋体"/>
                <w:color w:val="000000"/>
                <w:highlight w:val="none"/>
              </w:rPr>
              <w:t>单项合计=数量×单价</w:t>
            </w:r>
          </w:p>
          <w:p w14:paraId="0A8A6C40">
            <w:pPr>
              <w:jc w:val="center"/>
              <w:rPr>
                <w:rFonts w:hint="eastAsia" w:ascii="宋体" w:hAnsi="宋体" w:cs="宋体"/>
                <w:color w:val="000000"/>
                <w:highlight w:val="none"/>
              </w:rPr>
            </w:pPr>
            <w:r>
              <w:rPr>
                <w:rFonts w:hint="eastAsia" w:ascii="宋体" w:hAnsi="宋体" w:cs="宋体"/>
                <w:color w:val="000000"/>
                <w:highlight w:val="none"/>
              </w:rPr>
              <w:t>③=</w:t>
            </w:r>
            <w:r>
              <w:rPr>
                <w:rFonts w:hint="eastAsia" w:ascii="宋体" w:hAnsi="宋体" w:cs="宋体"/>
                <w:color w:val="000000"/>
                <w:szCs w:val="21"/>
                <w:highlight w:val="none"/>
              </w:rPr>
              <w:t>①</w:t>
            </w:r>
            <w:r>
              <w:rPr>
                <w:rFonts w:hint="eastAsia" w:ascii="宋体" w:hAnsi="宋体" w:cs="宋体"/>
                <w:color w:val="000000"/>
                <w:highlight w:val="none"/>
              </w:rPr>
              <w:t>×</w:t>
            </w:r>
            <w:r>
              <w:rPr>
                <w:rFonts w:hint="eastAsia" w:ascii="宋体" w:hAnsi="宋体" w:cs="宋体"/>
                <w:color w:val="000000"/>
                <w:szCs w:val="21"/>
                <w:highlight w:val="none"/>
              </w:rPr>
              <w:t>②</w:t>
            </w:r>
          </w:p>
        </w:tc>
        <w:tc>
          <w:tcPr>
            <w:tcW w:w="1710" w:type="dxa"/>
            <w:tcBorders>
              <w:top w:val="single" w:color="auto" w:sz="4" w:space="0"/>
              <w:bottom w:val="single" w:color="auto" w:sz="4" w:space="0"/>
            </w:tcBorders>
            <w:noWrap w:val="0"/>
            <w:vAlign w:val="center"/>
          </w:tcPr>
          <w:p w14:paraId="68BBE37A">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备注</w:t>
            </w:r>
          </w:p>
        </w:tc>
      </w:tr>
      <w:tr w14:paraId="4B45B8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258749D9">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317AD59">
            <w:pPr>
              <w:spacing w:line="360" w:lineRule="auto"/>
              <w:jc w:val="center"/>
              <w:rPr>
                <w:rFonts w:hint="eastAsia" w:ascii="宋体" w:hAnsi="宋体" w:cs="宋体"/>
                <w:color w:val="000000"/>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5CDD862D">
            <w:pPr>
              <w:jc w:val="center"/>
              <w:rPr>
                <w:rFonts w:hint="eastAsia" w:ascii="宋体" w:hAnsi="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0EE505E3">
            <w:pPr>
              <w:jc w:val="center"/>
              <w:rPr>
                <w:rFonts w:hint="eastAsia" w:ascii="宋体" w:hAnsi="宋体" w:cs="宋体"/>
                <w:color w:val="000000"/>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A381D55">
            <w:pPr>
              <w:jc w:val="center"/>
              <w:rPr>
                <w:rFonts w:hint="eastAsia" w:ascii="宋体" w:hAnsi="宋体" w:cs="宋体"/>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21C559D">
            <w:pPr>
              <w:jc w:val="center"/>
              <w:rPr>
                <w:rFonts w:hint="eastAsia" w:ascii="宋体" w:hAnsi="宋体" w:cs="宋体"/>
                <w:color w:val="000000"/>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4514CF49">
            <w:pPr>
              <w:spacing w:line="300" w:lineRule="exact"/>
              <w:jc w:val="center"/>
              <w:rPr>
                <w:rFonts w:hint="eastAsia" w:ascii="宋体" w:hAnsi="宋体" w:cs="宋体"/>
                <w:b/>
                <w:bCs/>
                <w:color w:val="000000"/>
                <w:szCs w:val="21"/>
                <w:highlight w:val="none"/>
              </w:rPr>
            </w:pPr>
          </w:p>
        </w:tc>
        <w:tc>
          <w:tcPr>
            <w:tcW w:w="1710" w:type="dxa"/>
            <w:tcBorders>
              <w:top w:val="single" w:color="auto" w:sz="4" w:space="0"/>
              <w:bottom w:val="single" w:color="auto" w:sz="4" w:space="0"/>
            </w:tcBorders>
            <w:noWrap w:val="0"/>
            <w:vAlign w:val="center"/>
          </w:tcPr>
          <w:p w14:paraId="3005CFC8">
            <w:pPr>
              <w:spacing w:line="300" w:lineRule="exact"/>
              <w:jc w:val="center"/>
              <w:rPr>
                <w:rFonts w:hint="eastAsia" w:ascii="宋体" w:hAnsi="宋体" w:cs="宋体"/>
                <w:b/>
                <w:bCs/>
                <w:color w:val="000000"/>
                <w:szCs w:val="21"/>
                <w:highlight w:val="none"/>
              </w:rPr>
            </w:pPr>
          </w:p>
        </w:tc>
      </w:tr>
      <w:tr w14:paraId="6E044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DC3A850">
            <w:pPr>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2693057">
            <w:pPr>
              <w:spacing w:line="360" w:lineRule="auto"/>
              <w:jc w:val="center"/>
              <w:rPr>
                <w:rFonts w:hint="eastAsia" w:ascii="宋体" w:hAnsi="宋体" w:cs="宋体"/>
                <w:color w:val="000000"/>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8A60676">
            <w:pPr>
              <w:jc w:val="center"/>
              <w:rPr>
                <w:rFonts w:hint="eastAsia" w:ascii="宋体" w:hAnsi="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3B74F761">
            <w:pPr>
              <w:jc w:val="center"/>
              <w:rPr>
                <w:rFonts w:hint="eastAsia" w:ascii="宋体" w:hAnsi="宋体" w:cs="宋体"/>
                <w:color w:val="000000"/>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F90033A">
            <w:pPr>
              <w:jc w:val="center"/>
              <w:rPr>
                <w:rFonts w:hint="eastAsia" w:ascii="宋体" w:hAnsi="宋体" w:cs="宋体"/>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BFC0C31">
            <w:pPr>
              <w:jc w:val="center"/>
              <w:rPr>
                <w:rFonts w:hint="eastAsia" w:ascii="宋体" w:hAnsi="宋体" w:cs="宋体"/>
                <w:color w:val="000000"/>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340F0D81">
            <w:pPr>
              <w:spacing w:line="300" w:lineRule="exact"/>
              <w:jc w:val="center"/>
              <w:rPr>
                <w:rFonts w:hint="eastAsia" w:ascii="宋体" w:hAnsi="宋体" w:cs="宋体"/>
                <w:b/>
                <w:bCs/>
                <w:color w:val="000000"/>
                <w:szCs w:val="21"/>
                <w:highlight w:val="none"/>
              </w:rPr>
            </w:pPr>
          </w:p>
        </w:tc>
        <w:tc>
          <w:tcPr>
            <w:tcW w:w="1710" w:type="dxa"/>
            <w:tcBorders>
              <w:top w:val="single" w:color="auto" w:sz="4" w:space="0"/>
              <w:bottom w:val="single" w:color="auto" w:sz="4" w:space="0"/>
            </w:tcBorders>
            <w:noWrap w:val="0"/>
            <w:vAlign w:val="center"/>
          </w:tcPr>
          <w:p w14:paraId="7F9C59EE">
            <w:pPr>
              <w:spacing w:line="300" w:lineRule="exact"/>
              <w:jc w:val="center"/>
              <w:rPr>
                <w:rFonts w:hint="eastAsia" w:ascii="宋体" w:hAnsi="宋体" w:cs="宋体"/>
                <w:b/>
                <w:bCs/>
                <w:color w:val="000000"/>
                <w:szCs w:val="21"/>
                <w:highlight w:val="none"/>
              </w:rPr>
            </w:pPr>
          </w:p>
        </w:tc>
      </w:tr>
      <w:tr w14:paraId="59D6E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0A74D508">
            <w:pPr>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135EF45">
            <w:pPr>
              <w:spacing w:line="360" w:lineRule="auto"/>
              <w:jc w:val="center"/>
              <w:rPr>
                <w:rFonts w:hint="eastAsia" w:ascii="宋体" w:hAnsi="宋体" w:cs="宋体"/>
                <w:color w:val="000000"/>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4D30227E">
            <w:pPr>
              <w:jc w:val="center"/>
              <w:rPr>
                <w:rFonts w:hint="eastAsia" w:ascii="宋体" w:hAnsi="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14E8295">
            <w:pPr>
              <w:jc w:val="center"/>
              <w:rPr>
                <w:rFonts w:hint="eastAsia" w:ascii="宋体" w:hAnsi="宋体" w:cs="宋体"/>
                <w:color w:val="000000"/>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DC0A361">
            <w:pPr>
              <w:jc w:val="center"/>
              <w:rPr>
                <w:rFonts w:hint="eastAsia" w:ascii="宋体" w:hAnsi="宋体" w:cs="宋体"/>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D7C7C87">
            <w:pPr>
              <w:jc w:val="center"/>
              <w:rPr>
                <w:rFonts w:hint="eastAsia" w:ascii="宋体" w:hAnsi="宋体" w:cs="宋体"/>
                <w:color w:val="000000"/>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1F1BF825">
            <w:pPr>
              <w:spacing w:line="300" w:lineRule="exact"/>
              <w:jc w:val="center"/>
              <w:rPr>
                <w:rFonts w:hint="eastAsia" w:ascii="宋体" w:hAnsi="宋体" w:cs="宋体"/>
                <w:b/>
                <w:bCs/>
                <w:color w:val="000000"/>
                <w:szCs w:val="21"/>
                <w:highlight w:val="none"/>
              </w:rPr>
            </w:pPr>
          </w:p>
        </w:tc>
        <w:tc>
          <w:tcPr>
            <w:tcW w:w="1710" w:type="dxa"/>
            <w:tcBorders>
              <w:top w:val="single" w:color="auto" w:sz="4" w:space="0"/>
              <w:bottom w:val="single" w:color="auto" w:sz="4" w:space="0"/>
            </w:tcBorders>
            <w:noWrap w:val="0"/>
            <w:vAlign w:val="center"/>
          </w:tcPr>
          <w:p w14:paraId="2F10EBD1">
            <w:pPr>
              <w:spacing w:line="300" w:lineRule="exact"/>
              <w:jc w:val="center"/>
              <w:rPr>
                <w:rFonts w:hint="eastAsia" w:ascii="宋体" w:hAnsi="宋体" w:cs="宋体"/>
                <w:b/>
                <w:bCs/>
                <w:color w:val="000000"/>
                <w:szCs w:val="21"/>
                <w:highlight w:val="none"/>
              </w:rPr>
            </w:pPr>
          </w:p>
        </w:tc>
      </w:tr>
      <w:tr w14:paraId="471DC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8" w:hRule="exact"/>
        </w:trPr>
        <w:tc>
          <w:tcPr>
            <w:tcW w:w="426" w:type="dxa"/>
            <w:tcBorders>
              <w:top w:val="single" w:color="auto" w:sz="4" w:space="0"/>
              <w:bottom w:val="single" w:color="auto" w:sz="4" w:space="0"/>
              <w:right w:val="single" w:color="auto" w:sz="4" w:space="0"/>
            </w:tcBorders>
            <w:noWrap w:val="0"/>
            <w:vAlign w:val="center"/>
          </w:tcPr>
          <w:p w14:paraId="41914744">
            <w:pPr>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DF53CF4">
            <w:pPr>
              <w:spacing w:line="360" w:lineRule="auto"/>
              <w:jc w:val="center"/>
              <w:rPr>
                <w:rFonts w:hint="eastAsia" w:ascii="宋体" w:hAnsi="宋体" w:cs="宋体"/>
                <w:color w:val="000000"/>
                <w:szCs w:val="21"/>
                <w:highlight w:val="none"/>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14:paraId="262E3D4A">
            <w:pPr>
              <w:jc w:val="center"/>
              <w:rPr>
                <w:rFonts w:hint="eastAsia" w:ascii="宋体" w:hAnsi="宋体" w:cs="宋体"/>
                <w:color w:val="000000"/>
                <w:szCs w:val="21"/>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14F6E600">
            <w:pPr>
              <w:jc w:val="center"/>
              <w:rPr>
                <w:rFonts w:hint="eastAsia" w:ascii="宋体" w:hAnsi="宋体" w:cs="宋体"/>
                <w:color w:val="000000"/>
                <w:szCs w:val="21"/>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6D00A02">
            <w:pPr>
              <w:jc w:val="center"/>
              <w:rPr>
                <w:rFonts w:hint="eastAsia" w:ascii="宋体" w:hAnsi="宋体" w:cs="宋体"/>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3E7A41C">
            <w:pPr>
              <w:jc w:val="center"/>
              <w:rPr>
                <w:rFonts w:hint="eastAsia" w:ascii="宋体" w:hAnsi="宋体" w:cs="宋体"/>
                <w:color w:val="000000"/>
                <w:szCs w:val="21"/>
                <w:highlight w:val="none"/>
              </w:rPr>
            </w:pPr>
          </w:p>
        </w:tc>
        <w:tc>
          <w:tcPr>
            <w:tcW w:w="1785" w:type="dxa"/>
            <w:tcBorders>
              <w:top w:val="single" w:color="auto" w:sz="4" w:space="0"/>
              <w:left w:val="single" w:color="auto" w:sz="4" w:space="0"/>
              <w:bottom w:val="single" w:color="auto" w:sz="4" w:space="0"/>
              <w:right w:val="single" w:color="auto" w:sz="4" w:space="0"/>
            </w:tcBorders>
            <w:noWrap w:val="0"/>
            <w:vAlign w:val="center"/>
          </w:tcPr>
          <w:p w14:paraId="2A08A766">
            <w:pPr>
              <w:spacing w:line="300" w:lineRule="exact"/>
              <w:jc w:val="center"/>
              <w:rPr>
                <w:rFonts w:hint="eastAsia" w:ascii="宋体" w:hAnsi="宋体" w:cs="宋体"/>
                <w:b/>
                <w:bCs/>
                <w:color w:val="000000"/>
                <w:szCs w:val="21"/>
                <w:highlight w:val="none"/>
              </w:rPr>
            </w:pPr>
          </w:p>
        </w:tc>
        <w:tc>
          <w:tcPr>
            <w:tcW w:w="1710" w:type="dxa"/>
            <w:tcBorders>
              <w:top w:val="single" w:color="auto" w:sz="4" w:space="0"/>
              <w:bottom w:val="single" w:color="auto" w:sz="4" w:space="0"/>
            </w:tcBorders>
            <w:noWrap w:val="0"/>
            <w:vAlign w:val="center"/>
          </w:tcPr>
          <w:p w14:paraId="079D2692">
            <w:pPr>
              <w:spacing w:line="300" w:lineRule="exact"/>
              <w:jc w:val="center"/>
              <w:rPr>
                <w:rFonts w:hint="eastAsia" w:ascii="宋体" w:hAnsi="宋体" w:cs="宋体"/>
                <w:b/>
                <w:bCs/>
                <w:color w:val="000000"/>
                <w:szCs w:val="21"/>
                <w:highlight w:val="none"/>
              </w:rPr>
            </w:pPr>
          </w:p>
        </w:tc>
      </w:tr>
      <w:tr w14:paraId="1C431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9676" w:type="dxa"/>
            <w:gridSpan w:val="8"/>
            <w:tcBorders>
              <w:top w:val="single" w:color="auto" w:sz="4" w:space="0"/>
              <w:bottom w:val="single" w:color="auto" w:sz="4" w:space="0"/>
            </w:tcBorders>
            <w:noWrap w:val="0"/>
            <w:vAlign w:val="center"/>
          </w:tcPr>
          <w:p w14:paraId="49E7335B">
            <w:pPr>
              <w:spacing w:line="300" w:lineRule="exact"/>
              <w:rPr>
                <w:rFonts w:hint="eastAsia" w:ascii="宋体" w:hAnsi="宋体" w:cs="宋体"/>
                <w:color w:val="000000"/>
                <w:spacing w:val="-6"/>
                <w:szCs w:val="21"/>
                <w:highlight w:val="none"/>
              </w:rPr>
            </w:pPr>
            <w:r>
              <w:rPr>
                <w:rFonts w:hint="eastAsia" w:ascii="宋体" w:hAnsi="宋体" w:cs="宋体"/>
                <w:color w:val="000000"/>
                <w:spacing w:val="-6"/>
                <w:szCs w:val="21"/>
                <w:highlight w:val="none"/>
                <w:lang w:val="en-US" w:eastAsia="zh-CN"/>
              </w:rPr>
              <w:t>谈判</w:t>
            </w:r>
            <w:r>
              <w:rPr>
                <w:rFonts w:hint="eastAsia" w:ascii="宋体" w:hAnsi="宋体" w:cs="宋体"/>
                <w:color w:val="000000"/>
                <w:spacing w:val="-6"/>
                <w:szCs w:val="21"/>
                <w:highlight w:val="none"/>
              </w:rPr>
              <w:t>总报价（大写）：人民币                                                 （¥                   ）</w:t>
            </w:r>
          </w:p>
        </w:tc>
      </w:tr>
      <w:tr w14:paraId="33367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9676" w:type="dxa"/>
            <w:gridSpan w:val="8"/>
            <w:tcBorders>
              <w:top w:val="single" w:color="auto" w:sz="4" w:space="0"/>
              <w:bottom w:val="single" w:color="auto" w:sz="4" w:space="0"/>
            </w:tcBorders>
            <w:noWrap w:val="0"/>
            <w:vAlign w:val="center"/>
          </w:tcPr>
          <w:p w14:paraId="7BC2D316">
            <w:pPr>
              <w:spacing w:line="300" w:lineRule="exact"/>
              <w:rPr>
                <w:rFonts w:hint="default" w:ascii="宋体" w:hAnsi="宋体" w:eastAsia="宋体" w:cs="宋体"/>
                <w:color w:val="000000"/>
                <w:spacing w:val="-6"/>
                <w:szCs w:val="21"/>
                <w:highlight w:val="none"/>
                <w:lang w:val="en-US" w:eastAsia="zh-CN"/>
              </w:rPr>
            </w:pPr>
            <w:r>
              <w:rPr>
                <w:rFonts w:hint="eastAsia" w:ascii="宋体" w:hAnsi="宋体" w:cs="宋体"/>
                <w:color w:val="000000"/>
                <w:spacing w:val="-6"/>
                <w:szCs w:val="21"/>
                <w:highlight w:val="none"/>
              </w:rPr>
              <w:t>服务时间：</w:t>
            </w:r>
            <w:r>
              <w:rPr>
                <w:rFonts w:hint="eastAsia" w:ascii="宋体" w:hAnsi="宋体" w:cs="宋体"/>
                <w:color w:val="000000"/>
                <w:spacing w:val="-6"/>
                <w:szCs w:val="21"/>
                <w:highlight w:val="none"/>
                <w:lang w:val="en-US" w:eastAsia="zh-CN"/>
              </w:rPr>
              <w:t>自签订合同之日起    年。</w:t>
            </w:r>
          </w:p>
        </w:tc>
      </w:tr>
      <w:tr w14:paraId="40F7E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9676" w:type="dxa"/>
            <w:gridSpan w:val="8"/>
            <w:tcBorders>
              <w:top w:val="single" w:color="auto" w:sz="4" w:space="0"/>
              <w:bottom w:val="single" w:color="auto" w:sz="4" w:space="0"/>
            </w:tcBorders>
            <w:noWrap w:val="0"/>
            <w:vAlign w:val="center"/>
          </w:tcPr>
          <w:p w14:paraId="489E73C5">
            <w:pPr>
              <w:widowControl/>
              <w:kinsoku w:val="0"/>
              <w:autoSpaceDE w:val="0"/>
              <w:autoSpaceDN w:val="0"/>
              <w:adjustRightInd w:val="0"/>
              <w:snapToGrid w:val="0"/>
              <w:spacing w:line="400" w:lineRule="exact"/>
              <w:ind w:firstLine="420" w:firstLineChars="200"/>
              <w:jc w:val="left"/>
              <w:textAlignment w:val="baseline"/>
              <w:rPr>
                <w:rFonts w:hint="eastAsia" w:ascii="宋体" w:hAnsi="宋体" w:cs="宋体"/>
                <w:color w:val="000000"/>
                <w:szCs w:val="21"/>
                <w:highlight w:val="none"/>
              </w:rPr>
            </w:pPr>
            <w:r>
              <w:rPr>
                <w:rFonts w:hint="eastAsia" w:ascii="宋体" w:hAnsi="宋体" w:cs="宋体"/>
                <w:color w:val="000000"/>
                <w:szCs w:val="21"/>
                <w:highlight w:val="none"/>
              </w:rPr>
              <w:t>说明：</w:t>
            </w:r>
            <w:r>
              <w:rPr>
                <w:rFonts w:hint="eastAsia" w:ascii="宋体" w:hAnsi="宋体" w:eastAsia="宋体" w:cs="宋体"/>
                <w:color w:val="000000"/>
                <w:szCs w:val="21"/>
                <w:highlight w:val="none"/>
                <w:lang w:val="en-US" w:eastAsia="zh-CN"/>
              </w:rPr>
              <w:t>谈判</w:t>
            </w:r>
            <w:r>
              <w:rPr>
                <w:rFonts w:hint="eastAsia" w:ascii="宋体" w:hAnsi="宋体" w:eastAsia="宋体" w:cs="宋体"/>
                <w:color w:val="000000"/>
                <w:szCs w:val="21"/>
                <w:highlight w:val="none"/>
              </w:rPr>
              <w:t>报价应包括本次采购范围内服务价款、服务人员的工资（含工资、按规定提取的保险和国家地方规定必须缴纳的相关费用、加班费等）、团队运行和管理费、服务人员制服、培训费、税金、不可预见费、</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供应商合理利润及其他成本费等全部费用；</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供应商综合考虑在报价中，采购人不再支付任何费用。</w:t>
            </w:r>
          </w:p>
        </w:tc>
      </w:tr>
    </w:tbl>
    <w:p w14:paraId="68B894F6">
      <w:pPr>
        <w:spacing w:line="340" w:lineRule="exact"/>
        <w:rPr>
          <w:rFonts w:ascii="宋体" w:hAnsi="宋体"/>
          <w:color w:val="000000"/>
          <w:szCs w:val="21"/>
          <w:highlight w:val="none"/>
        </w:rPr>
      </w:pPr>
    </w:p>
    <w:p w14:paraId="71F720A7">
      <w:pPr>
        <w:spacing w:line="340" w:lineRule="exact"/>
        <w:rPr>
          <w:rFonts w:ascii="宋体" w:hAnsi="宋体"/>
          <w:color w:val="000000"/>
          <w:szCs w:val="21"/>
          <w:highlight w:val="none"/>
          <w:u w:val="single"/>
        </w:rPr>
      </w:pPr>
      <w:r>
        <w:rPr>
          <w:rFonts w:hint="eastAsia" w:ascii="宋体" w:hAnsi="宋体"/>
          <w:color w:val="000000"/>
          <w:szCs w:val="21"/>
          <w:highlight w:val="none"/>
        </w:rPr>
        <w:t>供应商（CA签章，自然人除外）：</w:t>
      </w:r>
      <w:r>
        <w:rPr>
          <w:rFonts w:hint="eastAsia" w:ascii="宋体" w:hAnsi="宋体"/>
          <w:color w:val="000000"/>
          <w:szCs w:val="21"/>
          <w:highlight w:val="none"/>
          <w:u w:val="single"/>
        </w:rPr>
        <w:t xml:space="preserve">                                              </w:t>
      </w:r>
    </w:p>
    <w:p w14:paraId="20612EB3">
      <w:pPr>
        <w:spacing w:line="340" w:lineRule="exact"/>
        <w:rPr>
          <w:rFonts w:ascii="宋体" w:hAnsi="宋体"/>
          <w:color w:val="000000"/>
          <w:szCs w:val="21"/>
          <w:highlight w:val="none"/>
          <w:u w:val="single"/>
        </w:rPr>
      </w:pPr>
      <w:r>
        <w:rPr>
          <w:rFonts w:hint="eastAsia" w:hAnsi="宋体"/>
          <w:color w:val="000000"/>
          <w:highlight w:val="none"/>
        </w:rPr>
        <w:t>法定代表人、负责人、自然人或相应的委托代理人签字或个人CA签章（属自然人的应在签名处加盖食指指印或个人CA签章）：</w:t>
      </w:r>
      <w:r>
        <w:rPr>
          <w:rFonts w:hint="eastAsia" w:ascii="宋体" w:hAnsi="宋体"/>
          <w:color w:val="000000"/>
          <w:szCs w:val="21"/>
          <w:highlight w:val="none"/>
          <w:u w:val="single"/>
        </w:rPr>
        <w:t xml:space="preserve">                                     </w:t>
      </w:r>
    </w:p>
    <w:p w14:paraId="3049662F">
      <w:pPr>
        <w:pStyle w:val="6"/>
        <w:rPr>
          <w:rFonts w:hint="eastAsia"/>
          <w:b/>
          <w:bCs/>
          <w:color w:val="000000"/>
          <w:sz w:val="22"/>
          <w:szCs w:val="28"/>
          <w:highlight w:val="none"/>
        </w:rPr>
      </w:pPr>
    </w:p>
    <w:p w14:paraId="7FF90AB8">
      <w:pPr>
        <w:rPr>
          <w:rFonts w:hint="eastAsia"/>
          <w:color w:val="000000"/>
          <w:highlight w:val="none"/>
        </w:rPr>
      </w:pPr>
    </w:p>
    <w:p w14:paraId="282D16EC">
      <w:pPr>
        <w:tabs>
          <w:tab w:val="left" w:pos="1305"/>
        </w:tabs>
        <w:spacing w:line="340" w:lineRule="exact"/>
        <w:rPr>
          <w:rFonts w:hint="eastAsia" w:ascii="宋体" w:hAnsi="宋体" w:cs="宋体"/>
          <w:bCs/>
          <w:color w:val="000000"/>
          <w:szCs w:val="21"/>
          <w:highlight w:val="none"/>
        </w:rPr>
      </w:pPr>
      <w:r>
        <w:rPr>
          <w:rFonts w:hint="eastAsia" w:ascii="宋体" w:hAnsi="宋体" w:cs="宋体"/>
          <w:bCs/>
          <w:color w:val="000000"/>
          <w:szCs w:val="21"/>
          <w:highlight w:val="none"/>
        </w:rPr>
        <w:t>注</w:t>
      </w:r>
      <w:r>
        <w:rPr>
          <w:rFonts w:hint="eastAsia" w:ascii="宋体" w:hAnsi="宋体" w:cs="宋体"/>
          <w:b/>
          <w:bCs/>
          <w:color w:val="000000"/>
          <w:szCs w:val="21"/>
          <w:highlight w:val="none"/>
        </w:rPr>
        <w:t>：</w:t>
      </w:r>
      <w:r>
        <w:rPr>
          <w:rFonts w:hint="eastAsia" w:ascii="宋体" w:hAnsi="宋体" w:cs="宋体"/>
          <w:bCs/>
          <w:color w:val="000000"/>
          <w:szCs w:val="21"/>
          <w:highlight w:val="none"/>
        </w:rPr>
        <w:t>1.各</w:t>
      </w:r>
      <w:r>
        <w:rPr>
          <w:rFonts w:hint="eastAsia" w:ascii="宋体" w:hAnsi="宋体" w:cs="宋体"/>
          <w:bCs/>
          <w:color w:val="000000"/>
          <w:szCs w:val="21"/>
          <w:highlight w:val="none"/>
          <w:lang w:val="en-US" w:eastAsia="zh-CN"/>
        </w:rPr>
        <w:t>供应商</w:t>
      </w:r>
      <w:r>
        <w:rPr>
          <w:rFonts w:hint="eastAsia" w:ascii="宋体" w:hAnsi="宋体" w:cs="宋体"/>
          <w:color w:val="000000"/>
          <w:szCs w:val="21"/>
          <w:highlight w:val="none"/>
        </w:rPr>
        <w:t>必须就“采购需求”中所的所有内容作完整唯一报价，否则，其</w:t>
      </w:r>
      <w:r>
        <w:rPr>
          <w:rFonts w:hint="eastAsia" w:ascii="宋体" w:hAnsi="宋体" w:cs="宋体"/>
          <w:color w:val="000000"/>
          <w:szCs w:val="21"/>
          <w:highlight w:val="none"/>
          <w:lang w:val="en-US" w:eastAsia="zh-CN"/>
        </w:rPr>
        <w:t>响应</w:t>
      </w:r>
      <w:r>
        <w:rPr>
          <w:rFonts w:hint="eastAsia" w:ascii="宋体" w:hAnsi="宋体" w:cs="宋体"/>
          <w:color w:val="000000"/>
          <w:szCs w:val="21"/>
          <w:highlight w:val="none"/>
        </w:rPr>
        <w:t>将被拒绝。</w:t>
      </w:r>
      <w:r>
        <w:rPr>
          <w:rFonts w:hint="eastAsia" w:ascii="宋体" w:hAnsi="宋体" w:cs="宋体"/>
          <w:color w:val="000000"/>
          <w:szCs w:val="21"/>
          <w:highlight w:val="none"/>
          <w:lang w:val="en-US" w:eastAsia="zh-CN"/>
        </w:rPr>
        <w:t>响应</w:t>
      </w:r>
      <w:r>
        <w:rPr>
          <w:rFonts w:hint="eastAsia" w:ascii="宋体" w:hAnsi="宋体" w:cs="宋体"/>
          <w:color w:val="000000"/>
          <w:szCs w:val="21"/>
          <w:highlight w:val="none"/>
        </w:rPr>
        <w:t>文件只允许有一个报价。</w:t>
      </w:r>
    </w:p>
    <w:p w14:paraId="0976D902">
      <w:pPr>
        <w:pStyle w:val="11"/>
        <w:spacing w:line="360" w:lineRule="exact"/>
        <w:ind w:firstLine="400" w:firstLineChars="200"/>
        <w:rPr>
          <w:rFonts w:hint="eastAsia" w:hAnsi="宋体" w:cs="宋体"/>
          <w:color w:val="000000"/>
          <w:szCs w:val="21"/>
          <w:highlight w:val="none"/>
        </w:rPr>
      </w:pPr>
      <w:r>
        <w:rPr>
          <w:rFonts w:hint="eastAsia" w:hAnsi="宋体" w:cs="宋体"/>
          <w:color w:val="000000"/>
          <w:szCs w:val="21"/>
          <w:highlight w:val="none"/>
        </w:rPr>
        <w:t>2.</w:t>
      </w:r>
      <w:r>
        <w:rPr>
          <w:rFonts w:hint="eastAsia" w:ascii="宋体" w:hAnsi="宋体" w:cs="宋体"/>
          <w:bCs/>
          <w:color w:val="000000"/>
          <w:szCs w:val="21"/>
          <w:highlight w:val="none"/>
          <w:lang w:val="en-US" w:eastAsia="zh-CN"/>
        </w:rPr>
        <w:t>供应商</w:t>
      </w:r>
      <w:r>
        <w:rPr>
          <w:rFonts w:hint="eastAsia" w:hAnsi="宋体" w:cs="宋体"/>
          <w:color w:val="000000"/>
          <w:szCs w:val="21"/>
          <w:highlight w:val="none"/>
        </w:rPr>
        <w:t>应根据所投项目如实填写</w:t>
      </w:r>
      <w:r>
        <w:rPr>
          <w:rFonts w:hint="eastAsia" w:hAnsi="宋体" w:cs="宋体"/>
          <w:color w:val="000000"/>
          <w:szCs w:val="21"/>
          <w:highlight w:val="none"/>
          <w:lang w:val="en-US" w:eastAsia="zh-CN"/>
        </w:rPr>
        <w:t>谈判</w:t>
      </w:r>
      <w:r>
        <w:rPr>
          <w:rFonts w:hint="eastAsia" w:hAnsi="宋体" w:cs="宋体"/>
          <w:color w:val="000000"/>
          <w:szCs w:val="21"/>
          <w:highlight w:val="none"/>
        </w:rPr>
        <w:t>报价表</w:t>
      </w:r>
      <w:r>
        <w:rPr>
          <w:rFonts w:hint="eastAsia" w:hAnsi="宋体" w:cs="宋体"/>
          <w:bCs/>
          <w:color w:val="000000"/>
          <w:szCs w:val="21"/>
          <w:highlight w:val="none"/>
        </w:rPr>
        <w:t>的各项内容。</w:t>
      </w:r>
    </w:p>
    <w:p w14:paraId="0B9D7BB5">
      <w:pPr>
        <w:spacing w:line="400" w:lineRule="exact"/>
        <w:ind w:firstLine="420" w:firstLineChars="200"/>
        <w:rPr>
          <w:rFonts w:hint="eastAsia" w:ascii="宋体" w:hAnsi="宋体" w:cs="宋体"/>
          <w:color w:val="000000"/>
          <w:highlight w:val="none"/>
        </w:rPr>
      </w:pPr>
      <w:r>
        <w:rPr>
          <w:rFonts w:hint="eastAsia" w:ascii="宋体" w:hAnsi="宋体" w:cs="宋体"/>
          <w:color w:val="000000"/>
          <w:szCs w:val="21"/>
          <w:highlight w:val="none"/>
        </w:rPr>
        <w:t>3.</w:t>
      </w:r>
      <w:r>
        <w:rPr>
          <w:rFonts w:hint="eastAsia" w:hAnsi="宋体" w:cs="宋体"/>
          <w:color w:val="000000"/>
          <w:szCs w:val="21"/>
          <w:highlight w:val="none"/>
          <w:lang w:val="en-US" w:eastAsia="zh-CN"/>
        </w:rPr>
        <w:t>谈判</w:t>
      </w:r>
      <w:r>
        <w:rPr>
          <w:rFonts w:hint="eastAsia" w:hAnsi="宋体" w:cs="宋体"/>
          <w:color w:val="000000"/>
          <w:szCs w:val="21"/>
          <w:highlight w:val="none"/>
        </w:rPr>
        <w:t>报价表</w:t>
      </w:r>
      <w:r>
        <w:rPr>
          <w:rFonts w:hint="eastAsia" w:ascii="宋体" w:hAnsi="宋体" w:cs="宋体"/>
          <w:color w:val="000000"/>
          <w:highlight w:val="none"/>
        </w:rPr>
        <w:t>须由法定代表人负责人、自然人或相应的委托代理人签字或个人CA签章（属自然人的应在签名处加盖食指指印或个人CA签章）并加盖投标人CA签章（自然人除外）。</w:t>
      </w:r>
    </w:p>
    <w:p w14:paraId="217D4365">
      <w:pPr>
        <w:spacing w:line="400" w:lineRule="exact"/>
        <w:ind w:firstLine="422" w:firstLineChars="200"/>
        <w:rPr>
          <w:b/>
          <w:bCs/>
          <w:color w:val="000000"/>
          <w:szCs w:val="21"/>
          <w:highlight w:val="none"/>
        </w:rPr>
      </w:pPr>
      <w:r>
        <w:rPr>
          <w:rFonts w:hint="eastAsia" w:ascii="宋体" w:hAnsi="宋体" w:cs="宋体"/>
          <w:b/>
          <w:color w:val="000000"/>
          <w:highlight w:val="none"/>
        </w:rPr>
        <w:t>当本表由多页构成时，需逐页加盖投标人公章（属自然人的须逐页签字或个人CA签章）</w:t>
      </w:r>
    </w:p>
    <w:p w14:paraId="38645DF2">
      <w:pPr>
        <w:rPr>
          <w:color w:val="000000"/>
          <w:highlight w:val="none"/>
        </w:rPr>
      </w:pPr>
    </w:p>
    <w:p w14:paraId="5114F753">
      <w:pPr>
        <w:pStyle w:val="8"/>
        <w:rPr>
          <w:color w:val="000000"/>
          <w:highlight w:val="none"/>
        </w:rPr>
      </w:pPr>
    </w:p>
    <w:p w14:paraId="0ED8907D">
      <w:pPr>
        <w:rPr>
          <w:color w:val="000000"/>
          <w:highlight w:val="none"/>
        </w:rPr>
      </w:pPr>
    </w:p>
    <w:p w14:paraId="6A40009B">
      <w:pPr>
        <w:pStyle w:val="18"/>
      </w:pPr>
    </w:p>
    <w:p w14:paraId="5A6B4A3E">
      <w:pPr>
        <w:pStyle w:val="3"/>
        <w:rPr>
          <w:color w:val="000000"/>
          <w:highlight w:val="none"/>
        </w:rPr>
      </w:pPr>
    </w:p>
    <w:p w14:paraId="200F8C18">
      <w:pPr>
        <w:rPr>
          <w:color w:val="000000"/>
          <w:highlight w:val="none"/>
        </w:rPr>
      </w:pPr>
    </w:p>
    <w:p w14:paraId="7B7B228C">
      <w:pPr>
        <w:rPr>
          <w:color w:val="000000"/>
          <w:highlight w:val="none"/>
        </w:rPr>
      </w:pPr>
    </w:p>
    <w:p w14:paraId="07A94188">
      <w:pPr>
        <w:rPr>
          <w:color w:val="000000"/>
          <w:highlight w:val="none"/>
        </w:rPr>
      </w:pPr>
    </w:p>
    <w:p w14:paraId="5681D191">
      <w:pPr>
        <w:pStyle w:val="11"/>
        <w:numPr>
          <w:ilvl w:val="0"/>
          <w:numId w:val="9"/>
        </w:numPr>
        <w:spacing w:line="340" w:lineRule="exact"/>
        <w:outlineLvl w:val="3"/>
        <w:rPr>
          <w:rFonts w:hint="eastAsia"/>
          <w:b/>
          <w:color w:val="000000"/>
          <w:sz w:val="28"/>
          <w:szCs w:val="28"/>
          <w:highlight w:val="none"/>
        </w:rPr>
      </w:pPr>
      <w:r>
        <w:rPr>
          <w:rFonts w:hint="eastAsia"/>
          <w:b/>
          <w:color w:val="000000"/>
          <w:sz w:val="28"/>
          <w:szCs w:val="28"/>
          <w:highlight w:val="none"/>
          <w:lang w:eastAsia="zh-CN"/>
        </w:rPr>
        <w:t>服务需求偏离表</w:t>
      </w:r>
      <w:r>
        <w:rPr>
          <w:rFonts w:hint="eastAsia"/>
          <w:b/>
          <w:color w:val="000000"/>
          <w:sz w:val="28"/>
          <w:szCs w:val="28"/>
          <w:highlight w:val="none"/>
        </w:rPr>
        <w:t>（必须提供）；</w:t>
      </w:r>
    </w:p>
    <w:p w14:paraId="15F22BF4">
      <w:pPr>
        <w:pStyle w:val="6"/>
        <w:rPr>
          <w:rFonts w:hint="eastAsia"/>
          <w:color w:val="000000"/>
          <w:highlight w:val="none"/>
        </w:rPr>
      </w:pPr>
    </w:p>
    <w:p w14:paraId="48E42BD3">
      <w:pPr>
        <w:pStyle w:val="11"/>
        <w:rPr>
          <w:rFonts w:hint="eastAsia" w:hAnsi="宋体"/>
          <w:b/>
          <w:bCs/>
          <w:color w:val="000000"/>
          <w:sz w:val="32"/>
          <w:szCs w:val="32"/>
          <w:highlight w:val="none"/>
        </w:rPr>
      </w:pPr>
      <w:r>
        <w:rPr>
          <w:rFonts w:hint="eastAsia" w:hAnsi="宋体"/>
          <w:b/>
          <w:bCs/>
          <w:color w:val="000000"/>
          <w:sz w:val="32"/>
          <w:szCs w:val="32"/>
          <w:highlight w:val="none"/>
        </w:rPr>
        <w:t>附件：</w:t>
      </w:r>
    </w:p>
    <w:p w14:paraId="0AB5EC4F">
      <w:pPr>
        <w:pStyle w:val="11"/>
        <w:rPr>
          <w:rFonts w:hAnsi="宋体"/>
          <w:b/>
          <w:color w:val="000000"/>
          <w:sz w:val="24"/>
          <w:szCs w:val="24"/>
          <w:highlight w:val="none"/>
        </w:rPr>
      </w:pPr>
      <w:r>
        <w:rPr>
          <w:rFonts w:hAnsi="宋体"/>
          <w:b/>
          <w:color w:val="000000"/>
          <w:sz w:val="24"/>
          <w:szCs w:val="24"/>
          <w:highlight w:val="none"/>
        </w:rPr>
        <w:t xml:space="preserve">           </w:t>
      </w:r>
    </w:p>
    <w:p w14:paraId="51F7FB2F">
      <w:pPr>
        <w:pStyle w:val="11"/>
        <w:ind w:firstLine="472" w:firstLineChars="147"/>
        <w:jc w:val="center"/>
        <w:outlineLvl w:val="4"/>
        <w:rPr>
          <w:rFonts w:hint="eastAsia" w:hAnsi="宋体"/>
          <w:b/>
          <w:bCs/>
          <w:color w:val="000000"/>
          <w:sz w:val="32"/>
          <w:highlight w:val="none"/>
        </w:rPr>
      </w:pPr>
      <w:bookmarkStart w:id="395" w:name="_Toc8609_WPSOffice_Level1"/>
      <w:bookmarkStart w:id="396" w:name="_Toc29907_WPSOffice_Level1"/>
      <w:r>
        <w:rPr>
          <w:rFonts w:hint="eastAsia" w:hAnsi="宋体"/>
          <w:b/>
          <w:bCs/>
          <w:color w:val="000000"/>
          <w:sz w:val="32"/>
          <w:highlight w:val="none"/>
          <w:lang w:eastAsia="zh-CN"/>
        </w:rPr>
        <w:t>服务需求偏离表</w:t>
      </w:r>
      <w:r>
        <w:rPr>
          <w:rFonts w:hint="eastAsia" w:hAnsi="宋体"/>
          <w:b/>
          <w:bCs/>
          <w:color w:val="000000"/>
          <w:sz w:val="32"/>
          <w:highlight w:val="none"/>
        </w:rPr>
        <w:t>（格式）</w:t>
      </w:r>
      <w:bookmarkEnd w:id="395"/>
      <w:bookmarkEnd w:id="396"/>
    </w:p>
    <w:p w14:paraId="41529A46">
      <w:pPr>
        <w:pStyle w:val="11"/>
        <w:rPr>
          <w:rFonts w:hAnsi="宋体"/>
          <w:b/>
          <w:color w:val="000000"/>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909"/>
        <w:gridCol w:w="2139"/>
        <w:gridCol w:w="1761"/>
      </w:tblGrid>
      <w:tr w14:paraId="1671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8" w:type="dxa"/>
            <w:noWrap w:val="0"/>
            <w:vAlign w:val="center"/>
          </w:tcPr>
          <w:p w14:paraId="79E40B6C">
            <w:pPr>
              <w:pStyle w:val="11"/>
              <w:spacing w:line="400" w:lineRule="exact"/>
              <w:jc w:val="center"/>
              <w:rPr>
                <w:rFonts w:hAnsi="宋体"/>
                <w:color w:val="000000"/>
                <w:kern w:val="2"/>
                <w:sz w:val="21"/>
                <w:szCs w:val="20"/>
                <w:highlight w:val="none"/>
              </w:rPr>
            </w:pPr>
            <w:r>
              <w:rPr>
                <w:rFonts w:hint="eastAsia" w:hAnsi="宋体"/>
                <w:color w:val="000000"/>
                <w:kern w:val="2"/>
                <w:sz w:val="21"/>
                <w:szCs w:val="20"/>
                <w:highlight w:val="none"/>
              </w:rPr>
              <w:t>项号</w:t>
            </w:r>
          </w:p>
        </w:tc>
        <w:tc>
          <w:tcPr>
            <w:tcW w:w="1651" w:type="dxa"/>
            <w:noWrap w:val="0"/>
            <w:vAlign w:val="center"/>
          </w:tcPr>
          <w:p w14:paraId="664EDB3B">
            <w:pPr>
              <w:pStyle w:val="11"/>
              <w:spacing w:line="400" w:lineRule="exact"/>
              <w:jc w:val="center"/>
              <w:rPr>
                <w:rFonts w:hAnsi="宋体"/>
                <w:color w:val="000000"/>
                <w:kern w:val="2"/>
                <w:sz w:val="21"/>
                <w:szCs w:val="20"/>
                <w:highlight w:val="none"/>
              </w:rPr>
            </w:pPr>
            <w:r>
              <w:rPr>
                <w:rFonts w:hint="eastAsia" w:hAnsi="宋体"/>
                <w:color w:val="000000"/>
                <w:kern w:val="2"/>
                <w:sz w:val="21"/>
                <w:szCs w:val="20"/>
                <w:highlight w:val="none"/>
                <w:lang w:eastAsia="zh-CN"/>
              </w:rPr>
              <w:t>标的</w:t>
            </w:r>
            <w:r>
              <w:rPr>
                <w:rFonts w:hint="eastAsia" w:hAnsi="宋体"/>
                <w:color w:val="000000"/>
                <w:kern w:val="2"/>
                <w:sz w:val="21"/>
                <w:szCs w:val="20"/>
                <w:highlight w:val="none"/>
              </w:rPr>
              <w:t>名称</w:t>
            </w:r>
          </w:p>
        </w:tc>
        <w:tc>
          <w:tcPr>
            <w:tcW w:w="2909" w:type="dxa"/>
            <w:noWrap w:val="0"/>
            <w:vAlign w:val="center"/>
          </w:tcPr>
          <w:p w14:paraId="1AF9CC99">
            <w:pPr>
              <w:pStyle w:val="11"/>
              <w:spacing w:line="300" w:lineRule="exact"/>
              <w:jc w:val="center"/>
              <w:rPr>
                <w:rFonts w:hint="eastAsia" w:hAnsi="宋体" w:eastAsia="宋体"/>
                <w:color w:val="000000"/>
                <w:kern w:val="2"/>
                <w:sz w:val="21"/>
                <w:szCs w:val="20"/>
                <w:highlight w:val="none"/>
                <w:lang w:eastAsia="zh-CN"/>
              </w:rPr>
            </w:pPr>
            <w:r>
              <w:rPr>
                <w:rFonts w:hint="eastAsia" w:hAnsi="宋体"/>
                <w:bCs/>
                <w:color w:val="000000"/>
                <w:kern w:val="2"/>
                <w:sz w:val="21"/>
                <w:highlight w:val="none"/>
              </w:rPr>
              <w:t>项目</w:t>
            </w:r>
            <w:r>
              <w:rPr>
                <w:rFonts w:hint="eastAsia" w:hAnsi="宋体"/>
                <w:bCs/>
                <w:color w:val="000000"/>
                <w:kern w:val="2"/>
                <w:sz w:val="21"/>
                <w:highlight w:val="none"/>
                <w:lang w:val="en-US" w:eastAsia="zh-CN"/>
              </w:rPr>
              <w:t>需求</w:t>
            </w:r>
          </w:p>
        </w:tc>
        <w:tc>
          <w:tcPr>
            <w:tcW w:w="2139" w:type="dxa"/>
            <w:noWrap w:val="0"/>
            <w:vAlign w:val="center"/>
          </w:tcPr>
          <w:p w14:paraId="05575603">
            <w:pPr>
              <w:pStyle w:val="11"/>
              <w:spacing w:line="300" w:lineRule="exact"/>
              <w:jc w:val="center"/>
              <w:rPr>
                <w:rFonts w:hAnsi="宋体"/>
                <w:color w:val="000000"/>
                <w:kern w:val="2"/>
                <w:sz w:val="21"/>
                <w:szCs w:val="20"/>
                <w:highlight w:val="none"/>
              </w:rPr>
            </w:pPr>
            <w:r>
              <w:rPr>
                <w:rFonts w:hint="eastAsia" w:hAnsi="宋体"/>
                <w:color w:val="000000"/>
                <w:kern w:val="2"/>
                <w:sz w:val="21"/>
                <w:highlight w:val="none"/>
              </w:rPr>
              <w:t>响应文件的响应情况</w:t>
            </w:r>
          </w:p>
        </w:tc>
        <w:tc>
          <w:tcPr>
            <w:tcW w:w="1761" w:type="dxa"/>
            <w:noWrap w:val="0"/>
            <w:vAlign w:val="center"/>
          </w:tcPr>
          <w:p w14:paraId="36A1640A">
            <w:pPr>
              <w:pStyle w:val="11"/>
              <w:spacing w:line="400" w:lineRule="exact"/>
              <w:jc w:val="center"/>
              <w:rPr>
                <w:rFonts w:hAnsi="宋体"/>
                <w:color w:val="000000"/>
                <w:kern w:val="2"/>
                <w:sz w:val="21"/>
                <w:szCs w:val="20"/>
                <w:highlight w:val="none"/>
              </w:rPr>
            </w:pPr>
            <w:bookmarkStart w:id="397" w:name="_Toc254970560"/>
            <w:bookmarkStart w:id="398" w:name="_Toc254970701"/>
            <w:r>
              <w:rPr>
                <w:rFonts w:hint="eastAsia" w:hAnsi="宋体"/>
                <w:color w:val="000000"/>
                <w:kern w:val="2"/>
                <w:sz w:val="21"/>
                <w:szCs w:val="20"/>
                <w:highlight w:val="none"/>
              </w:rPr>
              <w:t>偏离情况</w:t>
            </w:r>
            <w:bookmarkEnd w:id="397"/>
            <w:bookmarkEnd w:id="398"/>
            <w:r>
              <w:rPr>
                <w:rFonts w:hint="eastAsia" w:hAnsi="宋体"/>
                <w:color w:val="000000"/>
                <w:kern w:val="2"/>
                <w:sz w:val="21"/>
                <w:szCs w:val="20"/>
                <w:highlight w:val="none"/>
              </w:rPr>
              <w:t>说明</w:t>
            </w:r>
          </w:p>
        </w:tc>
      </w:tr>
      <w:tr w14:paraId="44E3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BE7FC26">
            <w:pPr>
              <w:jc w:val="center"/>
              <w:rPr>
                <w:rFonts w:ascii="宋体" w:hAnsi="宋体" w:cs="宋体"/>
                <w:color w:val="000000"/>
                <w:szCs w:val="21"/>
                <w:highlight w:val="none"/>
              </w:rPr>
            </w:pPr>
            <w:r>
              <w:rPr>
                <w:rFonts w:ascii="宋体" w:hAnsi="宋体" w:cs="宋体"/>
                <w:color w:val="000000"/>
                <w:szCs w:val="21"/>
                <w:highlight w:val="none"/>
              </w:rPr>
              <w:t>1</w:t>
            </w:r>
          </w:p>
        </w:tc>
        <w:tc>
          <w:tcPr>
            <w:tcW w:w="1651" w:type="dxa"/>
            <w:noWrap w:val="0"/>
            <w:vAlign w:val="center"/>
          </w:tcPr>
          <w:p w14:paraId="215D821F">
            <w:pPr>
              <w:jc w:val="center"/>
              <w:rPr>
                <w:rFonts w:ascii="宋体" w:hAnsi="宋体" w:cs="宋体"/>
                <w:color w:val="000000"/>
                <w:szCs w:val="21"/>
                <w:highlight w:val="none"/>
              </w:rPr>
            </w:pPr>
          </w:p>
        </w:tc>
        <w:tc>
          <w:tcPr>
            <w:tcW w:w="2909" w:type="dxa"/>
            <w:noWrap w:val="0"/>
            <w:vAlign w:val="center"/>
          </w:tcPr>
          <w:p w14:paraId="7A481B20">
            <w:pPr>
              <w:pStyle w:val="11"/>
              <w:spacing w:line="600" w:lineRule="exact"/>
              <w:jc w:val="center"/>
              <w:rPr>
                <w:rFonts w:hAnsi="宋体"/>
                <w:color w:val="000000"/>
                <w:kern w:val="2"/>
                <w:sz w:val="21"/>
                <w:szCs w:val="20"/>
                <w:highlight w:val="none"/>
              </w:rPr>
            </w:pPr>
          </w:p>
        </w:tc>
        <w:tc>
          <w:tcPr>
            <w:tcW w:w="2139" w:type="dxa"/>
            <w:noWrap w:val="0"/>
            <w:vAlign w:val="top"/>
          </w:tcPr>
          <w:p w14:paraId="1DC14DEA">
            <w:pPr>
              <w:pStyle w:val="11"/>
              <w:spacing w:line="600" w:lineRule="exact"/>
              <w:jc w:val="center"/>
              <w:rPr>
                <w:rFonts w:hAnsi="宋体"/>
                <w:color w:val="000000"/>
                <w:kern w:val="2"/>
                <w:sz w:val="21"/>
                <w:szCs w:val="20"/>
                <w:highlight w:val="none"/>
              </w:rPr>
            </w:pPr>
          </w:p>
        </w:tc>
        <w:tc>
          <w:tcPr>
            <w:tcW w:w="1761" w:type="dxa"/>
            <w:noWrap w:val="0"/>
            <w:vAlign w:val="center"/>
          </w:tcPr>
          <w:p w14:paraId="0DFC654D">
            <w:pPr>
              <w:pStyle w:val="11"/>
              <w:spacing w:line="600" w:lineRule="exact"/>
              <w:jc w:val="center"/>
              <w:rPr>
                <w:rFonts w:hAnsi="宋体"/>
                <w:color w:val="000000"/>
                <w:kern w:val="2"/>
                <w:sz w:val="21"/>
                <w:szCs w:val="20"/>
                <w:highlight w:val="none"/>
              </w:rPr>
            </w:pPr>
          </w:p>
        </w:tc>
      </w:tr>
      <w:tr w14:paraId="09CE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13B6D94">
            <w:pPr>
              <w:jc w:val="center"/>
              <w:rPr>
                <w:rFonts w:ascii="宋体" w:hAnsi="宋体" w:cs="宋体"/>
                <w:color w:val="000000"/>
                <w:szCs w:val="21"/>
                <w:highlight w:val="none"/>
              </w:rPr>
            </w:pPr>
            <w:r>
              <w:rPr>
                <w:rFonts w:ascii="宋体" w:hAnsi="宋体" w:cs="宋体"/>
                <w:color w:val="000000"/>
                <w:szCs w:val="21"/>
                <w:highlight w:val="none"/>
              </w:rPr>
              <w:t>2</w:t>
            </w:r>
          </w:p>
        </w:tc>
        <w:tc>
          <w:tcPr>
            <w:tcW w:w="1651" w:type="dxa"/>
            <w:noWrap w:val="0"/>
            <w:vAlign w:val="center"/>
          </w:tcPr>
          <w:p w14:paraId="0243731E">
            <w:pPr>
              <w:jc w:val="center"/>
              <w:rPr>
                <w:rFonts w:ascii="宋体" w:hAnsi="宋体" w:cs="宋体"/>
                <w:color w:val="000000"/>
                <w:szCs w:val="21"/>
                <w:highlight w:val="none"/>
              </w:rPr>
            </w:pPr>
          </w:p>
        </w:tc>
        <w:tc>
          <w:tcPr>
            <w:tcW w:w="2909" w:type="dxa"/>
            <w:noWrap w:val="0"/>
            <w:vAlign w:val="top"/>
          </w:tcPr>
          <w:p w14:paraId="27ADF15E">
            <w:pPr>
              <w:pStyle w:val="11"/>
              <w:spacing w:line="600" w:lineRule="exact"/>
              <w:rPr>
                <w:rFonts w:hAnsi="宋体"/>
                <w:color w:val="000000"/>
                <w:kern w:val="2"/>
                <w:sz w:val="21"/>
                <w:szCs w:val="20"/>
                <w:highlight w:val="none"/>
              </w:rPr>
            </w:pPr>
          </w:p>
        </w:tc>
        <w:tc>
          <w:tcPr>
            <w:tcW w:w="2139" w:type="dxa"/>
            <w:noWrap w:val="0"/>
            <w:vAlign w:val="top"/>
          </w:tcPr>
          <w:p w14:paraId="01CC97B9">
            <w:pPr>
              <w:pStyle w:val="11"/>
              <w:spacing w:line="600" w:lineRule="exact"/>
              <w:rPr>
                <w:rFonts w:hAnsi="宋体"/>
                <w:color w:val="000000"/>
                <w:kern w:val="2"/>
                <w:sz w:val="21"/>
                <w:szCs w:val="20"/>
                <w:highlight w:val="none"/>
              </w:rPr>
            </w:pPr>
          </w:p>
        </w:tc>
        <w:tc>
          <w:tcPr>
            <w:tcW w:w="1761" w:type="dxa"/>
            <w:noWrap w:val="0"/>
            <w:vAlign w:val="top"/>
          </w:tcPr>
          <w:p w14:paraId="6B0AA207">
            <w:pPr>
              <w:pStyle w:val="11"/>
              <w:spacing w:line="600" w:lineRule="exact"/>
              <w:rPr>
                <w:rFonts w:hAnsi="宋体"/>
                <w:color w:val="000000"/>
                <w:kern w:val="2"/>
                <w:sz w:val="21"/>
                <w:szCs w:val="20"/>
                <w:highlight w:val="none"/>
              </w:rPr>
            </w:pPr>
          </w:p>
        </w:tc>
      </w:tr>
      <w:tr w14:paraId="176B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B8F63A4">
            <w:pPr>
              <w:jc w:val="center"/>
              <w:rPr>
                <w:rFonts w:ascii="宋体" w:hAnsi="宋体" w:cs="宋体"/>
                <w:color w:val="000000"/>
                <w:szCs w:val="21"/>
                <w:highlight w:val="none"/>
              </w:rPr>
            </w:pPr>
            <w:r>
              <w:rPr>
                <w:rFonts w:ascii="宋体" w:hAnsi="宋体" w:cs="宋体"/>
                <w:color w:val="000000"/>
                <w:szCs w:val="21"/>
                <w:highlight w:val="none"/>
              </w:rPr>
              <w:t>3</w:t>
            </w:r>
          </w:p>
        </w:tc>
        <w:tc>
          <w:tcPr>
            <w:tcW w:w="1651" w:type="dxa"/>
            <w:noWrap w:val="0"/>
            <w:vAlign w:val="center"/>
          </w:tcPr>
          <w:p w14:paraId="381C6DAF">
            <w:pPr>
              <w:jc w:val="center"/>
              <w:rPr>
                <w:rFonts w:ascii="宋体" w:hAnsi="宋体" w:cs="宋体"/>
                <w:color w:val="000000"/>
                <w:szCs w:val="21"/>
                <w:highlight w:val="none"/>
              </w:rPr>
            </w:pPr>
          </w:p>
        </w:tc>
        <w:tc>
          <w:tcPr>
            <w:tcW w:w="2909" w:type="dxa"/>
            <w:noWrap w:val="0"/>
            <w:vAlign w:val="top"/>
          </w:tcPr>
          <w:p w14:paraId="368B2FB8">
            <w:pPr>
              <w:pStyle w:val="11"/>
              <w:spacing w:line="600" w:lineRule="exact"/>
              <w:rPr>
                <w:rFonts w:hAnsi="宋体"/>
                <w:color w:val="000000"/>
                <w:kern w:val="2"/>
                <w:sz w:val="21"/>
                <w:szCs w:val="20"/>
                <w:highlight w:val="none"/>
              </w:rPr>
            </w:pPr>
          </w:p>
        </w:tc>
        <w:tc>
          <w:tcPr>
            <w:tcW w:w="2139" w:type="dxa"/>
            <w:noWrap w:val="0"/>
            <w:vAlign w:val="top"/>
          </w:tcPr>
          <w:p w14:paraId="1311C2FA">
            <w:pPr>
              <w:pStyle w:val="11"/>
              <w:spacing w:line="600" w:lineRule="exact"/>
              <w:rPr>
                <w:rFonts w:hAnsi="宋体"/>
                <w:color w:val="000000"/>
                <w:kern w:val="2"/>
                <w:sz w:val="21"/>
                <w:szCs w:val="20"/>
                <w:highlight w:val="none"/>
              </w:rPr>
            </w:pPr>
          </w:p>
        </w:tc>
        <w:tc>
          <w:tcPr>
            <w:tcW w:w="1761" w:type="dxa"/>
            <w:noWrap w:val="0"/>
            <w:vAlign w:val="top"/>
          </w:tcPr>
          <w:p w14:paraId="2C9E5257">
            <w:pPr>
              <w:pStyle w:val="11"/>
              <w:spacing w:line="600" w:lineRule="exact"/>
              <w:rPr>
                <w:rFonts w:hAnsi="宋体"/>
                <w:color w:val="000000"/>
                <w:kern w:val="2"/>
                <w:sz w:val="21"/>
                <w:szCs w:val="20"/>
                <w:highlight w:val="none"/>
              </w:rPr>
            </w:pPr>
          </w:p>
        </w:tc>
      </w:tr>
      <w:tr w14:paraId="645B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340DBBF">
            <w:pPr>
              <w:jc w:val="center"/>
              <w:rPr>
                <w:rFonts w:ascii="宋体" w:cs="宋体"/>
                <w:color w:val="000000"/>
                <w:szCs w:val="21"/>
                <w:highlight w:val="none"/>
              </w:rPr>
            </w:pPr>
            <w:r>
              <w:rPr>
                <w:rFonts w:hint="eastAsia" w:ascii="宋体" w:hAnsi="宋体" w:cs="宋体"/>
                <w:color w:val="000000"/>
                <w:szCs w:val="21"/>
                <w:highlight w:val="none"/>
              </w:rPr>
              <w:t>……</w:t>
            </w:r>
          </w:p>
        </w:tc>
        <w:tc>
          <w:tcPr>
            <w:tcW w:w="1651" w:type="dxa"/>
            <w:noWrap w:val="0"/>
            <w:vAlign w:val="center"/>
          </w:tcPr>
          <w:p w14:paraId="39F0E686">
            <w:pPr>
              <w:jc w:val="center"/>
              <w:rPr>
                <w:rFonts w:ascii="宋体" w:cs="宋体"/>
                <w:color w:val="000000"/>
                <w:szCs w:val="21"/>
                <w:highlight w:val="none"/>
              </w:rPr>
            </w:pPr>
          </w:p>
        </w:tc>
        <w:tc>
          <w:tcPr>
            <w:tcW w:w="2909" w:type="dxa"/>
            <w:noWrap w:val="0"/>
            <w:vAlign w:val="top"/>
          </w:tcPr>
          <w:p w14:paraId="13E23099">
            <w:pPr>
              <w:pStyle w:val="11"/>
              <w:spacing w:line="600" w:lineRule="exact"/>
              <w:rPr>
                <w:rFonts w:hAnsi="宋体"/>
                <w:color w:val="000000"/>
                <w:kern w:val="2"/>
                <w:sz w:val="21"/>
                <w:szCs w:val="20"/>
                <w:highlight w:val="none"/>
              </w:rPr>
            </w:pPr>
          </w:p>
        </w:tc>
        <w:tc>
          <w:tcPr>
            <w:tcW w:w="2139" w:type="dxa"/>
            <w:noWrap w:val="0"/>
            <w:vAlign w:val="top"/>
          </w:tcPr>
          <w:p w14:paraId="25A5AA01">
            <w:pPr>
              <w:pStyle w:val="11"/>
              <w:spacing w:line="600" w:lineRule="exact"/>
              <w:rPr>
                <w:rFonts w:hAnsi="宋体"/>
                <w:color w:val="000000"/>
                <w:kern w:val="2"/>
                <w:sz w:val="21"/>
                <w:szCs w:val="20"/>
                <w:highlight w:val="none"/>
              </w:rPr>
            </w:pPr>
          </w:p>
        </w:tc>
        <w:tc>
          <w:tcPr>
            <w:tcW w:w="1761" w:type="dxa"/>
            <w:noWrap w:val="0"/>
            <w:vAlign w:val="top"/>
          </w:tcPr>
          <w:p w14:paraId="6415DEF6">
            <w:pPr>
              <w:pStyle w:val="11"/>
              <w:spacing w:line="600" w:lineRule="exact"/>
              <w:rPr>
                <w:rFonts w:hAnsi="宋体"/>
                <w:color w:val="000000"/>
                <w:kern w:val="2"/>
                <w:sz w:val="21"/>
                <w:szCs w:val="20"/>
                <w:highlight w:val="none"/>
              </w:rPr>
            </w:pPr>
          </w:p>
        </w:tc>
      </w:tr>
      <w:tr w14:paraId="2747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258AF218">
            <w:pPr>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1651" w:type="dxa"/>
            <w:noWrap w:val="0"/>
            <w:vAlign w:val="center"/>
          </w:tcPr>
          <w:p w14:paraId="0836B6DF">
            <w:pPr>
              <w:jc w:val="center"/>
              <w:rPr>
                <w:rFonts w:ascii="宋体" w:hAnsi="宋体" w:cs="宋体"/>
                <w:color w:val="000000"/>
                <w:szCs w:val="21"/>
                <w:highlight w:val="none"/>
              </w:rPr>
            </w:pPr>
          </w:p>
        </w:tc>
        <w:tc>
          <w:tcPr>
            <w:tcW w:w="2909" w:type="dxa"/>
            <w:noWrap w:val="0"/>
            <w:vAlign w:val="top"/>
          </w:tcPr>
          <w:p w14:paraId="253EBB67">
            <w:pPr>
              <w:pStyle w:val="11"/>
              <w:spacing w:line="600" w:lineRule="exact"/>
              <w:rPr>
                <w:rFonts w:hAnsi="宋体"/>
                <w:color w:val="000000"/>
                <w:kern w:val="2"/>
                <w:sz w:val="21"/>
                <w:szCs w:val="20"/>
                <w:highlight w:val="none"/>
              </w:rPr>
            </w:pPr>
          </w:p>
        </w:tc>
        <w:tc>
          <w:tcPr>
            <w:tcW w:w="2139" w:type="dxa"/>
            <w:noWrap w:val="0"/>
            <w:vAlign w:val="top"/>
          </w:tcPr>
          <w:p w14:paraId="0B7DEA38">
            <w:pPr>
              <w:pStyle w:val="11"/>
              <w:spacing w:line="600" w:lineRule="exact"/>
              <w:rPr>
                <w:rFonts w:hAnsi="宋体"/>
                <w:color w:val="000000"/>
                <w:kern w:val="2"/>
                <w:sz w:val="21"/>
                <w:szCs w:val="20"/>
                <w:highlight w:val="none"/>
              </w:rPr>
            </w:pPr>
          </w:p>
        </w:tc>
        <w:tc>
          <w:tcPr>
            <w:tcW w:w="1761" w:type="dxa"/>
            <w:noWrap w:val="0"/>
            <w:vAlign w:val="top"/>
          </w:tcPr>
          <w:p w14:paraId="1F3A50FA">
            <w:pPr>
              <w:pStyle w:val="11"/>
              <w:spacing w:line="600" w:lineRule="exact"/>
              <w:rPr>
                <w:rFonts w:hAnsi="宋体"/>
                <w:color w:val="000000"/>
                <w:kern w:val="2"/>
                <w:sz w:val="21"/>
                <w:szCs w:val="20"/>
                <w:highlight w:val="none"/>
              </w:rPr>
            </w:pPr>
          </w:p>
        </w:tc>
      </w:tr>
    </w:tbl>
    <w:p w14:paraId="3D7B9E40">
      <w:pPr>
        <w:pStyle w:val="11"/>
        <w:rPr>
          <w:rFonts w:hAnsi="宋体"/>
          <w:color w:val="000000"/>
          <w:highlight w:val="none"/>
          <w:u w:val="single"/>
        </w:rPr>
      </w:pPr>
    </w:p>
    <w:p w14:paraId="318B421D">
      <w:pPr>
        <w:snapToGrid w:val="0"/>
        <w:spacing w:line="400" w:lineRule="exact"/>
        <w:ind w:firstLine="1890" w:firstLineChars="900"/>
        <w:rPr>
          <w:rFonts w:hint="eastAsia" w:ascii="宋体" w:hAnsi="宋体" w:cs="宋体"/>
          <w:color w:val="000000"/>
          <w:szCs w:val="21"/>
          <w:highlight w:val="none"/>
          <w:u w:val="single"/>
        </w:rPr>
      </w:pPr>
      <w:r>
        <w:rPr>
          <w:rFonts w:hint="eastAsia" w:ascii="宋体" w:hAnsi="宋体" w:cs="宋体"/>
          <w:color w:val="000000"/>
          <w:szCs w:val="21"/>
          <w:highlight w:val="none"/>
        </w:rPr>
        <w:t>供应商[公章(CA签章)，自然人签字或个人CA签章]：</w:t>
      </w:r>
      <w:r>
        <w:rPr>
          <w:rFonts w:hint="eastAsia" w:ascii="宋体" w:hAnsi="宋体" w:cs="宋体"/>
          <w:color w:val="000000"/>
          <w:szCs w:val="21"/>
          <w:highlight w:val="none"/>
          <w:u w:val="single"/>
        </w:rPr>
        <w:t xml:space="preserve">                                </w:t>
      </w:r>
    </w:p>
    <w:p w14:paraId="4F7846CA">
      <w:pPr>
        <w:spacing w:line="340" w:lineRule="exact"/>
        <w:rPr>
          <w:color w:val="000000"/>
          <w:highlight w:val="none"/>
        </w:rPr>
      </w:pPr>
    </w:p>
    <w:p w14:paraId="0E8E4509">
      <w:pPr>
        <w:snapToGrid w:val="0"/>
        <w:spacing w:line="400" w:lineRule="exact"/>
        <w:ind w:firstLine="1680" w:firstLineChars="800"/>
        <w:rPr>
          <w:rFonts w:hint="eastAsia" w:ascii="宋体" w:hAnsi="宋体" w:cs="宋体"/>
          <w:color w:val="000000"/>
          <w:highlight w:val="none"/>
        </w:rPr>
      </w:pPr>
    </w:p>
    <w:p w14:paraId="68F392A7">
      <w:pPr>
        <w:snapToGrid w:val="0"/>
        <w:spacing w:line="400" w:lineRule="exact"/>
        <w:ind w:firstLine="5040" w:firstLineChars="2400"/>
        <w:rPr>
          <w:rFonts w:ascii="宋体" w:hAnsi="宋体" w:cs="宋体"/>
          <w:color w:val="000000"/>
          <w:highlight w:val="non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3470CBE3">
      <w:pPr>
        <w:pStyle w:val="11"/>
        <w:ind w:firstLine="4000" w:firstLineChars="2000"/>
        <w:rPr>
          <w:rFonts w:hAnsi="宋体"/>
          <w:color w:val="000000"/>
          <w:highlight w:val="none"/>
          <w:u w:val="single"/>
        </w:rPr>
      </w:pPr>
    </w:p>
    <w:p w14:paraId="22FBF00E">
      <w:pPr>
        <w:pStyle w:val="11"/>
        <w:spacing w:line="360" w:lineRule="exact"/>
        <w:rPr>
          <w:rFonts w:hAnsi="宋体"/>
          <w:bCs/>
          <w:color w:val="000000"/>
          <w:highlight w:val="none"/>
        </w:rPr>
      </w:pPr>
    </w:p>
    <w:p w14:paraId="22F13975">
      <w:pPr>
        <w:pStyle w:val="11"/>
        <w:spacing w:line="360" w:lineRule="exact"/>
        <w:rPr>
          <w:rFonts w:hAnsi="宋体"/>
          <w:bCs/>
          <w:color w:val="000000"/>
          <w:highlight w:val="none"/>
        </w:rPr>
      </w:pPr>
    </w:p>
    <w:p w14:paraId="5E02C30D">
      <w:pPr>
        <w:pStyle w:val="11"/>
        <w:spacing w:line="360" w:lineRule="exact"/>
        <w:rPr>
          <w:rFonts w:hint="eastAsia" w:hAnsi="宋体" w:cs="宋体"/>
          <w:bCs/>
          <w:color w:val="000000"/>
          <w:highlight w:val="none"/>
        </w:rPr>
      </w:pPr>
      <w:r>
        <w:rPr>
          <w:rFonts w:hint="eastAsia" w:hAnsi="宋体" w:cs="宋体"/>
          <w:bCs/>
          <w:color w:val="000000"/>
          <w:highlight w:val="none"/>
        </w:rPr>
        <w:t>注：</w:t>
      </w:r>
    </w:p>
    <w:p w14:paraId="4501EBD1">
      <w:pPr>
        <w:pStyle w:val="11"/>
        <w:spacing w:line="360" w:lineRule="exact"/>
        <w:ind w:firstLine="400" w:firstLineChars="200"/>
        <w:rPr>
          <w:rFonts w:hint="eastAsia" w:hAnsi="宋体" w:eastAsia="宋体" w:cs="宋体"/>
          <w:color w:val="000000"/>
          <w:highlight w:val="none"/>
          <w:lang w:eastAsia="zh-CN"/>
        </w:rPr>
      </w:pPr>
      <w:r>
        <w:rPr>
          <w:rFonts w:hint="eastAsia" w:hAnsi="宋体" w:cs="宋体"/>
          <w:bCs/>
          <w:color w:val="000000"/>
          <w:highlight w:val="none"/>
        </w:rPr>
        <w:t>1.“服务响应表”各项内容必须如实填写</w:t>
      </w:r>
      <w:r>
        <w:rPr>
          <w:rFonts w:hint="eastAsia" w:hAnsi="宋体" w:cs="宋体"/>
          <w:bCs/>
          <w:color w:val="000000"/>
          <w:highlight w:val="none"/>
          <w:lang w:eastAsia="zh-CN"/>
        </w:rPr>
        <w:t>，</w:t>
      </w:r>
      <w:r>
        <w:rPr>
          <w:rFonts w:hint="eastAsia" w:hAnsi="宋体" w:cs="宋体"/>
          <w:bCs/>
          <w:color w:val="000000"/>
          <w:highlight w:val="none"/>
          <w:lang w:val="en-US" w:eastAsia="zh-CN"/>
        </w:rPr>
        <w:t>供应商</w:t>
      </w:r>
      <w:r>
        <w:rPr>
          <w:rFonts w:hint="eastAsia" w:hAnsi="宋体" w:cs="宋体"/>
          <w:bCs/>
          <w:color w:val="000000"/>
          <w:highlight w:val="none"/>
          <w:lang w:eastAsia="zh-CN"/>
        </w:rPr>
        <w:t>应对照</w:t>
      </w:r>
      <w:r>
        <w:rPr>
          <w:rFonts w:hint="eastAsia" w:hAnsi="宋体" w:cs="宋体"/>
          <w:bCs/>
          <w:color w:val="000000"/>
          <w:highlight w:val="none"/>
          <w:lang w:val="en-US" w:eastAsia="zh-CN"/>
        </w:rPr>
        <w:t>竞争性谈判</w:t>
      </w:r>
      <w:r>
        <w:rPr>
          <w:rFonts w:hint="eastAsia" w:hAnsi="宋体" w:cs="宋体"/>
          <w:bCs/>
          <w:color w:val="000000"/>
          <w:highlight w:val="none"/>
          <w:lang w:eastAsia="zh-CN"/>
        </w:rPr>
        <w:t>文件中</w:t>
      </w:r>
      <w:r>
        <w:rPr>
          <w:rFonts w:hint="eastAsia" w:hAnsi="宋体" w:cs="宋体"/>
          <w:bCs/>
          <w:color w:val="000000"/>
          <w:highlight w:val="none"/>
          <w:lang w:val="en-US" w:eastAsia="zh-CN"/>
        </w:rPr>
        <w:t>项目需求</w:t>
      </w:r>
      <w:r>
        <w:rPr>
          <w:rFonts w:hint="eastAsia" w:hAnsi="宋体" w:cs="宋体"/>
          <w:bCs/>
          <w:color w:val="000000"/>
          <w:highlight w:val="none"/>
          <w:lang w:eastAsia="zh-CN"/>
        </w:rPr>
        <w:t>的内容逐条响应，并在“偏离情况说明”栏注明“正偏离”、“负偏离”或“无偏离”。</w:t>
      </w:r>
    </w:p>
    <w:p w14:paraId="61F5F969">
      <w:pPr>
        <w:pStyle w:val="11"/>
        <w:spacing w:line="400" w:lineRule="exact"/>
        <w:ind w:firstLine="400" w:firstLineChars="200"/>
        <w:rPr>
          <w:rFonts w:hint="eastAsia" w:hAnsi="宋体" w:cs="宋体"/>
          <w:bCs/>
          <w:color w:val="000000"/>
          <w:highlight w:val="none"/>
        </w:rPr>
      </w:pPr>
      <w:r>
        <w:rPr>
          <w:rFonts w:hint="eastAsia" w:hAnsi="宋体" w:cs="宋体"/>
          <w:bCs/>
          <w:color w:val="000000"/>
          <w:highlight w:val="none"/>
        </w:rPr>
        <w:t>2.响应情况偏离表须</w:t>
      </w:r>
      <w:r>
        <w:rPr>
          <w:rFonts w:hint="eastAsia" w:hAnsi="宋体" w:cs="宋体"/>
          <w:color w:val="000000"/>
          <w:highlight w:val="none"/>
        </w:rPr>
        <w:t>加盖供应商CA签章（自然人签字或加盖个人CA签章）。当本表由多页构成时，需逐页加盖供应商CA签章（属自然人的须逐页签字或加盖个人CA签章）。</w:t>
      </w:r>
    </w:p>
    <w:p w14:paraId="1467D60A">
      <w:pPr>
        <w:spacing w:line="360" w:lineRule="auto"/>
        <w:rPr>
          <w:rFonts w:ascii="宋体" w:cs="宋体"/>
          <w:b/>
          <w:bCs/>
          <w:color w:val="000000"/>
          <w:sz w:val="32"/>
          <w:szCs w:val="32"/>
          <w:highlight w:val="none"/>
        </w:rPr>
      </w:pPr>
    </w:p>
    <w:p w14:paraId="66BDFCF8">
      <w:pPr>
        <w:pStyle w:val="8"/>
        <w:rPr>
          <w:rFonts w:ascii="宋体" w:cs="宋体"/>
          <w:b/>
          <w:bCs/>
          <w:color w:val="000000"/>
          <w:sz w:val="32"/>
          <w:szCs w:val="32"/>
          <w:highlight w:val="none"/>
        </w:rPr>
      </w:pPr>
    </w:p>
    <w:p w14:paraId="528CC0A5">
      <w:pPr>
        <w:pStyle w:val="8"/>
        <w:rPr>
          <w:rFonts w:ascii="宋体" w:cs="宋体"/>
          <w:b/>
          <w:bCs/>
          <w:color w:val="000000"/>
          <w:sz w:val="32"/>
          <w:szCs w:val="32"/>
          <w:highlight w:val="none"/>
        </w:rPr>
      </w:pPr>
    </w:p>
    <w:p w14:paraId="36D85024">
      <w:pPr>
        <w:rPr>
          <w:color w:val="000000"/>
          <w:highlight w:val="none"/>
        </w:rPr>
      </w:pPr>
    </w:p>
    <w:p w14:paraId="2019A58D">
      <w:pPr>
        <w:rPr>
          <w:color w:val="000000"/>
          <w:highlight w:val="none"/>
        </w:rPr>
      </w:pPr>
      <w:r>
        <w:rPr>
          <w:color w:val="000000"/>
          <w:highlight w:val="none"/>
        </w:rPr>
        <w:br w:type="page"/>
      </w:r>
    </w:p>
    <w:p w14:paraId="5F975E06">
      <w:pPr>
        <w:pStyle w:val="11"/>
        <w:numPr>
          <w:ilvl w:val="0"/>
          <w:numId w:val="9"/>
        </w:numPr>
        <w:spacing w:line="340" w:lineRule="exact"/>
        <w:outlineLvl w:val="3"/>
        <w:rPr>
          <w:rFonts w:hint="eastAsia"/>
          <w:b/>
          <w:color w:val="000000"/>
          <w:sz w:val="28"/>
          <w:szCs w:val="28"/>
          <w:highlight w:val="none"/>
        </w:rPr>
      </w:pPr>
      <w:r>
        <w:rPr>
          <w:rFonts w:hint="eastAsia"/>
          <w:b/>
          <w:color w:val="000000"/>
          <w:sz w:val="28"/>
          <w:szCs w:val="28"/>
          <w:highlight w:val="none"/>
        </w:rPr>
        <w:t>商务响应表（必须提供）；</w:t>
      </w:r>
    </w:p>
    <w:p w14:paraId="3F0B2E07">
      <w:pPr>
        <w:pStyle w:val="6"/>
        <w:rPr>
          <w:rFonts w:hint="eastAsia"/>
          <w:color w:val="000000"/>
          <w:highlight w:val="none"/>
        </w:rPr>
      </w:pPr>
    </w:p>
    <w:p w14:paraId="31B817D8">
      <w:pPr>
        <w:pStyle w:val="11"/>
        <w:spacing w:line="300" w:lineRule="exact"/>
        <w:ind w:left="420"/>
        <w:jc w:val="left"/>
        <w:rPr>
          <w:rFonts w:ascii="Times New Roman" w:hAnsi="Times New Roman"/>
          <w:b/>
          <w:color w:val="000000"/>
          <w:sz w:val="32"/>
          <w:szCs w:val="32"/>
          <w:highlight w:val="none"/>
        </w:rPr>
      </w:pPr>
      <w:r>
        <w:rPr>
          <w:rFonts w:ascii="Times New Roman" w:hAnsi="Times New Roman"/>
          <w:b/>
          <w:color w:val="000000"/>
          <w:sz w:val="32"/>
          <w:szCs w:val="32"/>
          <w:highlight w:val="none"/>
        </w:rPr>
        <w:t>附件：</w:t>
      </w:r>
    </w:p>
    <w:p w14:paraId="3D620E47">
      <w:pPr>
        <w:pStyle w:val="11"/>
        <w:jc w:val="center"/>
        <w:rPr>
          <w:rFonts w:ascii="Times New Roman" w:hAnsi="Times New Roman"/>
          <w:b/>
          <w:color w:val="000000"/>
          <w:sz w:val="28"/>
          <w:szCs w:val="28"/>
          <w:highlight w:val="none"/>
        </w:rPr>
      </w:pPr>
      <w:r>
        <w:rPr>
          <w:rFonts w:hint="eastAsia" w:ascii="Times New Roman" w:hAnsi="Times New Roman"/>
          <w:b/>
          <w:color w:val="000000"/>
          <w:sz w:val="28"/>
          <w:szCs w:val="28"/>
          <w:highlight w:val="none"/>
        </w:rPr>
        <w:t>商务</w:t>
      </w:r>
      <w:r>
        <w:rPr>
          <w:rFonts w:ascii="Times New Roman" w:hAnsi="Times New Roman"/>
          <w:b/>
          <w:color w:val="000000"/>
          <w:sz w:val="28"/>
          <w:szCs w:val="28"/>
          <w:highlight w:val="none"/>
        </w:rPr>
        <w:t>响应表</w:t>
      </w:r>
      <w:r>
        <w:rPr>
          <w:rFonts w:ascii="Times New Roman" w:hAnsi="Times New Roman"/>
          <w:b/>
          <w:color w:val="000000"/>
          <w:sz w:val="32"/>
          <w:highlight w:val="none"/>
        </w:rPr>
        <w:t>（格式）</w:t>
      </w:r>
    </w:p>
    <w:tbl>
      <w:tblPr>
        <w:tblStyle w:val="19"/>
        <w:tblW w:w="0" w:type="auto"/>
        <w:tblInd w:w="4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062"/>
        <w:gridCol w:w="2675"/>
        <w:gridCol w:w="2435"/>
      </w:tblGrid>
      <w:tr w14:paraId="38F56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242FA69">
            <w:pPr>
              <w:snapToGrid w:val="0"/>
              <w:spacing w:before="156" w:beforeLines="50"/>
              <w:jc w:val="center"/>
              <w:rPr>
                <w:rFonts w:ascii="宋体" w:hAnsi="宋体" w:cs="宋体"/>
                <w:color w:val="000000"/>
                <w:szCs w:val="21"/>
                <w:highlight w:val="none"/>
              </w:rPr>
            </w:pPr>
            <w:r>
              <w:rPr>
                <w:rFonts w:hint="eastAsia" w:ascii="宋体" w:hAnsi="宋体" w:cs="宋体"/>
                <w:color w:val="000000"/>
                <w:szCs w:val="21"/>
                <w:highlight w:val="none"/>
              </w:rPr>
              <w:t>项号</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5FC05CB4">
            <w:pPr>
              <w:pStyle w:val="11"/>
              <w:spacing w:line="600" w:lineRule="exact"/>
              <w:jc w:val="center"/>
              <w:rPr>
                <w:rFonts w:hAnsi="宋体" w:cs="宋体"/>
                <w:color w:val="000000"/>
                <w:kern w:val="2"/>
                <w:sz w:val="21"/>
                <w:szCs w:val="20"/>
                <w:highlight w:val="none"/>
              </w:rPr>
            </w:pPr>
            <w:r>
              <w:rPr>
                <w:rFonts w:hint="eastAsia" w:ascii="Times New Roman" w:hAnsi="Times New Roman"/>
                <w:color w:val="000000"/>
                <w:kern w:val="2"/>
                <w:sz w:val="21"/>
                <w:szCs w:val="24"/>
                <w:highlight w:val="none"/>
              </w:rPr>
              <w:t>竞争性</w:t>
            </w:r>
            <w:r>
              <w:rPr>
                <w:rFonts w:ascii="Times New Roman" w:hAnsi="Times New Roman"/>
                <w:color w:val="000000"/>
                <w:kern w:val="2"/>
                <w:sz w:val="21"/>
                <w:szCs w:val="24"/>
                <w:highlight w:val="none"/>
              </w:rPr>
              <w:t>谈判文件</w:t>
            </w:r>
            <w:r>
              <w:rPr>
                <w:rFonts w:hint="eastAsia" w:ascii="Times New Roman" w:hAnsi="Times New Roman"/>
                <w:color w:val="000000"/>
                <w:kern w:val="2"/>
                <w:sz w:val="21"/>
                <w:szCs w:val="24"/>
                <w:highlight w:val="none"/>
              </w:rPr>
              <w:t>的商务条款</w:t>
            </w:r>
          </w:p>
        </w:tc>
        <w:tc>
          <w:tcPr>
            <w:tcW w:w="2675" w:type="dxa"/>
            <w:tcBorders>
              <w:top w:val="single" w:color="auto" w:sz="4" w:space="0"/>
              <w:left w:val="single" w:color="auto" w:sz="4" w:space="0"/>
              <w:bottom w:val="single" w:color="auto" w:sz="4" w:space="0"/>
              <w:right w:val="single" w:color="auto" w:sz="4" w:space="0"/>
            </w:tcBorders>
            <w:noWrap w:val="0"/>
            <w:vAlign w:val="center"/>
          </w:tcPr>
          <w:p w14:paraId="27EE323F">
            <w:pPr>
              <w:pStyle w:val="11"/>
              <w:spacing w:line="600" w:lineRule="exact"/>
              <w:jc w:val="center"/>
              <w:rPr>
                <w:rFonts w:hAnsi="宋体" w:cs="宋体"/>
                <w:color w:val="000000"/>
                <w:kern w:val="2"/>
                <w:sz w:val="21"/>
                <w:szCs w:val="20"/>
                <w:highlight w:val="none"/>
              </w:rPr>
            </w:pPr>
            <w:r>
              <w:rPr>
                <w:rFonts w:hint="eastAsia" w:ascii="Times New Roman" w:hAnsi="Times New Roman"/>
                <w:color w:val="000000"/>
                <w:kern w:val="2"/>
                <w:sz w:val="21"/>
                <w:szCs w:val="24"/>
                <w:highlight w:val="none"/>
              </w:rPr>
              <w:t>响应文件承诺的商务条款</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92C1CA4">
            <w:pPr>
              <w:pStyle w:val="11"/>
              <w:spacing w:line="600" w:lineRule="exact"/>
              <w:jc w:val="center"/>
              <w:rPr>
                <w:rFonts w:hAnsi="宋体" w:cs="宋体"/>
                <w:color w:val="000000"/>
                <w:kern w:val="2"/>
                <w:sz w:val="21"/>
                <w:szCs w:val="20"/>
                <w:highlight w:val="none"/>
              </w:rPr>
            </w:pPr>
            <w:r>
              <w:rPr>
                <w:rFonts w:hint="eastAsia" w:ascii="Times New Roman" w:hAnsi="Times New Roman"/>
                <w:color w:val="000000"/>
                <w:kern w:val="2"/>
                <w:sz w:val="21"/>
                <w:szCs w:val="24"/>
                <w:highlight w:val="none"/>
              </w:rPr>
              <w:t>偏离说明</w:t>
            </w:r>
          </w:p>
        </w:tc>
      </w:tr>
      <w:tr w14:paraId="1DC87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31206E3E">
            <w:pPr>
              <w:snapToGrid w:val="0"/>
              <w:spacing w:before="156" w:beforeLines="50"/>
              <w:jc w:val="center"/>
              <w:rPr>
                <w:rFonts w:ascii="宋体" w:hAnsi="宋体" w:cs="宋体"/>
                <w:color w:val="000000"/>
                <w:szCs w:val="21"/>
                <w:highlight w:val="none"/>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7547C66">
            <w:pPr>
              <w:snapToGrid w:val="0"/>
              <w:spacing w:before="156" w:beforeLines="50"/>
              <w:jc w:val="center"/>
              <w:rPr>
                <w:rFonts w:ascii="宋体" w:hAnsi="宋体" w:cs="宋体"/>
                <w:color w:val="00000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7DBDF5C0">
            <w:pPr>
              <w:snapToGrid w:val="0"/>
              <w:spacing w:before="156" w:beforeLines="50"/>
              <w:jc w:val="center"/>
              <w:rPr>
                <w:rFonts w:ascii="宋体" w:hAnsi="宋体" w:cs="宋体"/>
                <w:color w:val="000000"/>
                <w:szCs w:val="21"/>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EF3F1B1">
            <w:pPr>
              <w:snapToGrid w:val="0"/>
              <w:spacing w:before="156" w:beforeLines="50"/>
              <w:jc w:val="center"/>
              <w:rPr>
                <w:rFonts w:ascii="宋体" w:hAnsi="宋体" w:cs="宋体"/>
                <w:color w:val="000000"/>
                <w:szCs w:val="21"/>
                <w:highlight w:val="none"/>
              </w:rPr>
            </w:pPr>
          </w:p>
        </w:tc>
      </w:tr>
      <w:tr w14:paraId="1B968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E64E9C5">
            <w:pPr>
              <w:snapToGrid w:val="0"/>
              <w:spacing w:before="156" w:beforeLines="50"/>
              <w:jc w:val="center"/>
              <w:rPr>
                <w:rFonts w:ascii="宋体" w:hAnsi="宋体" w:cs="宋体"/>
                <w:color w:val="000000"/>
                <w:szCs w:val="21"/>
                <w:highlight w:val="none"/>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6A31A79B">
            <w:pPr>
              <w:snapToGrid w:val="0"/>
              <w:spacing w:before="156" w:beforeLines="50"/>
              <w:jc w:val="center"/>
              <w:rPr>
                <w:rFonts w:ascii="宋体" w:hAnsi="宋体" w:cs="宋体"/>
                <w:color w:val="00000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11E53D59">
            <w:pPr>
              <w:snapToGrid w:val="0"/>
              <w:spacing w:before="156" w:beforeLines="50"/>
              <w:jc w:val="center"/>
              <w:rPr>
                <w:rFonts w:ascii="宋体" w:hAnsi="宋体" w:cs="宋体"/>
                <w:color w:val="000000"/>
                <w:szCs w:val="21"/>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6A0D273">
            <w:pPr>
              <w:snapToGrid w:val="0"/>
              <w:spacing w:before="156" w:beforeLines="50"/>
              <w:jc w:val="center"/>
              <w:rPr>
                <w:rFonts w:ascii="宋体" w:hAnsi="宋体" w:cs="宋体"/>
                <w:color w:val="000000"/>
                <w:szCs w:val="21"/>
                <w:highlight w:val="none"/>
              </w:rPr>
            </w:pPr>
          </w:p>
        </w:tc>
      </w:tr>
      <w:tr w14:paraId="20745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29692765">
            <w:pPr>
              <w:snapToGrid w:val="0"/>
              <w:spacing w:before="156" w:beforeLines="50"/>
              <w:jc w:val="center"/>
              <w:rPr>
                <w:rFonts w:ascii="宋体" w:hAnsi="宋体" w:cs="宋体"/>
                <w:color w:val="000000"/>
                <w:szCs w:val="21"/>
                <w:highlight w:val="none"/>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22E24370">
            <w:pPr>
              <w:snapToGrid w:val="0"/>
              <w:spacing w:before="156" w:beforeLines="50"/>
              <w:jc w:val="center"/>
              <w:rPr>
                <w:rFonts w:ascii="宋体" w:hAnsi="宋体" w:cs="宋体"/>
                <w:color w:val="00000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5474A319">
            <w:pPr>
              <w:snapToGrid w:val="0"/>
              <w:spacing w:before="156" w:beforeLines="50"/>
              <w:ind w:left="43"/>
              <w:jc w:val="center"/>
              <w:rPr>
                <w:rFonts w:ascii="宋体" w:hAnsi="宋体" w:cs="宋体"/>
                <w:color w:val="000000"/>
                <w:szCs w:val="21"/>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FCA82BD">
            <w:pPr>
              <w:snapToGrid w:val="0"/>
              <w:spacing w:before="156" w:beforeLines="50"/>
              <w:ind w:left="43"/>
              <w:jc w:val="center"/>
              <w:rPr>
                <w:rFonts w:ascii="宋体" w:hAnsi="宋体" w:cs="宋体"/>
                <w:color w:val="000000"/>
                <w:szCs w:val="21"/>
                <w:highlight w:val="none"/>
              </w:rPr>
            </w:pPr>
          </w:p>
        </w:tc>
      </w:tr>
      <w:tr w14:paraId="7F927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noWrap w:val="0"/>
            <w:vAlign w:val="center"/>
          </w:tcPr>
          <w:p w14:paraId="7FE4AC4F">
            <w:pPr>
              <w:snapToGrid w:val="0"/>
              <w:spacing w:before="156" w:beforeLines="50"/>
              <w:jc w:val="center"/>
              <w:rPr>
                <w:rFonts w:ascii="宋体" w:hAnsi="宋体" w:cs="宋体"/>
                <w:color w:val="000000"/>
                <w:szCs w:val="21"/>
                <w:highlight w:val="none"/>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46D04E62">
            <w:pPr>
              <w:snapToGrid w:val="0"/>
              <w:spacing w:before="156" w:beforeLines="50"/>
              <w:jc w:val="center"/>
              <w:rPr>
                <w:rFonts w:ascii="宋体" w:hAnsi="宋体" w:cs="宋体"/>
                <w:color w:val="00000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51AAF5B9">
            <w:pPr>
              <w:snapToGrid w:val="0"/>
              <w:spacing w:before="156" w:beforeLines="50"/>
              <w:jc w:val="center"/>
              <w:rPr>
                <w:rFonts w:ascii="宋体" w:hAnsi="宋体" w:cs="宋体"/>
                <w:color w:val="000000"/>
                <w:szCs w:val="21"/>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47C46149">
            <w:pPr>
              <w:snapToGrid w:val="0"/>
              <w:spacing w:before="156" w:beforeLines="50"/>
              <w:jc w:val="center"/>
              <w:rPr>
                <w:rFonts w:ascii="宋体" w:hAnsi="宋体" w:cs="宋体"/>
                <w:color w:val="000000"/>
                <w:szCs w:val="21"/>
                <w:highlight w:val="none"/>
              </w:rPr>
            </w:pPr>
          </w:p>
        </w:tc>
      </w:tr>
      <w:tr w14:paraId="56D00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6F9A9E28">
            <w:pPr>
              <w:snapToGrid w:val="0"/>
              <w:spacing w:before="156" w:beforeLines="50"/>
              <w:jc w:val="center"/>
              <w:rPr>
                <w:rFonts w:ascii="宋体" w:hAnsi="宋体" w:cs="宋体"/>
                <w:color w:val="000000"/>
                <w:szCs w:val="21"/>
                <w:highlight w:val="none"/>
              </w:rPr>
            </w:pP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7E8EAED">
            <w:pPr>
              <w:snapToGrid w:val="0"/>
              <w:spacing w:before="156" w:beforeLines="50"/>
              <w:jc w:val="center"/>
              <w:rPr>
                <w:rFonts w:ascii="宋体" w:hAnsi="宋体" w:cs="宋体"/>
                <w:color w:val="00000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05140D5C">
            <w:pPr>
              <w:snapToGrid w:val="0"/>
              <w:spacing w:before="156" w:beforeLines="50"/>
              <w:jc w:val="center"/>
              <w:rPr>
                <w:rFonts w:ascii="宋体" w:hAnsi="宋体" w:cs="宋体"/>
                <w:color w:val="000000"/>
                <w:szCs w:val="21"/>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54ACADE">
            <w:pPr>
              <w:snapToGrid w:val="0"/>
              <w:spacing w:before="156" w:beforeLines="50"/>
              <w:jc w:val="center"/>
              <w:rPr>
                <w:rFonts w:ascii="宋体" w:hAnsi="宋体" w:cs="宋体"/>
                <w:color w:val="000000"/>
                <w:szCs w:val="21"/>
                <w:highlight w:val="none"/>
              </w:rPr>
            </w:pPr>
          </w:p>
        </w:tc>
      </w:tr>
      <w:tr w14:paraId="781C9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noWrap w:val="0"/>
            <w:vAlign w:val="center"/>
          </w:tcPr>
          <w:p w14:paraId="332BCD66">
            <w:pPr>
              <w:snapToGrid w:val="0"/>
              <w:spacing w:before="156" w:beforeLines="50"/>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3062" w:type="dxa"/>
            <w:tcBorders>
              <w:top w:val="single" w:color="auto" w:sz="4" w:space="0"/>
              <w:left w:val="single" w:color="auto" w:sz="4" w:space="0"/>
              <w:bottom w:val="single" w:color="auto" w:sz="4" w:space="0"/>
              <w:right w:val="single" w:color="auto" w:sz="4" w:space="0"/>
            </w:tcBorders>
            <w:noWrap w:val="0"/>
            <w:vAlign w:val="center"/>
          </w:tcPr>
          <w:p w14:paraId="382DDD41">
            <w:pPr>
              <w:snapToGrid w:val="0"/>
              <w:spacing w:before="156" w:beforeLines="50"/>
              <w:jc w:val="center"/>
              <w:rPr>
                <w:rFonts w:ascii="宋体" w:hAnsi="宋体" w:cs="宋体"/>
                <w:color w:val="000000"/>
                <w:szCs w:val="21"/>
                <w:highlight w:val="none"/>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14:paraId="72244B2D">
            <w:pPr>
              <w:snapToGrid w:val="0"/>
              <w:spacing w:before="156" w:beforeLines="50"/>
              <w:jc w:val="center"/>
              <w:rPr>
                <w:rFonts w:ascii="宋体" w:hAnsi="宋体" w:cs="宋体"/>
                <w:color w:val="000000"/>
                <w:szCs w:val="21"/>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7A595CE6">
            <w:pPr>
              <w:snapToGrid w:val="0"/>
              <w:spacing w:before="156" w:beforeLines="50"/>
              <w:jc w:val="center"/>
              <w:rPr>
                <w:rFonts w:ascii="宋体" w:hAnsi="宋体" w:cs="宋体"/>
                <w:color w:val="000000"/>
                <w:szCs w:val="21"/>
                <w:highlight w:val="none"/>
              </w:rPr>
            </w:pPr>
          </w:p>
        </w:tc>
      </w:tr>
    </w:tbl>
    <w:p w14:paraId="2906C924">
      <w:pPr>
        <w:snapToGrid w:val="0"/>
        <w:spacing w:after="156" w:afterLines="50" w:line="330" w:lineRule="exact"/>
        <w:ind w:left="540"/>
        <w:jc w:val="left"/>
        <w:rPr>
          <w:rFonts w:ascii="宋体" w:hAnsi="宋体" w:cs="宋体"/>
          <w:color w:val="000000"/>
          <w:szCs w:val="21"/>
          <w:highlight w:val="none"/>
        </w:rPr>
      </w:pPr>
      <w:r>
        <w:rPr>
          <w:rFonts w:hint="eastAsia" w:ascii="宋体" w:hAnsi="宋体"/>
          <w:color w:val="000000"/>
          <w:highlight w:val="none"/>
        </w:rPr>
        <w:t>注：供应商应对照竞争性谈判</w:t>
      </w:r>
      <w:r>
        <w:rPr>
          <w:rFonts w:ascii="宋体" w:hAnsi="宋体"/>
          <w:color w:val="000000"/>
          <w:highlight w:val="none"/>
        </w:rPr>
        <w:t>文件</w:t>
      </w:r>
      <w:r>
        <w:rPr>
          <w:rFonts w:hint="eastAsia" w:ascii="宋体" w:hAnsi="宋体"/>
          <w:color w:val="000000"/>
          <w:highlight w:val="none"/>
        </w:rPr>
        <w:t>中商务要求的内容逐条响应，并在“偏离情况”栏注明“正偏离”、“负偏离”或“无偏离”</w:t>
      </w:r>
    </w:p>
    <w:p w14:paraId="429515AF">
      <w:pPr>
        <w:snapToGrid w:val="0"/>
        <w:spacing w:before="50" w:after="50"/>
        <w:rPr>
          <w:rFonts w:ascii="宋体" w:hAnsi="宋体" w:cs="宋体"/>
          <w:color w:val="000000"/>
          <w:spacing w:val="20"/>
          <w:szCs w:val="21"/>
          <w:highlight w:val="none"/>
        </w:rPr>
      </w:pPr>
    </w:p>
    <w:p w14:paraId="5A40BE24">
      <w:pPr>
        <w:snapToGrid w:val="0"/>
        <w:spacing w:line="300" w:lineRule="exact"/>
        <w:ind w:firstLine="3570" w:firstLineChars="1700"/>
        <w:rPr>
          <w:color w:val="000000"/>
          <w:szCs w:val="21"/>
          <w:highlight w:val="none"/>
          <w:u w:val="single"/>
        </w:rPr>
      </w:pPr>
      <w:r>
        <w:rPr>
          <w:color w:val="000000"/>
          <w:szCs w:val="21"/>
          <w:highlight w:val="none"/>
        </w:rPr>
        <w:t>供应商（</w:t>
      </w:r>
      <w:r>
        <w:rPr>
          <w:rFonts w:hint="eastAsia" w:ascii="宋体" w:hAnsi="宋体" w:cs="宋体"/>
          <w:color w:val="000000"/>
          <w:szCs w:val="21"/>
          <w:highlight w:val="none"/>
        </w:rPr>
        <w:t>公章(CA签章)，自然人签字或个人CA签章</w:t>
      </w:r>
      <w:r>
        <w:rPr>
          <w:color w:val="000000"/>
          <w:szCs w:val="21"/>
          <w:highlight w:val="none"/>
        </w:rPr>
        <w:t>）：</w:t>
      </w:r>
      <w:r>
        <w:rPr>
          <w:color w:val="000000"/>
          <w:szCs w:val="21"/>
          <w:highlight w:val="none"/>
          <w:u w:val="single"/>
        </w:rPr>
        <w:t xml:space="preserve">                             </w:t>
      </w:r>
    </w:p>
    <w:p w14:paraId="4729FE19">
      <w:pPr>
        <w:pStyle w:val="11"/>
        <w:spacing w:line="300" w:lineRule="exact"/>
        <w:rPr>
          <w:rFonts w:ascii="Times New Roman" w:hAnsi="Times New Roman"/>
          <w:b/>
          <w:color w:val="000000"/>
          <w:sz w:val="28"/>
          <w:szCs w:val="28"/>
          <w:highlight w:val="none"/>
        </w:rPr>
      </w:pPr>
    </w:p>
    <w:p w14:paraId="58C25016">
      <w:pPr>
        <w:snapToGrid w:val="0"/>
        <w:spacing w:line="300" w:lineRule="exact"/>
        <w:ind w:firstLine="3570" w:firstLineChars="1700"/>
        <w:rPr>
          <w:b/>
          <w:color w:val="000000"/>
          <w:sz w:val="28"/>
          <w:szCs w:val="28"/>
          <w:highlight w:val="none"/>
        </w:rPr>
      </w:pPr>
      <w:r>
        <w:rPr>
          <w:color w:val="000000"/>
          <w:highlight w:val="none"/>
        </w:rPr>
        <w:t>日          期：</w:t>
      </w:r>
      <w:r>
        <w:rPr>
          <w:color w:val="000000"/>
          <w:highlight w:val="none"/>
          <w:u w:val="single"/>
        </w:rPr>
        <w:t xml:space="preserve">                              </w:t>
      </w:r>
    </w:p>
    <w:p w14:paraId="3F5D526E">
      <w:pPr>
        <w:spacing w:line="400" w:lineRule="exact"/>
        <w:ind w:left="982" w:leftChars="200" w:hanging="562" w:hangingChars="200"/>
        <w:rPr>
          <w:rFonts w:hint="eastAsia" w:ascii="宋体" w:hAnsi="宋体" w:cs="宋体"/>
          <w:b/>
          <w:bCs/>
          <w:color w:val="000000"/>
          <w:sz w:val="28"/>
          <w:szCs w:val="28"/>
          <w:highlight w:val="none"/>
        </w:rPr>
      </w:pPr>
    </w:p>
    <w:p w14:paraId="008D10C9">
      <w:pPr>
        <w:spacing w:line="400" w:lineRule="exact"/>
        <w:ind w:left="820" w:leftChars="200" w:hanging="400" w:hangingChars="200"/>
        <w:rPr>
          <w:rFonts w:hint="eastAsia" w:ascii="宋体" w:hAnsi="宋体" w:cs="宋体"/>
          <w:color w:val="000000"/>
          <w:sz w:val="20"/>
          <w:szCs w:val="20"/>
          <w:highlight w:val="none"/>
        </w:rPr>
      </w:pPr>
    </w:p>
    <w:p w14:paraId="14246BF5">
      <w:pPr>
        <w:spacing w:line="400" w:lineRule="exact"/>
        <w:ind w:left="820" w:leftChars="200" w:hanging="400" w:hangingChars="200"/>
        <w:rPr>
          <w:rFonts w:hint="eastAsia" w:ascii="宋体" w:hAnsi="宋体" w:cs="宋体"/>
          <w:color w:val="000000"/>
          <w:sz w:val="20"/>
          <w:szCs w:val="20"/>
          <w:highlight w:val="none"/>
        </w:rPr>
      </w:pPr>
      <w:r>
        <w:rPr>
          <w:rFonts w:hint="eastAsia" w:ascii="宋体" w:hAnsi="宋体" w:cs="宋体"/>
          <w:color w:val="000000"/>
          <w:sz w:val="20"/>
          <w:szCs w:val="20"/>
          <w:highlight w:val="none"/>
        </w:rPr>
        <w:t>注：1.“商务响应表”各项内容必须如实填写。</w:t>
      </w:r>
    </w:p>
    <w:p w14:paraId="1B8729B8">
      <w:pPr>
        <w:spacing w:line="400" w:lineRule="exact"/>
        <w:ind w:firstLine="800" w:firstLineChars="400"/>
        <w:rPr>
          <w:rFonts w:hint="eastAsia" w:ascii="宋体" w:hAnsi="宋体" w:cs="宋体"/>
          <w:color w:val="000000"/>
          <w:sz w:val="20"/>
          <w:szCs w:val="20"/>
          <w:highlight w:val="none"/>
        </w:rPr>
      </w:pPr>
      <w:r>
        <w:rPr>
          <w:rFonts w:hint="eastAsia" w:ascii="宋体" w:hAnsi="宋体" w:cs="宋体"/>
          <w:color w:val="000000"/>
          <w:sz w:val="20"/>
          <w:szCs w:val="20"/>
          <w:highlight w:val="none"/>
        </w:rPr>
        <w:t>2.当本表由多页构成时，需逐页加盖</w:t>
      </w:r>
      <w:r>
        <w:rPr>
          <w:rFonts w:hint="eastAsia" w:ascii="宋体" w:hAnsi="宋体" w:cs="宋体"/>
          <w:color w:val="000000"/>
          <w:sz w:val="20"/>
          <w:szCs w:val="20"/>
          <w:highlight w:val="none"/>
          <w:lang w:eastAsia="zh-CN"/>
        </w:rPr>
        <w:t>供应商</w:t>
      </w:r>
      <w:r>
        <w:rPr>
          <w:rFonts w:hint="eastAsia" w:ascii="宋体" w:hAnsi="宋体" w:cs="宋体"/>
          <w:color w:val="000000"/>
          <w:sz w:val="20"/>
          <w:szCs w:val="20"/>
          <w:highlight w:val="none"/>
        </w:rPr>
        <w:t>公章（CA签章）（属自然人的须逐页签字或个人CA签章）。</w:t>
      </w:r>
    </w:p>
    <w:p w14:paraId="012F327D">
      <w:pPr>
        <w:pStyle w:val="11"/>
        <w:spacing w:line="600" w:lineRule="exact"/>
        <w:rPr>
          <w:rFonts w:cs="宋体"/>
          <w:b/>
          <w:bCs/>
          <w:color w:val="000000"/>
          <w:sz w:val="32"/>
          <w:szCs w:val="32"/>
          <w:highlight w:val="none"/>
        </w:rPr>
      </w:pPr>
    </w:p>
    <w:p w14:paraId="5AE36A44">
      <w:pPr>
        <w:rPr>
          <w:rFonts w:cs="宋体"/>
          <w:b/>
          <w:bCs/>
          <w:color w:val="000000"/>
          <w:sz w:val="32"/>
          <w:szCs w:val="32"/>
          <w:highlight w:val="none"/>
        </w:rPr>
      </w:pPr>
    </w:p>
    <w:p w14:paraId="3E23BBD2">
      <w:pPr>
        <w:pStyle w:val="3"/>
        <w:rPr>
          <w:rFonts w:cs="宋体"/>
          <w:b/>
          <w:bCs w:val="0"/>
          <w:color w:val="000000"/>
          <w:sz w:val="32"/>
          <w:highlight w:val="none"/>
        </w:rPr>
      </w:pPr>
    </w:p>
    <w:p w14:paraId="52D6C341">
      <w:pPr>
        <w:rPr>
          <w:rFonts w:cs="宋体"/>
          <w:b/>
          <w:bCs/>
          <w:color w:val="000000"/>
          <w:sz w:val="32"/>
          <w:szCs w:val="32"/>
          <w:highlight w:val="none"/>
        </w:rPr>
      </w:pPr>
    </w:p>
    <w:p w14:paraId="7FB600AE">
      <w:pPr>
        <w:pStyle w:val="3"/>
        <w:rPr>
          <w:rFonts w:cs="宋体"/>
          <w:b/>
          <w:bCs w:val="0"/>
          <w:color w:val="000000"/>
          <w:sz w:val="32"/>
          <w:highlight w:val="none"/>
        </w:rPr>
      </w:pPr>
    </w:p>
    <w:p w14:paraId="0012E112">
      <w:pPr>
        <w:rPr>
          <w:rFonts w:cs="宋体"/>
          <w:b/>
          <w:bCs/>
          <w:color w:val="000000"/>
          <w:sz w:val="32"/>
          <w:szCs w:val="32"/>
          <w:highlight w:val="none"/>
        </w:rPr>
      </w:pPr>
    </w:p>
    <w:p w14:paraId="3E1BEBCE">
      <w:pPr>
        <w:pStyle w:val="3"/>
        <w:rPr>
          <w:rFonts w:cs="宋体"/>
          <w:b/>
          <w:bCs w:val="0"/>
          <w:color w:val="000000"/>
          <w:sz w:val="32"/>
          <w:highlight w:val="none"/>
        </w:rPr>
      </w:pPr>
    </w:p>
    <w:p w14:paraId="243E8CA1">
      <w:pPr>
        <w:rPr>
          <w:color w:val="000000"/>
          <w:highlight w:val="none"/>
        </w:rPr>
      </w:pPr>
    </w:p>
    <w:p w14:paraId="41389519">
      <w:pPr>
        <w:rPr>
          <w:rFonts w:cs="宋体"/>
          <w:b/>
          <w:bCs/>
          <w:color w:val="000000"/>
          <w:sz w:val="32"/>
          <w:szCs w:val="32"/>
          <w:highlight w:val="none"/>
        </w:rPr>
      </w:pPr>
    </w:p>
    <w:p w14:paraId="61B64FD7">
      <w:pPr>
        <w:pStyle w:val="11"/>
        <w:numPr>
          <w:ilvl w:val="0"/>
          <w:numId w:val="9"/>
        </w:numPr>
        <w:spacing w:line="340" w:lineRule="exact"/>
        <w:outlineLvl w:val="3"/>
        <w:rPr>
          <w:rFonts w:hint="eastAsia"/>
          <w:b/>
          <w:color w:val="000000"/>
          <w:sz w:val="28"/>
          <w:szCs w:val="28"/>
          <w:highlight w:val="none"/>
        </w:rPr>
      </w:pPr>
      <w:bookmarkStart w:id="399" w:name="_Toc21456"/>
      <w:bookmarkStart w:id="400" w:name="_Toc25573"/>
      <w:r>
        <w:rPr>
          <w:rFonts w:hint="eastAsia"/>
          <w:b/>
          <w:color w:val="000000"/>
          <w:sz w:val="28"/>
          <w:szCs w:val="28"/>
          <w:highlight w:val="none"/>
          <w:lang w:eastAsia="zh-CN"/>
        </w:rPr>
        <w:t>售后服务承诺书</w:t>
      </w:r>
      <w:r>
        <w:rPr>
          <w:rFonts w:hint="eastAsia"/>
          <w:b/>
          <w:color w:val="000000"/>
          <w:sz w:val="28"/>
          <w:szCs w:val="28"/>
          <w:highlight w:val="none"/>
        </w:rPr>
        <w:t>（必须包含售后服务要求的全部内容）（格式见附件）</w:t>
      </w:r>
      <w:bookmarkEnd w:id="399"/>
      <w:bookmarkEnd w:id="400"/>
    </w:p>
    <w:p w14:paraId="01AE6037">
      <w:pPr>
        <w:pStyle w:val="6"/>
        <w:rPr>
          <w:rFonts w:hint="eastAsia"/>
          <w:color w:val="000000"/>
          <w:highlight w:val="none"/>
        </w:rPr>
      </w:pPr>
    </w:p>
    <w:p w14:paraId="2F535DD5">
      <w:pPr>
        <w:pStyle w:val="11"/>
        <w:spacing w:line="300" w:lineRule="exact"/>
        <w:ind w:left="420"/>
        <w:jc w:val="left"/>
        <w:rPr>
          <w:rFonts w:ascii="Times New Roman" w:hAnsi="Times New Roman"/>
          <w:b/>
          <w:color w:val="000000"/>
          <w:sz w:val="32"/>
          <w:szCs w:val="32"/>
          <w:highlight w:val="none"/>
        </w:rPr>
      </w:pPr>
      <w:r>
        <w:rPr>
          <w:rFonts w:ascii="Times New Roman" w:hAnsi="Times New Roman"/>
          <w:b/>
          <w:color w:val="000000"/>
          <w:sz w:val="32"/>
          <w:szCs w:val="32"/>
          <w:highlight w:val="none"/>
        </w:rPr>
        <w:t>附件：</w:t>
      </w:r>
    </w:p>
    <w:p w14:paraId="51014132">
      <w:pPr>
        <w:pStyle w:val="11"/>
        <w:spacing w:line="340" w:lineRule="exact"/>
        <w:jc w:val="center"/>
        <w:rPr>
          <w:rFonts w:hint="eastAsia" w:hAnsi="宋体" w:cs="宋体"/>
          <w:b/>
          <w:color w:val="000000"/>
          <w:sz w:val="32"/>
          <w:szCs w:val="32"/>
          <w:highlight w:val="none"/>
        </w:rPr>
      </w:pPr>
      <w:r>
        <w:rPr>
          <w:rFonts w:hint="eastAsia" w:hAnsi="宋体" w:cs="宋体"/>
          <w:b/>
          <w:color w:val="000000"/>
          <w:sz w:val="32"/>
          <w:szCs w:val="32"/>
          <w:highlight w:val="none"/>
        </w:rPr>
        <w:t>服务承诺书（格式）</w:t>
      </w:r>
    </w:p>
    <w:p w14:paraId="32478FAF">
      <w:pPr>
        <w:pStyle w:val="11"/>
        <w:spacing w:line="340" w:lineRule="exact"/>
        <w:jc w:val="center"/>
        <w:rPr>
          <w:rFonts w:hint="eastAsia" w:hAnsi="宋体" w:cs="宋体"/>
          <w:b/>
          <w:color w:val="000000"/>
          <w:sz w:val="32"/>
          <w:szCs w:val="32"/>
          <w:highlight w:val="none"/>
        </w:rPr>
      </w:pPr>
    </w:p>
    <w:p w14:paraId="1EB49969">
      <w:pPr>
        <w:pStyle w:val="11"/>
        <w:spacing w:line="340" w:lineRule="exact"/>
        <w:jc w:val="center"/>
        <w:rPr>
          <w:rFonts w:hint="eastAsia" w:hAnsi="宋体" w:cs="宋体"/>
          <w:b/>
          <w:color w:val="000000"/>
          <w:sz w:val="32"/>
          <w:szCs w:val="32"/>
          <w:highlight w:val="none"/>
        </w:rPr>
      </w:pPr>
    </w:p>
    <w:p w14:paraId="1F7A1EA9">
      <w:pPr>
        <w:pStyle w:val="11"/>
        <w:spacing w:line="340" w:lineRule="exact"/>
        <w:jc w:val="center"/>
        <w:rPr>
          <w:rFonts w:hint="eastAsia" w:hAnsi="宋体" w:cs="宋体"/>
          <w:b/>
          <w:color w:val="000000"/>
          <w:sz w:val="32"/>
          <w:szCs w:val="32"/>
          <w:highlight w:val="none"/>
        </w:rPr>
      </w:pPr>
    </w:p>
    <w:p w14:paraId="6F9A3A1C">
      <w:pPr>
        <w:rPr>
          <w:rFonts w:hint="eastAsia" w:ascii="宋体" w:hAnsi="宋体" w:cs="宋体"/>
          <w:b/>
          <w:color w:val="000000"/>
          <w:sz w:val="32"/>
          <w:szCs w:val="32"/>
          <w:highlight w:val="none"/>
        </w:rPr>
      </w:pPr>
    </w:p>
    <w:p w14:paraId="0771FF9C">
      <w:pPr>
        <w:pStyle w:val="8"/>
        <w:rPr>
          <w:rFonts w:hint="eastAsia" w:ascii="宋体" w:hAnsi="宋体" w:cs="宋体"/>
          <w:color w:val="000000"/>
          <w:highlight w:val="none"/>
        </w:rPr>
      </w:pPr>
    </w:p>
    <w:p w14:paraId="714C0916">
      <w:pPr>
        <w:pStyle w:val="8"/>
        <w:rPr>
          <w:rFonts w:hint="eastAsia" w:ascii="宋体" w:hAnsi="宋体" w:cs="宋体"/>
          <w:b/>
          <w:color w:val="000000"/>
          <w:sz w:val="32"/>
          <w:szCs w:val="32"/>
          <w:highlight w:val="none"/>
        </w:rPr>
      </w:pPr>
    </w:p>
    <w:p w14:paraId="6656B994">
      <w:pPr>
        <w:pStyle w:val="11"/>
        <w:spacing w:line="340" w:lineRule="exact"/>
        <w:jc w:val="center"/>
        <w:rPr>
          <w:rFonts w:hint="eastAsia" w:hAnsi="宋体" w:cs="宋体"/>
          <w:b/>
          <w:color w:val="000000"/>
          <w:sz w:val="32"/>
          <w:szCs w:val="32"/>
          <w:highlight w:val="none"/>
        </w:rPr>
      </w:pPr>
    </w:p>
    <w:p w14:paraId="1AC5ABDF">
      <w:pPr>
        <w:snapToGrid w:val="0"/>
        <w:spacing w:line="400" w:lineRule="exact"/>
        <w:ind w:firstLine="1890" w:firstLineChars="900"/>
        <w:rPr>
          <w:rFonts w:hint="eastAsia" w:ascii="宋体" w:hAnsi="宋体" w:cs="宋体"/>
          <w:color w:val="000000"/>
          <w:szCs w:val="21"/>
          <w:highlight w:val="none"/>
          <w:u w:val="single"/>
        </w:rPr>
      </w:pPr>
      <w:r>
        <w:rPr>
          <w:rFonts w:hint="eastAsia" w:ascii="宋体" w:hAnsi="宋体" w:cs="宋体"/>
          <w:color w:val="000000"/>
          <w:szCs w:val="21"/>
          <w:highlight w:val="none"/>
        </w:rPr>
        <w:t>供应商[公章(CA签章)，自然人签字或个人CA签章]：</w:t>
      </w:r>
      <w:r>
        <w:rPr>
          <w:rFonts w:hint="eastAsia" w:ascii="宋体" w:hAnsi="宋体" w:cs="宋体"/>
          <w:color w:val="000000"/>
          <w:szCs w:val="21"/>
          <w:highlight w:val="none"/>
          <w:u w:val="single"/>
        </w:rPr>
        <w:t xml:space="preserve">                                     </w:t>
      </w:r>
    </w:p>
    <w:p w14:paraId="4570A21D">
      <w:pPr>
        <w:pStyle w:val="3"/>
        <w:rPr>
          <w:rFonts w:hint="eastAsia" w:ascii="宋体" w:hAnsi="宋体" w:cs="宋体"/>
          <w:color w:val="000000"/>
          <w:highlight w:val="none"/>
        </w:rPr>
      </w:pPr>
    </w:p>
    <w:p w14:paraId="18039802">
      <w:pPr>
        <w:snapToGrid w:val="0"/>
        <w:spacing w:line="400" w:lineRule="exact"/>
        <w:ind w:firstLine="1680" w:firstLineChars="800"/>
        <w:rPr>
          <w:rFonts w:hint="eastAsia" w:ascii="宋体" w:hAnsi="宋体" w:cs="宋体"/>
          <w:b/>
          <w:bCs/>
          <w:color w:val="000000"/>
          <w:szCs w:val="21"/>
          <w:highlight w:val="none"/>
        </w:rPr>
      </w:pPr>
      <w:r>
        <w:rPr>
          <w:rFonts w:hint="eastAsia" w:ascii="宋体" w:hAnsi="宋体" w:cs="宋体"/>
          <w:color w:val="000000"/>
          <w:highlight w:val="none"/>
        </w:rPr>
        <w:t xml:space="preserve"> 日          期：</w:t>
      </w:r>
      <w:r>
        <w:rPr>
          <w:rFonts w:hint="eastAsia" w:ascii="宋体" w:hAnsi="宋体" w:cs="宋体"/>
          <w:color w:val="000000"/>
          <w:highlight w:val="none"/>
          <w:u w:val="single"/>
        </w:rPr>
        <w:t xml:space="preserve">                                                   </w:t>
      </w:r>
    </w:p>
    <w:p w14:paraId="1DACA316">
      <w:pPr>
        <w:pStyle w:val="8"/>
        <w:rPr>
          <w:rFonts w:hint="eastAsia" w:ascii="宋体" w:hAnsi="宋体" w:cs="宋体"/>
          <w:b/>
          <w:bCs/>
          <w:color w:val="000000"/>
          <w:szCs w:val="21"/>
          <w:highlight w:val="none"/>
        </w:rPr>
      </w:pPr>
    </w:p>
    <w:p w14:paraId="0648E320">
      <w:pPr>
        <w:pStyle w:val="8"/>
        <w:rPr>
          <w:rFonts w:hint="eastAsia" w:ascii="宋体" w:hAnsi="Courier New"/>
          <w:b/>
          <w:color w:val="000000"/>
          <w:kern w:val="0"/>
          <w:sz w:val="28"/>
          <w:szCs w:val="28"/>
          <w:highlight w:val="none"/>
        </w:rPr>
      </w:pPr>
    </w:p>
    <w:p w14:paraId="1C742D0F">
      <w:pPr>
        <w:rPr>
          <w:rFonts w:hint="eastAsia" w:ascii="宋体" w:hAnsi="Courier New"/>
          <w:b/>
          <w:color w:val="000000"/>
          <w:kern w:val="0"/>
          <w:sz w:val="28"/>
          <w:szCs w:val="28"/>
          <w:highlight w:val="none"/>
        </w:rPr>
      </w:pPr>
    </w:p>
    <w:p w14:paraId="4021F3A3">
      <w:pPr>
        <w:rPr>
          <w:rFonts w:hint="eastAsia" w:ascii="宋体" w:hAnsi="Courier New"/>
          <w:b/>
          <w:color w:val="000000"/>
          <w:kern w:val="0"/>
          <w:sz w:val="28"/>
          <w:szCs w:val="28"/>
          <w:highlight w:val="none"/>
        </w:rPr>
      </w:pPr>
    </w:p>
    <w:p w14:paraId="49E7463E">
      <w:pPr>
        <w:pStyle w:val="11"/>
        <w:spacing w:line="340" w:lineRule="exact"/>
        <w:outlineLvl w:val="3"/>
        <w:rPr>
          <w:rFonts w:hint="eastAsia"/>
          <w:b/>
          <w:color w:val="000000"/>
          <w:sz w:val="28"/>
          <w:szCs w:val="28"/>
          <w:highlight w:val="none"/>
        </w:rPr>
      </w:pPr>
      <w:r>
        <w:rPr>
          <w:rFonts w:hint="eastAsia"/>
          <w:b/>
          <w:color w:val="000000"/>
          <w:sz w:val="28"/>
          <w:szCs w:val="28"/>
          <w:highlight w:val="none"/>
        </w:rPr>
        <w:t>6.“采购需求”需提供的有效证明文件（按其要求提供）。</w:t>
      </w:r>
    </w:p>
    <w:p w14:paraId="4DFA5284">
      <w:pPr>
        <w:pStyle w:val="11"/>
        <w:spacing w:line="300" w:lineRule="exact"/>
        <w:ind w:left="420"/>
        <w:jc w:val="left"/>
        <w:rPr>
          <w:rFonts w:hint="eastAsia" w:ascii="Times New Roman" w:hAnsi="Times New Roman"/>
          <w:b/>
          <w:color w:val="000000"/>
          <w:sz w:val="32"/>
          <w:szCs w:val="32"/>
          <w:highlight w:val="none"/>
        </w:rPr>
      </w:pPr>
    </w:p>
    <w:p w14:paraId="4536A3AF">
      <w:pPr>
        <w:pStyle w:val="11"/>
        <w:spacing w:line="300" w:lineRule="exact"/>
        <w:ind w:left="420"/>
        <w:jc w:val="left"/>
        <w:rPr>
          <w:rFonts w:hint="eastAsia" w:ascii="Times New Roman" w:hAnsi="Times New Roman"/>
          <w:b/>
          <w:color w:val="000000"/>
          <w:sz w:val="32"/>
          <w:szCs w:val="32"/>
          <w:highlight w:val="none"/>
        </w:rPr>
      </w:pPr>
    </w:p>
    <w:p w14:paraId="5E533A18">
      <w:pPr>
        <w:pStyle w:val="11"/>
        <w:ind w:firstLine="2731" w:firstLineChars="850"/>
        <w:rPr>
          <w:rFonts w:hAnsi="宋体"/>
          <w:b/>
          <w:bCs/>
          <w:color w:val="000000"/>
          <w:sz w:val="32"/>
          <w:szCs w:val="32"/>
          <w:highlight w:val="none"/>
        </w:rPr>
      </w:pPr>
    </w:p>
    <w:p w14:paraId="5A8C6ABA">
      <w:pPr>
        <w:snapToGrid w:val="0"/>
        <w:spacing w:line="300" w:lineRule="exact"/>
        <w:ind w:firstLine="3570" w:firstLineChars="1700"/>
        <w:rPr>
          <w:rFonts w:ascii="宋体"/>
          <w:color w:val="000000"/>
          <w:kern w:val="0"/>
          <w:szCs w:val="21"/>
          <w:highlight w:val="none"/>
        </w:rPr>
      </w:pPr>
    </w:p>
    <w:p w14:paraId="368A8296">
      <w:pPr>
        <w:pStyle w:val="8"/>
        <w:rPr>
          <w:rFonts w:ascii="宋体"/>
          <w:color w:val="000000"/>
          <w:kern w:val="0"/>
          <w:szCs w:val="21"/>
          <w:highlight w:val="none"/>
        </w:rPr>
      </w:pPr>
    </w:p>
    <w:p w14:paraId="1B0DBAFB">
      <w:pPr>
        <w:rPr>
          <w:rFonts w:ascii="宋体"/>
          <w:color w:val="000000"/>
          <w:kern w:val="0"/>
          <w:szCs w:val="21"/>
          <w:highlight w:val="none"/>
        </w:rPr>
      </w:pPr>
    </w:p>
    <w:p w14:paraId="7B8F1CD9">
      <w:pPr>
        <w:rPr>
          <w:rFonts w:ascii="宋体"/>
          <w:color w:val="000000"/>
          <w:kern w:val="0"/>
          <w:szCs w:val="21"/>
          <w:highlight w:val="none"/>
        </w:rPr>
      </w:pPr>
    </w:p>
    <w:p w14:paraId="01C9F200">
      <w:pPr>
        <w:rPr>
          <w:rFonts w:ascii="宋体"/>
          <w:color w:val="000000"/>
          <w:kern w:val="0"/>
          <w:szCs w:val="21"/>
          <w:highlight w:val="none"/>
        </w:rPr>
      </w:pPr>
    </w:p>
    <w:p w14:paraId="488F180C">
      <w:pPr>
        <w:rPr>
          <w:rFonts w:ascii="宋体"/>
          <w:color w:val="000000"/>
          <w:kern w:val="0"/>
          <w:szCs w:val="21"/>
          <w:highlight w:val="none"/>
        </w:rPr>
      </w:pPr>
    </w:p>
    <w:p w14:paraId="6966B3B6">
      <w:pPr>
        <w:rPr>
          <w:rFonts w:ascii="宋体"/>
          <w:color w:val="000000"/>
          <w:kern w:val="0"/>
          <w:szCs w:val="21"/>
          <w:highlight w:val="none"/>
        </w:rPr>
      </w:pPr>
    </w:p>
    <w:p w14:paraId="05DB3F05">
      <w:pPr>
        <w:rPr>
          <w:rFonts w:ascii="宋体"/>
          <w:color w:val="000000"/>
          <w:kern w:val="0"/>
          <w:szCs w:val="21"/>
          <w:highlight w:val="none"/>
        </w:rPr>
      </w:pPr>
    </w:p>
    <w:p w14:paraId="093EC947">
      <w:pPr>
        <w:rPr>
          <w:rFonts w:ascii="宋体"/>
          <w:color w:val="000000"/>
          <w:kern w:val="0"/>
          <w:szCs w:val="21"/>
          <w:highlight w:val="none"/>
        </w:rPr>
      </w:pPr>
    </w:p>
    <w:p w14:paraId="55C6003A">
      <w:pPr>
        <w:rPr>
          <w:rFonts w:ascii="宋体"/>
          <w:color w:val="000000"/>
          <w:kern w:val="0"/>
          <w:szCs w:val="21"/>
          <w:highlight w:val="none"/>
        </w:rPr>
      </w:pPr>
    </w:p>
    <w:p w14:paraId="525F0397">
      <w:pPr>
        <w:rPr>
          <w:rFonts w:ascii="宋体"/>
          <w:color w:val="000000"/>
          <w:kern w:val="0"/>
          <w:szCs w:val="21"/>
          <w:highlight w:val="none"/>
        </w:rPr>
      </w:pPr>
    </w:p>
    <w:p w14:paraId="2FE1FF60">
      <w:pPr>
        <w:rPr>
          <w:rFonts w:ascii="宋体"/>
          <w:color w:val="000000"/>
          <w:kern w:val="0"/>
          <w:szCs w:val="21"/>
          <w:highlight w:val="none"/>
        </w:rPr>
      </w:pPr>
    </w:p>
    <w:p w14:paraId="71DAC07B">
      <w:pPr>
        <w:pStyle w:val="8"/>
        <w:rPr>
          <w:color w:val="000000"/>
          <w:highlight w:val="none"/>
        </w:rPr>
      </w:pPr>
    </w:p>
    <w:p w14:paraId="574F4156">
      <w:pPr>
        <w:snapToGrid w:val="0"/>
        <w:spacing w:line="300" w:lineRule="exact"/>
        <w:ind w:firstLine="3570" w:firstLineChars="1700"/>
        <w:rPr>
          <w:rFonts w:ascii="宋体"/>
          <w:color w:val="000000"/>
          <w:kern w:val="0"/>
          <w:szCs w:val="21"/>
          <w:highlight w:val="none"/>
        </w:rPr>
      </w:pPr>
    </w:p>
    <w:p w14:paraId="577FE2EE">
      <w:pPr>
        <w:spacing w:line="440" w:lineRule="exact"/>
        <w:jc w:val="center"/>
        <w:outlineLvl w:val="2"/>
        <w:rPr>
          <w:b/>
          <w:bCs/>
          <w:color w:val="000000"/>
          <w:sz w:val="32"/>
          <w:szCs w:val="32"/>
          <w:highlight w:val="none"/>
        </w:rPr>
      </w:pPr>
      <w:bookmarkStart w:id="401" w:name="_Toc497927084"/>
      <w:bookmarkStart w:id="402" w:name="_Toc9339"/>
      <w:bookmarkStart w:id="403" w:name="_Toc28672"/>
      <w:r>
        <w:rPr>
          <w:b/>
          <w:bCs/>
          <w:color w:val="000000"/>
          <w:sz w:val="32"/>
          <w:szCs w:val="32"/>
          <w:highlight w:val="none"/>
        </w:rPr>
        <w:t>（</w:t>
      </w:r>
      <w:r>
        <w:rPr>
          <w:rFonts w:hint="eastAsia"/>
          <w:b/>
          <w:bCs/>
          <w:color w:val="000000"/>
          <w:sz w:val="32"/>
          <w:szCs w:val="32"/>
          <w:highlight w:val="none"/>
        </w:rPr>
        <w:t>三</w:t>
      </w:r>
      <w:r>
        <w:rPr>
          <w:b/>
          <w:bCs/>
          <w:color w:val="000000"/>
          <w:sz w:val="32"/>
          <w:szCs w:val="32"/>
          <w:highlight w:val="none"/>
        </w:rPr>
        <w:t>）其</w:t>
      </w:r>
      <w:r>
        <w:rPr>
          <w:rFonts w:hint="eastAsia"/>
          <w:b/>
          <w:bCs/>
          <w:color w:val="000000"/>
          <w:sz w:val="32"/>
          <w:szCs w:val="32"/>
          <w:highlight w:val="none"/>
        </w:rPr>
        <w:t>他</w:t>
      </w:r>
      <w:r>
        <w:rPr>
          <w:b/>
          <w:bCs/>
          <w:color w:val="000000"/>
          <w:sz w:val="32"/>
          <w:szCs w:val="32"/>
          <w:highlight w:val="none"/>
        </w:rPr>
        <w:t>有效证明材料目录</w:t>
      </w:r>
      <w:bookmarkEnd w:id="401"/>
      <w:bookmarkEnd w:id="402"/>
      <w:bookmarkEnd w:id="403"/>
    </w:p>
    <w:p w14:paraId="04AB73F3">
      <w:pPr>
        <w:spacing w:line="400" w:lineRule="exact"/>
        <w:ind w:firstLine="420" w:firstLineChars="200"/>
        <w:rPr>
          <w:rFonts w:hint="eastAsia" w:ascii="宋体" w:hAnsi="宋体" w:cs="宋体"/>
          <w:color w:val="000000"/>
          <w:szCs w:val="21"/>
          <w:highlight w:val="none"/>
        </w:rPr>
      </w:pPr>
    </w:p>
    <w:p w14:paraId="3E03DF00">
      <w:pPr>
        <w:spacing w:line="400" w:lineRule="exact"/>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1.项目实施人员一览表</w:t>
      </w:r>
      <w:r>
        <w:rPr>
          <w:rFonts w:hint="eastAsia" w:ascii="宋体" w:hAnsi="宋体" w:cs="宋体"/>
          <w:b/>
          <w:color w:val="000000"/>
          <w:szCs w:val="21"/>
          <w:highlight w:val="none"/>
        </w:rPr>
        <w:t>（如有，请提供）</w:t>
      </w:r>
      <w:r>
        <w:rPr>
          <w:rFonts w:hint="eastAsia" w:ascii="宋体" w:hAnsi="宋体" w:cs="宋体"/>
          <w:b/>
          <w:bCs/>
          <w:color w:val="000000"/>
          <w:szCs w:val="21"/>
          <w:highlight w:val="none"/>
        </w:rPr>
        <w:t>；</w:t>
      </w:r>
    </w:p>
    <w:p w14:paraId="7A315C51">
      <w:pPr>
        <w:tabs>
          <w:tab w:val="left" w:pos="1305"/>
        </w:tabs>
        <w:spacing w:line="400" w:lineRule="exact"/>
        <w:ind w:firstLine="420" w:firstLineChars="200"/>
        <w:rPr>
          <w:rFonts w:hint="eastAsia" w:ascii="宋体" w:hAnsi="宋体" w:cs="宋体"/>
          <w:color w:val="000000"/>
          <w:szCs w:val="20"/>
          <w:highlight w:val="none"/>
        </w:rPr>
      </w:pPr>
      <w:r>
        <w:rPr>
          <w:rFonts w:hint="eastAsia" w:ascii="宋体" w:hAnsi="宋体" w:cs="宋体"/>
          <w:color w:val="000000"/>
          <w:szCs w:val="21"/>
          <w:highlight w:val="none"/>
        </w:rPr>
        <w:t>2.节能方面的证书扫描件</w:t>
      </w:r>
      <w:r>
        <w:rPr>
          <w:rFonts w:hint="eastAsia" w:ascii="宋体" w:hAnsi="宋体" w:cs="宋体"/>
          <w:b/>
          <w:color w:val="000000"/>
          <w:szCs w:val="21"/>
          <w:highlight w:val="none"/>
        </w:rPr>
        <w:t>（如有，请提供）</w:t>
      </w:r>
      <w:r>
        <w:rPr>
          <w:rFonts w:hint="eastAsia" w:ascii="宋体" w:hAnsi="宋体" w:cs="宋体"/>
          <w:bCs/>
          <w:color w:val="000000"/>
          <w:szCs w:val="21"/>
          <w:highlight w:val="none"/>
        </w:rPr>
        <w:t>；</w:t>
      </w:r>
    </w:p>
    <w:p w14:paraId="6B6A4B34">
      <w:pPr>
        <w:tabs>
          <w:tab w:val="left" w:pos="1305"/>
        </w:tabs>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3.环境标志方面的证书扫描件</w:t>
      </w:r>
      <w:r>
        <w:rPr>
          <w:rFonts w:hint="eastAsia" w:ascii="宋体" w:hAnsi="宋体" w:cs="宋体"/>
          <w:b/>
          <w:color w:val="000000"/>
          <w:szCs w:val="21"/>
          <w:highlight w:val="none"/>
        </w:rPr>
        <w:t>（如有，请提供）</w:t>
      </w:r>
      <w:r>
        <w:rPr>
          <w:rFonts w:hint="eastAsia" w:ascii="宋体" w:hAnsi="宋体" w:cs="宋体"/>
          <w:bCs/>
          <w:color w:val="000000"/>
          <w:szCs w:val="21"/>
          <w:highlight w:val="none"/>
        </w:rPr>
        <w:t>；</w:t>
      </w:r>
    </w:p>
    <w:p w14:paraId="7D3E70D6">
      <w:pPr>
        <w:tabs>
          <w:tab w:val="left" w:pos="1305"/>
        </w:tabs>
        <w:spacing w:line="400" w:lineRule="exact"/>
        <w:ind w:firstLine="420" w:firstLineChars="200"/>
        <w:rPr>
          <w:rFonts w:hint="eastAsia" w:ascii="宋体" w:hAnsi="宋体" w:cs="宋体"/>
          <w:color w:val="000000"/>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eastAsia="zh-CN"/>
        </w:rPr>
        <w:t>供应商自2022年1月1日以来具有同类产品的销售业绩 [以中标（成交）通知书或采购合同扫描件为准（能清晰反映所销售的货物名称、种类、金额)，否则将不予计分；同一个编号的项目有两个或两个以上的分标中标的只算一次]</w:t>
      </w:r>
      <w:r>
        <w:rPr>
          <w:rFonts w:hint="eastAsia" w:ascii="宋体" w:hAnsi="宋体" w:cs="宋体"/>
          <w:b/>
          <w:color w:val="000000"/>
          <w:highlight w:val="none"/>
        </w:rPr>
        <w:t>（如有，请提供）</w:t>
      </w:r>
      <w:r>
        <w:rPr>
          <w:rFonts w:hint="eastAsia" w:ascii="宋体" w:hAnsi="宋体" w:cs="宋体"/>
          <w:bCs/>
          <w:color w:val="000000"/>
          <w:highlight w:val="none"/>
        </w:rPr>
        <w:t>；</w:t>
      </w:r>
    </w:p>
    <w:p w14:paraId="4DAFD872">
      <w:pPr>
        <w:tabs>
          <w:tab w:val="left" w:pos="1305"/>
        </w:tabs>
        <w:spacing w:line="400" w:lineRule="exact"/>
        <w:ind w:firstLine="420" w:firstLineChars="200"/>
        <w:outlineLvl w:val="3"/>
        <w:rPr>
          <w:rFonts w:hint="eastAsia" w:ascii="宋体" w:hAnsi="宋体" w:cs="宋体"/>
          <w:color w:val="000000"/>
          <w:szCs w:val="21"/>
          <w:highlight w:val="none"/>
        </w:rPr>
      </w:pPr>
      <w:r>
        <w:rPr>
          <w:rFonts w:hint="eastAsia" w:ascii="宋体" w:hAnsi="宋体" w:cs="宋体"/>
          <w:color w:val="000000"/>
          <w:szCs w:val="21"/>
          <w:highlight w:val="none"/>
        </w:rPr>
        <w:t>5.《中小企业声明函》（见附件）</w:t>
      </w:r>
      <w:r>
        <w:rPr>
          <w:rFonts w:hint="eastAsia" w:ascii="宋体" w:hAnsi="宋体" w:cs="宋体"/>
          <w:b/>
          <w:bCs/>
          <w:color w:val="000000"/>
          <w:szCs w:val="21"/>
          <w:highlight w:val="none"/>
        </w:rPr>
        <w:t>（如有，请提供）</w:t>
      </w:r>
      <w:r>
        <w:rPr>
          <w:rFonts w:hint="eastAsia" w:ascii="宋体" w:hAnsi="宋体" w:cs="宋体"/>
          <w:color w:val="000000"/>
          <w:szCs w:val="21"/>
          <w:highlight w:val="none"/>
        </w:rPr>
        <w:t>；</w:t>
      </w:r>
    </w:p>
    <w:p w14:paraId="69D1AEF8">
      <w:pPr>
        <w:tabs>
          <w:tab w:val="left" w:pos="1305"/>
        </w:tabs>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6.如企业属于监狱企业的，应当提供由省级以上监狱管理局、戒毒管理局等（含新疆生产建设兵团）出具的属于监狱企业的证明文件</w:t>
      </w:r>
      <w:r>
        <w:rPr>
          <w:rFonts w:hint="eastAsia" w:ascii="宋体" w:hAnsi="宋体" w:cs="宋体"/>
          <w:b/>
          <w:bCs/>
          <w:color w:val="000000"/>
          <w:szCs w:val="21"/>
          <w:highlight w:val="none"/>
        </w:rPr>
        <w:t>（如有，请提供）</w:t>
      </w:r>
      <w:r>
        <w:rPr>
          <w:rFonts w:hint="eastAsia" w:ascii="宋体" w:hAnsi="宋体" w:cs="宋体"/>
          <w:color w:val="000000"/>
          <w:szCs w:val="21"/>
          <w:highlight w:val="none"/>
        </w:rPr>
        <w:t>；</w:t>
      </w:r>
    </w:p>
    <w:p w14:paraId="3D0CE1A1">
      <w:pPr>
        <w:tabs>
          <w:tab w:val="left" w:pos="1305"/>
        </w:tabs>
        <w:spacing w:line="400" w:lineRule="exact"/>
        <w:ind w:firstLine="420" w:firstLineChars="200"/>
        <w:rPr>
          <w:rFonts w:hint="eastAsia" w:ascii="宋体" w:hAnsi="宋体" w:cs="宋体"/>
          <w:color w:val="000000"/>
          <w:highlight w:val="none"/>
        </w:rPr>
      </w:pPr>
      <w:r>
        <w:rPr>
          <w:rFonts w:hint="eastAsia" w:ascii="宋体" w:hAnsi="宋体" w:cs="宋体"/>
          <w:color w:val="000000"/>
          <w:szCs w:val="21"/>
          <w:highlight w:val="none"/>
        </w:rPr>
        <w:t>7.符合条件的残疾人福利性单位在参加政府采购活动时，应当提供《残疾人福利性单位声明函》（见附件），并对声明的真实性负责；</w:t>
      </w:r>
      <w:r>
        <w:rPr>
          <w:rFonts w:hint="eastAsia" w:ascii="宋体" w:hAnsi="宋体" w:cs="宋体"/>
          <w:b/>
          <w:bCs/>
          <w:color w:val="000000"/>
          <w:szCs w:val="21"/>
          <w:highlight w:val="none"/>
        </w:rPr>
        <w:t>（如有，请提供）</w:t>
      </w:r>
      <w:r>
        <w:rPr>
          <w:rFonts w:hint="eastAsia" w:ascii="宋体" w:hAnsi="宋体" w:cs="宋体"/>
          <w:color w:val="000000"/>
          <w:szCs w:val="21"/>
          <w:highlight w:val="none"/>
        </w:rPr>
        <w:t>；</w:t>
      </w:r>
    </w:p>
    <w:p w14:paraId="2DD11C71">
      <w:pPr>
        <w:tabs>
          <w:tab w:val="left" w:pos="1305"/>
        </w:tabs>
        <w:spacing w:line="400" w:lineRule="exact"/>
        <w:ind w:firstLine="420" w:firstLineChars="200"/>
        <w:outlineLvl w:val="3"/>
        <w:rPr>
          <w:rFonts w:ascii="宋体" w:hAnsi="宋体" w:cs="宋体"/>
          <w:color w:val="000000"/>
          <w:szCs w:val="21"/>
          <w:highlight w:val="none"/>
        </w:rPr>
      </w:pPr>
      <w:r>
        <w:rPr>
          <w:rFonts w:hint="eastAsia" w:ascii="宋体" w:hAnsi="宋体" w:cs="宋体"/>
          <w:color w:val="000000"/>
          <w:szCs w:val="21"/>
          <w:highlight w:val="none"/>
        </w:rPr>
        <w:t>8.项目实施方案</w:t>
      </w:r>
      <w:r>
        <w:rPr>
          <w:rFonts w:hint="eastAsia" w:ascii="宋体" w:hAnsi="宋体" w:cs="宋体"/>
          <w:b/>
          <w:bCs/>
          <w:color w:val="000000"/>
          <w:szCs w:val="21"/>
          <w:highlight w:val="none"/>
        </w:rPr>
        <w:t>（如有，请提供）</w:t>
      </w:r>
      <w:r>
        <w:rPr>
          <w:rFonts w:hint="eastAsia" w:ascii="宋体" w:hAnsi="宋体" w:cs="宋体"/>
          <w:color w:val="000000"/>
          <w:szCs w:val="21"/>
          <w:highlight w:val="none"/>
        </w:rPr>
        <w:t>；</w:t>
      </w:r>
    </w:p>
    <w:p w14:paraId="521472F5">
      <w:pPr>
        <w:tabs>
          <w:tab w:val="left" w:pos="1305"/>
        </w:tabs>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9.供应商可结合本项目的评审办法视自身情况自行提交相关证明材料</w:t>
      </w:r>
      <w:r>
        <w:rPr>
          <w:rFonts w:hint="eastAsia" w:ascii="宋体" w:hAnsi="宋体" w:cs="宋体"/>
          <w:b/>
          <w:color w:val="000000"/>
          <w:highlight w:val="none"/>
        </w:rPr>
        <w:t>（如有，请提供）</w:t>
      </w:r>
      <w:r>
        <w:rPr>
          <w:rFonts w:hint="eastAsia" w:ascii="宋体" w:hAnsi="宋体" w:cs="宋体"/>
          <w:color w:val="000000"/>
          <w:szCs w:val="21"/>
          <w:highlight w:val="none"/>
        </w:rPr>
        <w:t>。</w:t>
      </w:r>
    </w:p>
    <w:p w14:paraId="24553147">
      <w:pPr>
        <w:snapToGrid w:val="0"/>
        <w:spacing w:line="440" w:lineRule="exact"/>
        <w:ind w:firstLine="422" w:firstLineChars="200"/>
        <w:outlineLvl w:val="4"/>
        <w:rPr>
          <w:rFonts w:hint="eastAsia" w:ascii="宋体" w:hAnsi="宋体" w:cs="宋体"/>
          <w:b/>
          <w:bCs/>
          <w:color w:val="000000"/>
          <w:szCs w:val="21"/>
          <w:highlight w:val="none"/>
        </w:rPr>
      </w:pPr>
      <w:r>
        <w:rPr>
          <w:rFonts w:hint="eastAsia" w:ascii="宋体" w:hAnsi="宋体" w:cs="宋体"/>
          <w:b/>
          <w:bCs/>
          <w:color w:val="000000"/>
          <w:szCs w:val="21"/>
          <w:highlight w:val="none"/>
        </w:rPr>
        <w:t>供应商提供的以上相关证明材料属于“必须提供”的文件应加盖供应商公章（CA签章）/自然人签字或加盖个人CA签章，否则响应无效。</w:t>
      </w:r>
    </w:p>
    <w:p w14:paraId="495E111E">
      <w:pPr>
        <w:pStyle w:val="3"/>
        <w:rPr>
          <w:rFonts w:hint="eastAsia"/>
          <w:color w:val="000000"/>
          <w:highlight w:val="none"/>
          <w:lang w:val="en-US"/>
        </w:rPr>
      </w:pPr>
    </w:p>
    <w:p w14:paraId="177228CA">
      <w:pPr>
        <w:rPr>
          <w:rFonts w:hint="eastAsia"/>
          <w:color w:val="000000"/>
          <w:highlight w:val="none"/>
        </w:rPr>
      </w:pPr>
    </w:p>
    <w:p w14:paraId="7E8260EB">
      <w:pPr>
        <w:pStyle w:val="18"/>
        <w:rPr>
          <w:rFonts w:hint="eastAsia"/>
          <w:color w:val="000000"/>
          <w:highlight w:val="none"/>
        </w:rPr>
      </w:pPr>
    </w:p>
    <w:p w14:paraId="29C25A52">
      <w:pPr>
        <w:pStyle w:val="18"/>
        <w:rPr>
          <w:rFonts w:hint="eastAsia"/>
          <w:color w:val="000000"/>
          <w:highlight w:val="none"/>
        </w:rPr>
      </w:pPr>
    </w:p>
    <w:p w14:paraId="5F0BABBC">
      <w:pPr>
        <w:pStyle w:val="18"/>
        <w:rPr>
          <w:rFonts w:hint="eastAsia"/>
          <w:color w:val="000000"/>
          <w:highlight w:val="none"/>
        </w:rPr>
      </w:pPr>
    </w:p>
    <w:p w14:paraId="6C6631B7">
      <w:pPr>
        <w:pStyle w:val="18"/>
        <w:rPr>
          <w:rFonts w:hint="eastAsia"/>
          <w:color w:val="000000"/>
          <w:highlight w:val="none"/>
        </w:rPr>
      </w:pPr>
    </w:p>
    <w:p w14:paraId="2C950BB8">
      <w:pPr>
        <w:pStyle w:val="18"/>
        <w:rPr>
          <w:rFonts w:hint="eastAsia"/>
          <w:color w:val="000000"/>
          <w:highlight w:val="none"/>
        </w:rPr>
      </w:pPr>
    </w:p>
    <w:p w14:paraId="79AFD787">
      <w:pPr>
        <w:pStyle w:val="18"/>
        <w:rPr>
          <w:rFonts w:hint="eastAsia"/>
          <w:color w:val="000000"/>
          <w:highlight w:val="none"/>
        </w:rPr>
      </w:pPr>
    </w:p>
    <w:p w14:paraId="43F81259">
      <w:pPr>
        <w:pStyle w:val="18"/>
        <w:rPr>
          <w:rFonts w:hint="eastAsia"/>
          <w:color w:val="000000"/>
          <w:highlight w:val="none"/>
        </w:rPr>
      </w:pPr>
    </w:p>
    <w:p w14:paraId="6E6AA19D">
      <w:pPr>
        <w:pStyle w:val="18"/>
        <w:rPr>
          <w:rFonts w:hint="eastAsia"/>
          <w:color w:val="000000"/>
          <w:highlight w:val="none"/>
        </w:rPr>
      </w:pPr>
    </w:p>
    <w:p w14:paraId="2E3646CE">
      <w:pPr>
        <w:pStyle w:val="18"/>
        <w:rPr>
          <w:rFonts w:hint="eastAsia"/>
          <w:color w:val="000000"/>
          <w:highlight w:val="none"/>
        </w:rPr>
      </w:pPr>
    </w:p>
    <w:p w14:paraId="6CB661A0">
      <w:pPr>
        <w:pStyle w:val="18"/>
        <w:rPr>
          <w:rFonts w:hint="eastAsia"/>
          <w:color w:val="000000"/>
          <w:highlight w:val="none"/>
        </w:rPr>
      </w:pPr>
    </w:p>
    <w:p w14:paraId="1BE9BFB4">
      <w:pPr>
        <w:pStyle w:val="18"/>
        <w:rPr>
          <w:rFonts w:hint="eastAsia"/>
          <w:color w:val="000000"/>
          <w:highlight w:val="none"/>
        </w:rPr>
      </w:pPr>
    </w:p>
    <w:p w14:paraId="6F9FEF42">
      <w:pPr>
        <w:pStyle w:val="18"/>
        <w:rPr>
          <w:rFonts w:hint="eastAsia"/>
          <w:color w:val="000000"/>
          <w:highlight w:val="none"/>
        </w:rPr>
      </w:pPr>
    </w:p>
    <w:p w14:paraId="339574DC">
      <w:pPr>
        <w:pStyle w:val="18"/>
        <w:rPr>
          <w:rFonts w:hint="eastAsia"/>
          <w:color w:val="000000"/>
          <w:highlight w:val="none"/>
        </w:rPr>
      </w:pPr>
    </w:p>
    <w:p w14:paraId="750E0597">
      <w:pPr>
        <w:pStyle w:val="18"/>
        <w:rPr>
          <w:rFonts w:hint="eastAsia"/>
          <w:color w:val="000000"/>
          <w:highlight w:val="none"/>
        </w:rPr>
      </w:pPr>
    </w:p>
    <w:p w14:paraId="427D1EE4">
      <w:pPr>
        <w:pStyle w:val="11"/>
        <w:outlineLvl w:val="3"/>
        <w:rPr>
          <w:rFonts w:hint="eastAsia" w:hAnsi="宋体" w:cs="宋体"/>
          <w:b/>
          <w:bCs/>
          <w:color w:val="000000"/>
          <w:sz w:val="28"/>
          <w:szCs w:val="28"/>
          <w:highlight w:val="none"/>
        </w:rPr>
      </w:pPr>
      <w:r>
        <w:rPr>
          <w:rFonts w:hint="eastAsia" w:hAnsi="宋体" w:cs="宋体"/>
          <w:b/>
          <w:bCs/>
          <w:color w:val="000000"/>
          <w:sz w:val="28"/>
          <w:szCs w:val="28"/>
          <w:highlight w:val="none"/>
        </w:rPr>
        <w:t>1.项目实施人员一览表（如有，请提供）</w:t>
      </w:r>
    </w:p>
    <w:p w14:paraId="5425BFAB">
      <w:pPr>
        <w:pStyle w:val="11"/>
        <w:rPr>
          <w:rFonts w:hint="eastAsia" w:ascii="Times New Roman" w:hAnsi="Times New Roman"/>
          <w:b/>
          <w:bCs/>
          <w:color w:val="000000"/>
          <w:sz w:val="32"/>
          <w:szCs w:val="32"/>
          <w:highlight w:val="none"/>
        </w:rPr>
      </w:pPr>
      <w:r>
        <w:rPr>
          <w:rFonts w:hint="eastAsia" w:ascii="Times New Roman" w:hAnsi="Times New Roman"/>
          <w:b/>
          <w:bCs/>
          <w:color w:val="000000"/>
          <w:sz w:val="32"/>
          <w:szCs w:val="32"/>
          <w:highlight w:val="none"/>
        </w:rPr>
        <w:t>附件：</w:t>
      </w:r>
    </w:p>
    <w:p w14:paraId="32F74675">
      <w:pPr>
        <w:pStyle w:val="11"/>
        <w:ind w:firstLine="472" w:firstLineChars="147"/>
        <w:jc w:val="center"/>
        <w:outlineLvl w:val="4"/>
        <w:rPr>
          <w:rFonts w:ascii="Times New Roman" w:hAnsi="Times New Roman"/>
          <w:b/>
          <w:bCs/>
          <w:color w:val="000000"/>
          <w:sz w:val="32"/>
          <w:szCs w:val="32"/>
          <w:highlight w:val="none"/>
        </w:rPr>
      </w:pPr>
      <w:r>
        <w:rPr>
          <w:rFonts w:ascii="Times New Roman" w:hAnsi="Times New Roman"/>
          <w:b/>
          <w:bCs/>
          <w:color w:val="000000"/>
          <w:sz w:val="32"/>
          <w:szCs w:val="32"/>
          <w:highlight w:val="none"/>
        </w:rPr>
        <w:t>项目实施人员一览表（格式）</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0D1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noWrap w:val="0"/>
            <w:vAlign w:val="center"/>
          </w:tcPr>
          <w:p w14:paraId="1AD1FFE4">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姓 名</w:t>
            </w:r>
          </w:p>
        </w:tc>
        <w:tc>
          <w:tcPr>
            <w:tcW w:w="993" w:type="dxa"/>
            <w:shd w:val="clear" w:color="auto" w:fill="8DB3E2"/>
            <w:noWrap w:val="0"/>
            <w:vAlign w:val="center"/>
          </w:tcPr>
          <w:p w14:paraId="66AAB7B7">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职务</w:t>
            </w:r>
          </w:p>
        </w:tc>
        <w:tc>
          <w:tcPr>
            <w:tcW w:w="1888" w:type="dxa"/>
            <w:shd w:val="clear" w:color="auto" w:fill="8DB3E2"/>
            <w:noWrap w:val="0"/>
            <w:vAlign w:val="center"/>
          </w:tcPr>
          <w:p w14:paraId="08A7035F">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专业技术资格</w:t>
            </w:r>
          </w:p>
        </w:tc>
        <w:tc>
          <w:tcPr>
            <w:tcW w:w="1559" w:type="dxa"/>
            <w:shd w:val="clear" w:color="auto" w:fill="8DB3E2"/>
            <w:noWrap w:val="0"/>
            <w:vAlign w:val="center"/>
          </w:tcPr>
          <w:p w14:paraId="6027E3B2">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证书编号</w:t>
            </w:r>
          </w:p>
        </w:tc>
        <w:tc>
          <w:tcPr>
            <w:tcW w:w="2163" w:type="dxa"/>
            <w:shd w:val="clear" w:color="auto" w:fill="8DB3E2"/>
            <w:noWrap w:val="0"/>
            <w:vAlign w:val="center"/>
          </w:tcPr>
          <w:p w14:paraId="4B5198AD">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参加工作时间</w:t>
            </w:r>
          </w:p>
        </w:tc>
        <w:tc>
          <w:tcPr>
            <w:tcW w:w="1477" w:type="dxa"/>
            <w:shd w:val="clear" w:color="auto" w:fill="8DB3E2"/>
            <w:noWrap w:val="0"/>
            <w:vAlign w:val="center"/>
          </w:tcPr>
          <w:p w14:paraId="6506FAAC">
            <w:pPr>
              <w:spacing w:line="400" w:lineRule="exact"/>
              <w:jc w:val="center"/>
              <w:rPr>
                <w:rFonts w:ascii="宋体" w:hAnsi="宋体" w:cs="宋体"/>
                <w:b/>
                <w:bCs/>
                <w:color w:val="000000"/>
                <w:szCs w:val="21"/>
                <w:highlight w:val="none"/>
              </w:rPr>
            </w:pPr>
            <w:r>
              <w:rPr>
                <w:rFonts w:hint="eastAsia" w:ascii="宋体" w:hAnsi="宋体" w:cs="宋体"/>
                <w:b/>
                <w:bCs/>
                <w:color w:val="000000"/>
                <w:szCs w:val="21"/>
                <w:highlight w:val="none"/>
              </w:rPr>
              <w:t>备注</w:t>
            </w:r>
          </w:p>
        </w:tc>
      </w:tr>
      <w:tr w14:paraId="1472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7C694057">
            <w:pPr>
              <w:spacing w:line="400" w:lineRule="exact"/>
              <w:rPr>
                <w:rFonts w:ascii="宋体" w:hAnsi="宋体" w:cs="宋体"/>
                <w:color w:val="000000"/>
                <w:szCs w:val="21"/>
                <w:highlight w:val="none"/>
              </w:rPr>
            </w:pPr>
          </w:p>
        </w:tc>
        <w:tc>
          <w:tcPr>
            <w:tcW w:w="993" w:type="dxa"/>
            <w:noWrap w:val="0"/>
            <w:vAlign w:val="top"/>
          </w:tcPr>
          <w:p w14:paraId="21E94AA3">
            <w:pPr>
              <w:spacing w:line="400" w:lineRule="exact"/>
              <w:rPr>
                <w:rFonts w:ascii="宋体" w:hAnsi="宋体" w:cs="宋体"/>
                <w:color w:val="000000"/>
                <w:szCs w:val="21"/>
                <w:highlight w:val="none"/>
              </w:rPr>
            </w:pPr>
          </w:p>
        </w:tc>
        <w:tc>
          <w:tcPr>
            <w:tcW w:w="1888" w:type="dxa"/>
            <w:noWrap w:val="0"/>
            <w:vAlign w:val="top"/>
          </w:tcPr>
          <w:p w14:paraId="2C0FC059">
            <w:pPr>
              <w:spacing w:line="400" w:lineRule="exact"/>
              <w:rPr>
                <w:rFonts w:ascii="宋体" w:hAnsi="宋体" w:cs="宋体"/>
                <w:color w:val="000000"/>
                <w:szCs w:val="21"/>
                <w:highlight w:val="none"/>
              </w:rPr>
            </w:pPr>
          </w:p>
        </w:tc>
        <w:tc>
          <w:tcPr>
            <w:tcW w:w="1559" w:type="dxa"/>
            <w:noWrap w:val="0"/>
            <w:vAlign w:val="top"/>
          </w:tcPr>
          <w:p w14:paraId="46ED4B52">
            <w:pPr>
              <w:spacing w:line="400" w:lineRule="exact"/>
              <w:rPr>
                <w:rFonts w:ascii="宋体" w:hAnsi="宋体" w:cs="宋体"/>
                <w:color w:val="000000"/>
                <w:szCs w:val="21"/>
                <w:highlight w:val="none"/>
              </w:rPr>
            </w:pPr>
          </w:p>
        </w:tc>
        <w:tc>
          <w:tcPr>
            <w:tcW w:w="2163" w:type="dxa"/>
            <w:noWrap w:val="0"/>
            <w:vAlign w:val="top"/>
          </w:tcPr>
          <w:p w14:paraId="1B1DE85F">
            <w:pPr>
              <w:spacing w:line="400" w:lineRule="exact"/>
              <w:rPr>
                <w:rFonts w:ascii="宋体" w:hAnsi="宋体" w:cs="宋体"/>
                <w:color w:val="000000"/>
                <w:szCs w:val="21"/>
                <w:highlight w:val="none"/>
              </w:rPr>
            </w:pPr>
          </w:p>
        </w:tc>
        <w:tc>
          <w:tcPr>
            <w:tcW w:w="1477" w:type="dxa"/>
            <w:noWrap w:val="0"/>
            <w:vAlign w:val="top"/>
          </w:tcPr>
          <w:p w14:paraId="20984608">
            <w:pPr>
              <w:spacing w:line="400" w:lineRule="exact"/>
              <w:rPr>
                <w:rFonts w:ascii="宋体" w:hAnsi="宋体" w:cs="宋体"/>
                <w:color w:val="000000"/>
                <w:szCs w:val="21"/>
                <w:highlight w:val="none"/>
              </w:rPr>
            </w:pPr>
          </w:p>
        </w:tc>
      </w:tr>
      <w:tr w14:paraId="5862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4D1575FB">
            <w:pPr>
              <w:spacing w:line="400" w:lineRule="exact"/>
              <w:rPr>
                <w:rFonts w:ascii="宋体" w:hAnsi="宋体" w:cs="宋体"/>
                <w:color w:val="000000"/>
                <w:szCs w:val="21"/>
                <w:highlight w:val="none"/>
              </w:rPr>
            </w:pPr>
          </w:p>
        </w:tc>
        <w:tc>
          <w:tcPr>
            <w:tcW w:w="993" w:type="dxa"/>
            <w:noWrap w:val="0"/>
            <w:vAlign w:val="top"/>
          </w:tcPr>
          <w:p w14:paraId="1AA2B41F">
            <w:pPr>
              <w:spacing w:line="400" w:lineRule="exact"/>
              <w:rPr>
                <w:rFonts w:ascii="宋体" w:hAnsi="宋体" w:cs="宋体"/>
                <w:color w:val="000000"/>
                <w:szCs w:val="21"/>
                <w:highlight w:val="none"/>
              </w:rPr>
            </w:pPr>
          </w:p>
        </w:tc>
        <w:tc>
          <w:tcPr>
            <w:tcW w:w="1888" w:type="dxa"/>
            <w:noWrap w:val="0"/>
            <w:vAlign w:val="top"/>
          </w:tcPr>
          <w:p w14:paraId="0F45F97E">
            <w:pPr>
              <w:spacing w:line="400" w:lineRule="exact"/>
              <w:rPr>
                <w:rFonts w:ascii="宋体" w:hAnsi="宋体" w:cs="宋体"/>
                <w:color w:val="000000"/>
                <w:szCs w:val="21"/>
                <w:highlight w:val="none"/>
              </w:rPr>
            </w:pPr>
          </w:p>
        </w:tc>
        <w:tc>
          <w:tcPr>
            <w:tcW w:w="1559" w:type="dxa"/>
            <w:noWrap w:val="0"/>
            <w:vAlign w:val="top"/>
          </w:tcPr>
          <w:p w14:paraId="3BE113E3">
            <w:pPr>
              <w:spacing w:line="400" w:lineRule="exact"/>
              <w:rPr>
                <w:rFonts w:ascii="宋体" w:hAnsi="宋体" w:cs="宋体"/>
                <w:color w:val="000000"/>
                <w:szCs w:val="21"/>
                <w:highlight w:val="none"/>
              </w:rPr>
            </w:pPr>
          </w:p>
        </w:tc>
        <w:tc>
          <w:tcPr>
            <w:tcW w:w="2163" w:type="dxa"/>
            <w:noWrap w:val="0"/>
            <w:vAlign w:val="top"/>
          </w:tcPr>
          <w:p w14:paraId="37149FF6">
            <w:pPr>
              <w:spacing w:line="400" w:lineRule="exact"/>
              <w:rPr>
                <w:rFonts w:ascii="宋体" w:hAnsi="宋体" w:cs="宋体"/>
                <w:color w:val="000000"/>
                <w:szCs w:val="21"/>
                <w:highlight w:val="none"/>
              </w:rPr>
            </w:pPr>
          </w:p>
        </w:tc>
        <w:tc>
          <w:tcPr>
            <w:tcW w:w="1477" w:type="dxa"/>
            <w:noWrap w:val="0"/>
            <w:vAlign w:val="top"/>
          </w:tcPr>
          <w:p w14:paraId="74A46744">
            <w:pPr>
              <w:spacing w:line="400" w:lineRule="exact"/>
              <w:rPr>
                <w:rFonts w:ascii="宋体" w:hAnsi="宋体" w:cs="宋体"/>
                <w:color w:val="000000"/>
                <w:szCs w:val="21"/>
                <w:highlight w:val="none"/>
              </w:rPr>
            </w:pPr>
          </w:p>
        </w:tc>
      </w:tr>
      <w:tr w14:paraId="4642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6F985A74">
            <w:pPr>
              <w:spacing w:line="400" w:lineRule="exact"/>
              <w:rPr>
                <w:rFonts w:ascii="宋体" w:hAnsi="宋体" w:cs="宋体"/>
                <w:color w:val="000000"/>
                <w:szCs w:val="21"/>
                <w:highlight w:val="none"/>
              </w:rPr>
            </w:pPr>
          </w:p>
        </w:tc>
        <w:tc>
          <w:tcPr>
            <w:tcW w:w="993" w:type="dxa"/>
            <w:noWrap w:val="0"/>
            <w:vAlign w:val="top"/>
          </w:tcPr>
          <w:p w14:paraId="52E81F76">
            <w:pPr>
              <w:spacing w:line="400" w:lineRule="exact"/>
              <w:rPr>
                <w:rFonts w:ascii="宋体" w:hAnsi="宋体" w:cs="宋体"/>
                <w:color w:val="000000"/>
                <w:szCs w:val="21"/>
                <w:highlight w:val="none"/>
              </w:rPr>
            </w:pPr>
          </w:p>
        </w:tc>
        <w:tc>
          <w:tcPr>
            <w:tcW w:w="1888" w:type="dxa"/>
            <w:noWrap w:val="0"/>
            <w:vAlign w:val="top"/>
          </w:tcPr>
          <w:p w14:paraId="1F0F289A">
            <w:pPr>
              <w:spacing w:line="400" w:lineRule="exact"/>
              <w:rPr>
                <w:rFonts w:ascii="宋体" w:hAnsi="宋体" w:cs="宋体"/>
                <w:color w:val="000000"/>
                <w:szCs w:val="21"/>
                <w:highlight w:val="none"/>
              </w:rPr>
            </w:pPr>
          </w:p>
        </w:tc>
        <w:tc>
          <w:tcPr>
            <w:tcW w:w="1559" w:type="dxa"/>
            <w:noWrap w:val="0"/>
            <w:vAlign w:val="top"/>
          </w:tcPr>
          <w:p w14:paraId="58373BD5">
            <w:pPr>
              <w:spacing w:line="400" w:lineRule="exact"/>
              <w:rPr>
                <w:rFonts w:ascii="宋体" w:hAnsi="宋体" w:cs="宋体"/>
                <w:color w:val="000000"/>
                <w:szCs w:val="21"/>
                <w:highlight w:val="none"/>
              </w:rPr>
            </w:pPr>
          </w:p>
        </w:tc>
        <w:tc>
          <w:tcPr>
            <w:tcW w:w="2163" w:type="dxa"/>
            <w:noWrap w:val="0"/>
            <w:vAlign w:val="top"/>
          </w:tcPr>
          <w:p w14:paraId="1E6F12A4">
            <w:pPr>
              <w:spacing w:line="400" w:lineRule="exact"/>
              <w:rPr>
                <w:rFonts w:ascii="宋体" w:hAnsi="宋体" w:cs="宋体"/>
                <w:color w:val="000000"/>
                <w:szCs w:val="21"/>
                <w:highlight w:val="none"/>
              </w:rPr>
            </w:pPr>
          </w:p>
        </w:tc>
        <w:tc>
          <w:tcPr>
            <w:tcW w:w="1477" w:type="dxa"/>
            <w:noWrap w:val="0"/>
            <w:vAlign w:val="top"/>
          </w:tcPr>
          <w:p w14:paraId="2CA63F9F">
            <w:pPr>
              <w:spacing w:line="400" w:lineRule="exact"/>
              <w:rPr>
                <w:rFonts w:ascii="宋体" w:hAnsi="宋体" w:cs="宋体"/>
                <w:color w:val="000000"/>
                <w:szCs w:val="21"/>
                <w:highlight w:val="none"/>
              </w:rPr>
            </w:pPr>
          </w:p>
        </w:tc>
      </w:tr>
      <w:tr w14:paraId="58B0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26A8959">
            <w:pPr>
              <w:spacing w:line="400" w:lineRule="exact"/>
              <w:rPr>
                <w:rFonts w:ascii="宋体" w:hAnsi="宋体" w:cs="宋体"/>
                <w:color w:val="000000"/>
                <w:szCs w:val="21"/>
                <w:highlight w:val="none"/>
              </w:rPr>
            </w:pPr>
          </w:p>
        </w:tc>
        <w:tc>
          <w:tcPr>
            <w:tcW w:w="993" w:type="dxa"/>
            <w:noWrap w:val="0"/>
            <w:vAlign w:val="top"/>
          </w:tcPr>
          <w:p w14:paraId="1EE570A7">
            <w:pPr>
              <w:spacing w:line="400" w:lineRule="exact"/>
              <w:rPr>
                <w:rFonts w:ascii="宋体" w:hAnsi="宋体" w:cs="宋体"/>
                <w:color w:val="000000"/>
                <w:szCs w:val="21"/>
                <w:highlight w:val="none"/>
              </w:rPr>
            </w:pPr>
          </w:p>
        </w:tc>
        <w:tc>
          <w:tcPr>
            <w:tcW w:w="1888" w:type="dxa"/>
            <w:noWrap w:val="0"/>
            <w:vAlign w:val="top"/>
          </w:tcPr>
          <w:p w14:paraId="68166C26">
            <w:pPr>
              <w:spacing w:line="400" w:lineRule="exact"/>
              <w:rPr>
                <w:rFonts w:ascii="宋体" w:hAnsi="宋体" w:cs="宋体"/>
                <w:color w:val="000000"/>
                <w:szCs w:val="21"/>
                <w:highlight w:val="none"/>
              </w:rPr>
            </w:pPr>
          </w:p>
        </w:tc>
        <w:tc>
          <w:tcPr>
            <w:tcW w:w="1559" w:type="dxa"/>
            <w:noWrap w:val="0"/>
            <w:vAlign w:val="top"/>
          </w:tcPr>
          <w:p w14:paraId="2D3CE42E">
            <w:pPr>
              <w:spacing w:line="400" w:lineRule="exact"/>
              <w:rPr>
                <w:rFonts w:ascii="宋体" w:hAnsi="宋体" w:cs="宋体"/>
                <w:color w:val="000000"/>
                <w:szCs w:val="21"/>
                <w:highlight w:val="none"/>
              </w:rPr>
            </w:pPr>
          </w:p>
        </w:tc>
        <w:tc>
          <w:tcPr>
            <w:tcW w:w="2163" w:type="dxa"/>
            <w:noWrap w:val="0"/>
            <w:vAlign w:val="top"/>
          </w:tcPr>
          <w:p w14:paraId="13E42F1A">
            <w:pPr>
              <w:spacing w:line="400" w:lineRule="exact"/>
              <w:rPr>
                <w:rFonts w:ascii="宋体" w:hAnsi="宋体" w:cs="宋体"/>
                <w:color w:val="000000"/>
                <w:szCs w:val="21"/>
                <w:highlight w:val="none"/>
              </w:rPr>
            </w:pPr>
          </w:p>
        </w:tc>
        <w:tc>
          <w:tcPr>
            <w:tcW w:w="1477" w:type="dxa"/>
            <w:noWrap w:val="0"/>
            <w:vAlign w:val="top"/>
          </w:tcPr>
          <w:p w14:paraId="2B6938D5">
            <w:pPr>
              <w:spacing w:line="400" w:lineRule="exact"/>
              <w:rPr>
                <w:rFonts w:ascii="宋体" w:hAnsi="宋体" w:cs="宋体"/>
                <w:color w:val="000000"/>
                <w:szCs w:val="21"/>
                <w:highlight w:val="none"/>
              </w:rPr>
            </w:pPr>
          </w:p>
        </w:tc>
      </w:tr>
      <w:tr w14:paraId="5532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2C0931EA">
            <w:pPr>
              <w:spacing w:line="400" w:lineRule="exact"/>
              <w:rPr>
                <w:rFonts w:ascii="宋体" w:hAnsi="宋体" w:cs="宋体"/>
                <w:color w:val="000000"/>
                <w:szCs w:val="21"/>
                <w:highlight w:val="none"/>
              </w:rPr>
            </w:pPr>
          </w:p>
        </w:tc>
        <w:tc>
          <w:tcPr>
            <w:tcW w:w="993" w:type="dxa"/>
            <w:noWrap w:val="0"/>
            <w:vAlign w:val="top"/>
          </w:tcPr>
          <w:p w14:paraId="3DBE3B4B">
            <w:pPr>
              <w:spacing w:line="400" w:lineRule="exact"/>
              <w:rPr>
                <w:rFonts w:ascii="宋体" w:hAnsi="宋体" w:cs="宋体"/>
                <w:color w:val="000000"/>
                <w:szCs w:val="21"/>
                <w:highlight w:val="none"/>
              </w:rPr>
            </w:pPr>
          </w:p>
        </w:tc>
        <w:tc>
          <w:tcPr>
            <w:tcW w:w="1888" w:type="dxa"/>
            <w:noWrap w:val="0"/>
            <w:vAlign w:val="top"/>
          </w:tcPr>
          <w:p w14:paraId="5D9F147C">
            <w:pPr>
              <w:spacing w:line="400" w:lineRule="exact"/>
              <w:rPr>
                <w:rFonts w:ascii="宋体" w:hAnsi="宋体" w:cs="宋体"/>
                <w:color w:val="000000"/>
                <w:szCs w:val="21"/>
                <w:highlight w:val="none"/>
              </w:rPr>
            </w:pPr>
          </w:p>
        </w:tc>
        <w:tc>
          <w:tcPr>
            <w:tcW w:w="1559" w:type="dxa"/>
            <w:noWrap w:val="0"/>
            <w:vAlign w:val="top"/>
          </w:tcPr>
          <w:p w14:paraId="76EBF698">
            <w:pPr>
              <w:spacing w:line="400" w:lineRule="exact"/>
              <w:rPr>
                <w:rFonts w:ascii="宋体" w:hAnsi="宋体" w:cs="宋体"/>
                <w:color w:val="000000"/>
                <w:szCs w:val="21"/>
                <w:highlight w:val="none"/>
              </w:rPr>
            </w:pPr>
          </w:p>
        </w:tc>
        <w:tc>
          <w:tcPr>
            <w:tcW w:w="2163" w:type="dxa"/>
            <w:noWrap w:val="0"/>
            <w:vAlign w:val="top"/>
          </w:tcPr>
          <w:p w14:paraId="4739463A">
            <w:pPr>
              <w:spacing w:line="400" w:lineRule="exact"/>
              <w:rPr>
                <w:rFonts w:ascii="宋体" w:hAnsi="宋体" w:cs="宋体"/>
                <w:color w:val="000000"/>
                <w:szCs w:val="21"/>
                <w:highlight w:val="none"/>
              </w:rPr>
            </w:pPr>
          </w:p>
        </w:tc>
        <w:tc>
          <w:tcPr>
            <w:tcW w:w="1477" w:type="dxa"/>
            <w:noWrap w:val="0"/>
            <w:vAlign w:val="top"/>
          </w:tcPr>
          <w:p w14:paraId="43ED57A8">
            <w:pPr>
              <w:spacing w:line="400" w:lineRule="exact"/>
              <w:rPr>
                <w:rFonts w:ascii="宋体" w:hAnsi="宋体" w:cs="宋体"/>
                <w:color w:val="000000"/>
                <w:szCs w:val="21"/>
                <w:highlight w:val="none"/>
              </w:rPr>
            </w:pPr>
          </w:p>
        </w:tc>
      </w:tr>
      <w:tr w14:paraId="32BD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top"/>
          </w:tcPr>
          <w:p w14:paraId="13F2A2A9">
            <w:pPr>
              <w:spacing w:line="400" w:lineRule="exact"/>
              <w:rPr>
                <w:rFonts w:ascii="宋体" w:hAnsi="宋体" w:cs="宋体"/>
                <w:color w:val="000000"/>
                <w:szCs w:val="21"/>
                <w:highlight w:val="none"/>
              </w:rPr>
            </w:pPr>
          </w:p>
        </w:tc>
        <w:tc>
          <w:tcPr>
            <w:tcW w:w="993" w:type="dxa"/>
            <w:noWrap w:val="0"/>
            <w:vAlign w:val="top"/>
          </w:tcPr>
          <w:p w14:paraId="472D9228">
            <w:pPr>
              <w:spacing w:line="400" w:lineRule="exact"/>
              <w:rPr>
                <w:rFonts w:ascii="宋体" w:hAnsi="宋体" w:cs="宋体"/>
                <w:color w:val="000000"/>
                <w:szCs w:val="21"/>
                <w:highlight w:val="none"/>
              </w:rPr>
            </w:pPr>
          </w:p>
        </w:tc>
        <w:tc>
          <w:tcPr>
            <w:tcW w:w="1888" w:type="dxa"/>
            <w:noWrap w:val="0"/>
            <w:vAlign w:val="top"/>
          </w:tcPr>
          <w:p w14:paraId="5256C78B">
            <w:pPr>
              <w:spacing w:line="400" w:lineRule="exact"/>
              <w:rPr>
                <w:rFonts w:ascii="宋体" w:hAnsi="宋体" w:cs="宋体"/>
                <w:color w:val="000000"/>
                <w:szCs w:val="21"/>
                <w:highlight w:val="none"/>
              </w:rPr>
            </w:pPr>
          </w:p>
        </w:tc>
        <w:tc>
          <w:tcPr>
            <w:tcW w:w="1559" w:type="dxa"/>
            <w:noWrap w:val="0"/>
            <w:vAlign w:val="top"/>
          </w:tcPr>
          <w:p w14:paraId="790CDF17">
            <w:pPr>
              <w:spacing w:line="400" w:lineRule="exact"/>
              <w:rPr>
                <w:rFonts w:ascii="宋体" w:hAnsi="宋体" w:cs="宋体"/>
                <w:color w:val="000000"/>
                <w:szCs w:val="21"/>
                <w:highlight w:val="none"/>
              </w:rPr>
            </w:pPr>
          </w:p>
        </w:tc>
        <w:tc>
          <w:tcPr>
            <w:tcW w:w="2163" w:type="dxa"/>
            <w:noWrap w:val="0"/>
            <w:vAlign w:val="top"/>
          </w:tcPr>
          <w:p w14:paraId="6C3D93B5">
            <w:pPr>
              <w:spacing w:line="400" w:lineRule="exact"/>
              <w:rPr>
                <w:rFonts w:ascii="宋体" w:hAnsi="宋体" w:cs="宋体"/>
                <w:color w:val="000000"/>
                <w:szCs w:val="21"/>
                <w:highlight w:val="none"/>
              </w:rPr>
            </w:pPr>
          </w:p>
        </w:tc>
        <w:tc>
          <w:tcPr>
            <w:tcW w:w="1477" w:type="dxa"/>
            <w:noWrap w:val="0"/>
            <w:vAlign w:val="top"/>
          </w:tcPr>
          <w:p w14:paraId="68C31B42">
            <w:pPr>
              <w:spacing w:line="400" w:lineRule="exact"/>
              <w:rPr>
                <w:rFonts w:ascii="宋体" w:hAnsi="宋体" w:cs="宋体"/>
                <w:color w:val="000000"/>
                <w:szCs w:val="21"/>
                <w:highlight w:val="none"/>
              </w:rPr>
            </w:pPr>
          </w:p>
        </w:tc>
      </w:tr>
    </w:tbl>
    <w:p w14:paraId="383BD613">
      <w:pPr>
        <w:spacing w:line="400" w:lineRule="exact"/>
        <w:rPr>
          <w:color w:val="000000"/>
          <w:szCs w:val="21"/>
          <w:highlight w:val="none"/>
        </w:rPr>
      </w:pPr>
      <w:r>
        <w:rPr>
          <w:color w:val="000000"/>
          <w:szCs w:val="21"/>
          <w:highlight w:val="none"/>
        </w:rPr>
        <w:t>注：1.在填写时，如本表格不适合供应商的实际情况，可根据本表格式自行制表填写。</w:t>
      </w:r>
    </w:p>
    <w:p w14:paraId="78AA7FE7">
      <w:pPr>
        <w:spacing w:line="400" w:lineRule="exact"/>
        <w:ind w:left="420" w:leftChars="200"/>
        <w:rPr>
          <w:color w:val="000000"/>
          <w:szCs w:val="21"/>
          <w:highlight w:val="none"/>
        </w:rPr>
      </w:pPr>
      <w:r>
        <w:rPr>
          <w:color w:val="000000"/>
          <w:szCs w:val="21"/>
          <w:highlight w:val="none"/>
        </w:rPr>
        <w:t>2.项目实施人员一览表须由法定代表人、负责人、自然人或相应的委托代理人签字</w:t>
      </w:r>
      <w:r>
        <w:rPr>
          <w:color w:val="000000"/>
          <w:highlight w:val="none"/>
        </w:rPr>
        <w:t>（属自然人的应在签名处加盖大拇指指印）</w:t>
      </w:r>
      <w:r>
        <w:rPr>
          <w:color w:val="000000"/>
          <w:szCs w:val="21"/>
          <w:highlight w:val="none"/>
        </w:rPr>
        <w:t>并加盖供应商公章</w:t>
      </w:r>
      <w:r>
        <w:rPr>
          <w:color w:val="000000"/>
          <w:highlight w:val="none"/>
        </w:rPr>
        <w:t>（自然人除外）</w:t>
      </w:r>
      <w:r>
        <w:rPr>
          <w:color w:val="000000"/>
          <w:szCs w:val="21"/>
          <w:highlight w:val="none"/>
        </w:rPr>
        <w:t>。</w:t>
      </w:r>
    </w:p>
    <w:p w14:paraId="754E7273">
      <w:pPr>
        <w:pStyle w:val="11"/>
        <w:spacing w:line="400" w:lineRule="exact"/>
        <w:rPr>
          <w:rFonts w:ascii="Times New Roman" w:hAnsi="Times New Roman"/>
          <w:color w:val="000000"/>
          <w:highlight w:val="none"/>
        </w:rPr>
      </w:pPr>
    </w:p>
    <w:p w14:paraId="18EE3F01">
      <w:pPr>
        <w:snapToGrid w:val="0"/>
        <w:spacing w:line="400" w:lineRule="exact"/>
        <w:ind w:firstLine="3570" w:firstLineChars="1700"/>
        <w:rPr>
          <w:rFonts w:ascii="Times New Roman" w:hAnsi="Times New Roman"/>
          <w:color w:val="000000"/>
          <w:highlight w:val="none"/>
        </w:rPr>
      </w:pPr>
      <w:r>
        <w:rPr>
          <w:color w:val="000000"/>
          <w:szCs w:val="21"/>
          <w:highlight w:val="none"/>
        </w:rPr>
        <w:t>供应商（</w:t>
      </w:r>
      <w:r>
        <w:rPr>
          <w:rFonts w:hint="eastAsia" w:ascii="宋体" w:hAnsi="宋体" w:cs="宋体"/>
          <w:color w:val="000000"/>
          <w:szCs w:val="21"/>
          <w:highlight w:val="none"/>
        </w:rPr>
        <w:t>公章(CA签章)，自然人签字或个人CA签章</w:t>
      </w:r>
      <w:r>
        <w:rPr>
          <w:color w:val="000000"/>
          <w:szCs w:val="21"/>
          <w:highlight w:val="none"/>
        </w:rPr>
        <w:t>）：</w:t>
      </w:r>
      <w:r>
        <w:rPr>
          <w:color w:val="000000"/>
          <w:szCs w:val="21"/>
          <w:highlight w:val="none"/>
          <w:u w:val="single"/>
        </w:rPr>
        <w:t xml:space="preserve">                           </w:t>
      </w:r>
    </w:p>
    <w:p w14:paraId="38730A44">
      <w:pPr>
        <w:pStyle w:val="11"/>
        <w:ind w:firstLine="3400" w:firstLineChars="1700"/>
        <w:rPr>
          <w:rFonts w:ascii="Times New Roman" w:hAnsi="Times New Roman"/>
          <w:color w:val="000000"/>
          <w:highlight w:val="none"/>
        </w:rPr>
      </w:pPr>
    </w:p>
    <w:p w14:paraId="1DC12112">
      <w:pPr>
        <w:pStyle w:val="11"/>
        <w:ind w:firstLine="3400" w:firstLineChars="1700"/>
        <w:rPr>
          <w:rFonts w:hint="eastAsia" w:cs="宋体"/>
          <w:color w:val="000000"/>
          <w:sz w:val="30"/>
          <w:szCs w:val="30"/>
          <w:highlight w:val="none"/>
        </w:rPr>
      </w:pPr>
      <w:r>
        <w:rPr>
          <w:rFonts w:ascii="Times New Roman" w:hAnsi="Times New Roman"/>
          <w:color w:val="000000"/>
          <w:highlight w:val="none"/>
        </w:rPr>
        <w:t>日          期：</w:t>
      </w:r>
      <w:r>
        <w:rPr>
          <w:rFonts w:ascii="Times New Roman" w:hAnsi="Times New Roman"/>
          <w:color w:val="000000"/>
          <w:highlight w:val="none"/>
          <w:u w:val="single"/>
        </w:rPr>
        <w:t xml:space="preserve">                             </w:t>
      </w:r>
    </w:p>
    <w:p w14:paraId="18EF0DAC">
      <w:pPr>
        <w:spacing w:line="360" w:lineRule="auto"/>
        <w:rPr>
          <w:rFonts w:hint="eastAsia" w:ascii="宋体" w:cs="宋体"/>
          <w:b/>
          <w:bCs/>
          <w:color w:val="000000"/>
          <w:sz w:val="28"/>
          <w:szCs w:val="28"/>
          <w:highlight w:val="none"/>
        </w:rPr>
      </w:pPr>
      <w:r>
        <w:rPr>
          <w:rFonts w:hint="eastAsia" w:ascii="宋体" w:cs="宋体"/>
          <w:b/>
          <w:bCs/>
          <w:color w:val="000000"/>
          <w:sz w:val="28"/>
          <w:szCs w:val="28"/>
          <w:highlight w:val="none"/>
        </w:rPr>
        <w:t>注：供应商根据自身情况结合本项目自行制定</w:t>
      </w:r>
    </w:p>
    <w:p w14:paraId="4549023D">
      <w:pPr>
        <w:pStyle w:val="8"/>
        <w:rPr>
          <w:rFonts w:hint="eastAsia" w:ascii="宋体" w:cs="宋体"/>
          <w:b/>
          <w:bCs/>
          <w:color w:val="000000"/>
          <w:sz w:val="28"/>
          <w:szCs w:val="28"/>
          <w:highlight w:val="none"/>
        </w:rPr>
      </w:pPr>
    </w:p>
    <w:p w14:paraId="034F3119">
      <w:pPr>
        <w:rPr>
          <w:rFonts w:hint="eastAsia"/>
          <w:color w:val="000000"/>
          <w:highlight w:val="none"/>
        </w:rPr>
      </w:pPr>
    </w:p>
    <w:p w14:paraId="061F8268">
      <w:pPr>
        <w:tabs>
          <w:tab w:val="left" w:pos="1305"/>
        </w:tabs>
        <w:spacing w:line="40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2.节能方面的证书扫描件（如有，请提供）；</w:t>
      </w:r>
    </w:p>
    <w:p w14:paraId="03A09364">
      <w:pPr>
        <w:tabs>
          <w:tab w:val="left" w:pos="1305"/>
        </w:tabs>
        <w:spacing w:line="400" w:lineRule="exact"/>
        <w:ind w:firstLine="562" w:firstLineChars="200"/>
        <w:rPr>
          <w:rFonts w:hint="eastAsia" w:ascii="宋体" w:hAnsi="宋体" w:cs="宋体"/>
          <w:b/>
          <w:bCs/>
          <w:color w:val="000000"/>
          <w:sz w:val="28"/>
          <w:szCs w:val="28"/>
          <w:highlight w:val="none"/>
        </w:rPr>
      </w:pPr>
    </w:p>
    <w:p w14:paraId="6E40C200">
      <w:pPr>
        <w:pStyle w:val="3"/>
        <w:rPr>
          <w:rFonts w:hint="eastAsia"/>
          <w:color w:val="000000"/>
          <w:highlight w:val="none"/>
          <w:lang w:val="en-US"/>
        </w:rPr>
      </w:pPr>
    </w:p>
    <w:p w14:paraId="41F58F01">
      <w:pPr>
        <w:tabs>
          <w:tab w:val="left" w:pos="1305"/>
        </w:tabs>
        <w:spacing w:line="40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3.环境标志方面的证书扫描件（如有，请提供）；</w:t>
      </w:r>
    </w:p>
    <w:p w14:paraId="018543B3">
      <w:pPr>
        <w:pStyle w:val="3"/>
        <w:ind w:left="0" w:firstLine="0"/>
        <w:rPr>
          <w:rFonts w:hint="eastAsia"/>
          <w:color w:val="000000"/>
          <w:highlight w:val="none"/>
        </w:rPr>
      </w:pPr>
    </w:p>
    <w:p w14:paraId="19A1EDF2">
      <w:pPr>
        <w:rPr>
          <w:rFonts w:hint="eastAsia"/>
          <w:color w:val="000000"/>
          <w:highlight w:val="none"/>
        </w:rPr>
      </w:pPr>
    </w:p>
    <w:p w14:paraId="3C572014">
      <w:pPr>
        <w:rPr>
          <w:rFonts w:hint="eastAsia"/>
          <w:color w:val="000000"/>
          <w:highlight w:val="none"/>
        </w:rPr>
      </w:pPr>
    </w:p>
    <w:p w14:paraId="1F2EA82C">
      <w:pPr>
        <w:tabs>
          <w:tab w:val="left" w:pos="1305"/>
        </w:tabs>
        <w:spacing w:line="40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4.</w:t>
      </w:r>
      <w:r>
        <w:rPr>
          <w:rFonts w:hint="eastAsia" w:ascii="宋体" w:hAnsi="宋体" w:cs="宋体"/>
          <w:b/>
          <w:bCs/>
          <w:color w:val="000000"/>
          <w:sz w:val="28"/>
          <w:szCs w:val="28"/>
          <w:highlight w:val="none"/>
          <w:lang w:eastAsia="zh-CN"/>
        </w:rPr>
        <w:t>供应商自2022年1月1日以来具有同类产品的销售业绩 [以中标（成交）通知书或采购合同扫描件为准（能清晰反映所销售的货物名称、种类、金额)，否则将不予计分；同一个编号的项目有两个或两个以上的分标中标的只算一次]</w:t>
      </w:r>
      <w:r>
        <w:rPr>
          <w:rFonts w:hint="eastAsia" w:ascii="宋体" w:hAnsi="宋体" w:cs="宋体"/>
          <w:b/>
          <w:bCs/>
          <w:color w:val="000000"/>
          <w:sz w:val="28"/>
          <w:szCs w:val="28"/>
          <w:highlight w:val="none"/>
        </w:rPr>
        <w:t>（如有，请提供）；</w:t>
      </w:r>
    </w:p>
    <w:p w14:paraId="3F61CD25">
      <w:pPr>
        <w:pStyle w:val="11"/>
        <w:spacing w:line="340" w:lineRule="exact"/>
        <w:outlineLvl w:val="3"/>
        <w:rPr>
          <w:rFonts w:hint="eastAsia"/>
          <w:b/>
          <w:color w:val="000000"/>
          <w:sz w:val="28"/>
          <w:szCs w:val="28"/>
          <w:highlight w:val="none"/>
        </w:rPr>
      </w:pPr>
      <w:bookmarkStart w:id="404" w:name="_Toc497927091"/>
      <w:bookmarkStart w:id="405" w:name="_Toc11660"/>
      <w:bookmarkStart w:id="406" w:name="_Toc9978"/>
    </w:p>
    <w:p w14:paraId="37090E46">
      <w:pPr>
        <w:pStyle w:val="11"/>
        <w:spacing w:line="340" w:lineRule="exact"/>
        <w:outlineLvl w:val="3"/>
        <w:rPr>
          <w:rFonts w:hint="eastAsia"/>
          <w:b/>
          <w:color w:val="000000"/>
          <w:sz w:val="28"/>
          <w:szCs w:val="28"/>
          <w:highlight w:val="none"/>
        </w:rPr>
      </w:pPr>
    </w:p>
    <w:p w14:paraId="5E6335F4">
      <w:pPr>
        <w:pStyle w:val="11"/>
        <w:spacing w:line="340" w:lineRule="exact"/>
        <w:outlineLvl w:val="3"/>
        <w:rPr>
          <w:rFonts w:hint="eastAsia"/>
          <w:b/>
          <w:color w:val="000000"/>
          <w:sz w:val="28"/>
          <w:szCs w:val="28"/>
          <w:highlight w:val="none"/>
        </w:rPr>
      </w:pPr>
      <w:r>
        <w:rPr>
          <w:rFonts w:hint="eastAsia"/>
          <w:b/>
          <w:color w:val="000000"/>
          <w:sz w:val="28"/>
          <w:szCs w:val="28"/>
          <w:highlight w:val="none"/>
        </w:rPr>
        <w:t>5.《中小企业声明函》（见附件）（如有，请提供）；</w:t>
      </w:r>
      <w:bookmarkEnd w:id="404"/>
      <w:bookmarkEnd w:id="405"/>
      <w:bookmarkEnd w:id="406"/>
    </w:p>
    <w:p w14:paraId="51DEB2C3">
      <w:pPr>
        <w:pStyle w:val="11"/>
        <w:rPr>
          <w:rFonts w:hint="eastAsia" w:ascii="Times New Roman" w:hAnsi="Times New Roman"/>
          <w:b/>
          <w:bCs/>
          <w:color w:val="000000"/>
          <w:sz w:val="32"/>
          <w:szCs w:val="32"/>
          <w:highlight w:val="none"/>
        </w:rPr>
      </w:pPr>
      <w:r>
        <w:rPr>
          <w:rFonts w:hint="eastAsia" w:ascii="Times New Roman" w:hAnsi="Times New Roman"/>
          <w:b/>
          <w:bCs/>
          <w:color w:val="000000"/>
          <w:sz w:val="32"/>
          <w:szCs w:val="32"/>
          <w:highlight w:val="none"/>
        </w:rPr>
        <w:t>附件：</w:t>
      </w:r>
    </w:p>
    <w:p w14:paraId="65DF5F4B">
      <w:pPr>
        <w:pStyle w:val="11"/>
        <w:spacing w:line="440" w:lineRule="exact"/>
        <w:jc w:val="center"/>
        <w:outlineLvl w:val="4"/>
        <w:rPr>
          <w:rFonts w:hint="eastAsia" w:hAnsi="宋体" w:cs="宋体"/>
          <w:b/>
          <w:bCs/>
          <w:color w:val="000000"/>
          <w:sz w:val="28"/>
          <w:szCs w:val="28"/>
          <w:highlight w:val="none"/>
        </w:rPr>
      </w:pPr>
      <w:r>
        <w:rPr>
          <w:rFonts w:hint="eastAsia" w:hAnsi="宋体" w:cs="宋体"/>
          <w:b/>
          <w:bCs/>
          <w:color w:val="000000"/>
          <w:sz w:val="28"/>
          <w:szCs w:val="28"/>
          <w:highlight w:val="none"/>
        </w:rPr>
        <w:t>中小企业声明函</w:t>
      </w:r>
    </w:p>
    <w:p w14:paraId="7E0DCC49">
      <w:pPr>
        <w:pStyle w:val="11"/>
        <w:spacing w:line="440" w:lineRule="exact"/>
        <w:ind w:firstLine="504" w:firstLineChars="200"/>
        <w:rPr>
          <w:rFonts w:hint="eastAsia" w:hAnsi="宋体" w:cs="宋体"/>
          <w:color w:val="000000"/>
          <w:spacing w:val="6"/>
          <w:sz w:val="24"/>
          <w:szCs w:val="24"/>
          <w:highlight w:val="none"/>
        </w:rPr>
      </w:pPr>
      <w:r>
        <w:rPr>
          <w:rFonts w:hint="eastAsia" w:hAnsi="宋体" w:cs="宋体"/>
          <w:color w:val="000000"/>
          <w:spacing w:val="6"/>
          <w:sz w:val="24"/>
          <w:szCs w:val="24"/>
          <w:highlight w:val="none"/>
        </w:rPr>
        <w:t>本公司（联合体）郑重声明，根据《政府采购促进中小企业发展管理办法》（财库﹝2020﹞46 号）的规定，本公司（联合体）参加（单位名称）的（项目名称）采购活动，提供的货物全部符合政策要求的中小企业制造。相关企业（含联合体中的中小企业、签订分包意向协议的中小企业）的具体情况如下：</w:t>
      </w:r>
    </w:p>
    <w:p w14:paraId="3CD368F6">
      <w:pPr>
        <w:pStyle w:val="11"/>
        <w:spacing w:line="440" w:lineRule="exact"/>
        <w:ind w:firstLine="504" w:firstLineChars="200"/>
        <w:rPr>
          <w:rFonts w:hint="eastAsia" w:hAnsi="宋体" w:cs="宋体"/>
          <w:color w:val="000000"/>
          <w:spacing w:val="6"/>
          <w:sz w:val="24"/>
          <w:szCs w:val="24"/>
          <w:highlight w:val="none"/>
        </w:rPr>
      </w:pPr>
      <w:r>
        <w:rPr>
          <w:rFonts w:hint="eastAsia" w:hAnsi="宋体" w:cs="宋体"/>
          <w:color w:val="000000"/>
          <w:spacing w:val="6"/>
          <w:sz w:val="24"/>
          <w:szCs w:val="24"/>
          <w:highlight w:val="none"/>
        </w:rPr>
        <w:t>1.（标的名称），属于（采购文件中明确的所属行业）行业；制造商为（企业名称），从业人员</w:t>
      </w:r>
      <w:r>
        <w:rPr>
          <w:rFonts w:hint="eastAsia" w:hAnsi="宋体" w:cs="宋体"/>
          <w:color w:val="000000"/>
          <w:spacing w:val="6"/>
          <w:sz w:val="24"/>
          <w:szCs w:val="24"/>
          <w:highlight w:val="none"/>
          <w:u w:val="single"/>
        </w:rPr>
        <w:t xml:space="preserve">   </w:t>
      </w:r>
      <w:r>
        <w:rPr>
          <w:rFonts w:hint="eastAsia" w:hAnsi="宋体" w:cs="宋体"/>
          <w:color w:val="000000"/>
          <w:spacing w:val="6"/>
          <w:sz w:val="24"/>
          <w:szCs w:val="24"/>
          <w:highlight w:val="none"/>
        </w:rPr>
        <w:t>人，营业收入为</w:t>
      </w:r>
      <w:r>
        <w:rPr>
          <w:rFonts w:hint="eastAsia" w:hAnsi="宋体" w:cs="宋体"/>
          <w:color w:val="000000"/>
          <w:spacing w:val="6"/>
          <w:sz w:val="24"/>
          <w:szCs w:val="24"/>
          <w:highlight w:val="none"/>
          <w:u w:val="single"/>
        </w:rPr>
        <w:t xml:space="preserve">  </w:t>
      </w:r>
      <w:r>
        <w:rPr>
          <w:rFonts w:hint="eastAsia" w:hAnsi="宋体" w:cs="宋体"/>
          <w:color w:val="000000"/>
          <w:spacing w:val="6"/>
          <w:sz w:val="24"/>
          <w:szCs w:val="24"/>
          <w:highlight w:val="none"/>
        </w:rPr>
        <w:t>万元，资产总额为</w:t>
      </w:r>
      <w:r>
        <w:rPr>
          <w:rFonts w:hint="eastAsia" w:hAnsi="宋体" w:cs="宋体"/>
          <w:color w:val="000000"/>
          <w:spacing w:val="6"/>
          <w:sz w:val="24"/>
          <w:szCs w:val="24"/>
          <w:highlight w:val="none"/>
          <w:u w:val="single"/>
        </w:rPr>
        <w:t xml:space="preserve">   </w:t>
      </w:r>
      <w:r>
        <w:rPr>
          <w:rFonts w:hint="eastAsia" w:hAnsi="宋体" w:cs="宋体"/>
          <w:color w:val="000000"/>
          <w:spacing w:val="6"/>
          <w:sz w:val="24"/>
          <w:szCs w:val="24"/>
          <w:highlight w:val="none"/>
        </w:rPr>
        <w:t>万元</w:t>
      </w:r>
      <w:r>
        <w:rPr>
          <w:rFonts w:hint="eastAsia" w:hAnsi="宋体" w:cs="宋体"/>
          <w:color w:val="000000"/>
          <w:spacing w:val="6"/>
          <w:sz w:val="24"/>
          <w:szCs w:val="24"/>
          <w:highlight w:val="none"/>
          <w:vertAlign w:val="superscript"/>
        </w:rPr>
        <w:t>1</w:t>
      </w:r>
      <w:r>
        <w:rPr>
          <w:rFonts w:hint="eastAsia" w:hAnsi="宋体" w:cs="宋体"/>
          <w:color w:val="000000"/>
          <w:spacing w:val="6"/>
          <w:sz w:val="24"/>
          <w:szCs w:val="24"/>
          <w:highlight w:val="none"/>
        </w:rPr>
        <w:t>，属于（中型企业、小型企业、微型企业）</w:t>
      </w:r>
    </w:p>
    <w:p w14:paraId="7DBA12A3">
      <w:pPr>
        <w:pStyle w:val="11"/>
        <w:spacing w:line="440" w:lineRule="exact"/>
        <w:ind w:firstLine="504" w:firstLineChars="200"/>
        <w:rPr>
          <w:rFonts w:hint="eastAsia" w:hAnsi="宋体" w:cs="宋体"/>
          <w:color w:val="000000"/>
          <w:spacing w:val="6"/>
          <w:sz w:val="24"/>
          <w:szCs w:val="24"/>
          <w:highlight w:val="none"/>
        </w:rPr>
      </w:pPr>
      <w:r>
        <w:rPr>
          <w:rFonts w:hint="eastAsia" w:hAnsi="宋体" w:cs="宋体"/>
          <w:color w:val="000000"/>
          <w:spacing w:val="6"/>
          <w:sz w:val="24"/>
          <w:szCs w:val="24"/>
          <w:highlight w:val="none"/>
        </w:rPr>
        <w:t>2.（标的名称），属于（采购文件中明确的所属行业）行业；制造商为（企业名称），从业人员</w:t>
      </w:r>
      <w:r>
        <w:rPr>
          <w:rFonts w:hint="eastAsia" w:hAnsi="宋体" w:cs="宋体"/>
          <w:color w:val="000000"/>
          <w:spacing w:val="6"/>
          <w:sz w:val="24"/>
          <w:szCs w:val="24"/>
          <w:highlight w:val="none"/>
          <w:u w:val="single"/>
        </w:rPr>
        <w:t xml:space="preserve">   </w:t>
      </w:r>
      <w:r>
        <w:rPr>
          <w:rFonts w:hint="eastAsia" w:hAnsi="宋体" w:cs="宋体"/>
          <w:color w:val="000000"/>
          <w:spacing w:val="6"/>
          <w:sz w:val="24"/>
          <w:szCs w:val="24"/>
          <w:highlight w:val="none"/>
        </w:rPr>
        <w:t>人，营业收入为</w:t>
      </w:r>
      <w:r>
        <w:rPr>
          <w:rFonts w:hint="eastAsia" w:hAnsi="宋体" w:cs="宋体"/>
          <w:color w:val="000000"/>
          <w:spacing w:val="6"/>
          <w:sz w:val="24"/>
          <w:szCs w:val="24"/>
          <w:highlight w:val="none"/>
          <w:u w:val="single"/>
        </w:rPr>
        <w:t xml:space="preserve">  </w:t>
      </w:r>
      <w:r>
        <w:rPr>
          <w:rFonts w:hint="eastAsia" w:hAnsi="宋体" w:cs="宋体"/>
          <w:color w:val="000000"/>
          <w:spacing w:val="6"/>
          <w:sz w:val="24"/>
          <w:szCs w:val="24"/>
          <w:highlight w:val="none"/>
        </w:rPr>
        <w:t>万元，资产总额为</w:t>
      </w:r>
      <w:r>
        <w:rPr>
          <w:rFonts w:hint="eastAsia" w:hAnsi="宋体" w:cs="宋体"/>
          <w:color w:val="000000"/>
          <w:spacing w:val="6"/>
          <w:sz w:val="24"/>
          <w:szCs w:val="24"/>
          <w:highlight w:val="none"/>
          <w:u w:val="single"/>
        </w:rPr>
        <w:t xml:space="preserve">   </w:t>
      </w:r>
      <w:r>
        <w:rPr>
          <w:rFonts w:hint="eastAsia" w:hAnsi="宋体" w:cs="宋体"/>
          <w:color w:val="000000"/>
          <w:spacing w:val="6"/>
          <w:sz w:val="24"/>
          <w:szCs w:val="24"/>
          <w:highlight w:val="none"/>
        </w:rPr>
        <w:t>万元</w:t>
      </w:r>
      <w:r>
        <w:rPr>
          <w:rFonts w:hint="eastAsia" w:hAnsi="宋体" w:cs="宋体"/>
          <w:color w:val="000000"/>
          <w:spacing w:val="6"/>
          <w:sz w:val="24"/>
          <w:szCs w:val="24"/>
          <w:highlight w:val="none"/>
          <w:vertAlign w:val="superscript"/>
        </w:rPr>
        <w:t>1</w:t>
      </w:r>
      <w:r>
        <w:rPr>
          <w:rFonts w:hint="eastAsia" w:hAnsi="宋体" w:cs="宋体"/>
          <w:color w:val="000000"/>
          <w:spacing w:val="6"/>
          <w:sz w:val="24"/>
          <w:szCs w:val="24"/>
          <w:highlight w:val="none"/>
        </w:rPr>
        <w:t>，属于（中型企业、小型企业、微型企业）</w:t>
      </w:r>
    </w:p>
    <w:p w14:paraId="1AE22F5D">
      <w:pPr>
        <w:pStyle w:val="11"/>
        <w:spacing w:line="440" w:lineRule="exact"/>
        <w:ind w:firstLine="504" w:firstLineChars="200"/>
        <w:rPr>
          <w:rFonts w:hint="eastAsia" w:hAnsi="宋体" w:cs="宋体"/>
          <w:color w:val="000000"/>
          <w:spacing w:val="6"/>
          <w:sz w:val="24"/>
          <w:szCs w:val="24"/>
          <w:highlight w:val="none"/>
        </w:rPr>
      </w:pPr>
      <w:r>
        <w:rPr>
          <w:rFonts w:hint="eastAsia" w:hAnsi="宋体" w:cs="宋体"/>
          <w:color w:val="000000"/>
          <w:spacing w:val="6"/>
          <w:sz w:val="24"/>
          <w:szCs w:val="24"/>
          <w:highlight w:val="none"/>
        </w:rPr>
        <w:t>……</w:t>
      </w:r>
    </w:p>
    <w:p w14:paraId="6CE577C4">
      <w:pPr>
        <w:pStyle w:val="11"/>
        <w:spacing w:line="440" w:lineRule="exact"/>
        <w:ind w:firstLine="504" w:firstLineChars="200"/>
        <w:rPr>
          <w:rFonts w:hint="eastAsia" w:hAnsi="宋体" w:cs="宋体"/>
          <w:color w:val="000000"/>
          <w:spacing w:val="6"/>
          <w:sz w:val="24"/>
          <w:szCs w:val="24"/>
          <w:highlight w:val="none"/>
        </w:rPr>
      </w:pPr>
      <w:r>
        <w:rPr>
          <w:rFonts w:hint="eastAsia" w:hAnsi="宋体" w:cs="宋体"/>
          <w:color w:val="000000"/>
          <w:spacing w:val="6"/>
          <w:sz w:val="24"/>
          <w:szCs w:val="24"/>
          <w:highlight w:val="none"/>
        </w:rPr>
        <w:t>以上企业，不属于大企业的分支机构，不存在控股股东为大企业的情形，也不存在与大企业的负责人为同一人的情形。</w:t>
      </w:r>
    </w:p>
    <w:p w14:paraId="6A429424">
      <w:pPr>
        <w:pStyle w:val="26"/>
        <w:spacing w:after="40" w:line="400" w:lineRule="exact"/>
        <w:ind w:firstLine="640"/>
        <w:jc w:val="both"/>
        <w:rPr>
          <w:rFonts w:hint="eastAsia"/>
          <w:color w:val="000000"/>
          <w:sz w:val="24"/>
          <w:szCs w:val="24"/>
          <w:highlight w:val="none"/>
        </w:rPr>
      </w:pPr>
      <w:r>
        <w:rPr>
          <w:rFonts w:hint="eastAsia"/>
          <w:color w:val="000000"/>
          <w:spacing w:val="6"/>
          <w:sz w:val="24"/>
          <w:szCs w:val="24"/>
          <w:highlight w:val="none"/>
        </w:rPr>
        <w:t>本企业对上述声明内容的真实性负责。如有虚假，将依法承担相应责任。</w:t>
      </w:r>
    </w:p>
    <w:p w14:paraId="0FFDD9E0">
      <w:pPr>
        <w:pStyle w:val="26"/>
        <w:spacing w:line="400" w:lineRule="exact"/>
        <w:ind w:firstLine="640"/>
        <w:jc w:val="both"/>
        <w:rPr>
          <w:rFonts w:hint="eastAsia"/>
          <w:color w:val="000000"/>
          <w:sz w:val="24"/>
          <w:szCs w:val="24"/>
          <w:highlight w:val="none"/>
        </w:rPr>
      </w:pPr>
      <w:r>
        <w:rPr>
          <w:rFonts w:hint="eastAsia"/>
          <w:color w:val="000000"/>
          <w:sz w:val="24"/>
          <w:szCs w:val="24"/>
          <w:highlight w:val="none"/>
        </w:rPr>
        <w:t xml:space="preserve">                        </w:t>
      </w:r>
    </w:p>
    <w:p w14:paraId="0D7574DE">
      <w:pPr>
        <w:pStyle w:val="26"/>
        <w:spacing w:line="400" w:lineRule="exact"/>
        <w:ind w:firstLine="3604" w:firstLineChars="1502"/>
        <w:jc w:val="both"/>
        <w:rPr>
          <w:rFonts w:hint="eastAsia"/>
          <w:color w:val="000000"/>
          <w:sz w:val="24"/>
          <w:szCs w:val="24"/>
          <w:highlight w:val="none"/>
        </w:rPr>
      </w:pPr>
      <w:r>
        <w:rPr>
          <w:rFonts w:hint="eastAsia"/>
          <w:color w:val="000000"/>
          <w:sz w:val="24"/>
          <w:highlight w:val="none"/>
        </w:rPr>
        <w:t>企业名称[盖公章（CA签章）]：</w:t>
      </w:r>
    </w:p>
    <w:p w14:paraId="2049E9BA">
      <w:pPr>
        <w:pStyle w:val="26"/>
        <w:spacing w:line="400" w:lineRule="exact"/>
        <w:ind w:firstLine="640"/>
        <w:jc w:val="both"/>
        <w:rPr>
          <w:rFonts w:hint="eastAsia"/>
          <w:color w:val="000000"/>
          <w:sz w:val="24"/>
          <w:szCs w:val="24"/>
          <w:highlight w:val="none"/>
        </w:rPr>
      </w:pPr>
      <w:r>
        <w:rPr>
          <w:rFonts w:hint="eastAsia"/>
          <w:color w:val="000000"/>
          <w:sz w:val="24"/>
          <w:szCs w:val="24"/>
          <w:highlight w:val="none"/>
        </w:rPr>
        <w:t xml:space="preserve">                         日期：</w:t>
      </w:r>
    </w:p>
    <w:p w14:paraId="17EE1C58">
      <w:pPr>
        <w:pStyle w:val="27"/>
        <w:spacing w:after="0" w:line="400" w:lineRule="exact"/>
        <w:rPr>
          <w:rFonts w:hint="eastAsia"/>
          <w:color w:val="000000"/>
          <w:sz w:val="24"/>
          <w:szCs w:val="24"/>
          <w:highlight w:val="none"/>
        </w:rPr>
      </w:pPr>
    </w:p>
    <w:p w14:paraId="7EC8EC66">
      <w:pPr>
        <w:pStyle w:val="27"/>
        <w:spacing w:after="0" w:line="400" w:lineRule="exact"/>
        <w:rPr>
          <w:rFonts w:hint="eastAsia"/>
          <w:color w:val="000000"/>
          <w:sz w:val="24"/>
          <w:szCs w:val="24"/>
          <w:highlight w:val="none"/>
        </w:rPr>
      </w:pPr>
    </w:p>
    <w:p w14:paraId="32FB58B4">
      <w:pPr>
        <w:pStyle w:val="27"/>
        <w:adjustRightInd w:val="0"/>
        <w:snapToGrid w:val="0"/>
        <w:spacing w:after="0" w:line="400" w:lineRule="exact"/>
        <w:jc w:val="left"/>
        <w:rPr>
          <w:rFonts w:hint="eastAsia"/>
          <w:color w:val="000000"/>
          <w:sz w:val="24"/>
          <w:szCs w:val="24"/>
          <w:highlight w:val="none"/>
        </w:rPr>
      </w:pPr>
      <w:r>
        <w:rPr>
          <w:rFonts w:hint="eastAsia"/>
          <w:color w:val="000000"/>
          <w:sz w:val="24"/>
          <w:szCs w:val="24"/>
          <w:highlight w:val="none"/>
        </w:rPr>
        <w:t>备注：</w:t>
      </w:r>
    </w:p>
    <w:p w14:paraId="22C2F9B3">
      <w:pPr>
        <w:pStyle w:val="27"/>
        <w:numPr>
          <w:ilvl w:val="0"/>
          <w:numId w:val="10"/>
        </w:numPr>
        <w:adjustRightInd w:val="0"/>
        <w:snapToGrid w:val="0"/>
        <w:spacing w:after="0" w:line="400" w:lineRule="exact"/>
        <w:jc w:val="left"/>
        <w:rPr>
          <w:rFonts w:hint="eastAsia"/>
          <w:color w:val="000000"/>
          <w:sz w:val="24"/>
          <w:szCs w:val="24"/>
          <w:highlight w:val="none"/>
        </w:rPr>
      </w:pPr>
      <w:r>
        <w:rPr>
          <w:rFonts w:hint="eastAsia"/>
          <w:color w:val="000000"/>
          <w:sz w:val="24"/>
          <w:szCs w:val="24"/>
          <w:highlight w:val="none"/>
        </w:rPr>
        <w:t>从业人员、营业收入、资产总额填报上一年度数据，无上一年度数据的新成立企业可不填报。</w:t>
      </w:r>
    </w:p>
    <w:p w14:paraId="5B3749E3">
      <w:pPr>
        <w:pStyle w:val="27"/>
        <w:adjustRightInd w:val="0"/>
        <w:snapToGrid w:val="0"/>
        <w:spacing w:after="0" w:line="400" w:lineRule="exact"/>
        <w:jc w:val="left"/>
        <w:rPr>
          <w:rFonts w:hint="eastAsia"/>
          <w:color w:val="000000"/>
          <w:sz w:val="24"/>
          <w:szCs w:val="24"/>
          <w:highlight w:val="none"/>
        </w:rPr>
      </w:pPr>
    </w:p>
    <w:p w14:paraId="3B0589FB">
      <w:pPr>
        <w:pStyle w:val="8"/>
        <w:rPr>
          <w:color w:val="000000"/>
          <w:highlight w:val="none"/>
        </w:rPr>
      </w:pPr>
    </w:p>
    <w:p w14:paraId="2D8A6A95">
      <w:pPr>
        <w:pStyle w:val="8"/>
        <w:rPr>
          <w:color w:val="000000"/>
          <w:highlight w:val="none"/>
        </w:rPr>
      </w:pPr>
    </w:p>
    <w:p w14:paraId="50EC82E5">
      <w:pPr>
        <w:pStyle w:val="8"/>
        <w:rPr>
          <w:color w:val="000000"/>
          <w:highlight w:val="none"/>
        </w:rPr>
      </w:pPr>
    </w:p>
    <w:p w14:paraId="04F8EFEF">
      <w:pPr>
        <w:rPr>
          <w:color w:val="000000"/>
          <w:highlight w:val="none"/>
        </w:rPr>
      </w:pPr>
    </w:p>
    <w:p w14:paraId="6B751DDA">
      <w:pPr>
        <w:pStyle w:val="3"/>
        <w:rPr>
          <w:color w:val="000000"/>
          <w:highlight w:val="none"/>
        </w:rPr>
      </w:pPr>
    </w:p>
    <w:p w14:paraId="2739A490">
      <w:pPr>
        <w:rPr>
          <w:color w:val="000000"/>
          <w:highlight w:val="none"/>
        </w:rPr>
      </w:pPr>
    </w:p>
    <w:p w14:paraId="158BEE2E">
      <w:pPr>
        <w:pStyle w:val="3"/>
        <w:rPr>
          <w:color w:val="000000"/>
          <w:highlight w:val="none"/>
        </w:rPr>
      </w:pPr>
    </w:p>
    <w:p w14:paraId="5578F66E">
      <w:pPr>
        <w:pStyle w:val="11"/>
        <w:spacing w:line="340" w:lineRule="exact"/>
        <w:rPr>
          <w:rFonts w:hint="eastAsia"/>
          <w:b/>
          <w:color w:val="000000"/>
          <w:sz w:val="28"/>
          <w:szCs w:val="28"/>
          <w:highlight w:val="none"/>
        </w:rPr>
      </w:pPr>
    </w:p>
    <w:p w14:paraId="29181A2A">
      <w:pPr>
        <w:pStyle w:val="11"/>
        <w:spacing w:line="340" w:lineRule="exact"/>
        <w:rPr>
          <w:rFonts w:hint="eastAsia"/>
          <w:b/>
          <w:color w:val="000000"/>
          <w:sz w:val="28"/>
          <w:szCs w:val="28"/>
          <w:highlight w:val="none"/>
        </w:rPr>
      </w:pPr>
      <w:r>
        <w:rPr>
          <w:rFonts w:hint="eastAsia"/>
          <w:b/>
          <w:color w:val="000000"/>
          <w:sz w:val="28"/>
          <w:szCs w:val="28"/>
          <w:highlight w:val="none"/>
        </w:rPr>
        <w:t>6.如企业属于监狱企业的，应当提供由省级以上监狱管理局、戒毒管理局等（含新疆生产建设兵团）出具的属于监狱企业的证明文件（如有，请提供）；</w:t>
      </w:r>
    </w:p>
    <w:p w14:paraId="583AC80C">
      <w:pPr>
        <w:pStyle w:val="6"/>
        <w:rPr>
          <w:rFonts w:hint="eastAsia" w:hAnsi="Courier New"/>
          <w:b/>
          <w:color w:val="000000"/>
          <w:sz w:val="28"/>
          <w:szCs w:val="28"/>
          <w:highlight w:val="none"/>
        </w:rPr>
      </w:pPr>
    </w:p>
    <w:p w14:paraId="287F3F2E">
      <w:pPr>
        <w:rPr>
          <w:rFonts w:hint="eastAsia"/>
          <w:color w:val="000000"/>
          <w:highlight w:val="none"/>
        </w:rPr>
      </w:pPr>
    </w:p>
    <w:p w14:paraId="2E721A7C">
      <w:pPr>
        <w:pStyle w:val="11"/>
        <w:spacing w:line="340" w:lineRule="exact"/>
        <w:rPr>
          <w:rFonts w:hint="eastAsia"/>
          <w:b/>
          <w:color w:val="000000"/>
          <w:sz w:val="28"/>
          <w:szCs w:val="28"/>
          <w:highlight w:val="none"/>
        </w:rPr>
      </w:pPr>
    </w:p>
    <w:p w14:paraId="74F426A7">
      <w:pPr>
        <w:pStyle w:val="11"/>
        <w:spacing w:line="340" w:lineRule="exact"/>
        <w:rPr>
          <w:rFonts w:cs="宋体"/>
          <w:b/>
          <w:color w:val="000000"/>
          <w:spacing w:val="6"/>
          <w:sz w:val="28"/>
          <w:szCs w:val="28"/>
          <w:highlight w:val="none"/>
        </w:rPr>
      </w:pPr>
      <w:r>
        <w:rPr>
          <w:rFonts w:hint="eastAsia"/>
          <w:b/>
          <w:color w:val="000000"/>
          <w:sz w:val="28"/>
          <w:szCs w:val="28"/>
          <w:highlight w:val="none"/>
        </w:rPr>
        <w:t>7.符合条件的残疾人福利性单位在参加政府采购活动时，应当提供《残疾人福利性单位声明函》（见附件），并对声明的真实性负责（如有，请提供）；</w:t>
      </w:r>
    </w:p>
    <w:p w14:paraId="52A81CBA">
      <w:pPr>
        <w:spacing w:line="588" w:lineRule="exact"/>
        <w:rPr>
          <w:rFonts w:hint="eastAsia" w:ascii="宋体" w:hAnsi="宋体" w:cs="宋体"/>
          <w:b/>
          <w:color w:val="000000"/>
          <w:spacing w:val="6"/>
          <w:sz w:val="28"/>
          <w:szCs w:val="28"/>
          <w:highlight w:val="none"/>
        </w:rPr>
      </w:pPr>
      <w:r>
        <w:rPr>
          <w:rFonts w:hint="eastAsia" w:ascii="宋体" w:hAnsi="宋体" w:cs="宋体"/>
          <w:b/>
          <w:color w:val="000000"/>
          <w:spacing w:val="6"/>
          <w:sz w:val="28"/>
          <w:szCs w:val="28"/>
          <w:highlight w:val="none"/>
        </w:rPr>
        <w:t>附件：</w:t>
      </w:r>
    </w:p>
    <w:p w14:paraId="4DF33446">
      <w:pPr>
        <w:spacing w:line="588" w:lineRule="exact"/>
        <w:jc w:val="center"/>
        <w:outlineLvl w:val="0"/>
        <w:rPr>
          <w:rFonts w:ascii="宋体" w:cs="宋体"/>
          <w:b/>
          <w:color w:val="000000"/>
          <w:spacing w:val="6"/>
          <w:sz w:val="28"/>
          <w:szCs w:val="28"/>
          <w:highlight w:val="none"/>
        </w:rPr>
      </w:pPr>
      <w:r>
        <w:rPr>
          <w:rFonts w:hint="eastAsia" w:ascii="宋体" w:hAnsi="宋体" w:cs="宋体"/>
          <w:b/>
          <w:color w:val="000000"/>
          <w:spacing w:val="6"/>
          <w:sz w:val="28"/>
          <w:szCs w:val="28"/>
          <w:highlight w:val="none"/>
        </w:rPr>
        <w:t>残疾人福利性单位声明函</w:t>
      </w:r>
    </w:p>
    <w:p w14:paraId="7C709630">
      <w:pPr>
        <w:spacing w:line="588" w:lineRule="exact"/>
        <w:ind w:firstLine="504" w:firstLineChars="200"/>
        <w:rPr>
          <w:rFonts w:ascii="宋体" w:cs="宋体"/>
          <w:color w:val="000000"/>
          <w:spacing w:val="6"/>
          <w:sz w:val="24"/>
          <w:highlight w:val="none"/>
        </w:rPr>
      </w:pPr>
      <w:r>
        <w:rPr>
          <w:rFonts w:hint="eastAsia" w:ascii="宋体" w:hAnsi="宋体" w:cs="宋体"/>
          <w:color w:val="000000"/>
          <w:spacing w:val="6"/>
          <w:sz w:val="24"/>
          <w:highlight w:val="none"/>
        </w:rPr>
        <w:t>本单位郑重声明，根据《财政部</w:t>
      </w:r>
      <w:r>
        <w:rPr>
          <w:rFonts w:ascii="宋体" w:hAnsi="宋体" w:cs="宋体"/>
          <w:color w:val="000000"/>
          <w:spacing w:val="6"/>
          <w:sz w:val="24"/>
          <w:highlight w:val="none"/>
        </w:rPr>
        <w:t xml:space="preserve"> </w:t>
      </w:r>
      <w:r>
        <w:rPr>
          <w:rFonts w:hint="eastAsia" w:ascii="宋体" w:hAnsi="宋体" w:cs="宋体"/>
          <w:color w:val="000000"/>
          <w:spacing w:val="6"/>
          <w:sz w:val="24"/>
          <w:highlight w:val="none"/>
        </w:rPr>
        <w:t>民政部</w:t>
      </w:r>
      <w:r>
        <w:rPr>
          <w:rFonts w:ascii="宋体" w:hAnsi="宋体" w:cs="宋体"/>
          <w:color w:val="000000"/>
          <w:spacing w:val="6"/>
          <w:sz w:val="24"/>
          <w:highlight w:val="none"/>
        </w:rPr>
        <w:t xml:space="preserve"> </w:t>
      </w:r>
      <w:r>
        <w:rPr>
          <w:rFonts w:hint="eastAsia" w:ascii="宋体" w:hAnsi="宋体" w:cs="宋体"/>
          <w:color w:val="000000"/>
          <w:spacing w:val="6"/>
          <w:sz w:val="24"/>
          <w:highlight w:val="none"/>
        </w:rPr>
        <w:t>中国残疾人联合会关于促进残疾人就业政府采购政策的通知》（财库</w:t>
      </w:r>
      <w:r>
        <w:rPr>
          <w:rFonts w:hint="eastAsia" w:ascii="宋体" w:hAnsi="宋体" w:cs="宋体"/>
          <w:color w:val="000000"/>
          <w:sz w:val="24"/>
          <w:highlight w:val="none"/>
        </w:rPr>
        <w:t>〔</w:t>
      </w:r>
      <w:r>
        <w:rPr>
          <w:rFonts w:ascii="宋体" w:hAnsi="宋体" w:cs="宋体"/>
          <w:color w:val="000000"/>
          <w:sz w:val="24"/>
          <w:highlight w:val="none"/>
        </w:rPr>
        <w:t>2017</w:t>
      </w:r>
      <w:r>
        <w:rPr>
          <w:rFonts w:hint="eastAsia" w:ascii="宋体" w:hAnsi="宋体" w:cs="宋体"/>
          <w:color w:val="000000"/>
          <w:sz w:val="24"/>
          <w:highlight w:val="none"/>
        </w:rPr>
        <w:t>〕</w:t>
      </w:r>
      <w:r>
        <w:rPr>
          <w:rFonts w:ascii="宋体" w:hAnsi="宋体" w:cs="宋体"/>
          <w:color w:val="000000"/>
          <w:sz w:val="24"/>
          <w:highlight w:val="none"/>
        </w:rPr>
        <w:t xml:space="preserve"> 141</w:t>
      </w:r>
      <w:r>
        <w:rPr>
          <w:rFonts w:hint="eastAsia" w:ascii="宋体" w:hAnsi="宋体" w:cs="宋体"/>
          <w:color w:val="000000"/>
          <w:spacing w:val="6"/>
          <w:sz w:val="24"/>
          <w:highlight w:val="none"/>
        </w:rPr>
        <w:t>号）的规定，本单位为符合条件的残疾人福利性单位，且本单位参加</w:t>
      </w:r>
      <w:r>
        <w:rPr>
          <w:rFonts w:ascii="宋体" w:hAnsi="宋体" w:cs="宋体"/>
          <w:color w:val="000000"/>
          <w:spacing w:val="6"/>
          <w:sz w:val="24"/>
          <w:highlight w:val="none"/>
        </w:rPr>
        <w:t>______</w:t>
      </w:r>
      <w:r>
        <w:rPr>
          <w:rFonts w:hint="eastAsia" w:ascii="宋体" w:hAnsi="宋体" w:cs="宋体"/>
          <w:color w:val="000000"/>
          <w:spacing w:val="6"/>
          <w:sz w:val="24"/>
          <w:highlight w:val="none"/>
        </w:rPr>
        <w:t>单位的</w:t>
      </w:r>
      <w:r>
        <w:rPr>
          <w:rFonts w:ascii="宋体" w:hAnsi="宋体" w:cs="宋体"/>
          <w:color w:val="000000"/>
          <w:spacing w:val="6"/>
          <w:sz w:val="24"/>
          <w:highlight w:val="none"/>
        </w:rPr>
        <w:t>______</w:t>
      </w:r>
      <w:r>
        <w:rPr>
          <w:rFonts w:hint="eastAsia" w:ascii="宋体" w:hAnsi="宋体" w:cs="宋体"/>
          <w:color w:val="000000"/>
          <w:spacing w:val="6"/>
          <w:sz w:val="24"/>
          <w:highlight w:val="none"/>
        </w:rPr>
        <w:t>项目采购活动提供本单位制造的货物（由本单位承担工程</w:t>
      </w:r>
      <w:r>
        <w:rPr>
          <w:rFonts w:ascii="宋体" w:hAnsi="宋体" w:cs="宋体"/>
          <w:color w:val="000000"/>
          <w:spacing w:val="6"/>
          <w:sz w:val="24"/>
          <w:highlight w:val="none"/>
        </w:rPr>
        <w:t>/</w:t>
      </w:r>
      <w:r>
        <w:rPr>
          <w:rFonts w:hint="eastAsia" w:ascii="宋体" w:hAnsi="宋体" w:cs="宋体"/>
          <w:color w:val="000000"/>
          <w:spacing w:val="6"/>
          <w:sz w:val="24"/>
          <w:highlight w:val="none"/>
        </w:rPr>
        <w:t>提供服务），或者提供其他残疾人福利性单位制造的货物（不包括使用非残疾人福利性单位注册商标的货物）。</w:t>
      </w:r>
    </w:p>
    <w:p w14:paraId="3F1DF53B">
      <w:pPr>
        <w:spacing w:line="588" w:lineRule="exact"/>
        <w:ind w:firstLine="504" w:firstLineChars="200"/>
        <w:rPr>
          <w:rFonts w:ascii="宋体" w:cs="宋体"/>
          <w:color w:val="000000"/>
          <w:spacing w:val="6"/>
          <w:sz w:val="24"/>
          <w:highlight w:val="none"/>
        </w:rPr>
      </w:pPr>
      <w:r>
        <w:rPr>
          <w:rFonts w:hint="eastAsia" w:ascii="宋体" w:hAnsi="宋体" w:cs="宋体"/>
          <w:color w:val="000000"/>
          <w:spacing w:val="6"/>
          <w:sz w:val="24"/>
          <w:highlight w:val="none"/>
        </w:rPr>
        <w:t>本单位对上述声明的真实性负责。如有虚假，将依法承担相应责任。</w:t>
      </w:r>
    </w:p>
    <w:p w14:paraId="02FB923B">
      <w:pPr>
        <w:rPr>
          <w:rFonts w:ascii="宋体" w:cs="宋体"/>
          <w:color w:val="000000"/>
          <w:highlight w:val="none"/>
        </w:rPr>
      </w:pPr>
    </w:p>
    <w:p w14:paraId="50498F64">
      <w:pPr>
        <w:tabs>
          <w:tab w:val="left" w:pos="4860"/>
        </w:tabs>
        <w:spacing w:line="588" w:lineRule="exact"/>
        <w:ind w:right="1560" w:firstLine="584" w:firstLineChars="200"/>
        <w:jc w:val="center"/>
        <w:rPr>
          <w:rFonts w:ascii="宋体" w:cs="宋体"/>
          <w:color w:val="000000"/>
          <w:spacing w:val="6"/>
          <w:sz w:val="24"/>
          <w:highlight w:val="none"/>
        </w:rPr>
      </w:pPr>
      <w:r>
        <w:rPr>
          <w:rFonts w:ascii="宋体" w:hAnsi="宋体" w:cs="宋体"/>
          <w:color w:val="000000"/>
          <w:spacing w:val="6"/>
          <w:sz w:val="28"/>
          <w:szCs w:val="28"/>
          <w:highlight w:val="none"/>
        </w:rPr>
        <w:t xml:space="preserve">          </w:t>
      </w:r>
      <w:r>
        <w:rPr>
          <w:rFonts w:ascii="宋体" w:hAnsi="宋体" w:cs="宋体"/>
          <w:color w:val="000000"/>
          <w:spacing w:val="6"/>
          <w:sz w:val="24"/>
          <w:highlight w:val="none"/>
        </w:rPr>
        <w:t xml:space="preserve">  </w:t>
      </w:r>
      <w:r>
        <w:rPr>
          <w:rFonts w:hint="eastAsia" w:ascii="宋体" w:hAnsi="宋体" w:cs="宋体"/>
          <w:color w:val="000000"/>
          <w:spacing w:val="6"/>
          <w:sz w:val="24"/>
          <w:highlight w:val="none"/>
        </w:rPr>
        <w:t>单位名称（公章(CA签章)）：</w:t>
      </w:r>
      <w:r>
        <w:rPr>
          <w:rFonts w:ascii="宋体" w:hAnsi="宋体" w:cs="宋体"/>
          <w:color w:val="000000"/>
          <w:spacing w:val="6"/>
          <w:sz w:val="24"/>
          <w:highlight w:val="none"/>
        </w:rPr>
        <w:t xml:space="preserve"> </w:t>
      </w:r>
    </w:p>
    <w:p w14:paraId="17403FA5">
      <w:pPr>
        <w:pStyle w:val="11"/>
        <w:ind w:firstLine="4032" w:firstLineChars="1600"/>
        <w:rPr>
          <w:rFonts w:hAnsi="宋体" w:cs="宋体"/>
          <w:color w:val="000000"/>
          <w:spacing w:val="6"/>
          <w:sz w:val="24"/>
          <w:szCs w:val="24"/>
          <w:highlight w:val="none"/>
        </w:rPr>
      </w:pPr>
      <w:r>
        <w:rPr>
          <w:rFonts w:hint="eastAsia" w:hAnsi="宋体" w:cs="宋体"/>
          <w:color w:val="000000"/>
          <w:spacing w:val="6"/>
          <w:sz w:val="24"/>
          <w:szCs w:val="24"/>
          <w:highlight w:val="none"/>
        </w:rPr>
        <w:t>日</w:t>
      </w:r>
      <w:r>
        <w:rPr>
          <w:rFonts w:hAnsi="宋体" w:cs="宋体"/>
          <w:color w:val="000000"/>
          <w:spacing w:val="6"/>
          <w:sz w:val="24"/>
          <w:szCs w:val="24"/>
          <w:highlight w:val="none"/>
        </w:rPr>
        <w:t xml:space="preserve">    </w:t>
      </w:r>
      <w:r>
        <w:rPr>
          <w:rFonts w:hint="eastAsia" w:hAnsi="宋体" w:cs="宋体"/>
          <w:color w:val="000000"/>
          <w:spacing w:val="6"/>
          <w:sz w:val="24"/>
          <w:szCs w:val="24"/>
          <w:highlight w:val="none"/>
        </w:rPr>
        <w:t>期：</w:t>
      </w:r>
      <w:r>
        <w:rPr>
          <w:rFonts w:hAnsi="宋体" w:cs="宋体"/>
          <w:color w:val="000000"/>
          <w:spacing w:val="6"/>
          <w:sz w:val="24"/>
          <w:szCs w:val="24"/>
          <w:highlight w:val="none"/>
        </w:rPr>
        <w:t xml:space="preserve">  </w:t>
      </w:r>
      <w:r>
        <w:rPr>
          <w:rFonts w:hint="eastAsia" w:hAnsi="宋体" w:cs="宋体"/>
          <w:color w:val="000000"/>
          <w:spacing w:val="6"/>
          <w:sz w:val="24"/>
          <w:szCs w:val="24"/>
          <w:highlight w:val="none"/>
        </w:rPr>
        <w:t>年</w:t>
      </w:r>
      <w:r>
        <w:rPr>
          <w:rFonts w:hAnsi="宋体" w:cs="宋体"/>
          <w:color w:val="000000"/>
          <w:spacing w:val="6"/>
          <w:sz w:val="24"/>
          <w:szCs w:val="24"/>
          <w:highlight w:val="none"/>
        </w:rPr>
        <w:t xml:space="preserve">  </w:t>
      </w:r>
      <w:r>
        <w:rPr>
          <w:rFonts w:hint="eastAsia" w:hAnsi="宋体" w:cs="宋体"/>
          <w:color w:val="000000"/>
          <w:spacing w:val="6"/>
          <w:sz w:val="24"/>
          <w:szCs w:val="24"/>
          <w:highlight w:val="none"/>
        </w:rPr>
        <w:t>月</w:t>
      </w:r>
      <w:r>
        <w:rPr>
          <w:rFonts w:hAnsi="宋体" w:cs="宋体"/>
          <w:color w:val="000000"/>
          <w:spacing w:val="6"/>
          <w:sz w:val="24"/>
          <w:szCs w:val="24"/>
          <w:highlight w:val="none"/>
        </w:rPr>
        <w:t xml:space="preserve">  </w:t>
      </w:r>
      <w:r>
        <w:rPr>
          <w:rFonts w:hint="eastAsia" w:hAnsi="宋体" w:cs="宋体"/>
          <w:color w:val="000000"/>
          <w:spacing w:val="6"/>
          <w:sz w:val="24"/>
          <w:szCs w:val="24"/>
          <w:highlight w:val="none"/>
        </w:rPr>
        <w:t>日</w:t>
      </w:r>
    </w:p>
    <w:p w14:paraId="0BF10647">
      <w:pPr>
        <w:snapToGrid w:val="0"/>
        <w:spacing w:line="400" w:lineRule="exact"/>
        <w:rPr>
          <w:rFonts w:ascii="宋体" w:cs="宋体"/>
          <w:color w:val="000000"/>
          <w:sz w:val="24"/>
          <w:highlight w:val="none"/>
        </w:rPr>
      </w:pPr>
    </w:p>
    <w:p w14:paraId="4627C85D">
      <w:pPr>
        <w:tabs>
          <w:tab w:val="left" w:pos="1305"/>
        </w:tabs>
        <w:rPr>
          <w:rFonts w:hint="eastAsia" w:ascii="宋体" w:hAnsi="宋体" w:cs="宋体"/>
          <w:color w:val="000000"/>
          <w:sz w:val="24"/>
          <w:highlight w:val="none"/>
        </w:rPr>
      </w:pPr>
      <w:r>
        <w:rPr>
          <w:rFonts w:hint="eastAsia" w:ascii="宋体" w:hAnsi="宋体" w:cs="宋体"/>
          <w:color w:val="000000"/>
          <w:sz w:val="24"/>
          <w:highlight w:val="none"/>
        </w:rPr>
        <w:t>注：</w:t>
      </w:r>
      <w:r>
        <w:rPr>
          <w:rFonts w:hint="eastAsia" w:ascii="宋体" w:hAnsi="宋体" w:cs="宋体"/>
          <w:b/>
          <w:color w:val="000000"/>
          <w:szCs w:val="21"/>
          <w:highlight w:val="none"/>
        </w:rPr>
        <w:t>中标、成交供应商为残疾人福利性单位的，采购人或者其委托的采购代理机构应当随中标、成交结果同时公告其《残疾人福利性单位声明函》，接受社会监督</w:t>
      </w:r>
      <w:r>
        <w:rPr>
          <w:rFonts w:hint="eastAsia" w:ascii="宋体" w:hAnsi="宋体" w:cs="宋体"/>
          <w:color w:val="000000"/>
          <w:sz w:val="24"/>
          <w:highlight w:val="none"/>
        </w:rPr>
        <w:t>。</w:t>
      </w:r>
    </w:p>
    <w:p w14:paraId="082CA981">
      <w:pPr>
        <w:pStyle w:val="11"/>
        <w:spacing w:line="340" w:lineRule="exact"/>
        <w:rPr>
          <w:rFonts w:hint="eastAsia"/>
          <w:color w:val="000000"/>
          <w:highlight w:val="none"/>
        </w:rPr>
      </w:pPr>
      <w:r>
        <w:rPr>
          <w:rFonts w:hint="eastAsia"/>
          <w:color w:val="000000"/>
          <w:highlight w:val="none"/>
        </w:rPr>
        <w:t>`</w:t>
      </w:r>
    </w:p>
    <w:p w14:paraId="5EC748FC">
      <w:pPr>
        <w:pStyle w:val="18"/>
        <w:rPr>
          <w:rFonts w:hint="eastAsia"/>
          <w:color w:val="000000"/>
          <w:highlight w:val="none"/>
        </w:rPr>
      </w:pPr>
    </w:p>
    <w:p w14:paraId="0386A1C4">
      <w:pPr>
        <w:pStyle w:val="18"/>
        <w:rPr>
          <w:rFonts w:hint="eastAsia"/>
          <w:color w:val="000000"/>
          <w:highlight w:val="none"/>
        </w:rPr>
      </w:pPr>
    </w:p>
    <w:p w14:paraId="3A853E40">
      <w:pPr>
        <w:pStyle w:val="18"/>
        <w:rPr>
          <w:rFonts w:hint="eastAsia"/>
          <w:color w:val="000000"/>
          <w:highlight w:val="none"/>
        </w:rPr>
      </w:pPr>
    </w:p>
    <w:p w14:paraId="00CB1404">
      <w:pPr>
        <w:tabs>
          <w:tab w:val="left" w:pos="1305"/>
        </w:tabs>
        <w:rPr>
          <w:rFonts w:ascii="宋体" w:cs="宋体"/>
          <w:color w:val="000000"/>
          <w:sz w:val="24"/>
          <w:highlight w:val="none"/>
        </w:rPr>
      </w:pPr>
    </w:p>
    <w:p w14:paraId="5CDCD1D7">
      <w:pPr>
        <w:tabs>
          <w:tab w:val="left" w:pos="1305"/>
        </w:tabs>
        <w:spacing w:line="400" w:lineRule="exact"/>
        <w:rPr>
          <w:rFonts w:hint="eastAsia" w:ascii="宋体" w:hAnsi="宋体" w:cs="宋体"/>
          <w:b/>
          <w:bCs/>
          <w:color w:val="000000"/>
          <w:sz w:val="28"/>
          <w:szCs w:val="28"/>
          <w:highlight w:val="none"/>
        </w:rPr>
      </w:pPr>
    </w:p>
    <w:p w14:paraId="34369BA4">
      <w:pPr>
        <w:tabs>
          <w:tab w:val="left" w:pos="1305"/>
        </w:tabs>
        <w:spacing w:line="400" w:lineRule="exact"/>
        <w:rPr>
          <w:rFonts w:hint="eastAsia" w:ascii="宋体" w:hAnsi="宋体" w:cs="宋体"/>
          <w:b/>
          <w:bCs/>
          <w:color w:val="000000"/>
          <w:sz w:val="28"/>
          <w:szCs w:val="28"/>
          <w:highlight w:val="none"/>
        </w:rPr>
      </w:pPr>
    </w:p>
    <w:p w14:paraId="03296A43">
      <w:pPr>
        <w:tabs>
          <w:tab w:val="left" w:pos="1305"/>
        </w:tabs>
        <w:spacing w:line="400" w:lineRule="exact"/>
        <w:rPr>
          <w:rFonts w:hint="eastAsia" w:ascii="宋体" w:hAnsi="宋体" w:cs="宋体"/>
          <w:b/>
          <w:bCs/>
          <w:color w:val="000000"/>
          <w:sz w:val="28"/>
          <w:szCs w:val="28"/>
          <w:highlight w:val="none"/>
        </w:rPr>
      </w:pPr>
    </w:p>
    <w:p w14:paraId="062E3E0D">
      <w:pPr>
        <w:tabs>
          <w:tab w:val="left" w:pos="1305"/>
        </w:tabs>
        <w:spacing w:line="400" w:lineRule="exact"/>
        <w:rPr>
          <w:rFonts w:hint="eastAsia" w:ascii="宋体" w:hAnsi="宋体" w:cs="宋体"/>
          <w:b/>
          <w:bCs/>
          <w:color w:val="000000"/>
          <w:sz w:val="28"/>
          <w:szCs w:val="28"/>
          <w:highlight w:val="none"/>
        </w:rPr>
      </w:pPr>
    </w:p>
    <w:p w14:paraId="15C7E529">
      <w:pPr>
        <w:tabs>
          <w:tab w:val="left" w:pos="1305"/>
        </w:tabs>
        <w:spacing w:line="400" w:lineRule="exact"/>
        <w:rPr>
          <w:rFonts w:hint="eastAsia" w:ascii="宋体" w:hAnsi="宋体" w:cs="宋体"/>
          <w:b/>
          <w:bCs/>
          <w:color w:val="000000"/>
          <w:sz w:val="28"/>
          <w:szCs w:val="28"/>
          <w:highlight w:val="none"/>
        </w:rPr>
      </w:pPr>
    </w:p>
    <w:p w14:paraId="0499BD66">
      <w:pPr>
        <w:outlineLvl w:val="3"/>
        <w:rPr>
          <w:rFonts w:ascii="宋体" w:hAnsi="宋体" w:cs="宋体"/>
          <w:b/>
          <w:bCs/>
          <w:color w:val="000000"/>
          <w:sz w:val="32"/>
          <w:szCs w:val="32"/>
          <w:highlight w:val="none"/>
        </w:rPr>
      </w:pPr>
      <w:r>
        <w:rPr>
          <w:rFonts w:hint="eastAsia" w:ascii="宋体" w:hAnsi="宋体" w:cs="宋体"/>
          <w:b/>
          <w:bCs/>
          <w:color w:val="000000"/>
          <w:sz w:val="32"/>
          <w:szCs w:val="32"/>
          <w:highlight w:val="none"/>
        </w:rPr>
        <w:t>8.</w:t>
      </w:r>
      <w:r>
        <w:rPr>
          <w:rFonts w:hint="eastAsia" w:ascii="宋体" w:hAnsi="Courier New"/>
          <w:b/>
          <w:color w:val="000000"/>
          <w:kern w:val="0"/>
          <w:sz w:val="28"/>
          <w:szCs w:val="28"/>
          <w:highlight w:val="none"/>
        </w:rPr>
        <w:t>项目实施方案</w:t>
      </w:r>
      <w:r>
        <w:rPr>
          <w:rFonts w:hint="eastAsia" w:ascii="宋体" w:hAnsi="宋体" w:cs="宋体"/>
          <w:b/>
          <w:bCs/>
          <w:color w:val="000000"/>
          <w:sz w:val="32"/>
          <w:szCs w:val="32"/>
          <w:highlight w:val="none"/>
        </w:rPr>
        <w:t>（格式见附件）（如有，请提供）；</w:t>
      </w:r>
    </w:p>
    <w:p w14:paraId="08B0718B">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64A48423">
      <w:pPr>
        <w:rPr>
          <w:color w:val="000000"/>
          <w:highlight w:val="none"/>
        </w:rPr>
      </w:pPr>
    </w:p>
    <w:p w14:paraId="16739331">
      <w:pPr>
        <w:pStyle w:val="8"/>
        <w:rPr>
          <w:color w:val="000000"/>
          <w:highlight w:val="none"/>
        </w:rPr>
      </w:pPr>
    </w:p>
    <w:p w14:paraId="5809498F">
      <w:pPr>
        <w:jc w:val="center"/>
        <w:rPr>
          <w:color w:val="000000"/>
          <w:highlight w:val="none"/>
        </w:rPr>
      </w:pPr>
    </w:p>
    <w:p w14:paraId="1CF214C4">
      <w:pPr>
        <w:pStyle w:val="11"/>
        <w:spacing w:line="340" w:lineRule="exact"/>
        <w:jc w:val="center"/>
        <w:outlineLvl w:val="0"/>
        <w:rPr>
          <w:b/>
          <w:color w:val="000000"/>
          <w:sz w:val="32"/>
          <w:szCs w:val="32"/>
          <w:highlight w:val="none"/>
        </w:rPr>
      </w:pPr>
      <w:r>
        <w:rPr>
          <w:rFonts w:hint="eastAsia"/>
          <w:b/>
          <w:color w:val="000000"/>
          <w:sz w:val="28"/>
          <w:szCs w:val="28"/>
          <w:highlight w:val="none"/>
        </w:rPr>
        <w:t>项目实施方案</w:t>
      </w:r>
      <w:r>
        <w:rPr>
          <w:rFonts w:hint="eastAsia"/>
          <w:b/>
          <w:color w:val="000000"/>
          <w:sz w:val="32"/>
          <w:szCs w:val="32"/>
          <w:highlight w:val="none"/>
        </w:rPr>
        <w:t xml:space="preserve"> （格式）</w:t>
      </w:r>
    </w:p>
    <w:p w14:paraId="70B84E0C">
      <w:pPr>
        <w:jc w:val="center"/>
        <w:rPr>
          <w:rFonts w:hAnsi="Courier New"/>
          <w:b/>
          <w:color w:val="000000"/>
          <w:sz w:val="32"/>
          <w:szCs w:val="32"/>
          <w:highlight w:val="none"/>
        </w:rPr>
      </w:pPr>
    </w:p>
    <w:p w14:paraId="6D01BCC8">
      <w:pPr>
        <w:pStyle w:val="8"/>
        <w:jc w:val="center"/>
        <w:rPr>
          <w:color w:val="000000"/>
          <w:highlight w:val="none"/>
        </w:rPr>
      </w:pPr>
    </w:p>
    <w:p w14:paraId="20C7E10E">
      <w:pPr>
        <w:widowControl/>
        <w:jc w:val="center"/>
        <w:outlineLvl w:val="0"/>
        <w:rPr>
          <w:rFonts w:ascii="宋体" w:hAnsi="宋体" w:cs="宋体"/>
          <w:b/>
          <w:color w:val="000000"/>
          <w:kern w:val="0"/>
          <w:sz w:val="28"/>
          <w:szCs w:val="28"/>
          <w:highlight w:val="none"/>
          <w:lang w:bidi="ar"/>
        </w:rPr>
      </w:pPr>
      <w:r>
        <w:rPr>
          <w:rFonts w:hint="eastAsia" w:ascii="宋体" w:hAnsi="宋体" w:cs="宋体"/>
          <w:b/>
          <w:color w:val="000000"/>
          <w:kern w:val="0"/>
          <w:sz w:val="28"/>
          <w:szCs w:val="28"/>
          <w:highlight w:val="none"/>
          <w:lang w:bidi="ar"/>
        </w:rPr>
        <w:t>（根据采购需求自行编制）</w:t>
      </w:r>
    </w:p>
    <w:p w14:paraId="297165CB">
      <w:pPr>
        <w:widowControl/>
        <w:ind w:firstLine="3092" w:firstLineChars="1100"/>
        <w:jc w:val="left"/>
        <w:rPr>
          <w:rFonts w:ascii="宋体" w:hAnsi="宋体" w:cs="宋体"/>
          <w:b/>
          <w:color w:val="000000"/>
          <w:kern w:val="0"/>
          <w:sz w:val="28"/>
          <w:szCs w:val="28"/>
          <w:highlight w:val="none"/>
          <w:lang w:bidi="ar"/>
        </w:rPr>
      </w:pPr>
    </w:p>
    <w:p w14:paraId="5050C5D6">
      <w:pPr>
        <w:widowControl/>
        <w:ind w:firstLine="1470" w:firstLineChars="700"/>
        <w:jc w:val="left"/>
        <w:rPr>
          <w:rFonts w:ascii="宋体"/>
          <w:color w:val="000000"/>
          <w:szCs w:val="21"/>
          <w:highlight w:val="none"/>
        </w:rPr>
      </w:pPr>
      <w:r>
        <w:rPr>
          <w:rFonts w:hint="eastAsia" w:ascii="宋体" w:hAnsi="宋体" w:cs="宋体"/>
          <w:color w:val="000000"/>
          <w:szCs w:val="21"/>
          <w:highlight w:val="none"/>
          <w:lang w:eastAsia="zh-CN"/>
        </w:rPr>
        <w:t>供应商</w:t>
      </w:r>
      <w:r>
        <w:rPr>
          <w:rFonts w:hint="eastAsia" w:ascii="宋体" w:hAnsi="宋体" w:cs="宋体"/>
          <w:color w:val="000000"/>
          <w:szCs w:val="21"/>
          <w:highlight w:val="none"/>
        </w:rPr>
        <w:t>[公章(CA签章)，自然人签字或个人CA签章]：</w:t>
      </w:r>
      <w:r>
        <w:rPr>
          <w:rFonts w:hint="eastAsia" w:ascii="宋体" w:hAnsi="宋体" w:cs="宋体"/>
          <w:color w:val="000000"/>
          <w:szCs w:val="21"/>
          <w:highlight w:val="none"/>
          <w:u w:val="single"/>
        </w:rPr>
        <w:t xml:space="preserve">                            </w:t>
      </w:r>
      <w:r>
        <w:rPr>
          <w:rFonts w:ascii="宋体" w:hAnsi="宋体"/>
          <w:color w:val="000000"/>
          <w:szCs w:val="21"/>
          <w:highlight w:val="none"/>
          <w:u w:val="single"/>
        </w:rPr>
        <w:t xml:space="preserve">        </w:t>
      </w:r>
    </w:p>
    <w:p w14:paraId="4B833F0C">
      <w:pPr>
        <w:pStyle w:val="11"/>
        <w:spacing w:line="300" w:lineRule="exact"/>
        <w:ind w:left="2940" w:leftChars="1400" w:firstLine="600" w:firstLineChars="300"/>
        <w:rPr>
          <w:rFonts w:hAnsi="宋体"/>
          <w:color w:val="000000"/>
          <w:highlight w:val="none"/>
        </w:rPr>
      </w:pPr>
    </w:p>
    <w:p w14:paraId="0FAB422F">
      <w:pPr>
        <w:pStyle w:val="11"/>
        <w:spacing w:line="300" w:lineRule="exact"/>
        <w:ind w:firstLine="4638" w:firstLineChars="1650"/>
        <w:rPr>
          <w:b/>
          <w:color w:val="000000"/>
          <w:sz w:val="28"/>
          <w:szCs w:val="28"/>
          <w:highlight w:val="none"/>
        </w:rPr>
      </w:pPr>
    </w:p>
    <w:p w14:paraId="04A695C4">
      <w:pPr>
        <w:pStyle w:val="11"/>
        <w:spacing w:line="300" w:lineRule="exact"/>
        <w:rPr>
          <w:b/>
          <w:color w:val="000000"/>
          <w:sz w:val="28"/>
          <w:szCs w:val="28"/>
          <w:highlight w:val="none"/>
        </w:rPr>
      </w:pPr>
    </w:p>
    <w:p w14:paraId="51AFAE07">
      <w:pPr>
        <w:snapToGrid w:val="0"/>
        <w:spacing w:line="300" w:lineRule="exact"/>
        <w:ind w:firstLine="3570" w:firstLineChars="1700"/>
        <w:rPr>
          <w:color w:val="000000"/>
          <w:highlight w:val="none"/>
          <w:u w:val="single"/>
        </w:rPr>
      </w:pPr>
      <w:r>
        <w:rPr>
          <w:color w:val="000000"/>
          <w:highlight w:val="none"/>
        </w:rPr>
        <w:t>日          期：</w:t>
      </w:r>
      <w:r>
        <w:rPr>
          <w:color w:val="000000"/>
          <w:highlight w:val="none"/>
          <w:u w:val="single"/>
        </w:rPr>
        <w:t xml:space="preserve">                              </w:t>
      </w:r>
    </w:p>
    <w:p w14:paraId="343C2B95">
      <w:pPr>
        <w:pStyle w:val="5"/>
        <w:rPr>
          <w:color w:val="000000"/>
          <w:highlight w:val="none"/>
        </w:rPr>
      </w:pPr>
    </w:p>
    <w:p w14:paraId="44CC6450">
      <w:pPr>
        <w:rPr>
          <w:color w:val="000000"/>
          <w:highlight w:val="none"/>
        </w:rPr>
      </w:pPr>
    </w:p>
    <w:p w14:paraId="2760D87E">
      <w:pPr>
        <w:rPr>
          <w:color w:val="000000"/>
          <w:highlight w:val="none"/>
        </w:rPr>
      </w:pPr>
    </w:p>
    <w:p w14:paraId="6F9711D2">
      <w:pPr>
        <w:rPr>
          <w:color w:val="000000"/>
          <w:highlight w:val="none"/>
        </w:rPr>
      </w:pPr>
    </w:p>
    <w:p w14:paraId="679C440E">
      <w:pPr>
        <w:rPr>
          <w:color w:val="000000"/>
          <w:highlight w:val="none"/>
        </w:rPr>
      </w:pPr>
    </w:p>
    <w:p w14:paraId="618B8E23">
      <w:pPr>
        <w:tabs>
          <w:tab w:val="left" w:pos="1305"/>
        </w:tabs>
        <w:spacing w:line="400" w:lineRule="exact"/>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9.供应商可结合本项目的评审办法视自身情况自行提交相关证明材料（如有，请提供）。</w:t>
      </w:r>
    </w:p>
    <w:p w14:paraId="6D38E567"/>
    <w:sectPr>
      <w:footerReference r:id="rId8" w:type="default"/>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689A">
    <w:pPr>
      <w:pStyle w:val="13"/>
      <w:pBdr>
        <w:bottom w:val="single" w:color="auto" w:sz="4" w:space="0"/>
      </w:pBdr>
      <w:rPr>
        <w:rFonts w:hint="eastAsia"/>
      </w:rPr>
    </w:pPr>
  </w:p>
  <w:p w14:paraId="358B775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88504">
    <w:pPr>
      <w:pStyle w:val="13"/>
      <w:pBdr>
        <w:bottom w:val="single" w:color="auto" w:sz="4" w:space="0"/>
      </w:pBdr>
      <w:tabs>
        <w:tab w:val="center" w:pos="5096"/>
        <w:tab w:val="clear" w:pos="4153"/>
      </w:tabs>
      <w:rPr>
        <w:rFonts w:hint="eastAsia"/>
      </w:rPr>
    </w:pPr>
    <w:r>
      <w:rPr>
        <w:rFonts w:hint="eastAsia"/>
      </w:rPr>
      <w:tab/>
    </w:r>
  </w:p>
  <w:p w14:paraId="6DAD363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B08A0">
    <w:pPr>
      <w:pStyle w:val="13"/>
      <w:pBdr>
        <w:bottom w:val="single" w:color="auto" w:sz="4" w:space="0"/>
      </w:pBdr>
      <w:tabs>
        <w:tab w:val="center" w:pos="5096"/>
        <w:tab w:val="clear" w:pos="4153"/>
      </w:tabs>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B315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49B3150">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r>
      <w:rPr>
        <w:rFonts w:hint="eastAsia"/>
      </w:rPr>
      <w:tab/>
    </w:r>
  </w:p>
  <w:p w14:paraId="12C3E27D">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113E3">
    <w:pPr>
      <w:pStyle w:val="13"/>
      <w:pBdr>
        <w:bottom w:val="single" w:color="auto" w:sz="4" w:space="0"/>
      </w:pBd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0F74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50F74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shape>
          </w:pict>
        </mc:Fallback>
      </mc:AlternateContent>
    </w:r>
  </w:p>
  <w:p w14:paraId="5B028801">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2186E">
    <w:pPr>
      <w:pStyle w:val="13"/>
      <w:pBdr>
        <w:bottom w:val="single" w:color="auto" w:sz="4" w:space="0"/>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4EF25">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- 76 -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FA4EF25">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- 76 -</w:t>
                    </w:r>
                    <w:r>
                      <w:rPr>
                        <w:rFonts w:hint="eastAsia"/>
                      </w:rPr>
                      <w:fldChar w:fldCharType="end"/>
                    </w:r>
                  </w:p>
                </w:txbxContent>
              </v:textbox>
            </v:shape>
          </w:pict>
        </mc:Fallback>
      </mc:AlternateContent>
    </w:r>
  </w:p>
  <w:p w14:paraId="18501D6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8380">
    <w:pPr>
      <w:pStyle w:val="14"/>
      <w:kinsoku w:val="0"/>
      <w:autoSpaceDE w:val="0"/>
      <w:autoSpaceDN w:val="0"/>
      <w:jc w:val="left"/>
      <w:rPr>
        <w:rFonts w:hint="default" w:ascii="宋体" w:hAnsi="宋体" w:eastAsia="宋体" w:cs="宋体"/>
        <w:color w:val="000000"/>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B0A9C"/>
    <w:multiLevelType w:val="singleLevel"/>
    <w:tmpl w:val="A06B0A9C"/>
    <w:lvl w:ilvl="0" w:tentative="0">
      <w:start w:val="1"/>
      <w:numFmt w:val="decimal"/>
      <w:suff w:val="nothing"/>
      <w:lvlText w:val="%1、"/>
      <w:lvlJc w:val="left"/>
    </w:lvl>
  </w:abstractNum>
  <w:abstractNum w:abstractNumId="1">
    <w:nsid w:val="00000004"/>
    <w:multiLevelType w:val="singleLevel"/>
    <w:tmpl w:val="00000004"/>
    <w:lvl w:ilvl="0" w:tentative="0">
      <w:start w:val="1"/>
      <w:numFmt w:val="chineseCounting"/>
      <w:suff w:val="space"/>
      <w:lvlText w:val="第%1条"/>
      <w:lvlJc w:val="left"/>
      <w:rPr>
        <w:rFonts w:hint="eastAsia"/>
      </w:rPr>
    </w:lvl>
  </w:abstractNum>
  <w:abstractNum w:abstractNumId="2">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3">
    <w:nsid w:val="46B55A8F"/>
    <w:multiLevelType w:val="multilevel"/>
    <w:tmpl w:val="46B55A8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7B3540D"/>
    <w:multiLevelType w:val="multilevel"/>
    <w:tmpl w:val="47B3540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25786A0"/>
    <w:multiLevelType w:val="singleLevel"/>
    <w:tmpl w:val="525786A0"/>
    <w:lvl w:ilvl="0" w:tentative="0">
      <w:start w:val="3"/>
      <w:numFmt w:val="chineseCounting"/>
      <w:suff w:val="nothing"/>
      <w:lvlText w:val="%1、"/>
      <w:lvlJc w:val="left"/>
      <w:rPr>
        <w:rFonts w:hint="eastAsia"/>
      </w:rPr>
    </w:lvl>
  </w:abstractNum>
  <w:abstractNum w:abstractNumId="6">
    <w:nsid w:val="525D1BD4"/>
    <w:multiLevelType w:val="singleLevel"/>
    <w:tmpl w:val="525D1BD4"/>
    <w:lvl w:ilvl="0" w:tentative="0">
      <w:start w:val="1"/>
      <w:numFmt w:val="decimal"/>
      <w:suff w:val="space"/>
      <w:lvlText w:val="%1."/>
      <w:lvlJc w:val="left"/>
    </w:lvl>
  </w:abstractNum>
  <w:abstractNum w:abstractNumId="7">
    <w:nsid w:val="5E32929B"/>
    <w:multiLevelType w:val="singleLevel"/>
    <w:tmpl w:val="5E32929B"/>
    <w:lvl w:ilvl="0" w:tentative="0">
      <w:start w:val="4"/>
      <w:numFmt w:val="chineseCounting"/>
      <w:suff w:val="nothing"/>
      <w:lvlText w:val="%1、"/>
      <w:lvlJc w:val="left"/>
      <w:rPr>
        <w:rFonts w:hint="eastAsia"/>
      </w:rPr>
    </w:lvl>
  </w:abstractNum>
  <w:abstractNum w:abstractNumId="8">
    <w:nsid w:val="659B3DB5"/>
    <w:multiLevelType w:val="singleLevel"/>
    <w:tmpl w:val="659B3DB5"/>
    <w:lvl w:ilvl="0" w:tentative="0">
      <w:start w:val="1"/>
      <w:numFmt w:val="chineseCounting"/>
      <w:suff w:val="nothing"/>
      <w:lvlText w:val="（%1）"/>
      <w:lvlJc w:val="left"/>
      <w:pPr>
        <w:ind w:left="0" w:firstLine="420"/>
      </w:pPr>
      <w:rPr>
        <w:rFonts w:hint="eastAsia"/>
      </w:rPr>
    </w:lvl>
  </w:abstractNum>
  <w:abstractNum w:abstractNumId="9">
    <w:nsid w:val="6AD43707"/>
    <w:multiLevelType w:val="singleLevel"/>
    <w:tmpl w:val="6AD43707"/>
    <w:lvl w:ilvl="0" w:tentative="0">
      <w:start w:val="5"/>
      <w:numFmt w:val="decimal"/>
      <w:suff w:val="space"/>
      <w:lvlText w:val="%1."/>
      <w:lvlJc w:val="left"/>
    </w:lvl>
  </w:abstractNum>
  <w:num w:numId="1">
    <w:abstractNumId w:val="2"/>
  </w:num>
  <w:num w:numId="2">
    <w:abstractNumId w:val="5"/>
  </w:num>
  <w:num w:numId="3">
    <w:abstractNumId w:val="7"/>
  </w:num>
  <w:num w:numId="4">
    <w:abstractNumId w:val="9"/>
  </w:num>
  <w:num w:numId="5">
    <w:abstractNumId w:val="4"/>
  </w:num>
  <w:num w:numId="6">
    <w:abstractNumId w:val="3"/>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A37C1"/>
    <w:rsid w:val="033D1ADE"/>
    <w:rsid w:val="0B025B9C"/>
    <w:rsid w:val="0CFA2CEE"/>
    <w:rsid w:val="1C011443"/>
    <w:rsid w:val="20147BF5"/>
    <w:rsid w:val="23B47AEF"/>
    <w:rsid w:val="29B10C58"/>
    <w:rsid w:val="3C90216C"/>
    <w:rsid w:val="451A37C1"/>
    <w:rsid w:val="4DCD4142"/>
    <w:rsid w:val="69341222"/>
    <w:rsid w:val="69396612"/>
    <w:rsid w:val="6A1379AE"/>
    <w:rsid w:val="70CF7DD0"/>
    <w:rsid w:val="7A0C2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4"/>
    <w:qFormat/>
    <w:uiPriority w:val="0"/>
    <w:pPr>
      <w:keepNext/>
      <w:keepLines/>
      <w:spacing w:before="260" w:beforeLines="0" w:beforeAutospacing="0" w:after="260" w:afterLines="0" w:afterAutospacing="0" w:line="240" w:lineRule="auto"/>
      <w:outlineLvl w:val="2"/>
    </w:pPr>
    <w:rPr>
      <w:b/>
      <w:kern w:val="0"/>
      <w:sz w:val="32"/>
      <w:szCs w:val="20"/>
    </w:rPr>
  </w:style>
  <w:style w:type="paragraph" w:styleId="5">
    <w:name w:val="heading 4"/>
    <w:basedOn w:val="1"/>
    <w:next w:val="1"/>
    <w:qFormat/>
    <w:uiPriority w:val="0"/>
    <w:pPr>
      <w:keepNext/>
      <w:spacing w:before="240" w:after="60"/>
      <w:outlineLvl w:val="3"/>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annotation text"/>
    <w:basedOn w:val="1"/>
    <w:qFormat/>
    <w:uiPriority w:val="99"/>
    <w:pPr>
      <w:jc w:val="left"/>
    </w:pPr>
    <w:rPr>
      <w:sz w:val="24"/>
    </w:rPr>
  </w:style>
  <w:style w:type="paragraph" w:styleId="8">
    <w:name w:val="Body Text"/>
    <w:basedOn w:val="1"/>
    <w:next w:val="1"/>
    <w:qFormat/>
    <w:uiPriority w:val="0"/>
  </w:style>
  <w:style w:type="paragraph" w:styleId="9">
    <w:name w:val="Body Text Indent"/>
    <w:basedOn w:val="1"/>
    <w:next w:val="10"/>
    <w:qFormat/>
    <w:uiPriority w:val="0"/>
    <w:pPr>
      <w:spacing w:after="120"/>
      <w:ind w:left="420" w:leftChars="200"/>
    </w:pPr>
  </w:style>
  <w:style w:type="paragraph" w:styleId="10">
    <w:name w:val="annotation subject"/>
    <w:basedOn w:val="7"/>
    <w:next w:val="7"/>
    <w:qFormat/>
    <w:uiPriority w:val="99"/>
    <w:rPr>
      <w:b/>
      <w:bCs/>
      <w:sz w:val="24"/>
    </w:rPr>
  </w:style>
  <w:style w:type="paragraph" w:styleId="11">
    <w:name w:val="Plain Text"/>
    <w:basedOn w:val="1"/>
    <w:qFormat/>
    <w:uiPriority w:val="99"/>
    <w:rPr>
      <w:rFonts w:ascii="宋体" w:hAnsi="Courier New"/>
      <w:kern w:val="0"/>
      <w:sz w:val="20"/>
      <w:szCs w:val="21"/>
    </w:rPr>
  </w:style>
  <w:style w:type="paragraph" w:styleId="12">
    <w:name w:val="Body Text Indent 2"/>
    <w:basedOn w:val="1"/>
    <w:qFormat/>
    <w:uiPriority w:val="0"/>
    <w:pPr>
      <w:ind w:firstLine="630"/>
    </w:pPr>
    <w:rPr>
      <w:sz w:val="32"/>
      <w:szCs w:val="20"/>
    </w:r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8">
    <w:name w:val="Body Text First Indent 2"/>
    <w:basedOn w:val="9"/>
    <w:next w:val="1"/>
    <w:unhideWhenUsed/>
    <w:qFormat/>
    <w:uiPriority w:val="99"/>
    <w:pPr>
      <w:ind w:firstLine="420" w:firstLineChars="200"/>
    </w:pPr>
  </w:style>
  <w:style w:type="table" w:styleId="20">
    <w:name w:val="Table Grid"/>
    <w:basedOn w:val="19"/>
    <w:qFormat/>
    <w:uiPriority w:val="39"/>
    <w:rPr>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4">
    <w:name w:val="标题 3 字符"/>
    <w:link w:val="4"/>
    <w:qFormat/>
    <w:uiPriority w:val="0"/>
    <w:rPr>
      <w:b/>
      <w:kern w:val="0"/>
      <w:sz w:val="32"/>
      <w:szCs w:val="20"/>
    </w:rPr>
  </w:style>
  <w:style w:type="paragraph" w:customStyle="1" w:styleId="25">
    <w:name w:val="首行缩进"/>
    <w:basedOn w:val="1"/>
    <w:qFormat/>
    <w:uiPriority w:val="0"/>
    <w:pPr>
      <w:spacing w:line="360" w:lineRule="auto"/>
      <w:ind w:firstLine="480" w:firstLineChars="200"/>
    </w:pPr>
    <w:rPr>
      <w:rFonts w:ascii="宋体" w:hAnsi="宋体" w:cs="宋体"/>
      <w:kern w:val="0"/>
      <w:sz w:val="24"/>
    </w:rPr>
  </w:style>
  <w:style w:type="paragraph" w:customStyle="1" w:styleId="26">
    <w:name w:val="Body text|1"/>
    <w:basedOn w:val="1"/>
    <w:qFormat/>
    <w:uiPriority w:val="0"/>
    <w:pPr>
      <w:spacing w:line="350" w:lineRule="auto"/>
      <w:ind w:firstLine="400"/>
      <w:jc w:val="left"/>
    </w:pPr>
    <w:rPr>
      <w:rFonts w:ascii="宋体" w:hAnsi="宋体" w:cs="宋体"/>
      <w:kern w:val="0"/>
      <w:sz w:val="30"/>
      <w:szCs w:val="30"/>
    </w:rPr>
  </w:style>
  <w:style w:type="paragraph" w:customStyle="1" w:styleId="27">
    <w:name w:val="Body text|3"/>
    <w:basedOn w:val="1"/>
    <w:qFormat/>
    <w:uiPriority w:val="0"/>
    <w:pPr>
      <w:spacing w:after="460"/>
      <w:jc w:val="center"/>
    </w:pPr>
    <w:rPr>
      <w:rFonts w:ascii="宋体" w:hAnsi="宋体" w:cs="宋体"/>
      <w:kern w:val="0"/>
      <w:sz w:val="34"/>
      <w:szCs w:val="34"/>
    </w:rPr>
  </w:style>
  <w:style w:type="paragraph" w:styleId="28">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17632</Words>
  <Characters>19091</Characters>
  <Lines>0</Lines>
  <Paragraphs>0</Paragraphs>
  <TotalTime>7</TotalTime>
  <ScaleCrop>false</ScaleCrop>
  <LinksUpToDate>false</LinksUpToDate>
  <CharactersWithSpaces>19528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2025-09-25T06:15:00Z</dcterms:created>
  <dcterms:modified xsi:type="dcterms:W3CDTF">2025-10-28T07:37:38Z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BBB8EE53738747D1BBB4CC26A961236D_13</vt:lpwstr>
  </property>
  <property fmtid="{D5CDD505-2E9C-101B-9397-08002B2CF9AE}" pid="4" name="KSOTemplateDocerSaveRecord">
    <vt:lpwstr>eyJoZGlkIjoiMDdmZTY1YjVlMDk1NmY3NDlmNGZhOTBlMzVmMjRlZjMiLCJ1c2VySWQiOiI1ODUzNTYxNTIifQ==</vt:lpwstr>
  </property>
</Properties>
</file>