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000000" w:themeColor="text1"/>
          <w:sz w:val="52"/>
          <w:szCs w:val="52"/>
          <w14:textFill>
            <w14:solidFill>
              <w14:schemeClr w14:val="tx1"/>
            </w14:solidFill>
          </w14:textFill>
        </w:rPr>
      </w:pPr>
      <w:bookmarkStart w:id="0" w:name="_Toc7014_WPSOffice_Level1"/>
      <w:bookmarkStart w:id="1" w:name="_Toc10319"/>
      <w:r>
        <w:rPr>
          <w:rFonts w:hint="eastAsia" w:ascii="宋体" w:hAnsi="宋体" w:eastAsia="宋体" w:cs="宋体"/>
          <w:b/>
          <w:color w:val="000000" w:themeColor="text1"/>
          <w:sz w:val="52"/>
          <w14:textFill>
            <w14:solidFill>
              <w14:schemeClr w14:val="tx1"/>
            </w14:solidFill>
          </w14:textFill>
        </w:rPr>
        <w:t>桂林市政府集中采购中心</w:t>
      </w:r>
    </w:p>
    <w:p>
      <w:pPr>
        <w:pStyle w:val="13"/>
        <w:rPr>
          <w:rFonts w:hint="eastAsia" w:ascii="宋体" w:hAnsi="宋体" w:eastAsia="宋体" w:cs="宋体"/>
          <w:b/>
          <w:bCs/>
          <w:color w:val="000000" w:themeColor="text1"/>
          <w:sz w:val="52"/>
          <w:szCs w:val="52"/>
          <w14:textFill>
            <w14:solidFill>
              <w14:schemeClr w14:val="tx1"/>
            </w14:solidFill>
          </w14:textFill>
        </w:rPr>
      </w:pPr>
    </w:p>
    <w:p>
      <w:pPr>
        <w:pStyle w:val="13"/>
        <w:rPr>
          <w:rFonts w:hint="eastAsia" w:ascii="宋体" w:hAnsi="宋体" w:eastAsia="宋体" w:cs="宋体"/>
          <w:b/>
          <w:bCs/>
          <w:color w:val="000000" w:themeColor="text1"/>
          <w:sz w:val="52"/>
          <w:szCs w:val="52"/>
          <w14:textFill>
            <w14:solidFill>
              <w14:schemeClr w14:val="tx1"/>
            </w14:solidFill>
          </w14:textFill>
        </w:rPr>
      </w:pPr>
    </w:p>
    <w:p>
      <w:pPr>
        <w:ind w:left="0" w:leftChars="0" w:right="-106" w:rightChars="0" w:hanging="12" w:firstLineChars="0"/>
        <w:jc w:val="center"/>
        <w:rPr>
          <w:rFonts w:hint="eastAsia" w:ascii="宋体" w:hAnsi="宋体" w:eastAsia="宋体" w:cs="宋体"/>
          <w:b/>
          <w:color w:val="000000" w:themeColor="text1"/>
          <w:sz w:val="72"/>
          <w:szCs w:val="72"/>
          <w14:textFill>
            <w14:solidFill>
              <w14:schemeClr w14:val="tx1"/>
            </w14:solidFill>
          </w14:textFill>
        </w:rPr>
      </w:pPr>
      <w:r>
        <w:rPr>
          <w:rFonts w:hint="eastAsia" w:ascii="宋体" w:hAnsi="宋体" w:eastAsia="宋体" w:cs="宋体"/>
          <w:b/>
          <w:color w:val="000000" w:themeColor="text1"/>
          <w:spacing w:val="93"/>
          <w:sz w:val="72"/>
          <w:szCs w:val="72"/>
          <w14:textFill>
            <w14:solidFill>
              <w14:schemeClr w14:val="tx1"/>
            </w14:solidFill>
          </w14:textFill>
        </w:rPr>
        <w:t>竞争性磋商文件</w:t>
      </w:r>
    </w:p>
    <w:p>
      <w:pPr>
        <w:jc w:val="center"/>
        <w:rPr>
          <w:rFonts w:hint="eastAsia" w:ascii="宋体" w:hAnsi="宋体" w:eastAsia="宋体" w:cs="宋体"/>
          <w:b/>
          <w:bCs/>
          <w:color w:val="000000" w:themeColor="text1"/>
          <w:sz w:val="52"/>
          <w:szCs w:val="52"/>
          <w14:textFill>
            <w14:solidFill>
              <w14:schemeClr w14:val="tx1"/>
            </w14:solidFill>
          </w14:textFill>
        </w:rPr>
      </w:pPr>
    </w:p>
    <w:p>
      <w:pPr>
        <w:jc w:val="center"/>
        <w:rPr>
          <w:rFonts w:hint="eastAsia" w:ascii="宋体" w:hAnsi="宋体" w:eastAsia="宋体" w:cs="宋体"/>
          <w:b/>
          <w:bCs/>
          <w:color w:val="000000" w:themeColor="text1"/>
          <w:sz w:val="52"/>
          <w:szCs w:val="52"/>
          <w14:textFill>
            <w14:solidFill>
              <w14:schemeClr w14:val="tx1"/>
            </w14:solidFill>
          </w14:textFill>
        </w:rPr>
      </w:pPr>
    </w:p>
    <w:p>
      <w:pPr>
        <w:jc w:val="center"/>
        <w:rPr>
          <w:rFonts w:hint="eastAsia" w:ascii="宋体" w:hAnsi="宋体" w:eastAsia="宋体" w:cs="宋体"/>
          <w:b/>
          <w:bCs/>
          <w:color w:val="000000" w:themeColor="text1"/>
          <w:sz w:val="52"/>
          <w:szCs w:val="52"/>
          <w14:textFill>
            <w14:solidFill>
              <w14:schemeClr w14:val="tx1"/>
            </w14:solidFill>
          </w14:textFill>
        </w:rPr>
      </w:pPr>
    </w:p>
    <w:p>
      <w:pPr>
        <w:jc w:val="center"/>
        <w:rPr>
          <w:rFonts w:hint="default" w:ascii="宋体" w:hAnsi="宋体" w:eastAsia="宋体" w:cs="宋体"/>
          <w:b/>
          <w:bCs/>
          <w:color w:val="000000" w:themeColor="text1"/>
          <w:sz w:val="32"/>
          <w:szCs w:val="32"/>
          <w:lang w:val="en-US" w:eastAsia="zh-CN"/>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项 目 名 称：</w:t>
      </w:r>
      <w:r>
        <w:rPr>
          <w:rFonts w:hint="eastAsia" w:ascii="宋体" w:hAnsi="宋体" w:cs="宋体"/>
          <w:b/>
          <w:bCs/>
          <w:color w:val="000000" w:themeColor="text1"/>
          <w:sz w:val="32"/>
          <w:szCs w:val="32"/>
          <w:u w:val="single"/>
          <w:lang w:val="en-US" w:eastAsia="zh-CN"/>
          <w14:textFill>
            <w14:solidFill>
              <w14:schemeClr w14:val="tx1"/>
            </w14:solidFill>
          </w14:textFill>
        </w:rPr>
        <w:t>桂林市财政局信息化设备采购</w:t>
      </w:r>
    </w:p>
    <w:p>
      <w:pPr>
        <w:jc w:val="center"/>
        <w:rPr>
          <w:rFonts w:hint="eastAsia" w:ascii="宋体" w:hAnsi="宋体" w:eastAsia="宋体" w:cs="宋体"/>
          <w:b/>
          <w:bCs/>
          <w:color w:val="000000" w:themeColor="text1"/>
          <w:sz w:val="32"/>
          <w:szCs w:val="32"/>
          <w:lang w:eastAsia="zh-CN"/>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项 目 编 号：</w:t>
      </w:r>
      <w:r>
        <w:rPr>
          <w:rFonts w:hint="eastAsia" w:ascii="宋体" w:hAnsi="宋体" w:cs="宋体"/>
          <w:b/>
          <w:bCs/>
          <w:color w:val="000000" w:themeColor="text1"/>
          <w:sz w:val="32"/>
          <w:szCs w:val="32"/>
          <w:u w:val="single"/>
          <w:lang w:val="en-US" w:eastAsia="zh-CN"/>
          <w14:textFill>
            <w14:solidFill>
              <w14:schemeClr w14:val="tx1"/>
            </w14:solidFill>
          </w14:textFill>
        </w:rPr>
        <w:t>GLZC2024-C1-990012-GLJC</w:t>
      </w:r>
    </w:p>
    <w:p>
      <w:pPr>
        <w:ind w:firstLine="1600" w:firstLineChars="500"/>
        <w:rPr>
          <w:rFonts w:hint="eastAsia" w:ascii="宋体" w:hAnsi="宋体" w:eastAsia="宋体" w:cs="宋体"/>
          <w:color w:val="000000" w:themeColor="text1"/>
          <w:sz w:val="32"/>
          <w:szCs w:val="32"/>
          <w14:textFill>
            <w14:solidFill>
              <w14:schemeClr w14:val="tx1"/>
            </w14:solidFill>
          </w14:textFill>
        </w:rPr>
      </w:pPr>
    </w:p>
    <w:p>
      <w:pPr>
        <w:jc w:val="center"/>
        <w:rPr>
          <w:rFonts w:hint="eastAsia" w:ascii="宋体" w:hAnsi="宋体" w:eastAsia="宋体" w:cs="宋体"/>
          <w:color w:val="000000" w:themeColor="text1"/>
          <w:sz w:val="32"/>
          <w:szCs w:val="32"/>
          <w14:textFill>
            <w14:solidFill>
              <w14:schemeClr w14:val="tx1"/>
            </w14:solidFill>
          </w14:textFill>
        </w:rPr>
      </w:pPr>
    </w:p>
    <w:p>
      <w:pPr>
        <w:rPr>
          <w:rFonts w:hint="eastAsia" w:ascii="宋体" w:hAnsi="宋体" w:eastAsia="宋体" w:cs="宋体"/>
          <w:color w:val="000000" w:themeColor="text1"/>
          <w:sz w:val="32"/>
          <w:szCs w:val="32"/>
          <w14:textFill>
            <w14:solidFill>
              <w14:schemeClr w14:val="tx1"/>
            </w14:solidFill>
          </w14:textFill>
        </w:rPr>
      </w:pPr>
    </w:p>
    <w:p>
      <w:pPr>
        <w:jc w:val="center"/>
        <w:rPr>
          <w:rFonts w:hint="eastAsia" w:ascii="宋体" w:hAnsi="宋体" w:eastAsia="宋体" w:cs="宋体"/>
          <w:color w:val="000000" w:themeColor="text1"/>
          <w:sz w:val="32"/>
          <w:szCs w:val="32"/>
          <w14:textFill>
            <w14:solidFill>
              <w14:schemeClr w14:val="tx1"/>
            </w14:solidFill>
          </w14:textFill>
        </w:rPr>
      </w:pPr>
    </w:p>
    <w:p>
      <w:pPr>
        <w:ind w:firstLine="2240" w:firstLineChars="700"/>
        <w:jc w:val="both"/>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采购代理机构：桂林市政府集中采购中心</w:t>
      </w:r>
    </w:p>
    <w:p>
      <w:pPr>
        <w:pStyle w:val="9"/>
        <w:rPr>
          <w:rFonts w:hint="eastAsia" w:ascii="宋体" w:hAnsi="宋体" w:eastAsia="宋体" w:cs="宋体"/>
          <w:color w:val="000000" w:themeColor="text1"/>
          <w14:textFill>
            <w14:solidFill>
              <w14:schemeClr w14:val="tx1"/>
            </w14:solidFill>
          </w14:textFill>
        </w:rPr>
      </w:pPr>
    </w:p>
    <w:p>
      <w:pPr>
        <w:ind w:firstLine="3840" w:firstLineChars="1200"/>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202</w:t>
      </w:r>
      <w:r>
        <w:rPr>
          <w:rFonts w:hint="eastAsia" w:ascii="宋体" w:hAnsi="宋体" w:cs="宋体"/>
          <w:color w:val="000000" w:themeColor="text1"/>
          <w:sz w:val="32"/>
          <w:szCs w:val="32"/>
          <w:lang w:val="en-US" w:eastAsia="zh-CN"/>
          <w14:textFill>
            <w14:solidFill>
              <w14:schemeClr w14:val="tx1"/>
            </w14:solidFill>
          </w14:textFill>
        </w:rPr>
        <w:t>4</w:t>
      </w:r>
      <w:r>
        <w:rPr>
          <w:rFonts w:hint="eastAsia" w:ascii="宋体" w:hAnsi="宋体" w:eastAsia="宋体" w:cs="宋体"/>
          <w:color w:val="000000" w:themeColor="text1"/>
          <w:sz w:val="32"/>
          <w:szCs w:val="32"/>
          <w14:textFill>
            <w14:solidFill>
              <w14:schemeClr w14:val="tx1"/>
            </w14:solidFill>
          </w14:textFill>
        </w:rPr>
        <w:t>年</w:t>
      </w:r>
      <w:r>
        <w:rPr>
          <w:rFonts w:hint="eastAsia" w:ascii="宋体" w:hAnsi="宋体" w:cs="宋体"/>
          <w:color w:val="000000" w:themeColor="text1"/>
          <w:sz w:val="32"/>
          <w:szCs w:val="32"/>
          <w:lang w:val="en-US" w:eastAsia="zh-CN"/>
          <w14:textFill>
            <w14:solidFill>
              <w14:schemeClr w14:val="tx1"/>
            </w14:solidFill>
          </w14:textFill>
        </w:rPr>
        <w:t>3</w:t>
      </w:r>
      <w:r>
        <w:rPr>
          <w:rFonts w:hint="eastAsia" w:ascii="宋体" w:hAnsi="宋体" w:eastAsia="宋体" w:cs="宋体"/>
          <w:color w:val="000000" w:themeColor="text1"/>
          <w:sz w:val="32"/>
          <w:szCs w:val="32"/>
          <w:lang w:val="en-US" w:eastAsia="zh-CN"/>
          <w14:textFill>
            <w14:solidFill>
              <w14:schemeClr w14:val="tx1"/>
            </w14:solidFill>
          </w14:textFill>
        </w:rPr>
        <w:t>月</w:t>
      </w:r>
      <w:r>
        <w:rPr>
          <w:rFonts w:hint="eastAsia" w:ascii="宋体" w:hAnsi="宋体" w:cs="宋体"/>
          <w:color w:val="000000" w:themeColor="text1"/>
          <w:sz w:val="32"/>
          <w:szCs w:val="32"/>
          <w:lang w:val="en-US" w:eastAsia="zh-CN"/>
          <w14:textFill>
            <w14:solidFill>
              <w14:schemeClr w14:val="tx1"/>
            </w14:solidFill>
          </w14:textFill>
        </w:rPr>
        <w:t>11</w:t>
      </w:r>
      <w:r>
        <w:rPr>
          <w:rFonts w:hint="eastAsia" w:ascii="宋体" w:hAnsi="宋体" w:eastAsia="宋体" w:cs="宋体"/>
          <w:color w:val="000000" w:themeColor="text1"/>
          <w:sz w:val="32"/>
          <w:szCs w:val="32"/>
          <w:lang w:val="en-US" w:eastAsia="zh-CN"/>
          <w14:textFill>
            <w14:solidFill>
              <w14:schemeClr w14:val="tx1"/>
            </w14:solidFill>
          </w14:textFill>
        </w:rPr>
        <w:t>日</w:t>
      </w:r>
    </w:p>
    <w:p>
      <w:pP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tabs>
          <w:tab w:val="left" w:pos="6661"/>
        </w:tabs>
        <w:jc w:val="left"/>
        <w:rPr>
          <w:rFonts w:hint="eastAsia"/>
          <w:color w:val="000000" w:themeColor="text1"/>
          <w:lang w:val="en-US" w:eastAsia="zh-CN"/>
          <w14:textFill>
            <w14:solidFill>
              <w14:schemeClr w14:val="tx1"/>
            </w14:solidFill>
          </w14:textFill>
        </w:rPr>
        <w:sectPr>
          <w:headerReference r:id="rId3" w:type="default"/>
          <w:footerReference r:id="rId4" w:type="default"/>
          <w:pgSz w:w="11906" w:h="16838"/>
          <w:pgMar w:top="1440" w:right="935" w:bottom="1440" w:left="777" w:header="851" w:footer="992" w:gutter="0"/>
          <w:pgNumType w:fmt="numberInDash" w:start="1"/>
          <w:cols w:space="720" w:num="1"/>
          <w:rtlGutter w:val="0"/>
          <w:docGrid w:type="linesAndChars" w:linePitch="312" w:charSpace="0"/>
        </w:sectPr>
      </w:pPr>
      <w:r>
        <w:rPr>
          <w:rFonts w:hint="eastAsia"/>
          <w:color w:val="000000" w:themeColor="text1"/>
          <w:lang w:val="en-US" w:eastAsia="zh-CN"/>
          <w14:textFill>
            <w14:solidFill>
              <w14:schemeClr w14:val="tx1"/>
            </w14:solidFill>
          </w14:textFill>
        </w:rPr>
        <w:tab/>
      </w:r>
    </w:p>
    <w:p>
      <w:pPr>
        <w:jc w:val="center"/>
        <w:rPr>
          <w:rFonts w:hint="eastAsia" w:ascii="宋体" w:hAnsi="宋体" w:eastAsia="宋体" w:cs="宋体"/>
          <w:b/>
          <w:bCs/>
          <w:color w:val="000000" w:themeColor="text1"/>
          <w:sz w:val="36"/>
          <w:szCs w:val="36"/>
          <w14:textFill>
            <w14:solidFill>
              <w14:schemeClr w14:val="tx1"/>
            </w14:solidFill>
          </w14:textFill>
        </w:rPr>
      </w:pPr>
      <w:r>
        <w:rPr>
          <w:rFonts w:hint="eastAsia" w:ascii="宋体" w:hAnsi="宋体" w:eastAsia="宋体" w:cs="宋体"/>
          <w:b/>
          <w:bCs/>
          <w:color w:val="000000" w:themeColor="text1"/>
          <w:sz w:val="36"/>
          <w:szCs w:val="36"/>
          <w:lang w:val="zh-CN"/>
          <w14:textFill>
            <w14:solidFill>
              <w14:schemeClr w14:val="tx1"/>
            </w14:solidFill>
          </w14:textFill>
        </w:rPr>
        <w:t>目</w:t>
      </w:r>
      <w:r>
        <w:rPr>
          <w:rFonts w:hint="eastAsia" w:ascii="宋体" w:hAnsi="宋体" w:eastAsia="宋体" w:cs="宋体"/>
          <w:b/>
          <w:bCs/>
          <w:color w:val="000000" w:themeColor="text1"/>
          <w:sz w:val="36"/>
          <w:szCs w:val="36"/>
          <w14:textFill>
            <w14:solidFill>
              <w14:schemeClr w14:val="tx1"/>
            </w14:solidFill>
          </w14:textFill>
        </w:rPr>
        <w:t xml:space="preserve">  </w:t>
      </w:r>
      <w:r>
        <w:rPr>
          <w:rFonts w:hint="eastAsia" w:ascii="宋体" w:hAnsi="宋体" w:eastAsia="宋体" w:cs="宋体"/>
          <w:b/>
          <w:bCs/>
          <w:color w:val="000000" w:themeColor="text1"/>
          <w:sz w:val="36"/>
          <w:szCs w:val="36"/>
          <w:lang w:val="zh-CN"/>
          <w14:textFill>
            <w14:solidFill>
              <w14:schemeClr w14:val="tx1"/>
            </w14:solidFill>
          </w14:textFill>
        </w:rPr>
        <w:t>录</w:t>
      </w:r>
    </w:p>
    <w:p>
      <w:pPr>
        <w:pStyle w:val="15"/>
        <w:tabs>
          <w:tab w:val="right" w:leader="dot" w:pos="10194"/>
        </w:tabs>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TOC \o "1-3" \h \z \u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rPr>
        <w:instrText xml:space="preserve"> HYPERLINK \l _Toc16908 </w:instrText>
      </w:r>
      <w:r>
        <w:rPr>
          <w:rFonts w:hint="eastAsia" w:ascii="宋体" w:hAnsi="宋体" w:eastAsia="宋体" w:cs="宋体"/>
        </w:rPr>
        <w:fldChar w:fldCharType="separate"/>
      </w:r>
      <w:r>
        <w:rPr>
          <w:rFonts w:hint="eastAsia" w:ascii="宋体" w:hAnsi="宋体" w:eastAsia="宋体" w:cs="宋体"/>
          <w:szCs w:val="32"/>
        </w:rPr>
        <w:t>第一章 竞争性磋商公告</w:t>
      </w:r>
      <w:r>
        <w:tab/>
      </w:r>
      <w:r>
        <w:fldChar w:fldCharType="begin"/>
      </w:r>
      <w:r>
        <w:instrText xml:space="preserve"> PAGEREF _Toc16908 \h </w:instrText>
      </w:r>
      <w:r>
        <w:fldChar w:fldCharType="separate"/>
      </w:r>
      <w:r>
        <w:t>- 1 -</w:t>
      </w:r>
      <w:r>
        <w:fldChar w:fldCharType="end"/>
      </w:r>
      <w:r>
        <w:rPr>
          <w:rFonts w:hint="eastAsia" w:ascii="宋体" w:hAnsi="宋体" w:eastAsia="宋体" w:cs="宋体"/>
          <w:color w:val="000000" w:themeColor="text1"/>
          <w14:textFill>
            <w14:solidFill>
              <w14:schemeClr w14:val="tx1"/>
            </w14:solidFill>
          </w14:textFill>
        </w:rPr>
        <w:fldChar w:fldCharType="end"/>
      </w:r>
    </w:p>
    <w:p>
      <w:pPr>
        <w:pStyle w:val="15"/>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_Toc18678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szCs w:val="32"/>
          <w:highlight w:val="none"/>
          <w:lang w:eastAsia="zh-CN"/>
        </w:rPr>
        <w:t>第二章</w:t>
      </w:r>
      <w:r>
        <w:rPr>
          <w:rFonts w:hint="eastAsia" w:ascii="宋体" w:hAnsi="宋体" w:eastAsia="宋体" w:cs="宋体"/>
          <w:szCs w:val="32"/>
          <w:highlight w:val="none"/>
          <w:lang w:val="en-US" w:eastAsia="zh-CN"/>
        </w:rPr>
        <w:t xml:space="preserve"> </w:t>
      </w:r>
      <w:r>
        <w:rPr>
          <w:rFonts w:hint="eastAsia" w:ascii="宋体" w:hAnsi="宋体" w:eastAsia="宋体" w:cs="宋体"/>
          <w:szCs w:val="32"/>
          <w:highlight w:val="none"/>
        </w:rPr>
        <w:t>供应商须知</w:t>
      </w:r>
      <w:r>
        <w:tab/>
      </w:r>
      <w:r>
        <w:fldChar w:fldCharType="begin"/>
      </w:r>
      <w:r>
        <w:instrText xml:space="preserve"> PAGEREF _Toc18678 \h </w:instrText>
      </w:r>
      <w:r>
        <w:fldChar w:fldCharType="separate"/>
      </w:r>
      <w:r>
        <w:t>- 4 -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6"/>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_Toc22330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bCs w:val="0"/>
          <w:szCs w:val="24"/>
          <w:highlight w:val="none"/>
        </w:rPr>
        <w:t>供 应 商 须 知 前 附 表</w:t>
      </w:r>
      <w:r>
        <w:tab/>
      </w:r>
      <w:r>
        <w:fldChar w:fldCharType="begin"/>
      </w:r>
      <w:r>
        <w:instrText xml:space="preserve"> PAGEREF _Toc22330 \h </w:instrText>
      </w:r>
      <w:r>
        <w:fldChar w:fldCharType="separate"/>
      </w:r>
      <w:r>
        <w:t>- 4 -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1"/>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_Toc11287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bCs/>
          <w:szCs w:val="21"/>
          <w:highlight w:val="none"/>
        </w:rPr>
        <w:t>竞争性</w:t>
      </w:r>
      <w:r>
        <w:rPr>
          <w:rFonts w:hint="eastAsia" w:ascii="宋体" w:hAnsi="宋体" w:eastAsia="宋体" w:cs="宋体"/>
          <w:bCs/>
          <w:szCs w:val="21"/>
          <w:highlight w:val="none"/>
          <w:lang w:eastAsia="zh-CN"/>
        </w:rPr>
        <w:t>磋商</w:t>
      </w:r>
      <w:r>
        <w:rPr>
          <w:rFonts w:hint="eastAsia" w:ascii="宋体" w:hAnsi="宋体" w:eastAsia="宋体" w:cs="宋体"/>
          <w:bCs/>
          <w:szCs w:val="21"/>
          <w:highlight w:val="none"/>
        </w:rPr>
        <w:t>响应文件的</w:t>
      </w:r>
      <w:r>
        <w:rPr>
          <w:rFonts w:hint="eastAsia" w:ascii="宋体" w:hAnsi="宋体" w:eastAsia="宋体" w:cs="宋体"/>
          <w:bCs/>
          <w:szCs w:val="21"/>
          <w:highlight w:val="none"/>
          <w:lang w:eastAsia="zh-CN"/>
        </w:rPr>
        <w:t>制作</w:t>
      </w:r>
      <w:r>
        <w:tab/>
      </w:r>
      <w:r>
        <w:fldChar w:fldCharType="begin"/>
      </w:r>
      <w:r>
        <w:instrText xml:space="preserve"> PAGEREF _Toc11287 \h </w:instrText>
      </w:r>
      <w:r>
        <w:fldChar w:fldCharType="separate"/>
      </w:r>
      <w:r>
        <w:t>- 4 -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6"/>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_Toc13430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bCs w:val="0"/>
          <w:szCs w:val="28"/>
          <w:highlight w:val="none"/>
        </w:rPr>
        <w:t>一、总则</w:t>
      </w:r>
      <w:r>
        <w:tab/>
      </w:r>
      <w:r>
        <w:fldChar w:fldCharType="begin"/>
      </w:r>
      <w:r>
        <w:instrText xml:space="preserve"> PAGEREF _Toc13430 \h </w:instrText>
      </w:r>
      <w:r>
        <w:fldChar w:fldCharType="separate"/>
      </w:r>
      <w:r>
        <w:t>- 8 -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1"/>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_Toc13478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szCs w:val="21"/>
          <w:highlight w:val="none"/>
        </w:rPr>
        <w:t>1. 适应范围</w:t>
      </w:r>
      <w:r>
        <w:tab/>
      </w:r>
      <w:r>
        <w:fldChar w:fldCharType="begin"/>
      </w:r>
      <w:r>
        <w:instrText xml:space="preserve"> PAGEREF _Toc13478 \h </w:instrText>
      </w:r>
      <w:r>
        <w:fldChar w:fldCharType="separate"/>
      </w:r>
      <w:r>
        <w:t>- 8 -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1"/>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_Toc7578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szCs w:val="21"/>
          <w:highlight w:val="none"/>
        </w:rPr>
        <w:t>2. 定义</w:t>
      </w:r>
      <w:r>
        <w:tab/>
      </w:r>
      <w:r>
        <w:fldChar w:fldCharType="begin"/>
      </w:r>
      <w:r>
        <w:instrText xml:space="preserve"> PAGEREF _Toc7578 \h </w:instrText>
      </w:r>
      <w:r>
        <w:fldChar w:fldCharType="separate"/>
      </w:r>
      <w:r>
        <w:t>- 8 -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1"/>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_Toc17892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szCs w:val="21"/>
          <w:highlight w:val="none"/>
        </w:rPr>
        <w:t>3. 供应商资格</w:t>
      </w:r>
      <w:r>
        <w:tab/>
      </w:r>
      <w:r>
        <w:fldChar w:fldCharType="begin"/>
      </w:r>
      <w:r>
        <w:instrText xml:space="preserve"> PAGEREF _Toc17892 \h </w:instrText>
      </w:r>
      <w:r>
        <w:fldChar w:fldCharType="separate"/>
      </w:r>
      <w:r>
        <w:t>- 8 -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1"/>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_Toc1163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bCs/>
          <w:kern w:val="2"/>
          <w:szCs w:val="21"/>
          <w:highlight w:val="none"/>
          <w:lang w:val="en-US" w:eastAsia="zh-CN" w:bidi="ar-SA"/>
        </w:rPr>
        <w:t>3.5本项目的特定资格要求：无；</w:t>
      </w:r>
      <w:r>
        <w:tab/>
      </w:r>
      <w:r>
        <w:fldChar w:fldCharType="begin"/>
      </w:r>
      <w:r>
        <w:instrText xml:space="preserve"> PAGEREF _Toc1163 \h </w:instrText>
      </w:r>
      <w:r>
        <w:fldChar w:fldCharType="separate"/>
      </w:r>
      <w:r>
        <w:t>- 8 -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1"/>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_Toc16181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szCs w:val="21"/>
          <w:highlight w:val="none"/>
        </w:rPr>
        <w:t>4. 磋商费用</w:t>
      </w:r>
      <w:r>
        <w:tab/>
      </w:r>
      <w:r>
        <w:fldChar w:fldCharType="begin"/>
      </w:r>
      <w:r>
        <w:instrText xml:space="preserve"> PAGEREF _Toc16181 \h </w:instrText>
      </w:r>
      <w:r>
        <w:fldChar w:fldCharType="separate"/>
      </w:r>
      <w:r>
        <w:t>- 8 -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1"/>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_Toc5064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szCs w:val="21"/>
        </w:rPr>
        <w:t xml:space="preserve">5. </w:t>
      </w:r>
      <w:r>
        <w:rPr>
          <w:rFonts w:hint="eastAsia" w:ascii="宋体" w:hAnsi="宋体" w:eastAsia="宋体" w:cs="宋体"/>
          <w:szCs w:val="21"/>
          <w:highlight w:val="none"/>
        </w:rPr>
        <w:t>联合体要求</w:t>
      </w:r>
      <w:r>
        <w:tab/>
      </w:r>
      <w:r>
        <w:fldChar w:fldCharType="begin"/>
      </w:r>
      <w:r>
        <w:instrText xml:space="preserve"> PAGEREF _Toc5064 \h </w:instrText>
      </w:r>
      <w:r>
        <w:fldChar w:fldCharType="separate"/>
      </w:r>
      <w:r>
        <w:t>- 8 -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1"/>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_Toc3849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szCs w:val="21"/>
          <w:highlight w:val="none"/>
        </w:rPr>
        <w:t>6. 质疑和投诉</w:t>
      </w:r>
      <w:r>
        <w:tab/>
      </w:r>
      <w:r>
        <w:fldChar w:fldCharType="begin"/>
      </w:r>
      <w:r>
        <w:instrText xml:space="preserve"> PAGEREF _Toc3849 \h </w:instrText>
      </w:r>
      <w:r>
        <w:fldChar w:fldCharType="separate"/>
      </w:r>
      <w:r>
        <w:t>- 8 -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1"/>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_Toc24136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szCs w:val="21"/>
          <w:highlight w:val="none"/>
        </w:rPr>
        <w:t>7. 转包与分包</w:t>
      </w:r>
      <w:r>
        <w:tab/>
      </w:r>
      <w:r>
        <w:fldChar w:fldCharType="begin"/>
      </w:r>
      <w:r>
        <w:instrText xml:space="preserve"> PAGEREF _Toc24136 \h </w:instrText>
      </w:r>
      <w:r>
        <w:fldChar w:fldCharType="separate"/>
      </w:r>
      <w:r>
        <w:t>- 9 -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1"/>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_Toc27064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szCs w:val="21"/>
          <w:highlight w:val="none"/>
        </w:rPr>
        <w:t>8. 特别说明</w:t>
      </w:r>
      <w:r>
        <w:tab/>
      </w:r>
      <w:r>
        <w:fldChar w:fldCharType="begin"/>
      </w:r>
      <w:r>
        <w:instrText xml:space="preserve"> PAGEREF _Toc27064 \h </w:instrText>
      </w:r>
      <w:r>
        <w:fldChar w:fldCharType="separate"/>
      </w:r>
      <w:r>
        <w:t>- 9 -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6"/>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_Toc26452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bCs w:val="0"/>
          <w:szCs w:val="28"/>
          <w:highlight w:val="none"/>
        </w:rPr>
        <w:t>二、磋商文件</w:t>
      </w:r>
      <w:r>
        <w:tab/>
      </w:r>
      <w:r>
        <w:fldChar w:fldCharType="begin"/>
      </w:r>
      <w:r>
        <w:instrText xml:space="preserve"> PAGEREF _Toc26452 \h </w:instrText>
      </w:r>
      <w:r>
        <w:fldChar w:fldCharType="separate"/>
      </w:r>
      <w:r>
        <w:t>- 9 -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1"/>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_Toc11372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szCs w:val="21"/>
          <w:highlight w:val="none"/>
          <w:lang w:val="pt-BR"/>
        </w:rPr>
        <w:t xml:space="preserve">9. </w:t>
      </w:r>
      <w:r>
        <w:rPr>
          <w:rFonts w:hint="eastAsia" w:ascii="宋体" w:hAnsi="宋体" w:eastAsia="宋体" w:cs="宋体"/>
          <w:szCs w:val="21"/>
          <w:highlight w:val="none"/>
        </w:rPr>
        <w:t>磋商文件的构成</w:t>
      </w:r>
      <w:r>
        <w:tab/>
      </w:r>
      <w:r>
        <w:fldChar w:fldCharType="begin"/>
      </w:r>
      <w:r>
        <w:instrText xml:space="preserve"> PAGEREF _Toc11372 \h </w:instrText>
      </w:r>
      <w:r>
        <w:fldChar w:fldCharType="separate"/>
      </w:r>
      <w:r>
        <w:t>- 9 -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1"/>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_Toc2636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szCs w:val="21"/>
          <w:highlight w:val="none"/>
        </w:rPr>
        <w:t>10. 磋商文件的澄清与修改</w:t>
      </w:r>
      <w:r>
        <w:tab/>
      </w:r>
      <w:r>
        <w:fldChar w:fldCharType="begin"/>
      </w:r>
      <w:r>
        <w:instrText xml:space="preserve"> PAGEREF _Toc2636 \h </w:instrText>
      </w:r>
      <w:r>
        <w:fldChar w:fldCharType="separate"/>
      </w:r>
      <w:r>
        <w:t>- 9 -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6"/>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_Toc29792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bCs w:val="0"/>
          <w:szCs w:val="28"/>
          <w:highlight w:val="none"/>
        </w:rPr>
        <w:t>三、竞争性磋商响应文件的编制</w:t>
      </w:r>
      <w:r>
        <w:tab/>
      </w:r>
      <w:r>
        <w:fldChar w:fldCharType="begin"/>
      </w:r>
      <w:r>
        <w:instrText xml:space="preserve"> PAGEREF _Toc29792 \h </w:instrText>
      </w:r>
      <w:r>
        <w:fldChar w:fldCharType="separate"/>
      </w:r>
      <w:r>
        <w:t>- 10 -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1"/>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_Toc18806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szCs w:val="21"/>
          <w:highlight w:val="none"/>
          <w:lang w:val="en-US" w:eastAsia="zh-CN"/>
        </w:rPr>
        <w:t>11.竞争性磋商响应文件编制基本要求</w:t>
      </w:r>
      <w:r>
        <w:tab/>
      </w:r>
      <w:r>
        <w:fldChar w:fldCharType="begin"/>
      </w:r>
      <w:r>
        <w:instrText xml:space="preserve"> PAGEREF _Toc18806 \h </w:instrText>
      </w:r>
      <w:r>
        <w:fldChar w:fldCharType="separate"/>
      </w:r>
      <w:r>
        <w:t>- 10 -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1"/>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_Toc29937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szCs w:val="21"/>
          <w:highlight w:val="none"/>
        </w:rPr>
        <w:t>12. 响应文件的语言及计量</w:t>
      </w:r>
      <w:r>
        <w:tab/>
      </w:r>
      <w:r>
        <w:fldChar w:fldCharType="begin"/>
      </w:r>
      <w:r>
        <w:instrText xml:space="preserve"> PAGEREF _Toc29937 \h </w:instrText>
      </w:r>
      <w:r>
        <w:fldChar w:fldCharType="separate"/>
      </w:r>
      <w:r>
        <w:t>- 13 -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1"/>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_Toc1085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szCs w:val="21"/>
          <w:highlight w:val="none"/>
        </w:rPr>
        <w:t>13. 磋商报价及采购预算金额</w:t>
      </w:r>
      <w:r>
        <w:tab/>
      </w:r>
      <w:r>
        <w:fldChar w:fldCharType="begin"/>
      </w:r>
      <w:r>
        <w:instrText xml:space="preserve"> PAGEREF _Toc1085 \h </w:instrText>
      </w:r>
      <w:r>
        <w:fldChar w:fldCharType="separate"/>
      </w:r>
      <w:r>
        <w:t>- 13 -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1"/>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_Toc11090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szCs w:val="21"/>
          <w:highlight w:val="none"/>
        </w:rPr>
        <w:t>14. 响应文件有效期</w:t>
      </w:r>
      <w:r>
        <w:tab/>
      </w:r>
      <w:r>
        <w:fldChar w:fldCharType="begin"/>
      </w:r>
      <w:r>
        <w:instrText xml:space="preserve"> PAGEREF _Toc11090 \h </w:instrText>
      </w:r>
      <w:r>
        <w:fldChar w:fldCharType="separate"/>
      </w:r>
      <w:r>
        <w:t>- 13 -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1"/>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_Toc22679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szCs w:val="21"/>
          <w:highlight w:val="none"/>
        </w:rPr>
        <w:t>15. 保证金</w:t>
      </w:r>
      <w:r>
        <w:tab/>
      </w:r>
      <w:r>
        <w:fldChar w:fldCharType="begin"/>
      </w:r>
      <w:r>
        <w:instrText xml:space="preserve"> PAGEREF _Toc22679 \h </w:instrText>
      </w:r>
      <w:r>
        <w:fldChar w:fldCharType="separate"/>
      </w:r>
      <w:r>
        <w:t>- 13 -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1"/>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_Toc17645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szCs w:val="21"/>
          <w:highlight w:val="none"/>
        </w:rPr>
        <w:t>16. 竞争性</w:t>
      </w:r>
      <w:r>
        <w:rPr>
          <w:rFonts w:hint="eastAsia" w:ascii="宋体" w:hAnsi="宋体" w:eastAsia="宋体" w:cs="宋体"/>
          <w:szCs w:val="21"/>
          <w:highlight w:val="none"/>
          <w:lang w:eastAsia="zh-CN"/>
        </w:rPr>
        <w:t>磋商</w:t>
      </w:r>
      <w:r>
        <w:rPr>
          <w:rFonts w:hint="eastAsia" w:ascii="宋体" w:hAnsi="宋体" w:eastAsia="宋体" w:cs="宋体"/>
          <w:szCs w:val="21"/>
          <w:highlight w:val="none"/>
        </w:rPr>
        <w:t>响应文件的</w:t>
      </w:r>
      <w:r>
        <w:rPr>
          <w:rFonts w:hint="eastAsia" w:ascii="宋体" w:hAnsi="宋体" w:eastAsia="宋体" w:cs="宋体"/>
          <w:szCs w:val="21"/>
          <w:highlight w:val="none"/>
          <w:lang w:eastAsia="zh-CN"/>
        </w:rPr>
        <w:t>制作</w:t>
      </w:r>
      <w:r>
        <w:tab/>
      </w:r>
      <w:r>
        <w:fldChar w:fldCharType="begin"/>
      </w:r>
      <w:r>
        <w:instrText xml:space="preserve"> PAGEREF _Toc17645 \h </w:instrText>
      </w:r>
      <w:r>
        <w:fldChar w:fldCharType="separate"/>
      </w:r>
      <w:r>
        <w:t>- 13 -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1"/>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_Toc20584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szCs w:val="21"/>
          <w:highlight w:val="none"/>
        </w:rPr>
        <w:t>17. 响应文件的修改和撤回</w:t>
      </w:r>
      <w:r>
        <w:tab/>
      </w:r>
      <w:r>
        <w:fldChar w:fldCharType="begin"/>
      </w:r>
      <w:r>
        <w:instrText xml:space="preserve"> PAGEREF _Toc20584 \h </w:instrText>
      </w:r>
      <w:r>
        <w:fldChar w:fldCharType="separate"/>
      </w:r>
      <w:r>
        <w:t>- 14 -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1"/>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_Toc30130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szCs w:val="21"/>
          <w:highlight w:val="none"/>
        </w:rPr>
        <w:t>18. 响应文件的递交</w:t>
      </w:r>
      <w:r>
        <w:rPr>
          <w:rFonts w:hint="eastAsia" w:ascii="宋体" w:hAnsi="宋体" w:eastAsia="宋体" w:cs="宋体"/>
          <w:szCs w:val="21"/>
          <w:highlight w:val="none"/>
          <w:lang w:eastAsia="zh-CN"/>
        </w:rPr>
        <w:t>和解密</w:t>
      </w:r>
      <w:r>
        <w:tab/>
      </w:r>
      <w:r>
        <w:fldChar w:fldCharType="begin"/>
      </w:r>
      <w:r>
        <w:instrText xml:space="preserve"> PAGEREF _Toc30130 \h </w:instrText>
      </w:r>
      <w:r>
        <w:fldChar w:fldCharType="separate"/>
      </w:r>
      <w:r>
        <w:t>- 14 -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6"/>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_Toc17171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bCs w:val="0"/>
          <w:szCs w:val="28"/>
          <w:highlight w:val="none"/>
        </w:rPr>
        <w:t>四、竞争性磋商（简称磋商）与评审</w:t>
      </w:r>
      <w:r>
        <w:tab/>
      </w:r>
      <w:r>
        <w:fldChar w:fldCharType="begin"/>
      </w:r>
      <w:r>
        <w:instrText xml:space="preserve"> PAGEREF _Toc17171 \h </w:instrText>
      </w:r>
      <w:r>
        <w:fldChar w:fldCharType="separate"/>
      </w:r>
      <w:r>
        <w:t>- 15 -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1"/>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_Toc9694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szCs w:val="21"/>
          <w:highlight w:val="none"/>
        </w:rPr>
        <w:t>19. 磋商小组组成及磋商时间、地点、人员</w:t>
      </w:r>
      <w:r>
        <w:tab/>
      </w:r>
      <w:r>
        <w:fldChar w:fldCharType="begin"/>
      </w:r>
      <w:r>
        <w:instrText xml:space="preserve"> PAGEREF _Toc9694 \h </w:instrText>
      </w:r>
      <w:r>
        <w:fldChar w:fldCharType="separate"/>
      </w:r>
      <w:r>
        <w:t>- 15 -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1"/>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_Toc21671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szCs w:val="21"/>
          <w:highlight w:val="none"/>
        </w:rPr>
        <w:t>20. 评审原则</w:t>
      </w:r>
      <w:r>
        <w:tab/>
      </w:r>
      <w:r>
        <w:fldChar w:fldCharType="begin"/>
      </w:r>
      <w:r>
        <w:instrText xml:space="preserve"> PAGEREF _Toc21671 \h </w:instrText>
      </w:r>
      <w:r>
        <w:fldChar w:fldCharType="separate"/>
      </w:r>
      <w:r>
        <w:t>- 15 -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1"/>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_Toc23297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szCs w:val="21"/>
          <w:highlight w:val="none"/>
        </w:rPr>
        <w:t>21. 评审程序及磋商要求</w:t>
      </w:r>
      <w:r>
        <w:tab/>
      </w:r>
      <w:r>
        <w:fldChar w:fldCharType="begin"/>
      </w:r>
      <w:r>
        <w:instrText xml:space="preserve"> PAGEREF _Toc23297 \h </w:instrText>
      </w:r>
      <w:r>
        <w:fldChar w:fldCharType="separate"/>
      </w:r>
      <w:r>
        <w:t>- 16 -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1"/>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_Toc1854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szCs w:val="21"/>
          <w:highlight w:val="none"/>
        </w:rPr>
        <w:t>22. 确定成交供应商</w:t>
      </w:r>
      <w:r>
        <w:tab/>
      </w:r>
      <w:r>
        <w:fldChar w:fldCharType="begin"/>
      </w:r>
      <w:r>
        <w:instrText xml:space="preserve"> PAGEREF _Toc1854 \h </w:instrText>
      </w:r>
      <w:r>
        <w:fldChar w:fldCharType="separate"/>
      </w:r>
      <w:r>
        <w:t>- 18 -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1"/>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_Toc7769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szCs w:val="21"/>
          <w:highlight w:val="none"/>
        </w:rPr>
        <w:t>23. 属于下列情况之一者，响应文件无效</w:t>
      </w:r>
      <w:r>
        <w:tab/>
      </w:r>
      <w:r>
        <w:fldChar w:fldCharType="begin"/>
      </w:r>
      <w:r>
        <w:instrText xml:space="preserve"> PAGEREF _Toc7769 \h </w:instrText>
      </w:r>
      <w:r>
        <w:fldChar w:fldCharType="separate"/>
      </w:r>
      <w:r>
        <w:t>- 19 -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1"/>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_Toc14472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szCs w:val="21"/>
          <w:highlight w:val="none"/>
        </w:rPr>
        <w:t>24. 出现下列情形之一的，采购人或者采购代理机构应当终止竞争性磋商采购活动，发布项目终止公告并说明原因，重新开展采购活动</w:t>
      </w:r>
      <w:r>
        <w:tab/>
      </w:r>
      <w:r>
        <w:fldChar w:fldCharType="begin"/>
      </w:r>
      <w:r>
        <w:instrText xml:space="preserve"> PAGEREF _Toc14472 \h </w:instrText>
      </w:r>
      <w:r>
        <w:fldChar w:fldCharType="separate"/>
      </w:r>
      <w:r>
        <w:t>- 19 -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1"/>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_Toc29354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szCs w:val="21"/>
          <w:highlight w:val="none"/>
        </w:rPr>
        <w:t>25. 磋商过程的监控</w:t>
      </w:r>
      <w:r>
        <w:tab/>
      </w:r>
      <w:r>
        <w:fldChar w:fldCharType="begin"/>
      </w:r>
      <w:r>
        <w:instrText xml:space="preserve"> PAGEREF _Toc29354 \h </w:instrText>
      </w:r>
      <w:r>
        <w:fldChar w:fldCharType="separate"/>
      </w:r>
      <w:r>
        <w:t>- 19 -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1"/>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_Toc29861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szCs w:val="21"/>
        </w:rPr>
        <w:t xml:space="preserve">26. </w:t>
      </w:r>
      <w:r>
        <w:rPr>
          <w:rFonts w:hint="eastAsia" w:ascii="宋体" w:hAnsi="宋体" w:eastAsia="宋体" w:cs="宋体"/>
          <w:szCs w:val="21"/>
          <w:highlight w:val="none"/>
        </w:rPr>
        <w:t>信用查询</w:t>
      </w:r>
      <w:r>
        <w:tab/>
      </w:r>
      <w:r>
        <w:fldChar w:fldCharType="begin"/>
      </w:r>
      <w:r>
        <w:instrText xml:space="preserve"> PAGEREF _Toc29861 \h </w:instrText>
      </w:r>
      <w:r>
        <w:fldChar w:fldCharType="separate"/>
      </w:r>
      <w:r>
        <w:t>- 19 -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1"/>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_Toc4267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szCs w:val="21"/>
          <w:highlight w:val="none"/>
        </w:rPr>
        <w:t>27. 成交结果公告及成交通知书</w:t>
      </w:r>
      <w:r>
        <w:tab/>
      </w:r>
      <w:r>
        <w:fldChar w:fldCharType="begin"/>
      </w:r>
      <w:r>
        <w:instrText xml:space="preserve"> PAGEREF _Toc4267 \h </w:instrText>
      </w:r>
      <w:r>
        <w:fldChar w:fldCharType="separate"/>
      </w:r>
      <w:r>
        <w:t>- 20 -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6"/>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_Toc21142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bCs w:val="0"/>
          <w:szCs w:val="28"/>
          <w:highlight w:val="none"/>
        </w:rPr>
        <w:t>五、签订合同</w:t>
      </w:r>
      <w:r>
        <w:tab/>
      </w:r>
      <w:r>
        <w:fldChar w:fldCharType="begin"/>
      </w:r>
      <w:r>
        <w:instrText xml:space="preserve"> PAGEREF _Toc21142 \h </w:instrText>
      </w:r>
      <w:r>
        <w:fldChar w:fldCharType="separate"/>
      </w:r>
      <w:r>
        <w:t>- 20 -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1"/>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_Toc15172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szCs w:val="21"/>
          <w:highlight w:val="none"/>
        </w:rPr>
        <w:t>28. 履约保证金</w:t>
      </w:r>
      <w:r>
        <w:tab/>
      </w:r>
      <w:r>
        <w:fldChar w:fldCharType="begin"/>
      </w:r>
      <w:r>
        <w:instrText xml:space="preserve"> PAGEREF _Toc15172 \h </w:instrText>
      </w:r>
      <w:r>
        <w:fldChar w:fldCharType="separate"/>
      </w:r>
      <w:r>
        <w:t>- 20 -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1"/>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_Toc22892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szCs w:val="21"/>
          <w:highlight w:val="none"/>
        </w:rPr>
        <w:t>29. 签订合同</w:t>
      </w:r>
      <w:r>
        <w:tab/>
      </w:r>
      <w:r>
        <w:fldChar w:fldCharType="begin"/>
      </w:r>
      <w:r>
        <w:instrText xml:space="preserve"> PAGEREF _Toc22892 \h </w:instrText>
      </w:r>
      <w:r>
        <w:fldChar w:fldCharType="separate"/>
      </w:r>
      <w:r>
        <w:t>- 20 -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6"/>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_Toc19337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bCs w:val="0"/>
          <w:szCs w:val="28"/>
          <w:highlight w:val="none"/>
        </w:rPr>
        <w:t>六、其他事项</w:t>
      </w:r>
      <w:r>
        <w:tab/>
      </w:r>
      <w:r>
        <w:fldChar w:fldCharType="begin"/>
      </w:r>
      <w:r>
        <w:instrText xml:space="preserve"> PAGEREF _Toc19337 \h </w:instrText>
      </w:r>
      <w:r>
        <w:fldChar w:fldCharType="separate"/>
      </w:r>
      <w:r>
        <w:t>- 21 -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1"/>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_Toc20450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szCs w:val="21"/>
          <w:highlight w:val="none"/>
        </w:rPr>
        <w:t>30. 采购代理服务费</w:t>
      </w:r>
      <w:r>
        <w:tab/>
      </w:r>
      <w:r>
        <w:fldChar w:fldCharType="begin"/>
      </w:r>
      <w:r>
        <w:instrText xml:space="preserve"> PAGEREF _Toc20450 \h </w:instrText>
      </w:r>
      <w:r>
        <w:fldChar w:fldCharType="separate"/>
      </w:r>
      <w:r>
        <w:t>- 21 -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1"/>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_Toc12665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szCs w:val="21"/>
          <w:highlight w:val="none"/>
        </w:rPr>
        <w:t>31. 解释权</w:t>
      </w:r>
      <w:r>
        <w:tab/>
      </w:r>
      <w:r>
        <w:fldChar w:fldCharType="begin"/>
      </w:r>
      <w:r>
        <w:instrText xml:space="preserve"> PAGEREF _Toc12665 \h </w:instrText>
      </w:r>
      <w:r>
        <w:fldChar w:fldCharType="separate"/>
      </w:r>
      <w:r>
        <w:t>- 21 -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1"/>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_Toc1218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szCs w:val="21"/>
          <w:highlight w:val="none"/>
        </w:rPr>
        <w:t>32. 监督管理机构</w:t>
      </w:r>
      <w:r>
        <w:tab/>
      </w:r>
      <w:r>
        <w:fldChar w:fldCharType="begin"/>
      </w:r>
      <w:r>
        <w:instrText xml:space="preserve"> PAGEREF _Toc1218 \h </w:instrText>
      </w:r>
      <w:r>
        <w:fldChar w:fldCharType="separate"/>
      </w:r>
      <w:r>
        <w:t>- 21 -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5"/>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_Toc5864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szCs w:val="32"/>
          <w:lang w:eastAsia="zh-CN"/>
        </w:rPr>
        <w:t>第三章</w:t>
      </w:r>
      <w:r>
        <w:rPr>
          <w:rFonts w:hint="eastAsia" w:ascii="宋体" w:hAnsi="宋体" w:eastAsia="宋体" w:cs="宋体"/>
          <w:szCs w:val="32"/>
        </w:rPr>
        <w:t xml:space="preserve"> 采购需求</w:t>
      </w:r>
      <w:r>
        <w:tab/>
      </w:r>
      <w:r>
        <w:fldChar w:fldCharType="begin"/>
      </w:r>
      <w:r>
        <w:instrText xml:space="preserve"> PAGEREF _Toc5864 \h </w:instrText>
      </w:r>
      <w:r>
        <w:fldChar w:fldCharType="separate"/>
      </w:r>
      <w:r>
        <w:t>- 22 -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5"/>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_Toc8161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szCs w:val="32"/>
          <w:lang w:eastAsia="zh-CN"/>
        </w:rPr>
        <w:t>第四章</w:t>
      </w:r>
      <w:r>
        <w:rPr>
          <w:rFonts w:hint="eastAsia" w:ascii="宋体" w:hAnsi="宋体" w:eastAsia="宋体" w:cs="宋体"/>
          <w:szCs w:val="32"/>
          <w:lang w:val="en-US" w:eastAsia="zh-CN"/>
        </w:rPr>
        <w:t xml:space="preserve"> </w:t>
      </w:r>
      <w:r>
        <w:rPr>
          <w:rFonts w:hint="eastAsia" w:ascii="宋体" w:hAnsi="宋体" w:eastAsia="宋体" w:cs="宋体"/>
          <w:szCs w:val="32"/>
        </w:rPr>
        <w:t>评审办法</w:t>
      </w:r>
      <w:r>
        <w:tab/>
      </w:r>
      <w:r>
        <w:fldChar w:fldCharType="begin"/>
      </w:r>
      <w:r>
        <w:instrText xml:space="preserve"> PAGEREF _Toc8161 \h </w:instrText>
      </w:r>
      <w:r>
        <w:fldChar w:fldCharType="separate"/>
      </w:r>
      <w:r>
        <w:t>- 75 -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5"/>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_Toc23657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szCs w:val="32"/>
          <w:lang w:eastAsia="zh-CN"/>
        </w:rPr>
        <w:t>第五章</w:t>
      </w:r>
      <w:r>
        <w:rPr>
          <w:rFonts w:hint="eastAsia" w:ascii="宋体" w:hAnsi="宋体" w:eastAsia="宋体" w:cs="宋体"/>
          <w:szCs w:val="32"/>
          <w:lang w:val="en-US" w:eastAsia="zh-CN"/>
        </w:rPr>
        <w:t xml:space="preserve"> </w:t>
      </w:r>
      <w:r>
        <w:rPr>
          <w:rFonts w:hint="eastAsia" w:ascii="宋体" w:hAnsi="宋体" w:eastAsia="宋体" w:cs="宋体"/>
          <w:szCs w:val="32"/>
        </w:rPr>
        <w:t>采购合同（合同主要条款及格式）</w:t>
      </w:r>
      <w:r>
        <w:tab/>
      </w:r>
      <w:r>
        <w:fldChar w:fldCharType="begin"/>
      </w:r>
      <w:r>
        <w:instrText xml:space="preserve"> PAGEREF _Toc23657 \h </w:instrText>
      </w:r>
      <w:r>
        <w:fldChar w:fldCharType="separate"/>
      </w:r>
      <w:r>
        <w:t>- 81 -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6"/>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_Toc8039 </w:instrText>
      </w:r>
      <w:r>
        <w:rPr>
          <w:rFonts w:hint="eastAsia" w:ascii="宋体" w:hAnsi="宋体" w:eastAsia="宋体" w:cs="宋体"/>
          <w:bCs/>
          <w:kern w:val="2"/>
          <w:szCs w:val="24"/>
          <w:lang w:val="zh-CN" w:eastAsia="zh-CN" w:bidi="ar-SA"/>
        </w:rPr>
        <w:fldChar w:fldCharType="separate"/>
      </w:r>
      <w:r>
        <w:rPr>
          <w:rFonts w:hint="eastAsia" w:ascii="宋体" w:hAnsi="宋体" w:cs="宋体"/>
          <w:szCs w:val="21"/>
        </w:rPr>
        <w:t>第一条  合同标的及合同金额</w:t>
      </w:r>
      <w:r>
        <w:tab/>
      </w:r>
      <w:r>
        <w:fldChar w:fldCharType="begin"/>
      </w:r>
      <w:r>
        <w:instrText xml:space="preserve"> PAGEREF _Toc8039 \h </w:instrText>
      </w:r>
      <w:r>
        <w:fldChar w:fldCharType="separate"/>
      </w:r>
      <w:r>
        <w:t>- 81 -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6"/>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_Toc12248 </w:instrText>
      </w:r>
      <w:r>
        <w:rPr>
          <w:rFonts w:hint="eastAsia" w:ascii="宋体" w:hAnsi="宋体" w:eastAsia="宋体" w:cs="宋体"/>
          <w:bCs/>
          <w:kern w:val="2"/>
          <w:szCs w:val="24"/>
          <w:lang w:val="zh-CN" w:eastAsia="zh-CN" w:bidi="ar-SA"/>
        </w:rPr>
        <w:fldChar w:fldCharType="separate"/>
      </w:r>
      <w:r>
        <w:rPr>
          <w:rFonts w:hint="eastAsia" w:ascii="宋体" w:hAnsi="宋体" w:cs="宋体"/>
          <w:szCs w:val="21"/>
        </w:rPr>
        <w:t>第二条  质量保证</w:t>
      </w:r>
      <w:r>
        <w:tab/>
      </w:r>
      <w:r>
        <w:fldChar w:fldCharType="begin"/>
      </w:r>
      <w:r>
        <w:instrText xml:space="preserve"> PAGEREF _Toc12248 \h </w:instrText>
      </w:r>
      <w:r>
        <w:fldChar w:fldCharType="separate"/>
      </w:r>
      <w:r>
        <w:t>- 81 -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6"/>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_Toc26807 </w:instrText>
      </w:r>
      <w:r>
        <w:rPr>
          <w:rFonts w:hint="eastAsia" w:ascii="宋体" w:hAnsi="宋体" w:eastAsia="宋体" w:cs="宋体"/>
          <w:bCs/>
          <w:kern w:val="2"/>
          <w:szCs w:val="24"/>
          <w:lang w:val="zh-CN" w:eastAsia="zh-CN" w:bidi="ar-SA"/>
        </w:rPr>
        <w:fldChar w:fldCharType="separate"/>
      </w:r>
      <w:r>
        <w:rPr>
          <w:rFonts w:hint="eastAsia" w:ascii="宋体" w:hAnsi="宋体" w:cs="宋体"/>
          <w:szCs w:val="21"/>
        </w:rPr>
        <w:t>第三条  权利保证</w:t>
      </w:r>
      <w:r>
        <w:tab/>
      </w:r>
      <w:r>
        <w:fldChar w:fldCharType="begin"/>
      </w:r>
      <w:r>
        <w:instrText xml:space="preserve"> PAGEREF _Toc26807 \h </w:instrText>
      </w:r>
      <w:r>
        <w:fldChar w:fldCharType="separate"/>
      </w:r>
      <w:r>
        <w:t>- 81 -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6"/>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_Toc23611 </w:instrText>
      </w:r>
      <w:r>
        <w:rPr>
          <w:rFonts w:hint="eastAsia" w:ascii="宋体" w:hAnsi="宋体" w:eastAsia="宋体" w:cs="宋体"/>
          <w:bCs/>
          <w:kern w:val="2"/>
          <w:szCs w:val="24"/>
          <w:lang w:val="zh-CN" w:eastAsia="zh-CN" w:bidi="ar-SA"/>
        </w:rPr>
        <w:fldChar w:fldCharType="separate"/>
      </w:r>
      <w:r>
        <w:rPr>
          <w:rFonts w:hint="eastAsia" w:ascii="宋体" w:hAnsi="宋体" w:cs="宋体"/>
          <w:szCs w:val="21"/>
        </w:rPr>
        <w:t>第四条  货物包装、运输</w:t>
      </w:r>
      <w:r>
        <w:tab/>
      </w:r>
      <w:r>
        <w:fldChar w:fldCharType="begin"/>
      </w:r>
      <w:r>
        <w:instrText xml:space="preserve"> PAGEREF _Toc23611 \h </w:instrText>
      </w:r>
      <w:r>
        <w:fldChar w:fldCharType="separate"/>
      </w:r>
      <w:r>
        <w:t>- 81 -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6"/>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_Toc20794 </w:instrText>
      </w:r>
      <w:r>
        <w:rPr>
          <w:rFonts w:hint="eastAsia" w:ascii="宋体" w:hAnsi="宋体" w:eastAsia="宋体" w:cs="宋体"/>
          <w:bCs/>
          <w:kern w:val="2"/>
          <w:szCs w:val="24"/>
          <w:lang w:val="zh-CN" w:eastAsia="zh-CN" w:bidi="ar-SA"/>
        </w:rPr>
        <w:fldChar w:fldCharType="separate"/>
      </w:r>
      <w:r>
        <w:rPr>
          <w:rFonts w:hint="eastAsia" w:ascii="宋体" w:hAnsi="宋体" w:cs="宋体"/>
          <w:szCs w:val="21"/>
          <w:lang w:val="en-US" w:eastAsia="zh-CN"/>
        </w:rPr>
        <w:t>第五条  交付</w:t>
      </w:r>
      <w:r>
        <w:tab/>
      </w:r>
      <w:r>
        <w:fldChar w:fldCharType="begin"/>
      </w:r>
      <w:r>
        <w:instrText xml:space="preserve"> PAGEREF _Toc20794 \h </w:instrText>
      </w:r>
      <w:r>
        <w:fldChar w:fldCharType="separate"/>
      </w:r>
      <w:r>
        <w:t>- 82 -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6"/>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_Toc17868 </w:instrText>
      </w:r>
      <w:r>
        <w:rPr>
          <w:rFonts w:hint="eastAsia" w:ascii="宋体" w:hAnsi="宋体" w:eastAsia="宋体" w:cs="宋体"/>
          <w:bCs/>
          <w:kern w:val="2"/>
          <w:szCs w:val="24"/>
          <w:lang w:val="zh-CN" w:eastAsia="zh-CN" w:bidi="ar-SA"/>
        </w:rPr>
        <w:fldChar w:fldCharType="separate"/>
      </w:r>
      <w:r>
        <w:rPr>
          <w:rFonts w:hint="eastAsia" w:ascii="宋体" w:hAnsi="宋体" w:cs="宋体"/>
          <w:szCs w:val="21"/>
        </w:rPr>
        <w:t>第六条 调试和验收</w:t>
      </w:r>
      <w:r>
        <w:tab/>
      </w:r>
      <w:r>
        <w:fldChar w:fldCharType="begin"/>
      </w:r>
      <w:r>
        <w:instrText xml:space="preserve"> PAGEREF _Toc17868 \h </w:instrText>
      </w:r>
      <w:r>
        <w:fldChar w:fldCharType="separate"/>
      </w:r>
      <w:r>
        <w:t>- 82 -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6"/>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_Toc26326 </w:instrText>
      </w:r>
      <w:r>
        <w:rPr>
          <w:rFonts w:hint="eastAsia" w:ascii="宋体" w:hAnsi="宋体" w:eastAsia="宋体" w:cs="宋体"/>
          <w:bCs/>
          <w:kern w:val="2"/>
          <w:szCs w:val="24"/>
          <w:lang w:val="zh-CN" w:eastAsia="zh-CN" w:bidi="ar-SA"/>
        </w:rPr>
        <w:fldChar w:fldCharType="separate"/>
      </w:r>
      <w:r>
        <w:rPr>
          <w:rFonts w:hint="eastAsia" w:ascii="宋体" w:hAnsi="宋体" w:cs="宋体"/>
          <w:szCs w:val="21"/>
        </w:rPr>
        <w:t>第七条  安装和培训</w:t>
      </w:r>
      <w:r>
        <w:tab/>
      </w:r>
      <w:r>
        <w:fldChar w:fldCharType="begin"/>
      </w:r>
      <w:r>
        <w:instrText xml:space="preserve"> PAGEREF _Toc26326 \h </w:instrText>
      </w:r>
      <w:r>
        <w:fldChar w:fldCharType="separate"/>
      </w:r>
      <w:r>
        <w:t>- 82 -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6"/>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_Toc23334 </w:instrText>
      </w:r>
      <w:r>
        <w:rPr>
          <w:rFonts w:hint="eastAsia" w:ascii="宋体" w:hAnsi="宋体" w:eastAsia="宋体" w:cs="宋体"/>
          <w:bCs/>
          <w:kern w:val="2"/>
          <w:szCs w:val="24"/>
          <w:lang w:val="zh-CN" w:eastAsia="zh-CN" w:bidi="ar-SA"/>
        </w:rPr>
        <w:fldChar w:fldCharType="separate"/>
      </w:r>
      <w:r>
        <w:rPr>
          <w:rFonts w:hint="eastAsia" w:ascii="宋体" w:hAnsi="宋体" w:cs="宋体"/>
          <w:szCs w:val="21"/>
        </w:rPr>
        <w:t>第八条  售后服务、保修期</w:t>
      </w:r>
      <w:r>
        <w:tab/>
      </w:r>
      <w:r>
        <w:fldChar w:fldCharType="begin"/>
      </w:r>
      <w:r>
        <w:instrText xml:space="preserve"> PAGEREF _Toc23334 \h </w:instrText>
      </w:r>
      <w:r>
        <w:fldChar w:fldCharType="separate"/>
      </w:r>
      <w:r>
        <w:t>- 82 -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6"/>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_Toc15585 </w:instrText>
      </w:r>
      <w:r>
        <w:rPr>
          <w:rFonts w:hint="eastAsia" w:ascii="宋体" w:hAnsi="宋体" w:eastAsia="宋体" w:cs="宋体"/>
          <w:bCs/>
          <w:kern w:val="2"/>
          <w:szCs w:val="24"/>
          <w:lang w:val="zh-CN" w:eastAsia="zh-CN" w:bidi="ar-SA"/>
        </w:rPr>
        <w:fldChar w:fldCharType="separate"/>
      </w:r>
      <w:r>
        <w:rPr>
          <w:rFonts w:hint="eastAsia" w:ascii="宋体" w:hAnsi="宋体" w:cs="宋体"/>
          <w:szCs w:val="21"/>
        </w:rPr>
        <w:t>第九条  税费</w:t>
      </w:r>
      <w:r>
        <w:tab/>
      </w:r>
      <w:r>
        <w:fldChar w:fldCharType="begin"/>
      </w:r>
      <w:r>
        <w:instrText xml:space="preserve"> PAGEREF _Toc15585 \h </w:instrText>
      </w:r>
      <w:r>
        <w:fldChar w:fldCharType="separate"/>
      </w:r>
      <w:r>
        <w:t>- 83 -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6"/>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_Toc19679 </w:instrText>
      </w:r>
      <w:r>
        <w:rPr>
          <w:rFonts w:hint="eastAsia" w:ascii="宋体" w:hAnsi="宋体" w:eastAsia="宋体" w:cs="宋体"/>
          <w:bCs/>
          <w:kern w:val="2"/>
          <w:szCs w:val="24"/>
          <w:lang w:val="zh-CN" w:eastAsia="zh-CN" w:bidi="ar-SA"/>
        </w:rPr>
        <w:fldChar w:fldCharType="separate"/>
      </w:r>
      <w:r>
        <w:rPr>
          <w:rFonts w:hint="eastAsia" w:ascii="宋体" w:hAnsi="宋体" w:cs="宋体"/>
          <w:szCs w:val="21"/>
        </w:rPr>
        <w:t>第十条 付款方式</w:t>
      </w:r>
      <w:r>
        <w:tab/>
      </w:r>
      <w:r>
        <w:fldChar w:fldCharType="begin"/>
      </w:r>
      <w:r>
        <w:instrText xml:space="preserve"> PAGEREF _Toc19679 \h </w:instrText>
      </w:r>
      <w:r>
        <w:fldChar w:fldCharType="separate"/>
      </w:r>
      <w:r>
        <w:t>- 83 -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6"/>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_Toc27076 </w:instrText>
      </w:r>
      <w:r>
        <w:rPr>
          <w:rFonts w:hint="eastAsia" w:ascii="宋体" w:hAnsi="宋体" w:eastAsia="宋体" w:cs="宋体"/>
          <w:bCs/>
          <w:kern w:val="2"/>
          <w:szCs w:val="24"/>
          <w:lang w:val="zh-CN" w:eastAsia="zh-CN" w:bidi="ar-SA"/>
        </w:rPr>
        <w:fldChar w:fldCharType="separate"/>
      </w:r>
      <w:r>
        <w:rPr>
          <w:rFonts w:hint="eastAsia" w:ascii="宋体" w:hAnsi="宋体" w:cs="宋体"/>
          <w:szCs w:val="21"/>
        </w:rPr>
        <w:t>第十一条  违约责任</w:t>
      </w:r>
      <w:r>
        <w:tab/>
      </w:r>
      <w:r>
        <w:fldChar w:fldCharType="begin"/>
      </w:r>
      <w:r>
        <w:instrText xml:space="preserve"> PAGEREF _Toc27076 \h </w:instrText>
      </w:r>
      <w:r>
        <w:fldChar w:fldCharType="separate"/>
      </w:r>
      <w:r>
        <w:t>- 83 -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6"/>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_Toc10024 </w:instrText>
      </w:r>
      <w:r>
        <w:rPr>
          <w:rFonts w:hint="eastAsia" w:ascii="宋体" w:hAnsi="宋体" w:eastAsia="宋体" w:cs="宋体"/>
          <w:bCs/>
          <w:kern w:val="2"/>
          <w:szCs w:val="24"/>
          <w:lang w:val="zh-CN" w:eastAsia="zh-CN" w:bidi="ar-SA"/>
        </w:rPr>
        <w:fldChar w:fldCharType="separate"/>
      </w:r>
      <w:r>
        <w:rPr>
          <w:rFonts w:hint="eastAsia" w:ascii="宋体" w:hAnsi="宋体" w:cs="宋体"/>
          <w:szCs w:val="21"/>
        </w:rPr>
        <w:t>第十二条  不可抗力事件处理</w:t>
      </w:r>
      <w:r>
        <w:tab/>
      </w:r>
      <w:r>
        <w:fldChar w:fldCharType="begin"/>
      </w:r>
      <w:r>
        <w:instrText xml:space="preserve"> PAGEREF _Toc10024 \h </w:instrText>
      </w:r>
      <w:r>
        <w:fldChar w:fldCharType="separate"/>
      </w:r>
      <w:r>
        <w:t>- 83 -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6"/>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_Toc690 </w:instrText>
      </w:r>
      <w:r>
        <w:rPr>
          <w:rFonts w:hint="eastAsia" w:ascii="宋体" w:hAnsi="宋体" w:eastAsia="宋体" w:cs="宋体"/>
          <w:bCs/>
          <w:kern w:val="2"/>
          <w:szCs w:val="24"/>
          <w:lang w:val="zh-CN" w:eastAsia="zh-CN" w:bidi="ar-SA"/>
        </w:rPr>
        <w:fldChar w:fldCharType="separate"/>
      </w:r>
      <w:r>
        <w:rPr>
          <w:rFonts w:hint="eastAsia" w:ascii="宋体" w:hAnsi="宋体" w:cs="宋体"/>
          <w:szCs w:val="21"/>
        </w:rPr>
        <w:t>第十三条  合同争议解决</w:t>
      </w:r>
      <w:r>
        <w:tab/>
      </w:r>
      <w:r>
        <w:fldChar w:fldCharType="begin"/>
      </w:r>
      <w:r>
        <w:instrText xml:space="preserve"> PAGEREF _Toc690 \h </w:instrText>
      </w:r>
      <w:r>
        <w:fldChar w:fldCharType="separate"/>
      </w:r>
      <w:r>
        <w:t>- 83 -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6"/>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_Toc1313 </w:instrText>
      </w:r>
      <w:r>
        <w:rPr>
          <w:rFonts w:hint="eastAsia" w:ascii="宋体" w:hAnsi="宋体" w:eastAsia="宋体" w:cs="宋体"/>
          <w:bCs/>
          <w:kern w:val="2"/>
          <w:szCs w:val="24"/>
          <w:lang w:val="zh-CN" w:eastAsia="zh-CN" w:bidi="ar-SA"/>
        </w:rPr>
        <w:fldChar w:fldCharType="separate"/>
      </w:r>
      <w:r>
        <w:rPr>
          <w:rFonts w:hint="eastAsia" w:ascii="宋体" w:hAnsi="宋体" w:cs="宋体"/>
          <w:szCs w:val="21"/>
        </w:rPr>
        <w:t>第十四条  合同生效及其它</w:t>
      </w:r>
      <w:r>
        <w:tab/>
      </w:r>
      <w:r>
        <w:fldChar w:fldCharType="begin"/>
      </w:r>
      <w:r>
        <w:instrText xml:space="preserve"> PAGEREF _Toc1313 \h </w:instrText>
      </w:r>
      <w:r>
        <w:fldChar w:fldCharType="separate"/>
      </w:r>
      <w:r>
        <w:t>- 84 -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6"/>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_Toc3615 </w:instrText>
      </w:r>
      <w:r>
        <w:rPr>
          <w:rFonts w:hint="eastAsia" w:ascii="宋体" w:hAnsi="宋体" w:eastAsia="宋体" w:cs="宋体"/>
          <w:bCs/>
          <w:kern w:val="2"/>
          <w:szCs w:val="24"/>
          <w:lang w:val="zh-CN" w:eastAsia="zh-CN" w:bidi="ar-SA"/>
        </w:rPr>
        <w:fldChar w:fldCharType="separate"/>
      </w:r>
      <w:r>
        <w:rPr>
          <w:rFonts w:hint="eastAsia" w:ascii="宋体" w:hAnsi="宋体" w:cs="宋体"/>
          <w:szCs w:val="21"/>
        </w:rPr>
        <w:t>第十五条  合同的变更、终止与转让</w:t>
      </w:r>
      <w:r>
        <w:tab/>
      </w:r>
      <w:r>
        <w:fldChar w:fldCharType="begin"/>
      </w:r>
      <w:r>
        <w:instrText xml:space="preserve"> PAGEREF _Toc3615 \h </w:instrText>
      </w:r>
      <w:r>
        <w:fldChar w:fldCharType="separate"/>
      </w:r>
      <w:r>
        <w:t>- 84 -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6"/>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_Toc5115 </w:instrText>
      </w:r>
      <w:r>
        <w:rPr>
          <w:rFonts w:hint="eastAsia" w:ascii="宋体" w:hAnsi="宋体" w:eastAsia="宋体" w:cs="宋体"/>
          <w:bCs/>
          <w:kern w:val="2"/>
          <w:szCs w:val="24"/>
          <w:lang w:val="zh-CN" w:eastAsia="zh-CN" w:bidi="ar-SA"/>
        </w:rPr>
        <w:fldChar w:fldCharType="separate"/>
      </w:r>
      <w:r>
        <w:rPr>
          <w:rFonts w:hint="eastAsia" w:ascii="宋体" w:hAnsi="宋体" w:cs="宋体"/>
          <w:szCs w:val="21"/>
        </w:rPr>
        <w:t>第十六条  签订本合同依据</w:t>
      </w:r>
      <w:r>
        <w:tab/>
      </w:r>
      <w:r>
        <w:fldChar w:fldCharType="begin"/>
      </w:r>
      <w:r>
        <w:instrText xml:space="preserve"> PAGEREF _Toc5115 \h </w:instrText>
      </w:r>
      <w:r>
        <w:fldChar w:fldCharType="separate"/>
      </w:r>
      <w:r>
        <w:t>- 84 -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16"/>
        <w:tabs>
          <w:tab w:val="right" w:leader="dot" w:pos="10194"/>
        </w:tabs>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begin"/>
      </w:r>
      <w:r>
        <w:rPr>
          <w:rFonts w:hint="eastAsia" w:ascii="宋体" w:hAnsi="宋体" w:eastAsia="宋体" w:cs="宋体"/>
          <w:bCs/>
          <w:kern w:val="2"/>
          <w:szCs w:val="24"/>
          <w:lang w:val="zh-CN" w:eastAsia="zh-CN" w:bidi="ar-SA"/>
        </w:rPr>
        <w:instrText xml:space="preserve"> HYPERLINK \l _Toc27348 </w:instrText>
      </w:r>
      <w:r>
        <w:rPr>
          <w:rFonts w:hint="eastAsia" w:ascii="宋体" w:hAnsi="宋体" w:eastAsia="宋体" w:cs="宋体"/>
          <w:bCs/>
          <w:kern w:val="2"/>
          <w:szCs w:val="24"/>
          <w:lang w:val="zh-CN" w:eastAsia="zh-CN" w:bidi="ar-SA"/>
        </w:rPr>
        <w:fldChar w:fldCharType="separate"/>
      </w:r>
      <w:r>
        <w:rPr>
          <w:rFonts w:hint="eastAsia" w:ascii="宋体" w:hAnsi="宋体" w:eastAsia="宋体" w:cs="宋体"/>
          <w:bCs/>
          <w:kern w:val="44"/>
          <w:szCs w:val="32"/>
        </w:rPr>
        <w:t xml:space="preserve">第六章  </w:t>
      </w:r>
      <w:r>
        <w:rPr>
          <w:rFonts w:hint="eastAsia" w:ascii="宋体" w:hAnsi="宋体" w:eastAsia="宋体" w:cs="宋体"/>
          <w:bCs/>
          <w:szCs w:val="32"/>
          <w:highlight w:val="none"/>
        </w:rPr>
        <w:t>响应文件（格式）</w:t>
      </w:r>
      <w:r>
        <w:tab/>
      </w:r>
      <w:r>
        <w:fldChar w:fldCharType="begin"/>
      </w:r>
      <w:r>
        <w:instrText xml:space="preserve"> PAGEREF _Toc27348 \h </w:instrText>
      </w:r>
      <w:r>
        <w:fldChar w:fldCharType="separate"/>
      </w:r>
      <w:r>
        <w:t>- 85 -</w:t>
      </w:r>
      <w:r>
        <w:fldChar w:fldCharType="end"/>
      </w: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jc w:val="center"/>
        <w:rPr>
          <w:rFonts w:hint="eastAsia" w:ascii="宋体" w:hAnsi="宋体" w:eastAsia="宋体" w:cs="宋体"/>
          <w:bCs/>
          <w:color w:val="000000" w:themeColor="text1"/>
          <w:kern w:val="2"/>
          <w:szCs w:val="24"/>
          <w:lang w:val="zh-CN" w:eastAsia="zh-CN" w:bidi="ar-SA"/>
          <w14:textFill>
            <w14:solidFill>
              <w14:schemeClr w14:val="tx1"/>
            </w14:solidFill>
          </w14:textFill>
        </w:rPr>
      </w:pPr>
      <w:r>
        <w:rPr>
          <w:rFonts w:hint="eastAsia" w:ascii="宋体" w:hAnsi="宋体" w:eastAsia="宋体" w:cs="宋体"/>
          <w:bCs/>
          <w:color w:val="000000" w:themeColor="text1"/>
          <w:kern w:val="2"/>
          <w:szCs w:val="24"/>
          <w:lang w:val="zh-CN" w:eastAsia="zh-CN" w:bidi="ar-SA"/>
          <w14:textFill>
            <w14:solidFill>
              <w14:schemeClr w14:val="tx1"/>
            </w14:solidFill>
          </w14:textFill>
        </w:rPr>
        <w:fldChar w:fldCharType="end"/>
      </w:r>
    </w:p>
    <w:p>
      <w:pPr>
        <w:pStyle w:val="2"/>
        <w:rPr>
          <w:rFonts w:hint="eastAsia" w:ascii="宋体" w:hAnsi="宋体" w:eastAsia="宋体" w:cs="宋体"/>
          <w:bCs/>
          <w:color w:val="000000" w:themeColor="text1"/>
          <w:kern w:val="2"/>
          <w:szCs w:val="24"/>
          <w:lang w:val="zh-CN" w:eastAsia="zh-CN" w:bidi="ar-SA"/>
          <w14:textFill>
            <w14:solidFill>
              <w14:schemeClr w14:val="tx1"/>
            </w14:solidFill>
          </w14:textFill>
        </w:rPr>
      </w:pPr>
    </w:p>
    <w:p>
      <w:pPr>
        <w:pStyle w:val="2"/>
        <w:rPr>
          <w:rFonts w:hint="eastAsia" w:ascii="宋体" w:hAnsi="宋体" w:eastAsia="宋体" w:cs="宋体"/>
          <w:bCs/>
          <w:color w:val="000000" w:themeColor="text1"/>
          <w:kern w:val="2"/>
          <w:szCs w:val="24"/>
          <w:lang w:val="zh-CN" w:eastAsia="zh-CN" w:bidi="ar-SA"/>
          <w14:textFill>
            <w14:solidFill>
              <w14:schemeClr w14:val="tx1"/>
            </w14:solidFill>
          </w14:textFill>
        </w:rPr>
      </w:pPr>
    </w:p>
    <w:p>
      <w:pPr>
        <w:pStyle w:val="2"/>
        <w:rPr>
          <w:rFonts w:hint="eastAsia" w:ascii="宋体" w:hAnsi="宋体" w:eastAsia="宋体" w:cs="宋体"/>
          <w:bCs/>
          <w:color w:val="000000" w:themeColor="text1"/>
          <w:kern w:val="2"/>
          <w:szCs w:val="24"/>
          <w:lang w:val="zh-CN" w:eastAsia="zh-CN" w:bidi="ar-SA"/>
          <w14:textFill>
            <w14:solidFill>
              <w14:schemeClr w14:val="tx1"/>
            </w14:solidFill>
          </w14:textFill>
        </w:rPr>
      </w:pPr>
    </w:p>
    <w:p>
      <w:pPr>
        <w:pStyle w:val="2"/>
        <w:rPr>
          <w:rFonts w:hint="eastAsia" w:ascii="宋体" w:hAnsi="宋体" w:eastAsia="宋体" w:cs="宋体"/>
          <w:bCs/>
          <w:color w:val="000000" w:themeColor="text1"/>
          <w:kern w:val="2"/>
          <w:szCs w:val="24"/>
          <w:lang w:val="zh-CN" w:eastAsia="zh-CN" w:bidi="ar-SA"/>
          <w14:textFill>
            <w14:solidFill>
              <w14:schemeClr w14:val="tx1"/>
            </w14:solidFill>
          </w14:textFill>
        </w:rPr>
      </w:pPr>
    </w:p>
    <w:p>
      <w:pPr>
        <w:pStyle w:val="2"/>
        <w:rPr>
          <w:rFonts w:hint="eastAsia" w:ascii="宋体" w:hAnsi="宋体" w:eastAsia="宋体" w:cs="宋体"/>
          <w:bCs/>
          <w:color w:val="000000" w:themeColor="text1"/>
          <w:kern w:val="2"/>
          <w:szCs w:val="24"/>
          <w:lang w:val="zh-CN" w:eastAsia="zh-CN" w:bidi="ar-SA"/>
          <w14:textFill>
            <w14:solidFill>
              <w14:schemeClr w14:val="tx1"/>
            </w14:solidFill>
          </w14:textFill>
        </w:rPr>
      </w:pPr>
    </w:p>
    <w:p>
      <w:pPr>
        <w:pStyle w:val="2"/>
        <w:rPr>
          <w:rFonts w:hint="eastAsia" w:ascii="宋体" w:hAnsi="宋体" w:eastAsia="宋体" w:cs="宋体"/>
          <w:bCs/>
          <w:color w:val="000000" w:themeColor="text1"/>
          <w:kern w:val="2"/>
          <w:szCs w:val="24"/>
          <w:lang w:val="zh-CN" w:eastAsia="zh-CN" w:bidi="ar-SA"/>
          <w14:textFill>
            <w14:solidFill>
              <w14:schemeClr w14:val="tx1"/>
            </w14:solidFill>
          </w14:textFill>
        </w:rPr>
      </w:pPr>
    </w:p>
    <w:p>
      <w:pPr>
        <w:pStyle w:val="2"/>
        <w:rPr>
          <w:rFonts w:hint="eastAsia" w:ascii="宋体" w:hAnsi="宋体" w:eastAsia="宋体" w:cs="宋体"/>
          <w:bCs/>
          <w:color w:val="000000" w:themeColor="text1"/>
          <w:kern w:val="2"/>
          <w:szCs w:val="24"/>
          <w:lang w:val="zh-CN" w:eastAsia="zh-CN" w:bidi="ar-SA"/>
          <w14:textFill>
            <w14:solidFill>
              <w14:schemeClr w14:val="tx1"/>
            </w14:solidFill>
          </w14:textFill>
        </w:rPr>
      </w:pPr>
    </w:p>
    <w:p>
      <w:pPr>
        <w:pStyle w:val="2"/>
        <w:rPr>
          <w:rFonts w:hint="eastAsia" w:ascii="宋体" w:hAnsi="宋体" w:eastAsia="宋体" w:cs="宋体"/>
          <w:bCs/>
          <w:color w:val="000000" w:themeColor="text1"/>
          <w:kern w:val="2"/>
          <w:szCs w:val="24"/>
          <w:lang w:val="zh-CN" w:eastAsia="zh-CN" w:bidi="ar-SA"/>
          <w14:textFill>
            <w14:solidFill>
              <w14:schemeClr w14:val="tx1"/>
            </w14:solidFill>
          </w14:textFill>
        </w:rPr>
      </w:pPr>
    </w:p>
    <w:p>
      <w:pPr>
        <w:pStyle w:val="2"/>
        <w:rPr>
          <w:rFonts w:hint="eastAsia" w:ascii="宋体" w:hAnsi="宋体" w:eastAsia="宋体" w:cs="宋体"/>
          <w:bCs/>
          <w:color w:val="000000" w:themeColor="text1"/>
          <w:kern w:val="2"/>
          <w:szCs w:val="24"/>
          <w:lang w:val="zh-CN" w:eastAsia="zh-CN" w:bidi="ar-SA"/>
          <w14:textFill>
            <w14:solidFill>
              <w14:schemeClr w14:val="tx1"/>
            </w14:solidFill>
          </w14:textFill>
        </w:rPr>
      </w:pPr>
    </w:p>
    <w:p>
      <w:pPr>
        <w:pStyle w:val="2"/>
        <w:rPr>
          <w:rFonts w:hint="eastAsia" w:ascii="宋体" w:hAnsi="宋体" w:eastAsia="宋体" w:cs="宋体"/>
          <w:bCs/>
          <w:color w:val="000000" w:themeColor="text1"/>
          <w:kern w:val="2"/>
          <w:szCs w:val="24"/>
          <w:lang w:val="zh-CN" w:eastAsia="zh-CN" w:bidi="ar-SA"/>
          <w14:textFill>
            <w14:solidFill>
              <w14:schemeClr w14:val="tx1"/>
            </w14:solidFill>
          </w14:textFill>
        </w:rPr>
      </w:pPr>
    </w:p>
    <w:p>
      <w:pPr>
        <w:pStyle w:val="2"/>
        <w:rPr>
          <w:rFonts w:hint="eastAsia" w:ascii="宋体" w:hAnsi="宋体" w:eastAsia="宋体" w:cs="宋体"/>
          <w:bCs/>
          <w:color w:val="000000" w:themeColor="text1"/>
          <w:kern w:val="2"/>
          <w:szCs w:val="24"/>
          <w:lang w:val="zh-CN" w:eastAsia="zh-CN" w:bidi="ar-SA"/>
          <w14:textFill>
            <w14:solidFill>
              <w14:schemeClr w14:val="tx1"/>
            </w14:solidFill>
          </w14:textFill>
        </w:rPr>
      </w:pPr>
    </w:p>
    <w:p>
      <w:pPr>
        <w:pStyle w:val="2"/>
        <w:rPr>
          <w:rFonts w:hint="eastAsia" w:ascii="宋体" w:hAnsi="宋体" w:eastAsia="宋体" w:cs="宋体"/>
          <w:bCs/>
          <w:color w:val="000000" w:themeColor="text1"/>
          <w:kern w:val="2"/>
          <w:szCs w:val="24"/>
          <w:lang w:val="zh-CN" w:eastAsia="zh-CN" w:bidi="ar-SA"/>
          <w14:textFill>
            <w14:solidFill>
              <w14:schemeClr w14:val="tx1"/>
            </w14:solidFill>
          </w14:textFill>
        </w:rPr>
      </w:pPr>
    </w:p>
    <w:p>
      <w:pPr>
        <w:pStyle w:val="2"/>
        <w:rPr>
          <w:rFonts w:hint="eastAsia" w:ascii="宋体" w:hAnsi="宋体" w:eastAsia="宋体" w:cs="宋体"/>
          <w:bCs/>
          <w:color w:val="000000" w:themeColor="text1"/>
          <w:kern w:val="2"/>
          <w:szCs w:val="24"/>
          <w:lang w:val="zh-CN" w:eastAsia="zh-CN" w:bidi="ar-SA"/>
          <w14:textFill>
            <w14:solidFill>
              <w14:schemeClr w14:val="tx1"/>
            </w14:solidFill>
          </w14:textFill>
        </w:rPr>
      </w:pPr>
    </w:p>
    <w:p>
      <w:pPr>
        <w:pStyle w:val="3"/>
        <w:numPr>
          <w:ilvl w:val="0"/>
          <w:numId w:val="1"/>
        </w:numPr>
        <w:tabs>
          <w:tab w:val="left" w:pos="0"/>
        </w:tabs>
        <w:autoSpaceDE w:val="0"/>
        <w:autoSpaceDN w:val="0"/>
        <w:adjustRightInd w:val="0"/>
        <w:spacing w:before="0" w:after="0" w:line="360" w:lineRule="auto"/>
        <w:ind w:firstLine="425"/>
        <w:jc w:val="center"/>
        <w:rPr>
          <w:rFonts w:hint="eastAsia" w:ascii="宋体" w:hAnsi="宋体" w:eastAsia="宋体" w:cs="宋体"/>
          <w:color w:val="000000" w:themeColor="text1"/>
          <w:sz w:val="32"/>
          <w:szCs w:val="32"/>
          <w14:textFill>
            <w14:solidFill>
              <w14:schemeClr w14:val="tx1"/>
            </w14:solidFill>
          </w14:textFill>
        </w:rPr>
        <w:sectPr>
          <w:headerReference r:id="rId5" w:type="default"/>
          <w:footerReference r:id="rId6" w:type="default"/>
          <w:pgSz w:w="11906" w:h="16838"/>
          <w:pgMar w:top="1440" w:right="935" w:bottom="1440" w:left="777" w:header="851" w:footer="992" w:gutter="0"/>
          <w:pgNumType w:fmt="numberInDash" w:start="1"/>
          <w:cols w:space="720" w:num="1"/>
          <w:rtlGutter w:val="0"/>
          <w:docGrid w:type="linesAndChars" w:linePitch="312" w:charSpace="0"/>
        </w:sectPr>
      </w:pPr>
      <w:bookmarkStart w:id="2" w:name="_Toc30170"/>
      <w:bookmarkStart w:id="3" w:name="_Toc29067"/>
      <w:bookmarkStart w:id="4" w:name="_Toc35393797"/>
      <w:bookmarkStart w:id="5" w:name="_Toc28359011"/>
      <w:bookmarkStart w:id="6" w:name="_Toc26809"/>
    </w:p>
    <w:p>
      <w:pPr>
        <w:pStyle w:val="3"/>
        <w:numPr>
          <w:ilvl w:val="0"/>
          <w:numId w:val="1"/>
        </w:numPr>
        <w:tabs>
          <w:tab w:val="left" w:pos="0"/>
        </w:tabs>
        <w:autoSpaceDE w:val="0"/>
        <w:autoSpaceDN w:val="0"/>
        <w:adjustRightInd w:val="0"/>
        <w:spacing w:before="0" w:after="0" w:line="360" w:lineRule="auto"/>
        <w:ind w:firstLine="425"/>
        <w:jc w:val="center"/>
        <w:rPr>
          <w:rFonts w:hint="eastAsia" w:ascii="宋体" w:hAnsi="宋体" w:eastAsia="宋体" w:cs="宋体"/>
          <w:color w:val="000000" w:themeColor="text1"/>
          <w:sz w:val="32"/>
          <w:szCs w:val="32"/>
          <w14:textFill>
            <w14:solidFill>
              <w14:schemeClr w14:val="tx1"/>
            </w14:solidFill>
          </w14:textFill>
        </w:rPr>
      </w:pPr>
      <w:bookmarkStart w:id="7" w:name="_Toc16908"/>
      <w:r>
        <w:rPr>
          <w:rFonts w:hint="eastAsia" w:ascii="宋体" w:hAnsi="宋体" w:eastAsia="宋体" w:cs="宋体"/>
          <w:color w:val="000000" w:themeColor="text1"/>
          <w:sz w:val="32"/>
          <w:szCs w:val="32"/>
          <w14:textFill>
            <w14:solidFill>
              <w14:schemeClr w14:val="tx1"/>
            </w14:solidFill>
          </w14:textFill>
        </w:rPr>
        <w:t>竞争性磋商公告</w:t>
      </w:r>
      <w:bookmarkEnd w:id="2"/>
      <w:bookmarkEnd w:id="3"/>
      <w:bookmarkEnd w:id="4"/>
      <w:bookmarkEnd w:id="5"/>
      <w:bookmarkEnd w:id="6"/>
      <w:bookmarkEnd w:id="7"/>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14:textFill>
            <w14:solidFill>
              <w14:schemeClr w14:val="tx1"/>
            </w14:solidFill>
          </w14:textFill>
        </w:rPr>
      </w:pPr>
    </w:p>
    <w:tbl>
      <w:tblPr>
        <w:tblStyle w:val="22"/>
        <w:tblpPr w:leftFromText="180" w:rightFromText="180" w:vertAnchor="text" w:tblpX="38" w:tblpY="13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1022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项目概况</w:t>
            </w:r>
          </w:p>
          <w:p>
            <w:pPr>
              <w:spacing w:line="400" w:lineRule="exact"/>
              <w:rPr>
                <w:rFonts w:hint="eastAsia" w:ascii="宋体" w:hAnsi="宋体" w:eastAsia="宋体" w:cs="宋体"/>
                <w:color w:val="000000" w:themeColor="text1"/>
                <w:sz w:val="24"/>
                <w:szCs w:val="24"/>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桂林市政府集中采购中心受</w:t>
            </w:r>
            <w:r>
              <w:rPr>
                <w:rFonts w:hint="eastAsia" w:ascii="宋体" w:hAnsi="宋体" w:cs="宋体"/>
                <w:color w:val="000000" w:themeColor="text1"/>
                <w:sz w:val="24"/>
                <w:highlight w:val="none"/>
                <w:u w:val="single"/>
                <w:lang w:val="en-US" w:eastAsia="zh-CN"/>
                <w14:textFill>
                  <w14:solidFill>
                    <w14:schemeClr w14:val="tx1"/>
                  </w14:solidFill>
                </w14:textFill>
              </w:rPr>
              <w:t>桂林市财政局</w:t>
            </w:r>
            <w:r>
              <w:rPr>
                <w:rFonts w:hint="eastAsia" w:ascii="宋体" w:hAnsi="宋体" w:eastAsia="宋体" w:cs="宋体"/>
                <w:color w:val="000000" w:themeColor="text1"/>
                <w:sz w:val="24"/>
                <w:szCs w:val="24"/>
                <w14:textFill>
                  <w14:solidFill>
                    <w14:schemeClr w14:val="tx1"/>
                  </w14:solidFill>
                </w14:textFill>
              </w:rPr>
              <w:t>委托，根据《中华人民共和国政府采购法》《中华人民共和国政府采购法实施条例》</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政府采购竞争性磋商采购方式管理暂行办法》等规定，</w:t>
            </w:r>
            <w:r>
              <w:rPr>
                <w:rFonts w:hint="eastAsia" w:ascii="宋体" w:hAnsi="宋体" w:eastAsia="宋体" w:cs="宋体"/>
                <w:color w:val="000000" w:themeColor="text1"/>
                <w:sz w:val="24"/>
                <w:szCs w:val="24"/>
                <w:lang w:eastAsia="zh-CN"/>
                <w14:textFill>
                  <w14:solidFill>
                    <w14:schemeClr w14:val="tx1"/>
                  </w14:solidFill>
                </w14:textFill>
              </w:rPr>
              <w:t>现</w:t>
            </w:r>
            <w:r>
              <w:rPr>
                <w:rFonts w:hint="eastAsia" w:ascii="宋体" w:hAnsi="宋体" w:eastAsia="宋体" w:cs="宋体"/>
                <w:color w:val="000000" w:themeColor="text1"/>
                <w:sz w:val="24"/>
                <w:szCs w:val="24"/>
                <w14:textFill>
                  <w14:solidFill>
                    <w14:schemeClr w14:val="tx1"/>
                  </w14:solidFill>
                </w14:textFill>
              </w:rPr>
              <w:t>就</w:t>
            </w:r>
            <w:r>
              <w:rPr>
                <w:rFonts w:hint="eastAsia" w:ascii="宋体" w:hAnsi="宋体" w:cs="宋体"/>
                <w:color w:val="000000" w:themeColor="text1"/>
                <w:sz w:val="24"/>
                <w:highlight w:val="none"/>
                <w:u w:val="single"/>
                <w:lang w:val="en-US" w:eastAsia="zh-CN"/>
                <w14:textFill>
                  <w14:solidFill>
                    <w14:schemeClr w14:val="tx1"/>
                  </w14:solidFill>
                </w14:textFill>
              </w:rPr>
              <w:t>桂林市财政局信息化设备采购</w:t>
            </w:r>
            <w:r>
              <w:rPr>
                <w:rFonts w:hint="eastAsia" w:ascii="宋体" w:hAnsi="宋体" w:eastAsia="宋体" w:cs="宋体"/>
                <w:color w:val="000000" w:themeColor="text1"/>
                <w:sz w:val="24"/>
                <w:szCs w:val="24"/>
                <w14:textFill>
                  <w14:solidFill>
                    <w14:schemeClr w14:val="tx1"/>
                  </w14:solidFill>
                </w14:textFill>
              </w:rPr>
              <w:t>进行竞争性磋商采购，</w:t>
            </w:r>
            <w:r>
              <w:rPr>
                <w:rFonts w:hint="eastAsia" w:ascii="宋体" w:hAnsi="宋体" w:eastAsia="宋体" w:cs="宋体"/>
                <w:color w:val="000000" w:themeColor="text1"/>
                <w:sz w:val="24"/>
                <w14:textFill>
                  <w14:solidFill>
                    <w14:schemeClr w14:val="tx1"/>
                  </w14:solidFill>
                </w14:textFill>
              </w:rPr>
              <w:t>欢迎符合条件的供应商</w:t>
            </w:r>
            <w:r>
              <w:rPr>
                <w:rFonts w:hint="eastAsia" w:ascii="宋体" w:hAnsi="宋体" w:eastAsia="宋体" w:cs="宋体"/>
                <w:color w:val="000000" w:themeColor="text1"/>
                <w:sz w:val="24"/>
                <w:lang w:eastAsia="zh-CN"/>
                <w14:textFill>
                  <w14:solidFill>
                    <w14:schemeClr w14:val="tx1"/>
                  </w14:solidFill>
                </w14:textFill>
              </w:rPr>
              <w:t>前来</w:t>
            </w:r>
            <w:r>
              <w:rPr>
                <w:rFonts w:hint="eastAsia" w:ascii="宋体" w:hAnsi="宋体" w:eastAsia="宋体" w:cs="宋体"/>
                <w:color w:val="000000" w:themeColor="text1"/>
                <w:sz w:val="24"/>
                <w:highlight w:val="none"/>
                <w14:textFill>
                  <w14:solidFill>
                    <w14:schemeClr w14:val="tx1"/>
                  </w14:solidFill>
                </w14:textFill>
              </w:rPr>
              <w:t>参加磋商活动</w:t>
            </w:r>
            <w:r>
              <w:rPr>
                <w:rFonts w:hint="eastAsia" w:ascii="宋体" w:hAnsi="宋体" w:eastAsia="宋体" w:cs="宋体"/>
                <w:color w:val="000000" w:themeColor="text1"/>
                <w:sz w:val="24"/>
                <w14:textFill>
                  <w14:solidFill>
                    <w14:schemeClr w14:val="tx1"/>
                  </w14:solidFill>
                </w14:textFill>
              </w:rPr>
              <w:t>，并于</w:t>
            </w:r>
            <w:r>
              <w:rPr>
                <w:rFonts w:hint="eastAsia" w:ascii="宋体" w:hAnsi="宋体" w:cs="宋体"/>
                <w:color w:val="000000" w:themeColor="text1"/>
                <w:sz w:val="24"/>
                <w:highlight w:val="none"/>
                <w:lang w:eastAsia="zh-CN"/>
                <w14:textFill>
                  <w14:solidFill>
                    <w14:schemeClr w14:val="tx1"/>
                  </w14:solidFill>
                </w14:textFill>
              </w:rPr>
              <w:t>2024年3月22日上午09时30分（北京时间）</w:t>
            </w:r>
            <w:r>
              <w:rPr>
                <w:rFonts w:hint="eastAsia" w:ascii="宋体" w:hAnsi="宋体" w:eastAsia="宋体" w:cs="宋体"/>
                <w:color w:val="000000" w:themeColor="text1"/>
                <w:sz w:val="24"/>
                <w14:textFill>
                  <w14:solidFill>
                    <w14:schemeClr w14:val="tx1"/>
                  </w14:solidFill>
                </w14:textFill>
              </w:rPr>
              <w:t>前递交</w:t>
            </w:r>
            <w:r>
              <w:rPr>
                <w:rFonts w:hint="eastAsia" w:ascii="宋体" w:hAnsi="宋体" w:eastAsia="宋体" w:cs="宋体"/>
                <w:color w:val="000000" w:themeColor="text1"/>
                <w:sz w:val="24"/>
                <w:highlight w:val="none"/>
                <w14:textFill>
                  <w14:solidFill>
                    <w14:schemeClr w14:val="tx1"/>
                  </w14:solidFill>
                </w14:textFill>
              </w:rPr>
              <w:t>响应文件</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现将本次竞争性磋商的有关事项公告如下：</w:t>
            </w:r>
          </w:p>
        </w:tc>
      </w:tr>
    </w:tbl>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14:textFill>
            <w14:solidFill>
              <w14:schemeClr w14:val="tx1"/>
            </w14:solidFill>
          </w14:textFill>
        </w:rPr>
      </w:pPr>
      <w:bookmarkStart w:id="8" w:name="_Toc35393798"/>
      <w:bookmarkStart w:id="9" w:name="_Toc28359012"/>
      <w:bookmarkStart w:id="10" w:name="_Toc28359089"/>
      <w:bookmarkStart w:id="11" w:name="_Toc35393629"/>
      <w:r>
        <w:rPr>
          <w:rFonts w:hint="eastAsia" w:ascii="宋体" w:hAnsi="宋体" w:eastAsia="宋体" w:cs="宋体"/>
          <w:color w:val="000000" w:themeColor="text1"/>
          <w:sz w:val="24"/>
          <w14:textFill>
            <w14:solidFill>
              <w14:schemeClr w14:val="tx1"/>
            </w14:solidFill>
          </w14:textFill>
        </w:rPr>
        <w:t>一、项目基本情况</w:t>
      </w:r>
      <w:bookmarkEnd w:id="8"/>
      <w:bookmarkEnd w:id="9"/>
      <w:bookmarkEnd w:id="10"/>
      <w:bookmarkEnd w:id="11"/>
    </w:p>
    <w:p>
      <w:pPr>
        <w:spacing w:line="400" w:lineRule="exact"/>
        <w:ind w:firstLine="480" w:firstLineChars="20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项目编号：</w:t>
      </w:r>
      <w:r>
        <w:rPr>
          <w:rFonts w:hint="eastAsia" w:ascii="宋体" w:hAnsi="宋体" w:cs="宋体"/>
          <w:color w:val="000000" w:themeColor="text1"/>
          <w:sz w:val="24"/>
          <w:highlight w:val="none"/>
          <w:lang w:val="en-US" w:eastAsia="zh-CN"/>
          <w14:textFill>
            <w14:solidFill>
              <w14:schemeClr w14:val="tx1"/>
            </w14:solidFill>
          </w14:textFill>
        </w:rPr>
        <w:t>GLZC2024-C1-990012-GLJC</w:t>
      </w:r>
    </w:p>
    <w:p>
      <w:pPr>
        <w:spacing w:line="400" w:lineRule="exact"/>
        <w:ind w:firstLine="480" w:firstLineChars="20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项目名称：</w:t>
      </w:r>
      <w:r>
        <w:rPr>
          <w:rFonts w:hint="eastAsia" w:ascii="宋体" w:hAnsi="宋体" w:cs="宋体"/>
          <w:color w:val="000000" w:themeColor="text1"/>
          <w:sz w:val="24"/>
          <w:highlight w:val="none"/>
          <w:lang w:val="en-US" w:eastAsia="zh-CN"/>
          <w14:textFill>
            <w14:solidFill>
              <w14:schemeClr w14:val="tx1"/>
            </w14:solidFill>
          </w14:textFill>
        </w:rPr>
        <w:t>桂林市财政局信息化设备采购</w:t>
      </w:r>
    </w:p>
    <w:p>
      <w:pPr>
        <w:spacing w:line="400" w:lineRule="exact"/>
        <w:ind w:firstLine="480" w:firstLineChars="2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采购方式：竞争性磋商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预算金额：人民币壹佰肆拾万零壹仟捌佰叁拾陆元柒角叁分（¥1401836.73元）；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最高限价：人民币壹佰贰拾玖万壹仟捌佰叁拾陆元柒角叁分（¥1291836.73元）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采购需求</w:t>
      </w:r>
      <w:r>
        <w:rPr>
          <w:rFonts w:hint="eastAsia" w:ascii="宋体" w:hAnsi="宋体" w:eastAsia="宋体" w:cs="宋体"/>
          <w:color w:val="000000" w:themeColor="text1"/>
          <w:sz w:val="24"/>
          <w14:textFill>
            <w14:solidFill>
              <w14:schemeClr w14:val="tx1"/>
            </w14:solidFill>
          </w14:textFill>
        </w:rPr>
        <w:t>：</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3559"/>
        <w:gridCol w:w="725"/>
        <w:gridCol w:w="1041"/>
        <w:gridCol w:w="3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项号</w:t>
            </w:r>
          </w:p>
        </w:tc>
        <w:tc>
          <w:tcPr>
            <w:tcW w:w="35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themeColor="text1"/>
                <w:sz w:val="24"/>
                <w14:textFill>
                  <w14:solidFill>
                    <w14:schemeClr w14:val="tx1"/>
                  </w14:solidFill>
                </w14:textFill>
              </w:rPr>
            </w:pPr>
            <w:r>
              <w:rPr>
                <w:rStyle w:val="31"/>
                <w:rFonts w:ascii="宋体"/>
                <w:color w:val="000000" w:themeColor="text1"/>
                <w:sz w:val="24"/>
                <w:szCs w:val="24"/>
                <w14:textFill>
                  <w14:solidFill>
                    <w14:schemeClr w14:val="tx1"/>
                  </w14:solidFill>
                </w14:textFill>
              </w:rPr>
              <w:t>货物名称</w:t>
            </w:r>
          </w:p>
        </w:tc>
        <w:tc>
          <w:tcPr>
            <w:tcW w:w="7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数量</w:t>
            </w:r>
          </w:p>
        </w:tc>
        <w:tc>
          <w:tcPr>
            <w:tcW w:w="104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单位</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简要规格描述或项目基本概况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exact"/>
          <w:jc w:val="center"/>
        </w:trPr>
        <w:tc>
          <w:tcPr>
            <w:tcW w:w="9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w:t>
            </w:r>
          </w:p>
        </w:tc>
        <w:tc>
          <w:tcPr>
            <w:tcW w:w="35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桂林市财政局信息化设备采购</w:t>
            </w:r>
          </w:p>
        </w:tc>
        <w:tc>
          <w:tcPr>
            <w:tcW w:w="7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w:t>
            </w:r>
          </w:p>
        </w:tc>
        <w:tc>
          <w:tcPr>
            <w:tcW w:w="104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项</w:t>
            </w:r>
          </w:p>
        </w:tc>
        <w:tc>
          <w:tcPr>
            <w:tcW w:w="35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详见竞争性磋商文件</w:t>
            </w:r>
          </w:p>
        </w:tc>
      </w:tr>
    </w:tbl>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采购需求的详细内容，详见竞争性磋商文件。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合同履行期限：</w:t>
      </w:r>
      <w:r>
        <w:rPr>
          <w:rFonts w:hint="eastAsia" w:ascii="宋体" w:hAnsi="宋体" w:eastAsia="宋体" w:cs="宋体"/>
          <w:i w:val="0"/>
          <w:iCs w:val="0"/>
          <w:color w:val="000000" w:themeColor="text1"/>
          <w:sz w:val="24"/>
          <w:szCs w:val="24"/>
          <w:lang w:val="en-US" w:eastAsia="zh-CN"/>
          <w14:textFill>
            <w14:solidFill>
              <w14:schemeClr w14:val="tx1"/>
            </w14:solidFill>
          </w14:textFill>
        </w:rPr>
        <w:t>自合同签订之日起至</w:t>
      </w:r>
      <w:r>
        <w:rPr>
          <w:rFonts w:hint="eastAsia" w:ascii="宋体" w:hAnsi="宋体" w:cs="宋体"/>
          <w:color w:val="000000" w:themeColor="text1"/>
          <w:sz w:val="24"/>
          <w:lang w:eastAsia="zh-CN"/>
          <w14:textFill>
            <w14:solidFill>
              <w14:schemeClr w14:val="tx1"/>
            </w14:solidFill>
          </w14:textFill>
        </w:rPr>
        <w:t>成交供应商</w:t>
      </w:r>
      <w:r>
        <w:rPr>
          <w:rFonts w:hint="eastAsia" w:ascii="宋体" w:hAnsi="宋体" w:cs="宋体"/>
          <w:color w:val="000000" w:themeColor="text1"/>
          <w:sz w:val="24"/>
          <w14:textFill>
            <w14:solidFill>
              <w14:schemeClr w14:val="tx1"/>
            </w14:solidFill>
          </w14:textFill>
        </w:rPr>
        <w:t>承诺免费保修期满</w:t>
      </w:r>
      <w:r>
        <w:rPr>
          <w:rFonts w:hint="eastAsia" w:ascii="宋体" w:hAnsi="宋体" w:eastAsia="宋体" w:cs="宋体"/>
          <w:i w:val="0"/>
          <w:iCs w:val="0"/>
          <w:color w:val="000000" w:themeColor="text1"/>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本项目不接受联合体参与磋商。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14:textFill>
            <w14:solidFill>
              <w14:schemeClr w14:val="tx1"/>
            </w14:solidFill>
          </w14:textFill>
        </w:rPr>
      </w:pPr>
      <w:bookmarkStart w:id="12" w:name="_Toc35393630"/>
      <w:bookmarkStart w:id="13" w:name="_Toc28359013"/>
      <w:bookmarkStart w:id="14" w:name="_Toc35393799"/>
      <w:bookmarkStart w:id="15" w:name="_Toc28359090"/>
      <w:r>
        <w:rPr>
          <w:rFonts w:hint="eastAsia" w:ascii="宋体" w:hAnsi="宋体" w:eastAsia="宋体" w:cs="宋体"/>
          <w:color w:val="000000" w:themeColor="text1"/>
          <w:sz w:val="24"/>
          <w14:textFill>
            <w14:solidFill>
              <w14:schemeClr w14:val="tx1"/>
            </w14:solidFill>
          </w14:textFill>
        </w:rPr>
        <w:t>二、申请人的资格要求：</w:t>
      </w:r>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1.满足《中华人民共和国政府采购法》第二十二条规定</w:t>
      </w:r>
      <w:r>
        <w:rPr>
          <w:rFonts w:hint="eastAsia"/>
          <w:color w:val="000000" w:themeColor="text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被列入失信被执行人、重大税收违法案件当事人名单、政府采购严重违法失信行为记录名单及其他不符合《中华人民共和国政府采购法》第二十二条规定条件的供应商，将被拒绝其参与本次政府采购活动。供应商可在“信用中国”网站（www.creditchina.gov.cn）、中国政府采购网（www.ccgp.gov.cn）查询相关供应商主体信用记录</w:t>
      </w:r>
      <w:r>
        <w:rPr>
          <w:rFonts w:hint="eastAsia" w:ascii="宋体" w:hAnsi="宋体" w:cs="宋体"/>
          <w:color w:val="000000" w:themeColor="text1"/>
          <w:sz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bCs/>
          <w:color w:val="000000" w:themeColor="text1"/>
          <w:sz w:val="24"/>
          <w:lang w:val="en-US" w:eastAsia="zh-CN"/>
          <w14:textFill>
            <w14:solidFill>
              <w14:schemeClr w14:val="tx1"/>
            </w14:solidFill>
          </w14:textFill>
        </w:rPr>
      </w:pPr>
      <w:bookmarkStart w:id="16" w:name="_Toc28359091"/>
      <w:bookmarkStart w:id="17" w:name="_Toc28359014"/>
      <w:r>
        <w:rPr>
          <w:rFonts w:hint="eastAsia" w:ascii="宋体" w:hAnsi="宋体" w:eastAsia="宋体" w:cs="宋体"/>
          <w:color w:val="000000" w:themeColor="text1"/>
          <w:sz w:val="24"/>
          <w14:textFill>
            <w14:solidFill>
              <w14:schemeClr w14:val="tx1"/>
            </w14:solidFill>
          </w14:textFill>
        </w:rPr>
        <w:t>3.落实政府采购政策需满足的资格要求：</w:t>
      </w:r>
      <w:r>
        <w:rPr>
          <w:rFonts w:hint="eastAsia" w:ascii="宋体" w:hAnsi="宋体" w:eastAsia="宋体" w:cs="宋体"/>
          <w:color w:val="000000" w:themeColor="text1"/>
          <w:sz w:val="24"/>
          <w:lang w:eastAsia="zh-CN"/>
          <w14:textFill>
            <w14:solidFill>
              <w14:schemeClr w14:val="tx1"/>
            </w14:solidFill>
          </w14:textFill>
        </w:rPr>
        <w:t>无</w:t>
      </w:r>
      <w:r>
        <w:rPr>
          <w:rFonts w:hint="eastAsia" w:ascii="宋体" w:hAnsi="宋体" w:cs="宋体"/>
          <w:color w:val="000000" w:themeColor="text1"/>
          <w:sz w:val="24"/>
          <w:lang w:eastAsia="zh-CN"/>
          <w14:textFill>
            <w14:solidFill>
              <w14:schemeClr w14:val="tx1"/>
            </w14:solidFill>
          </w14:textFill>
        </w:rPr>
        <w:t>；</w:t>
      </w:r>
    </w:p>
    <w:p>
      <w:pPr>
        <w:keepNext w:val="0"/>
        <w:keepLines w:val="0"/>
        <w:pageBreakBefore w:val="0"/>
        <w:widowControl w:val="0"/>
        <w:tabs>
          <w:tab w:val="left" w:pos="9369"/>
        </w:tabs>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bCs/>
          <w:color w:val="000000" w:themeColor="text1"/>
          <w:sz w:val="24"/>
          <w:lang w:val="en-US" w:eastAsia="zh-CN"/>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4.本项目的特定资格要求：</w:t>
      </w:r>
      <w:bookmarkStart w:id="18" w:name="_Toc35393800"/>
      <w:bookmarkStart w:id="19" w:name="_Toc35393631"/>
      <w:r>
        <w:rPr>
          <w:rFonts w:hint="eastAsia" w:ascii="宋体" w:hAnsi="宋体" w:eastAsia="宋体" w:cs="宋体"/>
          <w:b w:val="0"/>
          <w:bCs w:val="0"/>
          <w:color w:val="000000" w:themeColor="text1"/>
          <w:sz w:val="24"/>
          <w:lang w:eastAsia="zh-CN"/>
          <w14:textFill>
            <w14:solidFill>
              <w14:schemeClr w14:val="tx1"/>
            </w14:solidFill>
          </w14:textFill>
        </w:rPr>
        <w:t>无</w:t>
      </w:r>
      <w:r>
        <w:rPr>
          <w:rFonts w:hint="eastAsia" w:ascii="宋体" w:hAnsi="宋体" w:cs="宋体"/>
          <w:b w:val="0"/>
          <w:bCs w:val="0"/>
          <w:color w:val="000000" w:themeColor="text1"/>
          <w:sz w:val="24"/>
          <w:lang w:eastAsia="zh-CN"/>
          <w14:textFill>
            <w14:solidFill>
              <w14:schemeClr w14:val="tx1"/>
            </w14:solidFill>
          </w14:textFill>
        </w:rPr>
        <w:t>。</w:t>
      </w:r>
      <w:r>
        <w:rPr>
          <w:rFonts w:hint="eastAsia" w:ascii="宋体" w:hAnsi="宋体" w:cs="宋体"/>
          <w:b w:val="0"/>
          <w:bCs w:val="0"/>
          <w:color w:val="000000" w:themeColor="text1"/>
          <w:sz w:val="24"/>
          <w:lang w:eastAsia="zh-CN"/>
          <w14:textFill>
            <w14:solidFill>
              <w14:schemeClr w14:val="tx1"/>
            </w14:solidFill>
          </w14:textFill>
        </w:rPr>
        <w:tab/>
      </w:r>
    </w:p>
    <w:bookmarkEnd w:id="16"/>
    <w:bookmarkEnd w:id="17"/>
    <w:bookmarkEnd w:id="18"/>
    <w:bookmarkEnd w:id="19"/>
    <w:p>
      <w:pPr>
        <w:spacing w:line="400" w:lineRule="exact"/>
        <w:ind w:firstLine="480" w:firstLineChars="200"/>
        <w:rPr>
          <w:rFonts w:hint="eastAsia" w:ascii="宋体" w:hAnsi="宋体" w:eastAsia="宋体" w:cs="宋体"/>
          <w:color w:val="000000" w:themeColor="text1"/>
          <w:sz w:val="24"/>
          <w14:textFill>
            <w14:solidFill>
              <w14:schemeClr w14:val="tx1"/>
            </w14:solidFill>
          </w14:textFill>
        </w:rPr>
      </w:pPr>
      <w:bookmarkStart w:id="20" w:name="_Toc35393623"/>
      <w:bookmarkStart w:id="21" w:name="_Toc35393792"/>
      <w:bookmarkStart w:id="22" w:name="_Toc28359018"/>
      <w:bookmarkStart w:id="23" w:name="_Toc28359095"/>
      <w:bookmarkStart w:id="24" w:name="_Toc35393636"/>
      <w:bookmarkStart w:id="25" w:name="_Toc35393805"/>
      <w:r>
        <w:rPr>
          <w:rFonts w:hint="eastAsia" w:ascii="宋体" w:hAnsi="宋体" w:eastAsia="宋体" w:cs="宋体"/>
          <w:color w:val="000000" w:themeColor="text1"/>
          <w:sz w:val="24"/>
          <w14:textFill>
            <w14:solidFill>
              <w14:schemeClr w14:val="tx1"/>
            </w14:solidFill>
          </w14:textFill>
        </w:rPr>
        <w:t>三、获取</w:t>
      </w:r>
      <w:r>
        <w:rPr>
          <w:rFonts w:hint="eastAsia" w:ascii="宋体" w:hAnsi="宋体" w:eastAsia="宋体" w:cs="宋体"/>
          <w:color w:val="000000" w:themeColor="text1"/>
          <w:sz w:val="24"/>
          <w:lang w:eastAsia="zh-CN"/>
          <w14:textFill>
            <w14:solidFill>
              <w14:schemeClr w14:val="tx1"/>
            </w14:solidFill>
          </w14:textFill>
        </w:rPr>
        <w:t>采购</w:t>
      </w:r>
      <w:r>
        <w:rPr>
          <w:rFonts w:hint="eastAsia" w:ascii="宋体" w:hAnsi="宋体" w:eastAsia="宋体" w:cs="宋体"/>
          <w:color w:val="000000" w:themeColor="text1"/>
          <w:sz w:val="24"/>
          <w14:textFill>
            <w14:solidFill>
              <w14:schemeClr w14:val="tx1"/>
            </w14:solidFill>
          </w14:textFill>
        </w:rPr>
        <w:t>文件</w:t>
      </w:r>
      <w:bookmarkEnd w:id="20"/>
      <w:bookmarkEnd w:id="21"/>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eastAsia="宋体" w:cs="宋体"/>
          <w:color w:val="000000" w:themeColor="text1"/>
          <w:sz w:val="24"/>
          <w:highlight w:val="none"/>
          <w:lang w:eastAsia="zh-CN"/>
          <w14:textFill>
            <w14:solidFill>
              <w14:schemeClr w14:val="tx1"/>
            </w14:solidFill>
          </w14:textFill>
        </w:rPr>
        <w:t>采购</w:t>
      </w:r>
      <w:r>
        <w:rPr>
          <w:rFonts w:hint="eastAsia" w:ascii="宋体" w:hAnsi="宋体" w:eastAsia="宋体" w:cs="宋体"/>
          <w:color w:val="000000" w:themeColor="text1"/>
          <w:sz w:val="24"/>
          <w:highlight w:val="none"/>
          <w14:textFill>
            <w14:solidFill>
              <w14:schemeClr w14:val="tx1"/>
            </w14:solidFill>
          </w14:textFill>
        </w:rPr>
        <w:t>文件获取时间：202</w:t>
      </w:r>
      <w:r>
        <w:rPr>
          <w:rFonts w:hint="eastAsia" w:ascii="宋体" w:hAnsi="宋体" w:cs="宋体"/>
          <w:color w:val="000000" w:themeColor="text1"/>
          <w:sz w:val="24"/>
          <w:highlight w:val="none"/>
          <w:lang w:val="en-US" w:eastAsia="zh-CN"/>
          <w14:textFill>
            <w14:solidFill>
              <w14:schemeClr w14:val="tx1"/>
            </w14:solidFill>
          </w14:textFill>
        </w:rPr>
        <w:t>4</w:t>
      </w:r>
      <w:r>
        <w:rPr>
          <w:rFonts w:hint="eastAsia" w:ascii="宋体" w:hAnsi="宋体" w:eastAsia="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lang w:val="en-US" w:eastAsia="zh-CN"/>
          <w14:textFill>
            <w14:solidFill>
              <w14:schemeClr w14:val="tx1"/>
            </w14:solidFill>
          </w14:textFill>
        </w:rPr>
        <w:t>11</w:t>
      </w:r>
      <w:r>
        <w:rPr>
          <w:rFonts w:hint="eastAsia" w:ascii="宋体" w:hAnsi="宋体" w:eastAsia="宋体" w:cs="宋体"/>
          <w:color w:val="000000" w:themeColor="text1"/>
          <w:sz w:val="24"/>
          <w:highlight w:val="none"/>
          <w14:textFill>
            <w14:solidFill>
              <w14:schemeClr w14:val="tx1"/>
            </w14:solidFill>
          </w14:textFill>
        </w:rPr>
        <w:t>日至</w:t>
      </w:r>
      <w:r>
        <w:rPr>
          <w:rFonts w:hint="eastAsia" w:ascii="宋体" w:hAnsi="宋体" w:cs="宋体"/>
          <w:color w:val="000000" w:themeColor="text1"/>
          <w:sz w:val="24"/>
          <w:highlight w:val="none"/>
          <w:lang w:eastAsia="zh-CN"/>
          <w14:textFill>
            <w14:solidFill>
              <w14:schemeClr w14:val="tx1"/>
            </w14:solidFill>
          </w14:textFill>
        </w:rPr>
        <w:t>2024年3月22日09时30分（北京时间）</w:t>
      </w:r>
      <w:r>
        <w:rPr>
          <w:rFonts w:hint="eastAsia" w:ascii="宋体" w:hAnsi="宋体" w:eastAsia="宋体" w:cs="宋体"/>
          <w:color w:val="000000" w:themeColor="text1"/>
          <w:sz w:val="24"/>
          <w:highlight w:val="none"/>
          <w14:textFill>
            <w14:solidFill>
              <w14:schemeClr w14:val="tx1"/>
            </w14:solidFill>
          </w14:textFill>
        </w:rPr>
        <w:t>。</w:t>
      </w:r>
    </w:p>
    <w:p>
      <w:pPr>
        <w:spacing w:line="4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2.地点及方式：潜在供应商请</w:t>
      </w:r>
      <w:r>
        <w:rPr>
          <w:rFonts w:hint="eastAsia" w:ascii="宋体" w:hAnsi="宋体" w:cs="宋体"/>
          <w:color w:val="000000" w:themeColor="text1"/>
          <w:sz w:val="24"/>
          <w:lang w:val="en-US" w:eastAsia="zh-CN"/>
          <w14:textFill>
            <w14:solidFill>
              <w14:schemeClr w14:val="tx1"/>
            </w14:solidFill>
          </w14:textFill>
        </w:rPr>
        <w:t>登录“政采云”平台获取该项目采购文件。</w:t>
      </w:r>
    </w:p>
    <w:p>
      <w:pPr>
        <w:spacing w:line="4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采购</w:t>
      </w:r>
      <w:r>
        <w:rPr>
          <w:rFonts w:hint="eastAsia" w:ascii="宋体" w:hAnsi="宋体" w:eastAsia="宋体" w:cs="宋体"/>
          <w:color w:val="000000" w:themeColor="text1"/>
          <w:sz w:val="24"/>
          <w14:textFill>
            <w14:solidFill>
              <w14:schemeClr w14:val="tx1"/>
            </w14:solidFill>
          </w14:textFill>
        </w:rPr>
        <w:t>文件售价：本项目</w:t>
      </w:r>
      <w:r>
        <w:rPr>
          <w:rFonts w:hint="eastAsia" w:ascii="宋体" w:hAnsi="宋体" w:eastAsia="宋体" w:cs="宋体"/>
          <w:color w:val="000000" w:themeColor="text1"/>
          <w:sz w:val="24"/>
          <w:lang w:eastAsia="zh-CN"/>
          <w14:textFill>
            <w14:solidFill>
              <w14:schemeClr w14:val="tx1"/>
            </w14:solidFill>
          </w14:textFill>
        </w:rPr>
        <w:t>采购</w:t>
      </w:r>
      <w:r>
        <w:rPr>
          <w:rFonts w:hint="eastAsia" w:ascii="宋体" w:hAnsi="宋体" w:eastAsia="宋体" w:cs="宋体"/>
          <w:color w:val="000000" w:themeColor="text1"/>
          <w:sz w:val="24"/>
          <w14:textFill>
            <w14:solidFill>
              <w14:schemeClr w14:val="tx1"/>
            </w14:solidFill>
          </w14:textFill>
        </w:rPr>
        <w:t>文件不收取费用。</w:t>
      </w:r>
    </w:p>
    <w:p>
      <w:pPr>
        <w:spacing w:line="400" w:lineRule="exact"/>
        <w:ind w:firstLine="480" w:firstLineChars="200"/>
        <w:rPr>
          <w:rFonts w:hint="eastAsia" w:ascii="宋体" w:hAnsi="宋体" w:eastAsia="宋体" w:cs="宋体"/>
          <w:color w:val="000000" w:themeColor="text1"/>
          <w:sz w:val="24"/>
          <w14:textFill>
            <w14:solidFill>
              <w14:schemeClr w14:val="tx1"/>
            </w14:solidFill>
          </w14:textFill>
        </w:rPr>
      </w:pPr>
      <w:bookmarkStart w:id="26" w:name="_Toc28359082"/>
      <w:bookmarkStart w:id="27" w:name="_Toc28359005"/>
      <w:bookmarkStart w:id="28" w:name="_Toc35393624"/>
      <w:bookmarkStart w:id="29" w:name="_Toc35393793"/>
      <w:r>
        <w:rPr>
          <w:rFonts w:hint="eastAsia" w:ascii="宋体" w:hAnsi="宋体" w:eastAsia="宋体" w:cs="宋体"/>
          <w:color w:val="000000" w:themeColor="text1"/>
          <w:sz w:val="24"/>
          <w14:textFill>
            <w14:solidFill>
              <w14:schemeClr w14:val="tx1"/>
            </w14:solidFill>
          </w14:textFill>
        </w:rPr>
        <w:t>四、</w:t>
      </w:r>
      <w:r>
        <w:rPr>
          <w:rFonts w:hint="eastAsia" w:ascii="宋体" w:hAnsi="宋体" w:eastAsia="宋体" w:cs="宋体"/>
          <w:color w:val="000000" w:themeColor="text1"/>
          <w:sz w:val="24"/>
          <w:lang w:eastAsia="zh-CN"/>
          <w14:textFill>
            <w14:solidFill>
              <w14:schemeClr w14:val="tx1"/>
            </w14:solidFill>
          </w14:textFill>
        </w:rPr>
        <w:t>响应</w:t>
      </w:r>
      <w:r>
        <w:rPr>
          <w:rFonts w:hint="eastAsia" w:ascii="宋体" w:hAnsi="宋体" w:eastAsia="宋体" w:cs="宋体"/>
          <w:color w:val="000000" w:themeColor="text1"/>
          <w:sz w:val="24"/>
          <w14:textFill>
            <w14:solidFill>
              <w14:schemeClr w14:val="tx1"/>
            </w14:solidFill>
          </w14:textFill>
        </w:rPr>
        <w:t>文件</w:t>
      </w:r>
      <w:bookmarkEnd w:id="26"/>
      <w:bookmarkEnd w:id="27"/>
      <w:r>
        <w:rPr>
          <w:rFonts w:hint="eastAsia" w:ascii="宋体" w:hAnsi="宋体" w:eastAsia="宋体" w:cs="宋体"/>
          <w:color w:val="000000" w:themeColor="text1"/>
          <w:sz w:val="24"/>
          <w:lang w:eastAsia="zh-CN"/>
          <w14:textFill>
            <w14:solidFill>
              <w14:schemeClr w14:val="tx1"/>
            </w14:solidFill>
          </w14:textFill>
        </w:rPr>
        <w:t>提交</w:t>
      </w:r>
      <w:r>
        <w:rPr>
          <w:rFonts w:hint="eastAsia" w:ascii="宋体" w:hAnsi="宋体" w:eastAsia="宋体" w:cs="宋体"/>
          <w:color w:val="000000" w:themeColor="text1"/>
          <w:sz w:val="24"/>
          <w14:textFill>
            <w14:solidFill>
              <w14:schemeClr w14:val="tx1"/>
            </w14:solidFill>
          </w14:textFill>
        </w:rPr>
        <w:t>时间和地点</w:t>
      </w:r>
      <w:bookmarkEnd w:id="28"/>
      <w:bookmarkEnd w:id="29"/>
    </w:p>
    <w:p>
      <w:pPr>
        <w:spacing w:line="400" w:lineRule="exact"/>
        <w:ind w:firstLine="480" w:firstLineChars="200"/>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lang w:eastAsia="zh-CN"/>
          <w14:textFill>
            <w14:solidFill>
              <w14:schemeClr w14:val="tx1"/>
            </w14:solidFill>
          </w14:textFill>
        </w:rPr>
        <w:t>截止</w:t>
      </w:r>
      <w:r>
        <w:rPr>
          <w:rFonts w:hint="eastAsia" w:ascii="宋体" w:hAnsi="宋体" w:eastAsia="宋体" w:cs="宋体"/>
          <w:bCs/>
          <w:color w:val="000000" w:themeColor="text1"/>
          <w:sz w:val="24"/>
          <w:highlight w:val="none"/>
          <w14:textFill>
            <w14:solidFill>
              <w14:schemeClr w14:val="tx1"/>
            </w14:solidFill>
          </w14:textFill>
        </w:rPr>
        <w:t>时间：</w:t>
      </w:r>
      <w:r>
        <w:rPr>
          <w:rFonts w:hint="eastAsia" w:ascii="宋体" w:hAnsi="宋体" w:cs="宋体"/>
          <w:color w:val="000000" w:themeColor="text1"/>
          <w:sz w:val="24"/>
          <w:highlight w:val="none"/>
          <w:lang w:eastAsia="zh-CN"/>
          <w14:textFill>
            <w14:solidFill>
              <w14:schemeClr w14:val="tx1"/>
            </w14:solidFill>
          </w14:textFill>
        </w:rPr>
        <w:t>2024年3月22日09时30分</w:t>
      </w:r>
      <w:r>
        <w:rPr>
          <w:rFonts w:hint="eastAsia" w:ascii="宋体" w:hAnsi="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bCs/>
          <w:color w:val="000000" w:themeColor="text1"/>
          <w:sz w:val="24"/>
          <w:highlight w:val="none"/>
          <w14:textFill>
            <w14:solidFill>
              <w14:schemeClr w14:val="tx1"/>
            </w14:solidFill>
          </w14:textFill>
        </w:rPr>
        <w:t>北京时间）。</w:t>
      </w: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w:t>
      </w:r>
      <w:r>
        <w:rPr>
          <w:rFonts w:hint="eastAsia" w:ascii="宋体" w:hAnsi="宋体" w:eastAsia="宋体" w:cs="宋体"/>
          <w:color w:val="000000" w:themeColor="text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点：通过政采云平台实行在线</w:t>
      </w:r>
      <w:r>
        <w:rPr>
          <w:rFonts w:hint="eastAsia" w:ascii="宋体" w:hAnsi="宋体" w:eastAsia="宋体" w:cs="宋体"/>
          <w:color w:val="000000" w:themeColor="text1"/>
          <w:sz w:val="24"/>
          <w:highlight w:val="none"/>
          <w:lang w:eastAsia="zh-CN"/>
          <w14:textFill>
            <w14:solidFill>
              <w14:schemeClr w14:val="tx1"/>
            </w14:solidFill>
          </w14:textFill>
        </w:rPr>
        <w:t>响应</w:t>
      </w:r>
      <w:r>
        <w:rPr>
          <w:rFonts w:hint="eastAsia" w:ascii="宋体" w:hAnsi="宋体" w:eastAsia="宋体" w:cs="宋体"/>
          <w:color w:val="000000" w:themeColor="text1"/>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五、开启</w:t>
      </w: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时间：</w:t>
      </w:r>
      <w:r>
        <w:rPr>
          <w:rFonts w:hint="eastAsia" w:ascii="宋体" w:hAnsi="宋体" w:cs="宋体"/>
          <w:color w:val="000000" w:themeColor="text1"/>
          <w:sz w:val="24"/>
          <w:highlight w:val="none"/>
          <w:lang w:eastAsia="zh-CN"/>
          <w14:textFill>
            <w14:solidFill>
              <w14:schemeClr w14:val="tx1"/>
            </w14:solidFill>
          </w14:textFill>
        </w:rPr>
        <w:t>2024年3月22日09时30分</w:t>
      </w:r>
      <w:r>
        <w:rPr>
          <w:rFonts w:hint="eastAsia" w:ascii="宋体" w:hAnsi="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北京时间）截标后。</w:t>
      </w:r>
    </w:p>
    <w:p>
      <w:pPr>
        <w:spacing w:line="400" w:lineRule="exact"/>
        <w:ind w:firstLine="48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地点：</w:t>
      </w:r>
      <w:r>
        <w:rPr>
          <w:rFonts w:hint="eastAsia" w:ascii="宋体" w:hAnsi="宋体" w:eastAsia="宋体" w:cs="宋体"/>
          <w:color w:val="000000" w:themeColor="text1"/>
          <w:sz w:val="24"/>
          <w:highlight w:val="none"/>
          <w:lang w:eastAsia="zh-CN"/>
          <w14:textFill>
            <w14:solidFill>
              <w14:schemeClr w14:val="tx1"/>
            </w14:solidFill>
          </w14:textFill>
        </w:rPr>
        <w:t>桂林市公共资源交易中心</w:t>
      </w:r>
      <w:r>
        <w:rPr>
          <w:rFonts w:hint="eastAsia" w:ascii="宋体" w:hAnsi="宋体" w:cs="宋体"/>
          <w:color w:val="000000" w:themeColor="text1"/>
          <w:sz w:val="24"/>
          <w:highlight w:val="none"/>
          <w:u w:val="single"/>
          <w:lang w:val="en-US" w:eastAsia="zh-CN"/>
          <w14:textFill>
            <w14:solidFill>
              <w14:schemeClr w14:val="tx1"/>
            </w14:solidFill>
          </w14:textFill>
        </w:rPr>
        <w:t>8号开标室</w:t>
      </w:r>
      <w:r>
        <w:rPr>
          <w:rFonts w:hint="eastAsia" w:ascii="宋体" w:hAnsi="宋体" w:eastAsia="宋体" w:cs="宋体"/>
          <w:color w:val="000000" w:themeColor="text1"/>
          <w:sz w:val="24"/>
          <w:highlight w:val="none"/>
          <w14:textFill>
            <w14:solidFill>
              <w14:schemeClr w14:val="tx1"/>
            </w14:solidFill>
          </w14:textFill>
        </w:rPr>
        <w:t>通过政采云平台实行在线解密开启。</w:t>
      </w:r>
    </w:p>
    <w:p>
      <w:pPr>
        <w:spacing w:line="400" w:lineRule="exact"/>
        <w:ind w:firstLine="480" w:firstLineChars="200"/>
        <w:rPr>
          <w:rFonts w:hint="eastAsia" w:ascii="宋体" w:hAnsi="宋体" w:eastAsia="宋体" w:cs="宋体"/>
          <w:color w:val="000000" w:themeColor="text1"/>
          <w:sz w:val="24"/>
          <w14:textFill>
            <w14:solidFill>
              <w14:schemeClr w14:val="tx1"/>
            </w14:solidFill>
          </w14:textFill>
        </w:rPr>
      </w:pPr>
      <w:bookmarkStart w:id="30" w:name="_Toc35393625"/>
      <w:bookmarkStart w:id="31" w:name="_Toc35393794"/>
      <w:bookmarkStart w:id="32" w:name="_Toc28359084"/>
      <w:bookmarkStart w:id="33" w:name="_Toc28359007"/>
      <w:r>
        <w:rPr>
          <w:rFonts w:hint="eastAsia" w:ascii="宋体" w:hAnsi="宋体" w:eastAsia="宋体" w:cs="宋体"/>
          <w:color w:val="000000" w:themeColor="text1"/>
          <w:sz w:val="24"/>
          <w:lang w:eastAsia="zh-CN"/>
          <w14:textFill>
            <w14:solidFill>
              <w14:schemeClr w14:val="tx1"/>
            </w14:solidFill>
          </w14:textFill>
        </w:rPr>
        <w:t>六</w:t>
      </w:r>
      <w:r>
        <w:rPr>
          <w:rFonts w:hint="eastAsia" w:ascii="宋体" w:hAnsi="宋体" w:eastAsia="宋体" w:cs="宋体"/>
          <w:color w:val="000000" w:themeColor="text1"/>
          <w:sz w:val="24"/>
          <w14:textFill>
            <w14:solidFill>
              <w14:schemeClr w14:val="tx1"/>
            </w14:solidFill>
          </w14:textFill>
        </w:rPr>
        <w:t>、公告期限</w:t>
      </w:r>
      <w:bookmarkEnd w:id="30"/>
      <w:bookmarkEnd w:id="31"/>
      <w:bookmarkEnd w:id="32"/>
      <w:bookmarkEnd w:id="33"/>
    </w:p>
    <w:p>
      <w:pPr>
        <w:tabs>
          <w:tab w:val="right" w:pos="9714"/>
        </w:tabs>
        <w:spacing w:line="400" w:lineRule="exact"/>
        <w:ind w:firstLine="480" w:firstLineChars="200"/>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自本公告发布之日起</w:t>
      </w:r>
      <w:r>
        <w:rPr>
          <w:rFonts w:hint="eastAsia" w:ascii="宋体" w:hAnsi="宋体" w:cs="宋体"/>
          <w:color w:val="000000" w:themeColor="text1"/>
          <w:kern w:val="0"/>
          <w:sz w:val="24"/>
          <w:lang w:val="en-US" w:eastAsia="zh-CN"/>
          <w14:textFill>
            <w14:solidFill>
              <w14:schemeClr w14:val="tx1"/>
            </w14:solidFill>
          </w14:textFill>
        </w:rPr>
        <w:t>3</w:t>
      </w:r>
      <w:r>
        <w:rPr>
          <w:rFonts w:hint="eastAsia" w:ascii="宋体" w:hAnsi="宋体" w:eastAsia="宋体" w:cs="宋体"/>
          <w:color w:val="000000" w:themeColor="text1"/>
          <w:kern w:val="0"/>
          <w:sz w:val="24"/>
          <w14:textFill>
            <w14:solidFill>
              <w14:schemeClr w14:val="tx1"/>
            </w14:solidFill>
          </w14:textFill>
        </w:rPr>
        <w:t>个工作日。</w:t>
      </w:r>
      <w:r>
        <w:rPr>
          <w:rFonts w:hint="eastAsia" w:ascii="宋体" w:hAnsi="宋体" w:cs="宋体"/>
          <w:color w:val="000000" w:themeColor="text1"/>
          <w:kern w:val="0"/>
          <w:sz w:val="24"/>
          <w:lang w:eastAsia="zh-CN"/>
          <w14:textFill>
            <w14:solidFill>
              <w14:schemeClr w14:val="tx1"/>
            </w14:solidFill>
          </w14:textFill>
        </w:rPr>
        <w:tab/>
      </w:r>
    </w:p>
    <w:p>
      <w:pPr>
        <w:spacing w:line="400" w:lineRule="exact"/>
        <w:ind w:firstLine="480" w:firstLineChars="200"/>
        <w:rPr>
          <w:rFonts w:hint="eastAsia" w:ascii="宋体" w:hAnsi="宋体" w:eastAsia="宋体" w:cs="宋体"/>
          <w:color w:val="000000" w:themeColor="text1"/>
          <w:sz w:val="24"/>
          <w14:textFill>
            <w14:solidFill>
              <w14:schemeClr w14:val="tx1"/>
            </w14:solidFill>
          </w14:textFill>
        </w:rPr>
      </w:pPr>
      <w:bookmarkStart w:id="34" w:name="_Toc35393795"/>
      <w:bookmarkStart w:id="35" w:name="_Toc35393626"/>
      <w:r>
        <w:rPr>
          <w:rFonts w:hint="eastAsia" w:ascii="宋体" w:hAnsi="宋体" w:eastAsia="宋体" w:cs="宋体"/>
          <w:color w:val="000000" w:themeColor="text1"/>
          <w:sz w:val="24"/>
          <w:lang w:eastAsia="zh-CN"/>
          <w14:textFill>
            <w14:solidFill>
              <w14:schemeClr w14:val="tx1"/>
            </w14:solidFill>
          </w14:textFill>
        </w:rPr>
        <w:t>七</w:t>
      </w:r>
      <w:r>
        <w:rPr>
          <w:rFonts w:hint="eastAsia" w:ascii="宋体" w:hAnsi="宋体" w:eastAsia="宋体" w:cs="宋体"/>
          <w:color w:val="000000" w:themeColor="text1"/>
          <w:sz w:val="24"/>
          <w14:textFill>
            <w14:solidFill>
              <w14:schemeClr w14:val="tx1"/>
            </w14:solidFill>
          </w14:textFill>
        </w:rPr>
        <w:t>、其他补充事宜</w:t>
      </w:r>
      <w:bookmarkEnd w:id="34"/>
      <w:bookmarkEnd w:id="35"/>
    </w:p>
    <w:p>
      <w:pPr>
        <w:numPr>
          <w:ilvl w:val="0"/>
          <w:numId w:val="0"/>
        </w:numPr>
        <w:spacing w:line="4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lang w:val="en-US" w:eastAsia="zh-CN"/>
          <w14:textFill>
            <w14:solidFill>
              <w14:schemeClr w14:val="tx1"/>
            </w14:solidFill>
          </w14:textFill>
        </w:rPr>
        <w:t>1.</w:t>
      </w:r>
      <w:r>
        <w:rPr>
          <w:rFonts w:hint="eastAsia" w:ascii="宋体" w:hAnsi="宋体" w:eastAsia="宋体" w:cs="宋体"/>
          <w:b/>
          <w:bCs/>
          <w:color w:val="000000" w:themeColor="text1"/>
          <w:sz w:val="24"/>
          <w14:textFill>
            <w14:solidFill>
              <w14:schemeClr w14:val="tx1"/>
            </w14:solidFill>
          </w14:textFill>
        </w:rPr>
        <w:t>本项目无需缴纳</w:t>
      </w:r>
      <w:r>
        <w:rPr>
          <w:rFonts w:hint="eastAsia" w:ascii="宋体" w:hAnsi="宋体" w:eastAsia="宋体" w:cs="宋体"/>
          <w:b/>
          <w:bCs/>
          <w:color w:val="000000" w:themeColor="text1"/>
          <w:sz w:val="24"/>
          <w:lang w:val="en-US" w:eastAsia="zh-CN"/>
          <w14:textFill>
            <w14:solidFill>
              <w14:schemeClr w14:val="tx1"/>
            </w14:solidFill>
          </w14:textFill>
        </w:rPr>
        <w:t>磋商</w:t>
      </w:r>
      <w:r>
        <w:rPr>
          <w:rFonts w:hint="eastAsia" w:ascii="宋体" w:hAnsi="宋体" w:eastAsia="宋体" w:cs="宋体"/>
          <w:b/>
          <w:bCs/>
          <w:color w:val="000000" w:themeColor="text1"/>
          <w:sz w:val="24"/>
          <w14:textFill>
            <w14:solidFill>
              <w14:schemeClr w14:val="tx1"/>
            </w14:solidFill>
          </w14:textFill>
        </w:rPr>
        <w:t>保证金。</w:t>
      </w:r>
    </w:p>
    <w:p>
      <w:pPr>
        <w:numPr>
          <w:ilvl w:val="0"/>
          <w:numId w:val="0"/>
        </w:numPr>
        <w:spacing w:line="4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2.</w:t>
      </w:r>
      <w:r>
        <w:rPr>
          <w:rFonts w:hint="eastAsia" w:ascii="宋体" w:hAnsi="宋体" w:eastAsia="宋体" w:cs="宋体"/>
          <w:color w:val="000000" w:themeColor="text1"/>
          <w:sz w:val="24"/>
          <w14:textFill>
            <w14:solidFill>
              <w14:schemeClr w14:val="tx1"/>
            </w14:solidFill>
          </w14:textFill>
        </w:rPr>
        <w:t>本项目信息发布媒体：</w:t>
      </w:r>
    </w:p>
    <w:p>
      <w:pPr>
        <w:spacing w:line="4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桂林</w:t>
      </w:r>
      <w:r>
        <w:rPr>
          <w:rFonts w:hint="eastAsia" w:ascii="宋体" w:hAnsi="宋体" w:eastAsia="宋体" w:cs="宋体"/>
          <w:color w:val="000000" w:themeColor="text1"/>
          <w:sz w:val="24"/>
          <w:lang w:eastAsia="zh-CN"/>
          <w14:textFill>
            <w14:solidFill>
              <w14:schemeClr w14:val="tx1"/>
            </w14:solidFill>
          </w14:textFill>
        </w:rPr>
        <w:t>市</w:t>
      </w:r>
      <w:r>
        <w:rPr>
          <w:rFonts w:hint="eastAsia" w:ascii="宋体" w:hAnsi="宋体" w:eastAsia="宋体" w:cs="宋体"/>
          <w:color w:val="000000" w:themeColor="text1"/>
          <w:sz w:val="24"/>
          <w14:textFill>
            <w14:solidFill>
              <w14:schemeClr w14:val="tx1"/>
            </w14:solidFill>
          </w14:textFill>
        </w:rPr>
        <w:t>政府采购网（zfcg.</w:t>
      </w:r>
      <w:r>
        <w:rPr>
          <w:rFonts w:hint="eastAsia" w:ascii="宋体" w:hAnsi="宋体" w:eastAsia="宋体" w:cs="宋体"/>
          <w:color w:val="000000" w:themeColor="text1"/>
          <w:sz w:val="24"/>
          <w:lang w:val="en-US" w:eastAsia="zh-CN"/>
          <w14:textFill>
            <w14:solidFill>
              <w14:schemeClr w14:val="tx1"/>
            </w14:solidFill>
          </w14:textFill>
        </w:rPr>
        <w:t>czj.guilin.</w:t>
      </w:r>
      <w:r>
        <w:rPr>
          <w:rFonts w:hint="eastAsia" w:ascii="宋体" w:hAnsi="宋体" w:eastAsia="宋体" w:cs="宋体"/>
          <w:color w:val="000000" w:themeColor="text1"/>
          <w:sz w:val="24"/>
          <w14:textFill>
            <w14:solidFill>
              <w14:schemeClr w14:val="tx1"/>
            </w14:solidFill>
          </w14:textFill>
        </w:rPr>
        <w:t>gov.cn）</w:t>
      </w:r>
    </w:p>
    <w:p>
      <w:pPr>
        <w:spacing w:line="40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广西壮族自治区政府采购网（www.ccgp-guangxi.gov.cn</w:t>
      </w:r>
      <w:r>
        <w:rPr>
          <w:rFonts w:hint="eastAsia" w:ascii="宋体" w:hAnsi="宋体" w:eastAsia="宋体" w:cs="宋体"/>
          <w:color w:val="000000" w:themeColor="text1"/>
          <w:sz w:val="24"/>
          <w:lang w:eastAsia="zh-CN"/>
          <w14:textFill>
            <w14:solidFill>
              <w14:schemeClr w14:val="tx1"/>
            </w14:solidFill>
          </w14:textFill>
        </w:rPr>
        <w:t>）</w:t>
      </w:r>
    </w:p>
    <w:p>
      <w:pPr>
        <w:pStyle w:val="28"/>
        <w:numPr>
          <w:ilvl w:val="0"/>
          <w:numId w:val="2"/>
        </w:numPr>
        <w:spacing w:line="400" w:lineRule="exact"/>
        <w:ind w:firstLine="48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磋商</w:t>
      </w:r>
      <w:r>
        <w:rPr>
          <w:rFonts w:hint="eastAsia" w:ascii="宋体" w:hAnsi="宋体" w:eastAsia="宋体" w:cs="宋体"/>
          <w:color w:val="000000" w:themeColor="text1"/>
          <w14:textFill>
            <w14:solidFill>
              <w14:schemeClr w14:val="tx1"/>
            </w14:solidFill>
          </w14:textFill>
        </w:rPr>
        <w:t>响应文件解密时间：</w:t>
      </w:r>
      <w:r>
        <w:rPr>
          <w:rFonts w:hint="eastAsia" w:ascii="宋体" w:hAnsi="宋体" w:eastAsia="宋体" w:cs="宋体"/>
          <w:color w:val="000000" w:themeColor="text1"/>
          <w:highlight w:val="none"/>
          <w14:textFill>
            <w14:solidFill>
              <w14:schemeClr w14:val="tx1"/>
            </w14:solidFill>
          </w14:textFill>
        </w:rPr>
        <w:t>截标时间后</w:t>
      </w:r>
      <w:r>
        <w:rPr>
          <w:rFonts w:hint="eastAsia" w:ascii="宋体" w:hAnsi="宋体" w:eastAsia="宋体" w:cs="宋体"/>
          <w:color w:val="000000" w:themeColor="text1"/>
          <w:highlight w:val="none"/>
          <w:u w:val="single"/>
          <w14:textFill>
            <w14:solidFill>
              <w14:schemeClr w14:val="tx1"/>
            </w14:solidFill>
          </w14:textFill>
        </w:rPr>
        <w:t>30</w:t>
      </w:r>
      <w:r>
        <w:rPr>
          <w:rFonts w:hint="eastAsia" w:ascii="宋体" w:hAnsi="宋体" w:eastAsia="宋体" w:cs="宋体"/>
          <w:color w:val="000000" w:themeColor="text1"/>
          <w:highlight w:val="none"/>
          <w14:textFill>
            <w14:solidFill>
              <w14:schemeClr w14:val="tx1"/>
            </w14:solidFill>
          </w14:textFill>
        </w:rPr>
        <w:t>分钟内（</w:t>
      </w:r>
      <w:r>
        <w:rPr>
          <w:rFonts w:hint="eastAsia" w:ascii="宋体" w:hAnsi="宋体" w:cs="宋体"/>
          <w:color w:val="000000" w:themeColor="text1"/>
          <w:highlight w:val="none"/>
          <w:u w:val="single"/>
          <w:lang w:eastAsia="zh-CN"/>
          <w14:textFill>
            <w14:solidFill>
              <w14:schemeClr w14:val="tx1"/>
            </w14:solidFill>
          </w14:textFill>
        </w:rPr>
        <w:t>2024年3月22日上午09时30至10时00分</w:t>
      </w:r>
      <w:r>
        <w:rPr>
          <w:rFonts w:hint="eastAsia" w:ascii="宋体" w:hAnsi="宋体" w:eastAsia="宋体" w:cs="宋体"/>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highlight w:val="none"/>
          <w:lang w:eastAsia="zh-CN"/>
          <w14:textFill>
            <w14:solidFill>
              <w14:schemeClr w14:val="tx1"/>
            </w14:solidFill>
          </w14:textFill>
        </w:rPr>
        <w:t>磋商</w:t>
      </w:r>
      <w:r>
        <w:rPr>
          <w:rFonts w:hint="eastAsia" w:ascii="宋体" w:hAnsi="宋体" w:eastAsia="宋体" w:cs="宋体"/>
          <w:color w:val="000000" w:themeColor="text1"/>
          <w:highlight w:val="none"/>
          <w14:textFill>
            <w14:solidFill>
              <w14:schemeClr w14:val="tx1"/>
            </w14:solidFill>
          </w14:textFill>
        </w:rPr>
        <w:t>供应商可以登录政采云平台，用“项目采购-开标评标”功能进行解密</w:t>
      </w:r>
      <w:r>
        <w:rPr>
          <w:rFonts w:hint="eastAsia" w:ascii="宋体" w:hAnsi="宋体" w:eastAsia="宋体" w:cs="宋体"/>
          <w:color w:val="000000" w:themeColor="text1"/>
          <w:highlight w:val="none"/>
          <w:lang w:val="en-US" w:eastAsia="zh-CN"/>
          <w14:textFill>
            <w14:solidFill>
              <w14:schemeClr w14:val="tx1"/>
            </w14:solidFill>
          </w14:textFill>
        </w:rPr>
        <w:t>电子</w:t>
      </w:r>
      <w:r>
        <w:rPr>
          <w:rFonts w:hint="eastAsia" w:ascii="宋体" w:hAnsi="宋体" w:eastAsia="宋体" w:cs="宋体"/>
          <w:color w:val="000000" w:themeColor="text1"/>
          <w:highlight w:val="none"/>
          <w:lang w:eastAsia="zh-CN"/>
          <w14:textFill>
            <w14:solidFill>
              <w14:schemeClr w14:val="tx1"/>
            </w14:solidFill>
          </w14:textFill>
        </w:rPr>
        <w:t>磋商</w:t>
      </w:r>
      <w:r>
        <w:rPr>
          <w:rFonts w:hint="eastAsia" w:ascii="宋体" w:hAnsi="宋体" w:eastAsia="宋体" w:cs="宋体"/>
          <w:color w:val="000000" w:themeColor="text1"/>
          <w:highlight w:val="none"/>
          <w:lang w:val="en-US" w:eastAsia="zh-CN"/>
          <w14:textFill>
            <w14:solidFill>
              <w14:schemeClr w14:val="tx1"/>
            </w14:solidFill>
          </w14:textFill>
        </w:rPr>
        <w:t>响应</w:t>
      </w:r>
      <w:r>
        <w:rPr>
          <w:rFonts w:hint="eastAsia" w:ascii="宋体" w:hAnsi="宋体" w:eastAsia="宋体" w:cs="宋体"/>
          <w:color w:val="000000" w:themeColor="text1"/>
          <w:highlight w:val="none"/>
          <w14:textFill>
            <w14:solidFill>
              <w14:schemeClr w14:val="tx1"/>
            </w14:solidFill>
          </w14:textFill>
        </w:rPr>
        <w:t>文件。</w:t>
      </w:r>
    </w:p>
    <w:p>
      <w:pPr>
        <w:pStyle w:val="28"/>
        <w:numPr>
          <w:ilvl w:val="0"/>
          <w:numId w:val="0"/>
        </w:numPr>
        <w:spacing w:line="400" w:lineRule="exact"/>
        <w:ind w:firstLine="480" w:firstLineChars="20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注：响应文件网上递交截止时间后，各供应商须在解密时限内对上传政采云的响应文件进行解密，所有供应商在规定的解密时限内解密完成或解密时限结束后，我中心开启已解密的响应文件。供应商超过解密时限未解密的，系统默认自动放弃，造成响应无效的后果由供应商自行承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八、在线投标响应（电子投标）说明</w:t>
      </w: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1.本项目通过政采云平台实行在线投标响应（电子投标），供应商需要先安装“政采云电子交易客户端”，并按照本</w:t>
      </w:r>
      <w:r>
        <w:rPr>
          <w:rFonts w:hint="eastAsia" w:ascii="宋体" w:hAnsi="宋体" w:eastAsia="宋体" w:cs="宋体"/>
          <w:color w:val="000000" w:themeColor="text1"/>
          <w:sz w:val="24"/>
          <w:highlight w:val="none"/>
          <w:lang w:eastAsia="zh-CN"/>
          <w14:textFill>
            <w14:solidFill>
              <w14:schemeClr w14:val="tx1"/>
            </w14:solidFill>
          </w14:textFill>
        </w:rPr>
        <w:t>磋商</w:t>
      </w:r>
      <w:r>
        <w:rPr>
          <w:rFonts w:hint="eastAsia" w:ascii="宋体" w:hAnsi="宋体" w:eastAsia="宋体" w:cs="宋体"/>
          <w:color w:val="000000" w:themeColor="text1"/>
          <w:sz w:val="24"/>
          <w:highlight w:val="none"/>
          <w14:textFill>
            <w14:solidFill>
              <w14:schemeClr w14:val="tx1"/>
            </w14:solidFill>
          </w14:textFill>
        </w:rPr>
        <w:t>文件和政采云平台的要求，通过“政采云电子交易客户端”编制并加密响应文件。供应商未按规定编制并加密的响应文件，政采云平台将予以拒收。</w:t>
      </w:r>
    </w:p>
    <w:p>
      <w:pPr>
        <w:pStyle w:val="28"/>
        <w:spacing w:line="40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“政采云电子交易客户端”请自行前往广西政府采购网下载并安装</w:t>
      </w:r>
      <w:r>
        <w:rPr>
          <w:rFonts w:hint="eastAsia" w:ascii="宋体" w:hAnsi="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电子投标具体操作流程参考《政府采购项目电子交易管理操作指南-供应商》；在使用政采云投标客户端时，建议使用WIN7及以上操作系统,通过政采云平台参与在线投标时如遇平台技术问题详询</w:t>
      </w:r>
      <w:r>
        <w:rPr>
          <w:rFonts w:hint="eastAsia" w:ascii="宋体" w:hAnsi="宋体" w:cs="宋体"/>
          <w:color w:val="000000" w:themeColor="text1"/>
          <w:lang w:val="en-US" w:eastAsia="zh-CN"/>
          <w14:textFill>
            <w14:solidFill>
              <w14:schemeClr w14:val="tx1"/>
            </w14:solidFill>
          </w14:textFill>
        </w:rPr>
        <w:t>95763</w:t>
      </w:r>
      <w:r>
        <w:rPr>
          <w:rFonts w:hint="eastAsia" w:ascii="宋体" w:hAnsi="宋体" w:eastAsia="宋体" w:cs="宋体"/>
          <w:color w:val="000000" w:themeColor="text1"/>
          <w14:textFill>
            <w14:solidFill>
              <w14:schemeClr w14:val="tx1"/>
            </w14:solidFill>
          </w14:textFill>
        </w:rPr>
        <w:t>。</w:t>
      </w:r>
    </w:p>
    <w:p>
      <w:pPr>
        <w:spacing w:line="400" w:lineRule="exact"/>
        <w:ind w:firstLine="480" w:firstLineChars="200"/>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2.为确保网上操作合法、有效和安全，</w:t>
      </w:r>
      <w:r>
        <w:rPr>
          <w:rFonts w:hint="eastAsia" w:ascii="宋体" w:hAnsi="宋体" w:eastAsia="宋体" w:cs="宋体"/>
          <w:color w:val="000000" w:themeColor="text1"/>
          <w:sz w:val="24"/>
          <w:highlight w:val="none"/>
          <w:lang w:eastAsia="zh-CN"/>
          <w14:textFill>
            <w14:solidFill>
              <w14:schemeClr w14:val="tx1"/>
            </w14:solidFill>
          </w14:textFill>
        </w:rPr>
        <w:t>磋商</w:t>
      </w:r>
      <w:r>
        <w:rPr>
          <w:rFonts w:hint="eastAsia" w:ascii="宋体" w:hAnsi="宋体" w:eastAsia="宋体" w:cs="宋体"/>
          <w:color w:val="000000" w:themeColor="text1"/>
          <w:sz w:val="24"/>
          <w:highlight w:val="none"/>
          <w14:textFill>
            <w14:solidFill>
              <w14:schemeClr w14:val="tx1"/>
            </w14:solidFill>
          </w14:textFill>
        </w:rPr>
        <w:t>供应商应当在</w:t>
      </w:r>
      <w:r>
        <w:rPr>
          <w:rFonts w:hint="eastAsia" w:ascii="宋体" w:hAnsi="宋体" w:eastAsia="宋体" w:cs="宋体"/>
          <w:color w:val="000000" w:themeColor="text1"/>
          <w:sz w:val="24"/>
          <w:highlight w:val="none"/>
          <w:lang w:eastAsia="zh-CN"/>
          <w14:textFill>
            <w14:solidFill>
              <w14:schemeClr w14:val="tx1"/>
            </w14:solidFill>
          </w14:textFill>
        </w:rPr>
        <w:t>磋商</w:t>
      </w:r>
      <w:r>
        <w:rPr>
          <w:rFonts w:hint="eastAsia" w:ascii="宋体" w:hAnsi="宋体" w:eastAsia="宋体" w:cs="宋体"/>
          <w:color w:val="000000" w:themeColor="text1"/>
          <w:sz w:val="24"/>
          <w:highlight w:val="none"/>
          <w14:textFill>
            <w14:solidFill>
              <w14:schemeClr w14:val="tx1"/>
            </w14:solidFill>
          </w14:textFill>
        </w:rPr>
        <w:t>截止时间前完成在“政府采购云平台”的身份认证，确保在电子投标过程中能够对相关数据电文进行加密和使用电子签章。使用“政采云电子交易客户端”需要提前申领CA数字证书，申领流程请自行前往</w:t>
      </w:r>
      <w:r>
        <w:rPr>
          <w:rFonts w:hint="eastAsia" w:ascii="宋体" w:hAnsi="宋体" w:eastAsia="宋体" w:cs="宋体"/>
          <w:color w:val="000000" w:themeColor="text1"/>
          <w:sz w:val="24"/>
          <w:highlight w:val="none"/>
          <w:lang w:eastAsia="zh-CN"/>
          <w14:textFill>
            <w14:solidFill>
              <w14:schemeClr w14:val="tx1"/>
            </w14:solidFill>
          </w14:textFill>
        </w:rPr>
        <w:t>政采云平台</w:t>
      </w:r>
      <w:r>
        <w:rPr>
          <w:rFonts w:hint="eastAsia" w:ascii="宋体" w:hAnsi="宋体" w:eastAsia="宋体" w:cs="宋体"/>
          <w:color w:val="000000" w:themeColor="text1"/>
          <w:sz w:val="24"/>
          <w:highlight w:val="none"/>
          <w14:textFill>
            <w14:solidFill>
              <w14:schemeClr w14:val="tx1"/>
            </w14:solidFill>
          </w14:textFill>
        </w:rPr>
        <w:t>网站进行查阅；</w:t>
      </w:r>
      <w:r>
        <w:rPr>
          <w:rFonts w:hint="eastAsia" w:ascii="宋体" w:hAnsi="宋体" w:eastAsia="宋体" w:cs="宋体"/>
          <w:b/>
          <w:bCs/>
          <w:color w:val="000000" w:themeColor="text1"/>
          <w:sz w:val="24"/>
          <w:highlight w:val="none"/>
          <w14:textFill>
            <w14:solidFill>
              <w14:schemeClr w14:val="tx1"/>
            </w14:solidFill>
          </w14:textFill>
        </w:rPr>
        <w:t>（完成CA数字证书办理预计一周左右，建议供应商获取</w:t>
      </w:r>
      <w:r>
        <w:rPr>
          <w:rFonts w:hint="eastAsia" w:ascii="宋体" w:hAnsi="宋体" w:eastAsia="宋体" w:cs="宋体"/>
          <w:b/>
          <w:bCs/>
          <w:color w:val="000000" w:themeColor="text1"/>
          <w:sz w:val="24"/>
          <w:highlight w:val="none"/>
          <w:lang w:eastAsia="zh-CN"/>
          <w14:textFill>
            <w14:solidFill>
              <w14:schemeClr w14:val="tx1"/>
            </w14:solidFill>
          </w14:textFill>
        </w:rPr>
        <w:t>磋商</w:t>
      </w:r>
      <w:r>
        <w:rPr>
          <w:rFonts w:hint="eastAsia" w:ascii="宋体" w:hAnsi="宋体" w:eastAsia="宋体" w:cs="宋体"/>
          <w:b/>
          <w:bCs/>
          <w:color w:val="000000" w:themeColor="text1"/>
          <w:sz w:val="24"/>
          <w:highlight w:val="none"/>
          <w14:textFill>
            <w14:solidFill>
              <w14:schemeClr w14:val="tx1"/>
            </w14:solidFill>
          </w14:textFill>
        </w:rPr>
        <w:t>文件后立即办理。）</w:t>
      </w: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w:t>
      </w:r>
      <w:r>
        <w:rPr>
          <w:rFonts w:hint="eastAsia" w:ascii="宋体" w:hAnsi="宋体" w:eastAsia="宋体" w:cs="宋体"/>
          <w:color w:val="000000" w:themeColor="text1"/>
          <w:sz w:val="24"/>
          <w:highlight w:val="none"/>
          <w:lang w:eastAsia="zh-CN"/>
          <w14:textFill>
            <w14:solidFill>
              <w14:schemeClr w14:val="tx1"/>
            </w14:solidFill>
          </w14:textFill>
        </w:rPr>
        <w:t>磋商</w:t>
      </w:r>
      <w:r>
        <w:rPr>
          <w:rFonts w:hint="eastAsia" w:ascii="宋体" w:hAnsi="宋体" w:eastAsia="宋体" w:cs="宋体"/>
          <w:color w:val="000000" w:themeColor="text1"/>
          <w:sz w:val="24"/>
          <w:highlight w:val="none"/>
          <w14:textFill>
            <w14:solidFill>
              <w14:schemeClr w14:val="tx1"/>
            </w14:solidFill>
          </w14:textFill>
        </w:rPr>
        <w:t>供应商应当在</w:t>
      </w:r>
      <w:r>
        <w:rPr>
          <w:rFonts w:hint="eastAsia" w:ascii="宋体" w:hAnsi="宋体" w:eastAsia="宋体" w:cs="宋体"/>
          <w:color w:val="000000" w:themeColor="text1"/>
          <w:sz w:val="24"/>
          <w:highlight w:val="none"/>
          <w:lang w:eastAsia="zh-CN"/>
          <w14:textFill>
            <w14:solidFill>
              <w14:schemeClr w14:val="tx1"/>
            </w14:solidFill>
          </w14:textFill>
        </w:rPr>
        <w:t>磋商</w:t>
      </w:r>
      <w:r>
        <w:rPr>
          <w:rFonts w:hint="eastAsia" w:ascii="宋体" w:hAnsi="宋体" w:eastAsia="宋体" w:cs="宋体"/>
          <w:color w:val="000000" w:themeColor="text1"/>
          <w:sz w:val="24"/>
          <w:highlight w:val="none"/>
          <w14:textFill>
            <w14:solidFill>
              <w14:schemeClr w14:val="tx1"/>
            </w14:solidFill>
          </w14:textFill>
        </w:rPr>
        <w:t>截止时间前，将生成的“电子</w:t>
      </w:r>
      <w:r>
        <w:rPr>
          <w:rFonts w:hint="eastAsia" w:ascii="宋体" w:hAnsi="宋体" w:eastAsia="宋体" w:cs="宋体"/>
          <w:color w:val="000000" w:themeColor="text1"/>
          <w:sz w:val="24"/>
          <w:highlight w:val="none"/>
          <w:lang w:eastAsia="zh-CN"/>
          <w14:textFill>
            <w14:solidFill>
              <w14:schemeClr w14:val="tx1"/>
            </w14:solidFill>
          </w14:textFill>
        </w:rPr>
        <w:t>磋商</w:t>
      </w:r>
      <w:r>
        <w:rPr>
          <w:rFonts w:hint="eastAsia" w:ascii="宋体" w:hAnsi="宋体" w:eastAsia="宋体" w:cs="宋体"/>
          <w:color w:val="000000" w:themeColor="text1"/>
          <w:sz w:val="24"/>
          <w:highlight w:val="none"/>
          <w14:textFill>
            <w14:solidFill>
              <w14:schemeClr w14:val="tx1"/>
            </w14:solidFill>
          </w14:textFill>
        </w:rPr>
        <w:t>响应文件”上传递交至政采云平台。</w:t>
      </w:r>
      <w:r>
        <w:rPr>
          <w:rFonts w:hint="eastAsia" w:ascii="宋体" w:hAnsi="宋体" w:eastAsia="宋体" w:cs="宋体"/>
          <w:color w:val="000000" w:themeColor="text1"/>
          <w:sz w:val="24"/>
          <w:highlight w:val="none"/>
          <w:lang w:val="en-US" w:eastAsia="zh-CN"/>
          <w14:textFill>
            <w14:solidFill>
              <w14:schemeClr w14:val="tx1"/>
            </w14:solidFill>
          </w14:textFill>
        </w:rPr>
        <w:t>响应文件递交</w:t>
      </w:r>
      <w:r>
        <w:rPr>
          <w:rFonts w:hint="eastAsia" w:ascii="宋体" w:hAnsi="宋体" w:eastAsia="宋体" w:cs="宋体"/>
          <w:color w:val="000000" w:themeColor="text1"/>
          <w:sz w:val="24"/>
          <w:highlight w:val="none"/>
          <w14:textFill>
            <w14:solidFill>
              <w14:schemeClr w14:val="tx1"/>
            </w14:solidFill>
          </w14:textFill>
        </w:rPr>
        <w:t>截止时间前可以撤回电子</w:t>
      </w:r>
      <w:r>
        <w:rPr>
          <w:rFonts w:hint="eastAsia" w:ascii="宋体" w:hAnsi="宋体" w:eastAsia="宋体" w:cs="宋体"/>
          <w:color w:val="000000" w:themeColor="text1"/>
          <w:sz w:val="24"/>
          <w:highlight w:val="none"/>
          <w:lang w:eastAsia="zh-CN"/>
          <w14:textFill>
            <w14:solidFill>
              <w14:schemeClr w14:val="tx1"/>
            </w14:solidFill>
          </w14:textFill>
        </w:rPr>
        <w:t>磋商</w:t>
      </w:r>
      <w:r>
        <w:rPr>
          <w:rFonts w:hint="eastAsia" w:ascii="宋体" w:hAnsi="宋体" w:eastAsia="宋体" w:cs="宋体"/>
          <w:color w:val="000000" w:themeColor="text1"/>
          <w:sz w:val="24"/>
          <w:highlight w:val="none"/>
          <w14:textFill>
            <w14:solidFill>
              <w14:schemeClr w14:val="tx1"/>
            </w14:solidFill>
          </w14:textFill>
        </w:rPr>
        <w:t>响应文件。补充或者修改电子</w:t>
      </w:r>
      <w:r>
        <w:rPr>
          <w:rFonts w:hint="eastAsia" w:ascii="宋体" w:hAnsi="宋体" w:eastAsia="宋体" w:cs="宋体"/>
          <w:color w:val="000000" w:themeColor="text1"/>
          <w:sz w:val="24"/>
          <w:highlight w:val="none"/>
          <w:lang w:eastAsia="zh-CN"/>
          <w14:textFill>
            <w14:solidFill>
              <w14:schemeClr w14:val="tx1"/>
            </w14:solidFill>
          </w14:textFill>
        </w:rPr>
        <w:t>磋商</w:t>
      </w:r>
      <w:r>
        <w:rPr>
          <w:rFonts w:hint="eastAsia" w:ascii="宋体" w:hAnsi="宋体" w:eastAsia="宋体" w:cs="宋体"/>
          <w:color w:val="000000" w:themeColor="text1"/>
          <w:sz w:val="24"/>
          <w:highlight w:val="none"/>
          <w14:textFill>
            <w14:solidFill>
              <w14:schemeClr w14:val="tx1"/>
            </w14:solidFill>
          </w14:textFill>
        </w:rPr>
        <w:t>响应文件的，应当先行撤回原文件，补充、修改后重新传输递交，</w:t>
      </w:r>
      <w:r>
        <w:rPr>
          <w:rFonts w:hint="eastAsia" w:ascii="宋体" w:hAnsi="宋体" w:eastAsia="宋体" w:cs="宋体"/>
          <w:color w:val="000000" w:themeColor="text1"/>
          <w:sz w:val="24"/>
          <w:highlight w:val="none"/>
          <w:lang w:eastAsia="zh-CN"/>
          <w14:textFill>
            <w14:solidFill>
              <w14:schemeClr w14:val="tx1"/>
            </w14:solidFill>
          </w14:textFill>
        </w:rPr>
        <w:t>磋商</w:t>
      </w:r>
      <w:r>
        <w:rPr>
          <w:rFonts w:hint="eastAsia" w:ascii="宋体" w:hAnsi="宋体" w:eastAsia="宋体" w:cs="宋体"/>
          <w:color w:val="000000" w:themeColor="text1"/>
          <w:sz w:val="24"/>
          <w:highlight w:val="none"/>
          <w:lang w:val="en-US" w:eastAsia="zh-CN"/>
          <w14:textFill>
            <w14:solidFill>
              <w14:schemeClr w14:val="tx1"/>
            </w14:solidFill>
          </w14:textFill>
        </w:rPr>
        <w:t>响应文件递交</w:t>
      </w:r>
      <w:r>
        <w:rPr>
          <w:rFonts w:hint="eastAsia" w:ascii="宋体" w:hAnsi="宋体" w:eastAsia="宋体" w:cs="宋体"/>
          <w:color w:val="000000" w:themeColor="text1"/>
          <w:sz w:val="24"/>
          <w:highlight w:val="none"/>
          <w14:textFill>
            <w14:solidFill>
              <w14:schemeClr w14:val="tx1"/>
            </w14:solidFill>
          </w14:textFill>
        </w:rPr>
        <w:t>截止时间前未完成传输的，视为撤回</w:t>
      </w:r>
      <w:r>
        <w:rPr>
          <w:rFonts w:hint="eastAsia" w:ascii="宋体" w:hAnsi="宋体" w:eastAsia="宋体" w:cs="宋体"/>
          <w:color w:val="000000" w:themeColor="text1"/>
          <w:sz w:val="24"/>
          <w:highlight w:val="none"/>
          <w:lang w:eastAsia="zh-CN"/>
          <w14:textFill>
            <w14:solidFill>
              <w14:schemeClr w14:val="tx1"/>
            </w14:solidFill>
          </w14:textFill>
        </w:rPr>
        <w:t>磋商</w:t>
      </w:r>
      <w:r>
        <w:rPr>
          <w:rFonts w:hint="eastAsia" w:ascii="宋体" w:hAnsi="宋体" w:eastAsia="宋体" w:cs="宋体"/>
          <w:color w:val="000000" w:themeColor="text1"/>
          <w:sz w:val="24"/>
          <w:highlight w:val="none"/>
          <w14:textFill>
            <w14:solidFill>
              <w14:schemeClr w14:val="tx1"/>
            </w14:solidFill>
          </w14:textFill>
        </w:rPr>
        <w:t>响应文件。</w:t>
      </w:r>
    </w:p>
    <w:p>
      <w:pPr>
        <w:pStyle w:val="28"/>
        <w:spacing w:line="400" w:lineRule="exact"/>
        <w:ind w:firstLine="480" w:firstLineChars="200"/>
        <w:rPr>
          <w:rFonts w:hint="eastAsia" w:ascii="宋体" w:hAnsi="宋体" w:eastAsia="宋体" w:cs="宋体"/>
          <w:b/>
          <w:bCs/>
          <w:color w:val="000000" w:themeColor="text1"/>
          <w:sz w:val="24"/>
          <w:highlight w:val="none"/>
          <w:u w:val="none"/>
          <w:lang w:val="en-US" w:eastAsia="zh-CN"/>
          <w14:textFill>
            <w14:solidFill>
              <w14:schemeClr w14:val="tx1"/>
            </w14:solidFill>
          </w14:textFill>
        </w:rPr>
      </w:pPr>
      <w:r>
        <w:rPr>
          <w:rFonts w:hint="eastAsia" w:ascii="宋体" w:hAnsi="宋体" w:eastAsia="宋体" w:cs="宋体"/>
          <w:b/>
          <w:bCs/>
          <w:color w:val="000000" w:themeColor="text1"/>
          <w:sz w:val="24"/>
          <w:highlight w:val="none"/>
          <w:u w:val="none"/>
          <w:lang w:val="en-US" w:eastAsia="zh-CN"/>
          <w14:textFill>
            <w14:solidFill>
              <w14:schemeClr w14:val="tx1"/>
            </w14:solidFill>
          </w14:textFill>
        </w:rPr>
        <w:t>4.本项目需要磋商供应商代表在截标当天截标后，按磋商小组要求及时登陆政采云平台等候在线磋商及提交最后报价。</w:t>
      </w:r>
    </w:p>
    <w:p>
      <w:pPr>
        <w:pStyle w:val="28"/>
        <w:spacing w:line="400" w:lineRule="exact"/>
        <w:ind w:firstLine="480" w:firstLineChars="200"/>
        <w:rPr>
          <w:rFonts w:hint="eastAsia" w:ascii="宋体" w:hAnsi="宋体" w:eastAsia="宋体" w:cs="宋体"/>
          <w:color w:val="000000" w:themeColor="text1"/>
          <w:sz w:val="24"/>
          <w:highlight w:val="none"/>
          <w:u w:val="none"/>
          <w:lang w:val="en-US" w:eastAsia="zh-CN"/>
          <w14:textFill>
            <w14:solidFill>
              <w14:schemeClr w14:val="tx1"/>
            </w14:solidFill>
          </w14:textFill>
        </w:rPr>
      </w:pPr>
      <w:r>
        <w:rPr>
          <w:rFonts w:hint="eastAsia" w:ascii="宋体" w:hAnsi="宋体" w:cs="宋体"/>
          <w:b/>
          <w:bCs/>
          <w:color w:val="000000" w:themeColor="text1"/>
          <w:sz w:val="24"/>
          <w:highlight w:val="none"/>
          <w:u w:val="none"/>
          <w:lang w:val="en-US" w:eastAsia="zh-CN"/>
          <w14:textFill>
            <w14:solidFill>
              <w14:schemeClr w14:val="tx1"/>
            </w14:solidFill>
          </w14:textFill>
        </w:rPr>
        <w:t>5</w:t>
      </w:r>
      <w:r>
        <w:rPr>
          <w:rFonts w:hint="eastAsia" w:ascii="宋体" w:hAnsi="宋体" w:eastAsia="宋体" w:cs="宋体"/>
          <w:b/>
          <w:bCs/>
          <w:color w:val="000000" w:themeColor="text1"/>
          <w:sz w:val="24"/>
          <w:highlight w:val="none"/>
          <w:u w:val="none"/>
          <w:lang w:val="en-US" w:eastAsia="zh-CN"/>
          <w14:textFill>
            <w14:solidFill>
              <w14:schemeClr w14:val="tx1"/>
            </w14:solidFill>
          </w14:textFill>
        </w:rPr>
        <w:t>.本采购项目为政采云全流程电子化操作，参与磋商的供应商需自备计算机和网络设备（设备需可视频通话和读取政采云CA数字证书），确保磋商过程顺利进行；因供应商自身设备或网络原因造成的一切后果，由供应商自行承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九</w:t>
      </w:r>
      <w:r>
        <w:rPr>
          <w:rFonts w:hint="eastAsia" w:ascii="宋体" w:hAnsi="宋体" w:eastAsia="宋体" w:cs="宋体"/>
          <w:color w:val="000000" w:themeColor="text1"/>
          <w:sz w:val="24"/>
          <w14:textFill>
            <w14:solidFill>
              <w14:schemeClr w14:val="tx1"/>
            </w14:solidFill>
          </w14:textFill>
        </w:rPr>
        <w:t>、凡对本次采购提出询问，请按以下方式联系。</w:t>
      </w:r>
      <w:bookmarkEnd w:id="22"/>
      <w:bookmarkEnd w:id="23"/>
      <w:bookmarkEnd w:id="24"/>
      <w:bookmarkEnd w:id="25"/>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14:textFill>
            <w14:solidFill>
              <w14:schemeClr w14:val="tx1"/>
            </w14:solidFill>
          </w14:textFill>
        </w:rPr>
      </w:pPr>
      <w:bookmarkStart w:id="36" w:name="_Toc28359096"/>
      <w:bookmarkStart w:id="37" w:name="_Toc28359019"/>
      <w:bookmarkStart w:id="38" w:name="_Toc35393637"/>
      <w:bookmarkStart w:id="39" w:name="_Toc35393806"/>
      <w:r>
        <w:rPr>
          <w:rFonts w:hint="eastAsia" w:ascii="宋体" w:hAnsi="宋体" w:eastAsia="宋体" w:cs="宋体"/>
          <w:color w:val="000000" w:themeColor="text1"/>
          <w:sz w:val="24"/>
          <w14:textFill>
            <w14:solidFill>
              <w14:schemeClr w14:val="tx1"/>
            </w14:solidFill>
          </w14:textFill>
        </w:rPr>
        <w:t>1.采购人信息</w:t>
      </w:r>
      <w:bookmarkEnd w:id="36"/>
      <w:bookmarkEnd w:id="37"/>
      <w:bookmarkEnd w:id="38"/>
      <w:bookmarkEnd w:id="39"/>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eastAsia" w:ascii="宋体" w:hAnsi="宋体" w:eastAsia="宋体" w:cs="宋体"/>
          <w:color w:val="000000" w:themeColor="text1"/>
          <w:sz w:val="24"/>
          <w:u w:val="single"/>
          <w14:textFill>
            <w14:solidFill>
              <w14:schemeClr w14:val="tx1"/>
            </w14:solidFill>
          </w14:textFill>
        </w:rPr>
      </w:pPr>
      <w:bookmarkStart w:id="40" w:name="_Toc35393807"/>
      <w:bookmarkStart w:id="41" w:name="_Toc28359020"/>
      <w:bookmarkStart w:id="42" w:name="_Toc28359097"/>
      <w:bookmarkStart w:id="43" w:name="_Toc35393638"/>
      <w:r>
        <w:rPr>
          <w:rFonts w:hint="eastAsia" w:ascii="宋体" w:hAnsi="宋体" w:eastAsia="宋体" w:cs="宋体"/>
          <w:color w:val="000000" w:themeColor="text1"/>
          <w:sz w:val="24"/>
          <w14:textFill>
            <w14:solidFill>
              <w14:schemeClr w14:val="tx1"/>
            </w14:solidFill>
          </w14:textFill>
        </w:rPr>
        <w:t>名    称：</w:t>
      </w:r>
      <w:r>
        <w:rPr>
          <w:rFonts w:hint="eastAsia" w:ascii="宋体" w:hAnsi="宋体" w:cs="宋体"/>
          <w:color w:val="000000" w:themeColor="text1"/>
          <w:sz w:val="24"/>
          <w:u w:val="single"/>
          <w:lang w:eastAsia="zh-CN"/>
          <w14:textFill>
            <w14:solidFill>
              <w14:schemeClr w14:val="tx1"/>
            </w14:solidFill>
          </w14:textFill>
        </w:rPr>
        <w:t>桂林市财政局</w:t>
      </w:r>
      <w:r>
        <w:rPr>
          <w:rFonts w:hint="eastAsia" w:ascii="宋体" w:hAnsi="宋体" w:eastAsia="宋体" w:cs="宋体"/>
          <w:color w:val="000000" w:themeColor="text1"/>
          <w:sz w:val="24"/>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宋体" w:hAnsi="宋体" w:eastAsia="宋体" w:cs="宋体"/>
          <w:color w:val="000000" w:themeColor="text1"/>
          <w:sz w:val="24"/>
          <w:highlight w:val="none"/>
          <w:u w:val="single"/>
          <w:lang w:val="en-US"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地    址：</w:t>
      </w:r>
      <w:r>
        <w:rPr>
          <w:rFonts w:hint="eastAsia" w:ascii="宋体" w:hAnsi="宋体" w:eastAsia="宋体" w:cs="宋体"/>
          <w:color w:val="000000" w:themeColor="text1"/>
          <w:sz w:val="24"/>
          <w:u w:val="single"/>
          <w14:textFill>
            <w14:solidFill>
              <w14:schemeClr w14:val="tx1"/>
            </w14:solidFill>
          </w14:textFill>
        </w:rPr>
        <w:t>广西桂林市临桂区公园北路8号桂林金融大厦17层</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left"/>
        <w:textAlignment w:val="auto"/>
        <w:rPr>
          <w:rFonts w:hint="default" w:ascii="宋体" w:hAnsi="宋体" w:eastAsia="宋体" w:cs="宋体"/>
          <w:color w:val="000000" w:themeColor="text1"/>
          <w:sz w:val="24"/>
          <w:highlight w:val="none"/>
          <w:lang w:val="en-US"/>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联系方式：</w:t>
      </w:r>
      <w:r>
        <w:rPr>
          <w:rFonts w:hint="eastAsia" w:ascii="宋体" w:hAnsi="宋体" w:cs="宋体"/>
          <w:color w:val="000000" w:themeColor="text1"/>
          <w:sz w:val="24"/>
          <w:highlight w:val="none"/>
          <w:u w:val="single"/>
          <w:lang w:val="en-US" w:eastAsia="zh-CN"/>
          <w14:textFill>
            <w14:solidFill>
              <w14:schemeClr w14:val="tx1"/>
            </w14:solidFill>
          </w14:textFill>
        </w:rPr>
        <w:t>杨弘民 13788587416</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2.采购代理机构信息</w:t>
      </w:r>
      <w:bookmarkEnd w:id="40"/>
      <w:bookmarkEnd w:id="41"/>
      <w:bookmarkEnd w:id="42"/>
      <w:bookmarkEnd w:id="43"/>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名    称：</w:t>
      </w:r>
      <w:r>
        <w:rPr>
          <w:rFonts w:hint="eastAsia" w:ascii="宋体" w:hAnsi="宋体" w:eastAsia="宋体" w:cs="宋体"/>
          <w:color w:val="000000" w:themeColor="text1"/>
          <w:sz w:val="24"/>
          <w:u w:val="single"/>
          <w14:textFill>
            <w14:solidFill>
              <w14:schemeClr w14:val="tx1"/>
            </w14:solidFill>
          </w14:textFill>
        </w:rPr>
        <w:t xml:space="preserve"> 桂林市政府集中采购中心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地　　址：</w:t>
      </w:r>
      <w:r>
        <w:rPr>
          <w:rFonts w:hint="eastAsia" w:ascii="宋体" w:hAnsi="宋体" w:eastAsia="宋体" w:cs="宋体"/>
          <w:color w:val="000000" w:themeColor="text1"/>
          <w:sz w:val="24"/>
          <w:u w:val="single"/>
          <w14:textFill>
            <w14:solidFill>
              <w14:schemeClr w14:val="tx1"/>
            </w14:solidFill>
          </w14:textFill>
        </w:rPr>
        <w:t xml:space="preserve"> 桂林市临桂区西城中路69号创业大厦西辅楼5楼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宋体"/>
          <w:color w:val="000000" w:themeColor="text1"/>
          <w:sz w:val="24"/>
          <w:u w:val="single"/>
          <w:lang w:val="en-US"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联系方式：</w:t>
      </w:r>
      <w:r>
        <w:rPr>
          <w:rFonts w:hint="eastAsia" w:ascii="宋体" w:hAnsi="宋体" w:eastAsia="宋体" w:cs="宋体"/>
          <w:color w:val="000000" w:themeColor="text1"/>
          <w:sz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0773-5625</w:t>
      </w:r>
      <w:r>
        <w:rPr>
          <w:rFonts w:hint="eastAsia" w:ascii="宋体" w:hAnsi="宋体" w:eastAsia="宋体" w:cs="宋体"/>
          <w:color w:val="000000" w:themeColor="text1"/>
          <w:sz w:val="24"/>
          <w:u w:val="single"/>
          <w:lang w:val="en-US" w:eastAsia="zh-CN"/>
          <w14:textFill>
            <w14:solidFill>
              <w14:schemeClr w14:val="tx1"/>
            </w14:solidFill>
          </w14:textFill>
        </w:rPr>
        <w:t>1</w:t>
      </w:r>
      <w:r>
        <w:rPr>
          <w:rFonts w:hint="eastAsia" w:ascii="宋体" w:hAnsi="宋体" w:cs="宋体"/>
          <w:color w:val="000000" w:themeColor="text1"/>
          <w:sz w:val="24"/>
          <w:u w:val="single"/>
          <w:lang w:val="en-US" w:eastAsia="zh-CN"/>
          <w14:textFill>
            <w14:solidFill>
              <w14:schemeClr w14:val="tx1"/>
            </w14:solidFill>
          </w14:textFill>
        </w:rPr>
        <w:t>75</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14:textFill>
            <w14:solidFill>
              <w14:schemeClr w14:val="tx1"/>
            </w14:solidFill>
          </w14:textFill>
        </w:rPr>
      </w:pPr>
      <w:bookmarkStart w:id="44" w:name="_Toc28359021"/>
      <w:bookmarkStart w:id="45" w:name="_Toc35393808"/>
      <w:bookmarkStart w:id="46" w:name="_Toc35393639"/>
      <w:bookmarkStart w:id="47" w:name="_Toc28359098"/>
      <w:r>
        <w:rPr>
          <w:rFonts w:hint="eastAsia" w:ascii="宋体" w:hAnsi="宋体" w:eastAsia="宋体" w:cs="宋体"/>
          <w:color w:val="000000" w:themeColor="text1"/>
          <w:sz w:val="24"/>
          <w14:textFill>
            <w14:solidFill>
              <w14:schemeClr w14:val="tx1"/>
            </w14:solidFill>
          </w14:textFill>
        </w:rPr>
        <w:t>3.项目联系方式</w:t>
      </w:r>
      <w:bookmarkEnd w:id="44"/>
      <w:bookmarkEnd w:id="45"/>
      <w:bookmarkEnd w:id="46"/>
      <w:bookmarkEnd w:id="47"/>
    </w:p>
    <w:p>
      <w:pPr>
        <w:pStyle w:val="12"/>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项目联系人：</w:t>
      </w:r>
      <w:r>
        <w:rPr>
          <w:rFonts w:hint="eastAsia" w:hAnsi="宋体" w:cs="宋体"/>
          <w:color w:val="000000" w:themeColor="text1"/>
          <w:sz w:val="24"/>
          <w:szCs w:val="24"/>
          <w:u w:val="single"/>
          <w:lang w:val="en-US" w:eastAsia="zh-CN"/>
          <w14:textFill>
            <w14:solidFill>
              <w14:schemeClr w14:val="tx1"/>
            </w14:solidFill>
          </w14:textFill>
        </w:rPr>
        <w:t>李</w:t>
      </w:r>
      <w:r>
        <w:rPr>
          <w:rFonts w:hint="eastAsia" w:ascii="宋体" w:hAnsi="宋体" w:eastAsia="宋体" w:cs="宋体"/>
          <w:color w:val="000000" w:themeColor="text1"/>
          <w:sz w:val="24"/>
          <w:szCs w:val="24"/>
          <w:u w:val="single"/>
          <w:lang w:val="en-US" w:eastAsia="zh-CN"/>
          <w14:textFill>
            <w14:solidFill>
              <w14:schemeClr w14:val="tx1"/>
            </w14:solidFill>
          </w14:textFill>
        </w:rPr>
        <w:t>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宋体"/>
          <w:color w:val="000000" w:themeColor="text1"/>
          <w:sz w:val="24"/>
          <w:u w:val="single"/>
          <w:lang w:val="en-US"/>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电　　话：</w:t>
      </w:r>
      <w:r>
        <w:rPr>
          <w:rFonts w:hint="eastAsia" w:ascii="宋体" w:hAnsi="宋体" w:eastAsia="宋体" w:cs="宋体"/>
          <w:color w:val="000000" w:themeColor="text1"/>
          <w:sz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u w:val="single"/>
          <w14:textFill>
            <w14:solidFill>
              <w14:schemeClr w14:val="tx1"/>
            </w14:solidFill>
          </w14:textFill>
        </w:rPr>
        <w:t>0773-5625</w:t>
      </w:r>
      <w:r>
        <w:rPr>
          <w:rFonts w:hint="eastAsia" w:ascii="宋体" w:hAnsi="宋体" w:eastAsia="宋体" w:cs="宋体"/>
          <w:color w:val="000000" w:themeColor="text1"/>
          <w:sz w:val="24"/>
          <w:u w:val="single"/>
          <w:lang w:val="en-US" w:eastAsia="zh-CN"/>
          <w14:textFill>
            <w14:solidFill>
              <w14:schemeClr w14:val="tx1"/>
            </w14:solidFill>
          </w14:textFill>
        </w:rPr>
        <w:t>1</w:t>
      </w:r>
      <w:r>
        <w:rPr>
          <w:rFonts w:hint="eastAsia" w:ascii="宋体" w:hAnsi="宋体" w:cs="宋体"/>
          <w:color w:val="000000" w:themeColor="text1"/>
          <w:sz w:val="24"/>
          <w:u w:val="single"/>
          <w:lang w:val="en-US" w:eastAsia="zh-CN"/>
          <w14:textFill>
            <w14:solidFill>
              <w14:schemeClr w14:val="tx1"/>
            </w14:solidFill>
          </w14:textFill>
        </w:rPr>
        <w:t>75</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4.政府采购监督管理机构</w:t>
      </w:r>
    </w:p>
    <w:p>
      <w:pPr>
        <w:spacing w:line="40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名 称：</w:t>
      </w:r>
      <w:r>
        <w:rPr>
          <w:rFonts w:hint="eastAsia" w:ascii="宋体" w:hAnsi="宋体" w:cs="宋体"/>
          <w:color w:val="000000" w:themeColor="text1"/>
          <w:sz w:val="24"/>
          <w:u w:val="single"/>
          <w:lang w:val="en-US" w:eastAsia="zh-CN"/>
          <w14:textFill>
            <w14:solidFill>
              <w14:schemeClr w14:val="tx1"/>
            </w14:solidFill>
          </w14:textFill>
        </w:rPr>
        <w:t>桂林市财政局</w:t>
      </w:r>
      <w:r>
        <w:rPr>
          <w:rFonts w:hint="eastAsia" w:ascii="宋体" w:hAnsi="宋体" w:eastAsia="宋体" w:cs="宋体"/>
          <w:color w:val="000000" w:themeColor="text1"/>
          <w:sz w:val="24"/>
          <w14:textFill>
            <w14:solidFill>
              <w14:schemeClr w14:val="tx1"/>
            </w14:solidFill>
          </w14:textFill>
        </w:rPr>
        <w:t xml:space="preserve"> </w:t>
      </w:r>
    </w:p>
    <w:p>
      <w:pPr>
        <w:spacing w:line="400" w:lineRule="exact"/>
        <w:ind w:firstLine="480" w:firstLineChars="2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联系方式：</w:t>
      </w:r>
      <w:r>
        <w:rPr>
          <w:rFonts w:hint="eastAsia" w:ascii="宋体" w:hAnsi="宋体" w:cs="宋体"/>
          <w:color w:val="000000" w:themeColor="text1"/>
          <w:sz w:val="24"/>
          <w:u w:val="single"/>
          <w:lang w:eastAsia="zh-CN"/>
          <w14:textFill>
            <w14:solidFill>
              <w14:schemeClr w14:val="tx1"/>
            </w14:solidFill>
          </w14:textFill>
        </w:rPr>
        <w:t>0773-2862142</w:t>
      </w:r>
    </w:p>
    <w:p>
      <w:pPr>
        <w:pStyle w:val="9"/>
        <w:spacing w:line="400" w:lineRule="exact"/>
        <w:ind w:firstLine="420" w:firstLineChars="200"/>
        <w:rPr>
          <w:rFonts w:hint="eastAsia" w:ascii="宋体" w:hAnsi="宋体" w:eastAsia="宋体" w:cs="宋体"/>
          <w:color w:val="000000" w:themeColor="text1"/>
          <w14:textFill>
            <w14:solidFill>
              <w14:schemeClr w14:val="tx1"/>
            </w14:solidFill>
          </w14:textFill>
        </w:rPr>
      </w:pPr>
    </w:p>
    <w:p>
      <w:pPr>
        <w:pStyle w:val="9"/>
        <w:rPr>
          <w:rFonts w:hint="eastAsia" w:ascii="宋体" w:hAnsi="宋体" w:eastAsia="宋体" w:cs="宋体"/>
          <w:color w:val="000000" w:themeColor="text1"/>
          <w14:textFill>
            <w14:solidFill>
              <w14:schemeClr w14:val="tx1"/>
            </w14:solidFill>
          </w14:textFill>
        </w:rPr>
      </w:pPr>
    </w:p>
    <w:p>
      <w:pPr>
        <w:pStyle w:val="9"/>
        <w:rPr>
          <w:rFonts w:hint="eastAsia" w:ascii="宋体" w:hAnsi="宋体" w:eastAsia="宋体" w:cs="宋体"/>
          <w:color w:val="000000" w:themeColor="text1"/>
          <w14:textFill>
            <w14:solidFill>
              <w14:schemeClr w14:val="tx1"/>
            </w14:solidFill>
          </w14:textFill>
        </w:rPr>
      </w:pPr>
    </w:p>
    <w:p>
      <w:pPr>
        <w:pStyle w:val="9"/>
        <w:rPr>
          <w:rFonts w:hint="eastAsia" w:ascii="宋体" w:hAnsi="宋体" w:eastAsia="宋体" w:cs="宋体"/>
          <w:color w:val="000000" w:themeColor="text1"/>
          <w14:textFill>
            <w14:solidFill>
              <w14:schemeClr w14:val="tx1"/>
            </w14:solidFill>
          </w14:textFill>
        </w:rPr>
      </w:pPr>
    </w:p>
    <w:p>
      <w:pPr>
        <w:pStyle w:val="9"/>
        <w:rPr>
          <w:rFonts w:hint="eastAsia" w:ascii="宋体" w:hAnsi="宋体" w:eastAsia="宋体" w:cs="宋体"/>
          <w:color w:val="000000" w:themeColor="text1"/>
          <w14:textFill>
            <w14:solidFill>
              <w14:schemeClr w14:val="tx1"/>
            </w14:solidFill>
          </w14:textFill>
        </w:rPr>
      </w:pPr>
    </w:p>
    <w:p>
      <w:pPr>
        <w:pStyle w:val="9"/>
        <w:rPr>
          <w:rFonts w:hint="eastAsia" w:ascii="宋体" w:hAnsi="宋体" w:eastAsia="宋体" w:cs="宋体"/>
          <w:color w:val="000000" w:themeColor="text1"/>
          <w14:textFill>
            <w14:solidFill>
              <w14:schemeClr w14:val="tx1"/>
            </w14:solidFill>
          </w14:textFill>
        </w:rPr>
      </w:pPr>
    </w:p>
    <w:p>
      <w:pPr>
        <w:pStyle w:val="9"/>
        <w:rPr>
          <w:rFonts w:hint="eastAsia" w:ascii="宋体" w:hAnsi="宋体" w:eastAsia="宋体" w:cs="宋体"/>
          <w:color w:val="000000" w:themeColor="text1"/>
          <w14:textFill>
            <w14:solidFill>
              <w14:schemeClr w14:val="tx1"/>
            </w14:solidFill>
          </w14:textFill>
        </w:rPr>
      </w:pPr>
    </w:p>
    <w:p>
      <w:pPr>
        <w:pStyle w:val="9"/>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sz w:val="32"/>
          <w:szCs w:val="32"/>
          <w:highlight w:val="none"/>
          <w:lang w:eastAsia="zh-CN"/>
          <w14:textFill>
            <w14:solidFill>
              <w14:schemeClr w14:val="tx1"/>
            </w14:solidFill>
          </w14:textFill>
        </w:rPr>
      </w:pPr>
      <w:bookmarkStart w:id="48" w:name="_Toc10668"/>
      <w:r>
        <w:rPr>
          <w:rFonts w:hint="eastAsia" w:ascii="宋体" w:hAnsi="宋体" w:eastAsia="宋体" w:cs="宋体"/>
          <w:color w:val="000000" w:themeColor="text1"/>
          <w:sz w:val="32"/>
          <w:szCs w:val="32"/>
          <w:highlight w:val="none"/>
          <w:lang w:eastAsia="zh-CN"/>
          <w14:textFill>
            <w14:solidFill>
              <w14:schemeClr w14:val="tx1"/>
            </w14:solidFill>
          </w14:textFill>
        </w:rPr>
        <w:br w:type="page"/>
      </w:r>
    </w:p>
    <w:p>
      <w:pPr>
        <w:pStyle w:val="3"/>
        <w:numPr>
          <w:ilvl w:val="0"/>
          <w:numId w:val="0"/>
        </w:numPr>
        <w:spacing w:line="240" w:lineRule="auto"/>
        <w:jc w:val="center"/>
        <w:rPr>
          <w:rFonts w:hint="eastAsia" w:ascii="宋体" w:hAnsi="宋体" w:eastAsia="宋体" w:cs="宋体"/>
          <w:color w:val="000000" w:themeColor="text1"/>
          <w:sz w:val="32"/>
          <w:szCs w:val="32"/>
          <w:highlight w:val="none"/>
          <w14:textFill>
            <w14:solidFill>
              <w14:schemeClr w14:val="tx1"/>
            </w14:solidFill>
          </w14:textFill>
        </w:rPr>
      </w:pPr>
      <w:bookmarkStart w:id="49" w:name="_Toc18678"/>
      <w:r>
        <w:rPr>
          <w:rFonts w:hint="eastAsia" w:ascii="宋体" w:hAnsi="宋体" w:eastAsia="宋体" w:cs="宋体"/>
          <w:color w:val="000000" w:themeColor="text1"/>
          <w:sz w:val="32"/>
          <w:szCs w:val="32"/>
          <w:highlight w:val="none"/>
          <w:lang w:eastAsia="zh-CN"/>
          <w14:textFill>
            <w14:solidFill>
              <w14:schemeClr w14:val="tx1"/>
            </w14:solidFill>
          </w14:textFill>
        </w:rPr>
        <w:t>第二章</w:t>
      </w:r>
      <w:r>
        <w:rPr>
          <w:rFonts w:hint="eastAsia" w:ascii="宋体" w:hAnsi="宋体" w:eastAsia="宋体" w:cs="宋体"/>
          <w:color w:val="000000" w:themeColor="text1"/>
          <w:sz w:val="32"/>
          <w:szCs w:val="32"/>
          <w:highlight w:val="none"/>
          <w:lang w:val="en-US" w:eastAsia="zh-CN"/>
          <w14:textFill>
            <w14:solidFill>
              <w14:schemeClr w14:val="tx1"/>
            </w14:solidFill>
          </w14:textFill>
        </w:rPr>
        <w:t xml:space="preserve"> </w:t>
      </w:r>
      <w:r>
        <w:rPr>
          <w:rFonts w:hint="eastAsia" w:ascii="宋体" w:hAnsi="宋体" w:eastAsia="宋体" w:cs="宋体"/>
          <w:color w:val="000000" w:themeColor="text1"/>
          <w:sz w:val="32"/>
          <w:szCs w:val="32"/>
          <w:highlight w:val="none"/>
          <w14:textFill>
            <w14:solidFill>
              <w14:schemeClr w14:val="tx1"/>
            </w14:solidFill>
          </w14:textFill>
        </w:rPr>
        <w:t>供应商须知</w:t>
      </w:r>
      <w:bookmarkEnd w:id="0"/>
      <w:bookmarkEnd w:id="1"/>
      <w:bookmarkEnd w:id="48"/>
      <w:bookmarkEnd w:id="49"/>
    </w:p>
    <w:p>
      <w:pPr>
        <w:pStyle w:val="4"/>
        <w:jc w:val="center"/>
        <w:rPr>
          <w:rFonts w:hint="eastAsia" w:ascii="宋体" w:hAnsi="宋体" w:eastAsia="宋体" w:cs="宋体"/>
          <w:b/>
          <w:bCs w:val="0"/>
          <w:color w:val="000000" w:themeColor="text1"/>
          <w:sz w:val="24"/>
          <w:szCs w:val="24"/>
          <w:highlight w:val="none"/>
          <w14:textFill>
            <w14:solidFill>
              <w14:schemeClr w14:val="tx1"/>
            </w14:solidFill>
          </w14:textFill>
        </w:rPr>
      </w:pPr>
      <w:bookmarkStart w:id="50" w:name="_Toc25063"/>
      <w:bookmarkStart w:id="51" w:name="_Toc13547"/>
      <w:bookmarkStart w:id="52" w:name="_Toc9508"/>
      <w:bookmarkStart w:id="53" w:name="_Toc22330"/>
      <w:r>
        <w:rPr>
          <w:rFonts w:hint="eastAsia" w:ascii="宋体" w:hAnsi="宋体" w:eastAsia="宋体" w:cs="宋体"/>
          <w:b/>
          <w:bCs w:val="0"/>
          <w:color w:val="000000" w:themeColor="text1"/>
          <w:sz w:val="24"/>
          <w:szCs w:val="24"/>
          <w:highlight w:val="none"/>
          <w14:textFill>
            <w14:solidFill>
              <w14:schemeClr w14:val="tx1"/>
            </w14:solidFill>
          </w14:textFill>
        </w:rPr>
        <w:t>供 应 商 须 知 前 附 表</w:t>
      </w:r>
      <w:bookmarkEnd w:id="50"/>
      <w:bookmarkEnd w:id="51"/>
      <w:bookmarkEnd w:id="52"/>
      <w:bookmarkEnd w:id="53"/>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942"/>
        <w:gridCol w:w="1775"/>
        <w:gridCol w:w="6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62" w:type="dxa"/>
            <w:noWrap w:val="0"/>
            <w:vAlign w:val="center"/>
          </w:tcPr>
          <w:p>
            <w:pPr>
              <w:spacing w:line="36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序号</w:t>
            </w:r>
          </w:p>
        </w:tc>
        <w:tc>
          <w:tcPr>
            <w:tcW w:w="942" w:type="dxa"/>
            <w:noWrap w:val="0"/>
            <w:vAlign w:val="center"/>
          </w:tcPr>
          <w:p>
            <w:pPr>
              <w:spacing w:line="36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条款号</w:t>
            </w:r>
          </w:p>
        </w:tc>
        <w:tc>
          <w:tcPr>
            <w:tcW w:w="1775" w:type="dxa"/>
            <w:noWrap w:val="0"/>
            <w:vAlign w:val="center"/>
          </w:tcPr>
          <w:p>
            <w:pPr>
              <w:spacing w:line="36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条款名称</w:t>
            </w:r>
          </w:p>
        </w:tc>
        <w:tc>
          <w:tcPr>
            <w:tcW w:w="6912" w:type="dxa"/>
            <w:noWrap w:val="0"/>
            <w:vAlign w:val="center"/>
          </w:tcPr>
          <w:p>
            <w:pPr>
              <w:spacing w:line="36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62" w:type="dxa"/>
            <w:noWrap w:val="0"/>
            <w:vAlign w:val="center"/>
          </w:tcPr>
          <w:p>
            <w:pPr>
              <w:spacing w:line="36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w:t>
            </w:r>
          </w:p>
        </w:tc>
        <w:tc>
          <w:tcPr>
            <w:tcW w:w="942" w:type="dxa"/>
            <w:noWrap w:val="0"/>
            <w:vAlign w:val="center"/>
          </w:tcPr>
          <w:p>
            <w:pPr>
              <w:spacing w:line="36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1.1</w:t>
            </w:r>
          </w:p>
        </w:tc>
        <w:tc>
          <w:tcPr>
            <w:tcW w:w="1775" w:type="dxa"/>
            <w:noWrap w:val="0"/>
            <w:vAlign w:val="center"/>
          </w:tcPr>
          <w:p>
            <w:pPr>
              <w:spacing w:line="36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项目名称及项目编号</w:t>
            </w:r>
          </w:p>
        </w:tc>
        <w:tc>
          <w:tcPr>
            <w:tcW w:w="6912" w:type="dxa"/>
            <w:noWrap w:val="0"/>
            <w:vAlign w:val="top"/>
          </w:tcPr>
          <w:p>
            <w:pPr>
              <w:spacing w:line="360" w:lineRule="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项目名称：</w:t>
            </w:r>
            <w:r>
              <w:rPr>
                <w:rFonts w:hint="eastAsia" w:ascii="宋体" w:hAnsi="宋体" w:cs="宋体"/>
                <w:color w:val="000000" w:themeColor="text1"/>
                <w:sz w:val="21"/>
                <w:szCs w:val="21"/>
                <w:lang w:val="en-US" w:eastAsia="zh-CN"/>
                <w14:textFill>
                  <w14:solidFill>
                    <w14:schemeClr w14:val="tx1"/>
                  </w14:solidFill>
                </w14:textFill>
              </w:rPr>
              <w:t>桂林市财政局信息化设备采购</w:t>
            </w:r>
            <w:r>
              <w:rPr>
                <w:rFonts w:hint="eastAsia" w:ascii="宋体" w:hAnsi="宋体" w:eastAsia="宋体" w:cs="宋体"/>
                <w:color w:val="000000" w:themeColor="text1"/>
                <w:sz w:val="21"/>
                <w:szCs w:val="21"/>
                <w:lang w:eastAsia="zh-CN"/>
                <w14:textFill>
                  <w14:solidFill>
                    <w14:schemeClr w14:val="tx1"/>
                  </w14:solidFill>
                </w14:textFill>
              </w:rPr>
              <w:t xml:space="preserve">      </w:t>
            </w:r>
          </w:p>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项目编号：</w:t>
            </w:r>
            <w:r>
              <w:rPr>
                <w:rFonts w:hint="eastAsia" w:ascii="宋体" w:hAnsi="宋体" w:cs="宋体"/>
                <w:color w:val="000000" w:themeColor="text1"/>
                <w:sz w:val="21"/>
                <w:szCs w:val="21"/>
                <w:lang w:val="en-US" w:eastAsia="zh-CN"/>
                <w14:textFill>
                  <w14:solidFill>
                    <w14:schemeClr w14:val="tx1"/>
                  </w14:solidFill>
                </w14:textFill>
              </w:rPr>
              <w:t>GLZC2024-C1-990012-GLJC</w:t>
            </w:r>
            <w:r>
              <w:rPr>
                <w:rFonts w:hint="eastAsia" w:ascii="宋体" w:hAnsi="宋体" w:eastAsia="宋体" w:cs="宋体"/>
                <w:color w:val="000000" w:themeColor="text1"/>
                <w:sz w:val="21"/>
                <w:szCs w:val="21"/>
                <w:lang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662" w:type="dxa"/>
            <w:noWrap w:val="0"/>
            <w:vAlign w:val="center"/>
          </w:tcPr>
          <w:p>
            <w:pPr>
              <w:spacing w:line="36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w:t>
            </w:r>
          </w:p>
        </w:tc>
        <w:tc>
          <w:tcPr>
            <w:tcW w:w="942" w:type="dxa"/>
            <w:noWrap w:val="0"/>
            <w:vAlign w:val="center"/>
          </w:tcPr>
          <w:p>
            <w:pPr>
              <w:spacing w:line="36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w:t>
            </w:r>
          </w:p>
        </w:tc>
        <w:tc>
          <w:tcPr>
            <w:tcW w:w="1775" w:type="dxa"/>
            <w:noWrap w:val="0"/>
            <w:vAlign w:val="center"/>
          </w:tcPr>
          <w:p>
            <w:pPr>
              <w:spacing w:line="36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供应商资格</w:t>
            </w:r>
          </w:p>
        </w:tc>
        <w:tc>
          <w:tcPr>
            <w:tcW w:w="6912" w:type="dxa"/>
            <w:noWrap w:val="0"/>
            <w:vAlign w:val="center"/>
          </w:tcPr>
          <w:p>
            <w:pPr>
              <w:spacing w:line="36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3.1</w:t>
            </w:r>
            <w:r>
              <w:rPr>
                <w:rFonts w:hint="eastAsia" w:ascii="宋体" w:hAnsi="宋体" w:eastAsia="宋体" w:cs="宋体"/>
                <w:color w:val="000000" w:themeColor="text1"/>
                <w:szCs w:val="21"/>
                <w:highlight w:val="none"/>
                <w14:textFill>
                  <w14:solidFill>
                    <w14:schemeClr w14:val="tx1"/>
                  </w14:solidFill>
                </w14:textFill>
              </w:rPr>
              <w:t>符合《中华人民共和国政府采购法》第二十二条和《政府采购法实施条例》第十八条规定，具备合法资格的供应商；</w:t>
            </w:r>
          </w:p>
          <w:p>
            <w:pPr>
              <w:spacing w:line="36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3.2</w:t>
            </w:r>
            <w:r>
              <w:rPr>
                <w:rFonts w:hint="eastAsia" w:ascii="宋体" w:hAnsi="宋体" w:eastAsia="宋体" w:cs="宋体"/>
                <w:color w:val="000000" w:themeColor="text1"/>
                <w:szCs w:val="21"/>
                <w:highlight w:val="none"/>
                <w14:textFill>
                  <w14:solidFill>
                    <w14:schemeClr w14:val="tx1"/>
                  </w14:solidFill>
                </w14:textFill>
              </w:rPr>
              <w:t>本项目不接受联合体参与磋商；</w:t>
            </w:r>
          </w:p>
          <w:p>
            <w:pPr>
              <w:spacing w:line="36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w:t>
            </w:r>
            <w:r>
              <w:rPr>
                <w:rFonts w:hint="eastAsia" w:ascii="宋体" w:hAnsi="宋体" w:eastAsia="宋体" w:cs="宋体"/>
                <w:color w:val="000000" w:themeColor="text1"/>
                <w:szCs w:val="21"/>
                <w:highlight w:val="none"/>
                <w:lang w:val="en-US" w:eastAsia="zh-CN"/>
                <w14:textFill>
                  <w14:solidFill>
                    <w14:schemeClr w14:val="tx1"/>
                  </w14:solidFill>
                </w14:textFill>
              </w:rPr>
              <w:t>.3</w:t>
            </w:r>
            <w:r>
              <w:rPr>
                <w:rFonts w:hint="eastAsia" w:ascii="宋体" w:hAnsi="宋体" w:eastAsia="宋体" w:cs="宋体"/>
                <w:color w:val="000000" w:themeColor="text1"/>
                <w:szCs w:val="21"/>
                <w:highlight w:val="none"/>
                <w14:textFill>
                  <w14:solidFill>
                    <w14:schemeClr w14:val="tx1"/>
                  </w14:solidFill>
                </w14:textFill>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r>
              <w:rPr>
                <w:rFonts w:hint="eastAsia" w:ascii="宋体" w:hAnsi="宋体" w:eastAsia="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落实政府采购政策需满足的资格要求：</w:t>
            </w:r>
            <w:r>
              <w:rPr>
                <w:rFonts w:hint="eastAsia" w:ascii="宋体" w:hAnsi="宋体" w:eastAsia="宋体" w:cs="宋体"/>
                <w:b w:val="0"/>
                <w:bCs w:val="0"/>
                <w:color w:val="000000" w:themeColor="text1"/>
                <w:sz w:val="21"/>
                <w:szCs w:val="21"/>
                <w:lang w:eastAsia="zh-CN"/>
                <w14:textFill>
                  <w14:solidFill>
                    <w14:schemeClr w14:val="tx1"/>
                  </w14:solidFill>
                </w14:textFill>
              </w:rPr>
              <w:t>无</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3.5</w:t>
            </w:r>
            <w:r>
              <w:rPr>
                <w:rFonts w:hint="eastAsia" w:ascii="宋体" w:hAnsi="宋体" w:eastAsia="宋体" w:cs="宋体"/>
                <w:b w:val="0"/>
                <w:bCs w:val="0"/>
                <w:color w:val="000000" w:themeColor="text1"/>
                <w:sz w:val="21"/>
                <w:szCs w:val="21"/>
                <w14:textFill>
                  <w14:solidFill>
                    <w14:schemeClr w14:val="tx1"/>
                  </w14:solidFill>
                </w14:textFill>
              </w:rPr>
              <w:t>本项目的特定资格要求：</w:t>
            </w:r>
            <w:r>
              <w:rPr>
                <w:rFonts w:hint="eastAsia" w:ascii="宋体" w:hAnsi="宋体" w:eastAsia="宋体" w:cs="宋体"/>
                <w:b w:val="0"/>
                <w:bCs w:val="0"/>
                <w:color w:val="000000" w:themeColor="text1"/>
                <w:sz w:val="21"/>
                <w:szCs w:val="21"/>
                <w:lang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62" w:type="dxa"/>
            <w:noWrap w:val="0"/>
            <w:vAlign w:val="center"/>
          </w:tcPr>
          <w:p>
            <w:pPr>
              <w:spacing w:line="36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w:t>
            </w:r>
          </w:p>
        </w:tc>
        <w:tc>
          <w:tcPr>
            <w:tcW w:w="942" w:type="dxa"/>
            <w:noWrap w:val="0"/>
            <w:vAlign w:val="center"/>
          </w:tcPr>
          <w:p>
            <w:pPr>
              <w:spacing w:line="36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w:t>
            </w:r>
          </w:p>
        </w:tc>
        <w:tc>
          <w:tcPr>
            <w:tcW w:w="1775" w:type="dxa"/>
            <w:noWrap w:val="0"/>
            <w:vAlign w:val="center"/>
          </w:tcPr>
          <w:p>
            <w:pPr>
              <w:spacing w:line="36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磋商费用</w:t>
            </w:r>
          </w:p>
        </w:tc>
        <w:tc>
          <w:tcPr>
            <w:tcW w:w="6912" w:type="dxa"/>
            <w:noWrap w:val="0"/>
            <w:vAlign w:val="center"/>
          </w:tcPr>
          <w:p>
            <w:pPr>
              <w:spacing w:line="36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不论磋商结果如何，供应商均应自行承担所有与磋商有关的全部费用。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662" w:type="dxa"/>
            <w:noWrap w:val="0"/>
            <w:vAlign w:val="center"/>
          </w:tcPr>
          <w:p>
            <w:pPr>
              <w:spacing w:line="36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w:t>
            </w:r>
          </w:p>
        </w:tc>
        <w:tc>
          <w:tcPr>
            <w:tcW w:w="942" w:type="dxa"/>
            <w:noWrap w:val="0"/>
            <w:vAlign w:val="center"/>
          </w:tcPr>
          <w:p>
            <w:pPr>
              <w:spacing w:line="360" w:lineRule="auto"/>
              <w:jc w:val="center"/>
              <w:rPr>
                <w:rFonts w:hint="eastAsia" w:ascii="宋体" w:hAnsi="宋体" w:eastAsia="宋体" w:cs="宋体"/>
                <w:color w:val="000000" w:themeColor="text1"/>
                <w:position w:val="-2"/>
                <w:szCs w:val="21"/>
                <w:highlight w:val="none"/>
                <w14:textFill>
                  <w14:solidFill>
                    <w14:schemeClr w14:val="tx1"/>
                  </w14:solidFill>
                </w14:textFill>
              </w:rPr>
            </w:pPr>
            <w:r>
              <w:rPr>
                <w:rFonts w:hint="eastAsia" w:ascii="宋体" w:hAnsi="宋体" w:eastAsia="宋体" w:cs="宋体"/>
                <w:color w:val="000000" w:themeColor="text1"/>
                <w:position w:val="-2"/>
                <w:szCs w:val="21"/>
                <w:highlight w:val="none"/>
                <w14:textFill>
                  <w14:solidFill>
                    <w14:schemeClr w14:val="tx1"/>
                  </w14:solidFill>
                </w14:textFill>
              </w:rPr>
              <w:t>13</w:t>
            </w:r>
          </w:p>
        </w:tc>
        <w:tc>
          <w:tcPr>
            <w:tcW w:w="1775" w:type="dxa"/>
            <w:noWrap w:val="0"/>
            <w:vAlign w:val="center"/>
          </w:tcPr>
          <w:p>
            <w:pPr>
              <w:spacing w:line="360" w:lineRule="auto"/>
              <w:jc w:val="center"/>
              <w:rPr>
                <w:rFonts w:hint="eastAsia" w:ascii="宋体" w:hAnsi="宋体" w:eastAsia="宋体" w:cs="宋体"/>
                <w:color w:val="000000" w:themeColor="text1"/>
                <w:position w:val="-2"/>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磋商报价及采购预算金额</w:t>
            </w:r>
          </w:p>
        </w:tc>
        <w:tc>
          <w:tcPr>
            <w:tcW w:w="6912" w:type="dxa"/>
            <w:noWrap w:val="0"/>
            <w:vAlign w:val="center"/>
          </w:tcPr>
          <w:p>
            <w:pPr>
              <w:spacing w:line="36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13.1 磋商报价应按磋商文件中相关附表格式填写。</w:t>
            </w:r>
            <w:r>
              <w:rPr>
                <w:rFonts w:hint="eastAsia" w:ascii="宋体" w:hAnsi="宋体" w:eastAsia="宋体" w:cs="宋体"/>
                <w:b/>
                <w:bCs/>
                <w:color w:val="000000" w:themeColor="text1"/>
                <w:szCs w:val="21"/>
                <w:highlight w:val="none"/>
                <w:lang w:val="en-US" w:eastAsia="zh-CN"/>
                <w14:textFill>
                  <w14:solidFill>
                    <w14:schemeClr w14:val="tx1"/>
                  </w14:solidFill>
                </w14:textFill>
              </w:rPr>
              <w:t>预算金额：人民币壹佰肆拾万零壹仟捌佰叁拾陆元柒角叁分（¥1401836.73元）；最高限价：人民币壹佰贰拾玖万壹仟捌佰叁拾陆元柒角叁分（¥1291836.73元）</w:t>
            </w:r>
            <w:r>
              <w:rPr>
                <w:rFonts w:hint="eastAsia" w:ascii="宋体" w:hAnsi="宋体" w:eastAsia="宋体" w:cs="宋体"/>
                <w:b/>
                <w:bCs/>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供应商报价</w:t>
            </w:r>
            <w:r>
              <w:rPr>
                <w:rFonts w:hint="eastAsia" w:ascii="宋体" w:hAnsi="宋体" w:eastAsia="宋体" w:cs="宋体"/>
                <w:color w:val="000000" w:themeColor="text1"/>
                <w:kern w:val="0"/>
                <w:szCs w:val="21"/>
                <w:highlight w:val="none"/>
                <w14:textFill>
                  <w14:solidFill>
                    <w14:schemeClr w14:val="tx1"/>
                  </w14:solidFill>
                </w14:textFill>
              </w:rPr>
              <w:t>超出采购</w:t>
            </w:r>
            <w:r>
              <w:rPr>
                <w:rFonts w:hint="eastAsia" w:ascii="宋体" w:hAnsi="宋体" w:cs="宋体"/>
                <w:color w:val="000000" w:themeColor="text1"/>
                <w:kern w:val="0"/>
                <w:szCs w:val="21"/>
                <w:highlight w:val="none"/>
                <w:lang w:val="en-US" w:eastAsia="zh-CN"/>
                <w14:textFill>
                  <w14:solidFill>
                    <w14:schemeClr w14:val="tx1"/>
                  </w14:solidFill>
                </w14:textFill>
              </w:rPr>
              <w:t>最高限价</w:t>
            </w:r>
            <w:r>
              <w:rPr>
                <w:rFonts w:hint="eastAsia" w:ascii="宋体" w:hAnsi="宋体" w:eastAsia="宋体" w:cs="宋体"/>
                <w:color w:val="000000" w:themeColor="text1"/>
                <w:kern w:val="0"/>
                <w:szCs w:val="21"/>
                <w:highlight w:val="none"/>
                <w14:textFill>
                  <w14:solidFill>
                    <w14:schemeClr w14:val="tx1"/>
                  </w14:solidFill>
                </w14:textFill>
              </w:rPr>
              <w:t>的，响应文件按无效处理。</w:t>
            </w:r>
          </w:p>
          <w:p>
            <w:pPr>
              <w:snapToGrid w:val="0"/>
              <w:spacing w:line="360" w:lineRule="auto"/>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13.2供应商必须就“采购需求”中所有内容作完整唯一报价，否则，其响应文件无效；响应文件只允许有一个报价，有选择的或有条件的报价将不予接受。</w:t>
            </w:r>
          </w:p>
          <w:p>
            <w:pPr>
              <w:snapToGrid w:val="0"/>
              <w:spacing w:line="360" w:lineRule="auto"/>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13.4</w:t>
            </w:r>
            <w:r>
              <w:rPr>
                <w:rFonts w:hint="eastAsia" w:ascii="宋体" w:hAnsi="宋体" w:eastAsia="宋体" w:cs="宋体"/>
                <w:color w:val="000000" w:themeColor="text1"/>
                <w:kern w:val="0"/>
                <w:szCs w:val="21"/>
                <w:highlight w:val="none"/>
                <w14:textFill>
                  <w14:solidFill>
                    <w14:schemeClr w14:val="tx1"/>
                  </w14:solidFill>
                </w14:textFill>
              </w:rPr>
              <w:t>供应商应在规定时间内</w:t>
            </w:r>
            <w:r>
              <w:rPr>
                <w:rFonts w:hint="eastAsia" w:ascii="宋体" w:hAnsi="宋体" w:eastAsia="宋体" w:cs="宋体"/>
                <w:color w:val="000000" w:themeColor="text1"/>
                <w:kern w:val="0"/>
                <w:szCs w:val="21"/>
                <w:highlight w:val="none"/>
                <w:lang w:eastAsia="zh-CN"/>
                <w14:textFill>
                  <w14:solidFill>
                    <w14:schemeClr w14:val="tx1"/>
                  </w14:solidFill>
                </w14:textFill>
              </w:rPr>
              <w:t>在政采云系统上</w:t>
            </w:r>
            <w:r>
              <w:rPr>
                <w:rFonts w:hint="eastAsia" w:ascii="宋体" w:hAnsi="宋体" w:eastAsia="宋体" w:cs="宋体"/>
                <w:color w:val="000000" w:themeColor="text1"/>
                <w:kern w:val="0"/>
                <w:szCs w:val="21"/>
                <w:highlight w:val="none"/>
                <w14:textFill>
                  <w14:solidFill>
                    <w14:schemeClr w14:val="tx1"/>
                  </w14:solidFill>
                </w14:textFill>
              </w:rPr>
              <w:t>提交最后报价，</w:t>
            </w:r>
            <w:r>
              <w:rPr>
                <w:rFonts w:hint="eastAsia" w:ascii="宋体" w:hAnsi="宋体" w:eastAsia="宋体" w:cs="宋体"/>
                <w:color w:val="000000" w:themeColor="text1"/>
                <w:kern w:val="0"/>
                <w:szCs w:val="21"/>
                <w:highlight w:val="none"/>
                <w:lang w:eastAsia="zh-CN"/>
                <w14:textFill>
                  <w14:solidFill>
                    <w14:schemeClr w14:val="tx1"/>
                  </w14:solidFill>
                </w14:textFill>
              </w:rPr>
              <w:t>超出评委设定的最后报价时限或其</w:t>
            </w:r>
            <w:r>
              <w:rPr>
                <w:rFonts w:hint="eastAsia" w:ascii="宋体" w:hAnsi="宋体" w:eastAsia="宋体" w:cs="宋体"/>
                <w:color w:val="000000" w:themeColor="text1"/>
                <w:kern w:val="0"/>
                <w:szCs w:val="21"/>
                <w:highlight w:val="none"/>
                <w14:textFill>
                  <w14:solidFill>
                    <w14:schemeClr w14:val="tx1"/>
                  </w14:solidFill>
                </w14:textFill>
              </w:rPr>
              <w:t>最后报价超出采购预算导致已通过评审的响应文件无效的，按供应商在提交响应文件截止时间后撤回响应文件处理。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662" w:type="dxa"/>
            <w:noWrap w:val="0"/>
            <w:vAlign w:val="center"/>
          </w:tcPr>
          <w:p>
            <w:pPr>
              <w:spacing w:line="36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w:t>
            </w:r>
          </w:p>
        </w:tc>
        <w:tc>
          <w:tcPr>
            <w:tcW w:w="942" w:type="dxa"/>
            <w:noWrap w:val="0"/>
            <w:vAlign w:val="center"/>
          </w:tcPr>
          <w:p>
            <w:pPr>
              <w:spacing w:line="360" w:lineRule="auto"/>
              <w:jc w:val="center"/>
              <w:rPr>
                <w:rFonts w:hint="eastAsia" w:ascii="宋体" w:hAnsi="宋体" w:eastAsia="宋体" w:cs="宋体"/>
                <w:color w:val="000000" w:themeColor="text1"/>
                <w:position w:val="-2"/>
                <w:szCs w:val="21"/>
                <w:highlight w:val="none"/>
                <w14:textFill>
                  <w14:solidFill>
                    <w14:schemeClr w14:val="tx1"/>
                  </w14:solidFill>
                </w14:textFill>
              </w:rPr>
            </w:pPr>
            <w:r>
              <w:rPr>
                <w:rFonts w:hint="eastAsia" w:ascii="宋体" w:hAnsi="宋体" w:eastAsia="宋体" w:cs="宋体"/>
                <w:color w:val="000000" w:themeColor="text1"/>
                <w:position w:val="-2"/>
                <w:szCs w:val="21"/>
                <w:highlight w:val="none"/>
                <w14:textFill>
                  <w14:solidFill>
                    <w14:schemeClr w14:val="tx1"/>
                  </w14:solidFill>
                </w14:textFill>
              </w:rPr>
              <w:t>14.1</w:t>
            </w:r>
          </w:p>
        </w:tc>
        <w:tc>
          <w:tcPr>
            <w:tcW w:w="1775" w:type="dxa"/>
            <w:noWrap w:val="0"/>
            <w:vAlign w:val="center"/>
          </w:tcPr>
          <w:p>
            <w:pPr>
              <w:spacing w:line="360" w:lineRule="auto"/>
              <w:jc w:val="center"/>
              <w:rPr>
                <w:rFonts w:hint="eastAsia" w:ascii="宋体" w:hAnsi="宋体" w:eastAsia="宋体" w:cs="宋体"/>
                <w:color w:val="000000" w:themeColor="text1"/>
                <w:position w:val="-2"/>
                <w:szCs w:val="21"/>
                <w:highlight w:val="none"/>
                <w14:textFill>
                  <w14:solidFill>
                    <w14:schemeClr w14:val="tx1"/>
                  </w14:solidFill>
                </w14:textFill>
              </w:rPr>
            </w:pPr>
            <w:r>
              <w:rPr>
                <w:rFonts w:hint="eastAsia" w:ascii="宋体" w:hAnsi="宋体" w:eastAsia="宋体" w:cs="宋体"/>
                <w:color w:val="000000" w:themeColor="text1"/>
                <w:position w:val="-2"/>
                <w:szCs w:val="21"/>
                <w:highlight w:val="none"/>
                <w14:textFill>
                  <w14:solidFill>
                    <w14:schemeClr w14:val="tx1"/>
                  </w14:solidFill>
                </w14:textFill>
              </w:rPr>
              <w:t>响应文件有效期</w:t>
            </w:r>
          </w:p>
        </w:tc>
        <w:tc>
          <w:tcPr>
            <w:tcW w:w="6912" w:type="dxa"/>
            <w:noWrap w:val="0"/>
            <w:vAlign w:val="top"/>
          </w:tcPr>
          <w:p>
            <w:pPr>
              <w:tabs>
                <w:tab w:val="left" w:pos="1305"/>
              </w:tabs>
              <w:spacing w:line="36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响应文件递交截止时间之日起90天，有效期不足的响应文件将被拒绝。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662" w:type="dxa"/>
            <w:noWrap w:val="0"/>
            <w:vAlign w:val="center"/>
          </w:tcPr>
          <w:p>
            <w:pPr>
              <w:spacing w:line="36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6</w:t>
            </w:r>
          </w:p>
        </w:tc>
        <w:tc>
          <w:tcPr>
            <w:tcW w:w="942" w:type="dxa"/>
            <w:noWrap w:val="0"/>
            <w:vAlign w:val="center"/>
          </w:tcPr>
          <w:p>
            <w:pPr>
              <w:spacing w:line="360" w:lineRule="auto"/>
              <w:jc w:val="center"/>
              <w:rPr>
                <w:rFonts w:hint="eastAsia" w:ascii="宋体" w:hAnsi="宋体" w:eastAsia="宋体" w:cs="宋体"/>
                <w:color w:val="000000" w:themeColor="text1"/>
                <w:position w:val="-2"/>
                <w:szCs w:val="21"/>
                <w:highlight w:val="none"/>
                <w14:textFill>
                  <w14:solidFill>
                    <w14:schemeClr w14:val="tx1"/>
                  </w14:solidFill>
                </w14:textFill>
              </w:rPr>
            </w:pPr>
            <w:r>
              <w:rPr>
                <w:rFonts w:hint="eastAsia" w:ascii="宋体" w:hAnsi="宋体" w:eastAsia="宋体" w:cs="宋体"/>
                <w:color w:val="000000" w:themeColor="text1"/>
                <w:position w:val="-2"/>
                <w:szCs w:val="21"/>
                <w:highlight w:val="none"/>
                <w14:textFill>
                  <w14:solidFill>
                    <w14:schemeClr w14:val="tx1"/>
                  </w14:solidFill>
                </w14:textFill>
              </w:rPr>
              <w:t>15</w:t>
            </w:r>
          </w:p>
        </w:tc>
        <w:tc>
          <w:tcPr>
            <w:tcW w:w="1775" w:type="dxa"/>
            <w:noWrap w:val="0"/>
            <w:vAlign w:val="center"/>
          </w:tcPr>
          <w:p>
            <w:pPr>
              <w:spacing w:line="360" w:lineRule="auto"/>
              <w:jc w:val="center"/>
              <w:rPr>
                <w:rFonts w:hint="eastAsia" w:ascii="宋体" w:hAnsi="宋体" w:eastAsia="宋体" w:cs="宋体"/>
                <w:color w:val="000000" w:themeColor="text1"/>
                <w:position w:val="-2"/>
                <w:szCs w:val="21"/>
                <w:highlight w:val="none"/>
                <w14:textFill>
                  <w14:solidFill>
                    <w14:schemeClr w14:val="tx1"/>
                  </w14:solidFill>
                </w14:textFill>
              </w:rPr>
            </w:pPr>
            <w:r>
              <w:rPr>
                <w:rFonts w:hint="eastAsia" w:ascii="宋体" w:hAnsi="宋体" w:eastAsia="宋体" w:cs="宋体"/>
                <w:color w:val="000000" w:themeColor="text1"/>
                <w:position w:val="-2"/>
                <w:szCs w:val="21"/>
                <w:highlight w:val="none"/>
                <w14:textFill>
                  <w14:solidFill>
                    <w14:schemeClr w14:val="tx1"/>
                  </w14:solidFill>
                </w14:textFill>
              </w:rPr>
              <w:t>保证金</w:t>
            </w:r>
          </w:p>
        </w:tc>
        <w:tc>
          <w:tcPr>
            <w:tcW w:w="6912" w:type="dxa"/>
            <w:noWrap w:val="0"/>
            <w:vAlign w:val="top"/>
          </w:tcPr>
          <w:p>
            <w:pPr>
              <w:tabs>
                <w:tab w:val="left" w:pos="1305"/>
              </w:tabs>
              <w:spacing w:line="360" w:lineRule="auto"/>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本项目无需缴纳磋商保证金</w:t>
            </w:r>
            <w:r>
              <w:rPr>
                <w:rFonts w:hint="eastAsia" w:ascii="宋体" w:hAnsi="宋体" w:cs="宋体"/>
                <w:color w:val="000000" w:themeColor="text1"/>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662" w:type="dxa"/>
            <w:noWrap w:val="0"/>
            <w:vAlign w:val="center"/>
          </w:tcPr>
          <w:p>
            <w:pPr>
              <w:spacing w:line="360" w:lineRule="auto"/>
              <w:jc w:val="center"/>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7</w:t>
            </w:r>
          </w:p>
        </w:tc>
        <w:tc>
          <w:tcPr>
            <w:tcW w:w="942" w:type="dxa"/>
            <w:noWrap w:val="0"/>
            <w:vAlign w:val="center"/>
          </w:tcPr>
          <w:p>
            <w:pPr>
              <w:spacing w:line="360" w:lineRule="auto"/>
              <w:jc w:val="center"/>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16</w:t>
            </w:r>
          </w:p>
        </w:tc>
        <w:tc>
          <w:tcPr>
            <w:tcW w:w="1775" w:type="dxa"/>
            <w:noWrap w:val="0"/>
            <w:vAlign w:val="center"/>
          </w:tcPr>
          <w:p>
            <w:pPr>
              <w:pStyle w:val="5"/>
              <w:spacing w:before="0" w:after="0" w:line="360" w:lineRule="auto"/>
              <w:jc w:val="center"/>
              <w:rPr>
                <w:rFonts w:hint="eastAsia" w:ascii="宋体" w:hAnsi="宋体" w:eastAsia="宋体" w:cs="宋体"/>
                <w:b w:val="0"/>
                <w:bCs/>
                <w:color w:val="000000" w:themeColor="text1"/>
                <w:sz w:val="21"/>
                <w:szCs w:val="21"/>
                <w:highlight w:val="none"/>
                <w:lang w:eastAsia="zh-CN"/>
                <w14:textFill>
                  <w14:solidFill>
                    <w14:schemeClr w14:val="tx1"/>
                  </w14:solidFill>
                </w14:textFill>
              </w:rPr>
            </w:pPr>
            <w:bookmarkStart w:id="54" w:name="_Toc19911"/>
            <w:bookmarkStart w:id="55" w:name="_Toc27452"/>
            <w:bookmarkStart w:id="56" w:name="_Toc11287"/>
            <w:r>
              <w:rPr>
                <w:rFonts w:hint="eastAsia" w:ascii="宋体" w:hAnsi="宋体" w:eastAsia="宋体" w:cs="宋体"/>
                <w:b w:val="0"/>
                <w:bCs/>
                <w:color w:val="000000" w:themeColor="text1"/>
                <w:sz w:val="21"/>
                <w:szCs w:val="21"/>
                <w:highlight w:val="none"/>
                <w14:textFill>
                  <w14:solidFill>
                    <w14:schemeClr w14:val="tx1"/>
                  </w14:solidFill>
                </w14:textFill>
              </w:rPr>
              <w:t>竞争性</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磋商</w:t>
            </w:r>
            <w:r>
              <w:rPr>
                <w:rFonts w:hint="eastAsia" w:ascii="宋体" w:hAnsi="宋体" w:eastAsia="宋体" w:cs="宋体"/>
                <w:b w:val="0"/>
                <w:bCs/>
                <w:color w:val="000000" w:themeColor="text1"/>
                <w:sz w:val="21"/>
                <w:szCs w:val="21"/>
                <w:highlight w:val="none"/>
                <w14:textFill>
                  <w14:solidFill>
                    <w14:schemeClr w14:val="tx1"/>
                  </w14:solidFill>
                </w14:textFill>
              </w:rPr>
              <w:t>响应文件的</w:t>
            </w:r>
            <w:r>
              <w:rPr>
                <w:rFonts w:hint="eastAsia" w:ascii="宋体" w:hAnsi="宋体" w:eastAsia="宋体" w:cs="宋体"/>
                <w:b w:val="0"/>
                <w:bCs/>
                <w:color w:val="000000" w:themeColor="text1"/>
                <w:sz w:val="21"/>
                <w:szCs w:val="21"/>
                <w:highlight w:val="none"/>
                <w:lang w:eastAsia="zh-CN"/>
                <w14:textFill>
                  <w14:solidFill>
                    <w14:schemeClr w14:val="tx1"/>
                  </w14:solidFill>
                </w14:textFill>
              </w:rPr>
              <w:t>制作</w:t>
            </w:r>
            <w:bookmarkEnd w:id="54"/>
            <w:bookmarkEnd w:id="55"/>
            <w:bookmarkEnd w:id="56"/>
          </w:p>
          <w:p>
            <w:pPr>
              <w:spacing w:line="360" w:lineRule="auto"/>
              <w:jc w:val="center"/>
              <w:rPr>
                <w:rFonts w:hint="eastAsia" w:ascii="宋体" w:hAnsi="宋体" w:eastAsia="宋体" w:cs="宋体"/>
                <w:color w:val="000000" w:themeColor="text1"/>
                <w:szCs w:val="21"/>
                <w:highlight w:val="none"/>
                <w:lang w:eastAsia="zh-CN"/>
                <w14:textFill>
                  <w14:solidFill>
                    <w14:schemeClr w14:val="tx1"/>
                  </w14:solidFill>
                </w14:textFill>
              </w:rPr>
            </w:pPr>
          </w:p>
        </w:tc>
        <w:tc>
          <w:tcPr>
            <w:tcW w:w="6912" w:type="dxa"/>
            <w:noWrap w:val="0"/>
            <w:vAlign w:val="center"/>
          </w:tcPr>
          <w:p>
            <w:pPr>
              <w:spacing w:line="36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16</w:t>
            </w:r>
            <w:r>
              <w:rPr>
                <w:rFonts w:hint="eastAsia" w:ascii="宋体" w:hAnsi="宋体" w:eastAsia="宋体" w:cs="宋体"/>
                <w:color w:val="000000" w:themeColor="text1"/>
                <w:szCs w:val="21"/>
                <w:highlight w:val="none"/>
                <w14:textFill>
                  <w14:solidFill>
                    <w14:schemeClr w14:val="tx1"/>
                  </w14:solidFill>
                </w14:textFill>
              </w:rPr>
              <w:t>.1 电子</w:t>
            </w:r>
            <w:r>
              <w:rPr>
                <w:rFonts w:hint="eastAsia" w:ascii="宋体" w:hAnsi="宋体" w:eastAsia="宋体" w:cs="宋体"/>
                <w:color w:val="000000" w:themeColor="text1"/>
                <w:szCs w:val="21"/>
                <w:highlight w:val="none"/>
                <w:lang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响应文件中须加盖供应商公章部分均采用 CA 签章，并根据“政府采购项目电子交易管理操作指南-供应商” 及本</w:t>
            </w:r>
            <w:r>
              <w:rPr>
                <w:rFonts w:hint="eastAsia" w:ascii="宋体" w:hAnsi="宋体" w:eastAsia="宋体" w:cs="宋体"/>
                <w:color w:val="000000" w:themeColor="text1"/>
                <w:szCs w:val="21"/>
                <w:highlight w:val="none"/>
                <w:lang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文件规定的格式和顺序编制电子</w:t>
            </w:r>
            <w:r>
              <w:rPr>
                <w:rFonts w:hint="eastAsia" w:ascii="宋体" w:hAnsi="宋体" w:eastAsia="宋体" w:cs="宋体"/>
                <w:color w:val="000000" w:themeColor="text1"/>
                <w:szCs w:val="21"/>
                <w:highlight w:val="none"/>
                <w:lang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响应文件并进行关联定位，以便</w:t>
            </w:r>
            <w:r>
              <w:rPr>
                <w:rFonts w:hint="eastAsia" w:ascii="宋体" w:hAnsi="宋体" w:eastAsia="宋体" w:cs="宋体"/>
                <w:color w:val="000000" w:themeColor="text1"/>
                <w:szCs w:val="21"/>
                <w:highlight w:val="none"/>
                <w:lang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小组在评</w:t>
            </w:r>
            <w:r>
              <w:rPr>
                <w:rFonts w:hint="eastAsia" w:ascii="宋体" w:hAnsi="宋体" w:eastAsia="宋体" w:cs="宋体"/>
                <w:color w:val="000000" w:themeColor="text1"/>
                <w:szCs w:val="21"/>
                <w:highlight w:val="none"/>
                <w:lang w:val="en-US" w:eastAsia="zh-CN"/>
                <w14:textFill>
                  <w14:solidFill>
                    <w14:schemeClr w14:val="tx1"/>
                  </w14:solidFill>
                </w14:textFill>
              </w:rPr>
              <w:t>审</w:t>
            </w:r>
            <w:r>
              <w:rPr>
                <w:rFonts w:hint="eastAsia" w:ascii="宋体" w:hAnsi="宋体" w:eastAsia="宋体" w:cs="宋体"/>
                <w:color w:val="000000" w:themeColor="text1"/>
                <w:szCs w:val="21"/>
                <w:highlight w:val="none"/>
                <w14:textFill>
                  <w14:solidFill>
                    <w14:schemeClr w14:val="tx1"/>
                  </w14:solidFill>
                </w14:textFill>
              </w:rPr>
              <w:t>时，点击评分项可直接定位到该评分项内容。如对</w:t>
            </w:r>
            <w:r>
              <w:rPr>
                <w:rFonts w:hint="eastAsia" w:ascii="宋体" w:hAnsi="宋体" w:eastAsia="宋体" w:cs="宋体"/>
                <w:color w:val="000000" w:themeColor="text1"/>
                <w:szCs w:val="21"/>
                <w:highlight w:val="none"/>
                <w:lang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文件的某项要求，供应商的电子</w:t>
            </w:r>
            <w:r>
              <w:rPr>
                <w:rFonts w:hint="eastAsia" w:ascii="宋体" w:hAnsi="宋体" w:eastAsia="宋体" w:cs="宋体"/>
                <w:color w:val="000000" w:themeColor="text1"/>
                <w:szCs w:val="21"/>
                <w:highlight w:val="none"/>
                <w:lang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响应文件未能关联定位提供相应的内容与其对应，则</w:t>
            </w:r>
            <w:r>
              <w:rPr>
                <w:rFonts w:hint="eastAsia" w:ascii="宋体" w:hAnsi="宋体" w:eastAsia="宋体" w:cs="宋体"/>
                <w:color w:val="000000" w:themeColor="text1"/>
                <w:szCs w:val="21"/>
                <w:highlight w:val="none"/>
                <w:lang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小组在评审时如做出对供应商不利的评审由供应商自行承担。电子</w:t>
            </w:r>
            <w:r>
              <w:rPr>
                <w:rFonts w:hint="eastAsia" w:ascii="宋体" w:hAnsi="宋体" w:eastAsia="宋体" w:cs="宋体"/>
                <w:color w:val="000000" w:themeColor="text1"/>
                <w:szCs w:val="21"/>
                <w:highlight w:val="none"/>
                <w:lang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响应文件如内容不完整、编排混乱导致</w:t>
            </w:r>
            <w:r>
              <w:rPr>
                <w:rFonts w:hint="eastAsia" w:ascii="宋体" w:hAnsi="宋体" w:eastAsia="宋体" w:cs="宋体"/>
                <w:color w:val="000000" w:themeColor="text1"/>
                <w:szCs w:val="21"/>
                <w:highlight w:val="none"/>
                <w:lang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响应文件被误读、 漏读，或者在按采购文件规定的部位查找不到相关内容的，由供应商自行承担。</w:t>
            </w:r>
          </w:p>
          <w:p>
            <w:pPr>
              <w:spacing w:line="36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16.2</w:t>
            </w:r>
            <w:r>
              <w:rPr>
                <w:rFonts w:hint="eastAsia" w:ascii="宋体" w:hAnsi="宋体" w:eastAsia="宋体" w:cs="宋体"/>
                <w:color w:val="000000" w:themeColor="text1"/>
                <w:szCs w:val="21"/>
                <w:highlight w:val="none"/>
                <w14:textFill>
                  <w14:solidFill>
                    <w14:schemeClr w14:val="tx1"/>
                  </w14:solidFill>
                </w14:textFill>
              </w:rPr>
              <w:t>供应商法人（负责人）或授权代表持有政采云个人CA签章的，应在</w:t>
            </w:r>
            <w:r>
              <w:rPr>
                <w:rFonts w:hint="eastAsia" w:ascii="宋体" w:hAnsi="宋体" w:eastAsia="宋体" w:cs="宋体"/>
                <w:color w:val="000000" w:themeColor="text1"/>
                <w:szCs w:val="21"/>
                <w:highlight w:val="none"/>
                <w:lang w:eastAsia="zh-CN"/>
                <w14:textFill>
                  <w14:solidFill>
                    <w14:schemeClr w14:val="tx1"/>
                  </w14:solidFill>
                </w14:textFill>
              </w:rPr>
              <w:t>响应</w:t>
            </w:r>
            <w:r>
              <w:rPr>
                <w:rFonts w:hint="eastAsia" w:ascii="宋体" w:hAnsi="宋体" w:eastAsia="宋体" w:cs="宋体"/>
                <w:color w:val="000000" w:themeColor="text1"/>
                <w:szCs w:val="21"/>
                <w:highlight w:val="none"/>
                <w14:textFill>
                  <w14:solidFill>
                    <w14:schemeClr w14:val="tx1"/>
                  </w14:solidFill>
                </w14:textFill>
              </w:rPr>
              <w:t>文件中涉及到签字的位置使用个人CA签章，没有办理政采云个人CA签章的可在</w:t>
            </w:r>
            <w:r>
              <w:rPr>
                <w:rFonts w:hint="eastAsia" w:ascii="宋体" w:hAnsi="宋体" w:eastAsia="宋体" w:cs="宋体"/>
                <w:color w:val="000000" w:themeColor="text1"/>
                <w:szCs w:val="21"/>
                <w:highlight w:val="none"/>
                <w:lang w:eastAsia="zh-CN"/>
                <w14:textFill>
                  <w14:solidFill>
                    <w14:schemeClr w14:val="tx1"/>
                  </w14:solidFill>
                </w14:textFill>
              </w:rPr>
              <w:t>响应</w:t>
            </w:r>
            <w:r>
              <w:rPr>
                <w:rFonts w:hint="eastAsia" w:ascii="宋体" w:hAnsi="宋体" w:eastAsia="宋体" w:cs="宋体"/>
                <w:color w:val="000000" w:themeColor="text1"/>
                <w:szCs w:val="21"/>
                <w:highlight w:val="none"/>
                <w14:textFill>
                  <w14:solidFill>
                    <w14:schemeClr w14:val="tx1"/>
                  </w14:solidFill>
                </w14:textFill>
              </w:rPr>
              <w:t>文件中涉及到签字的位置手写签字后扫描或者拍照做成 PDF 的格式上传即可。</w:t>
            </w:r>
          </w:p>
          <w:p>
            <w:pPr>
              <w:spacing w:line="36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16</w:t>
            </w:r>
            <w:r>
              <w:rPr>
                <w:rFonts w:hint="eastAsia" w:ascii="宋体" w:hAnsi="宋体" w:eastAsia="宋体" w:cs="宋体"/>
                <w:color w:val="000000" w:themeColor="text1"/>
                <w:szCs w:val="21"/>
                <w:highlight w:val="none"/>
                <w14:textFill>
                  <w14:solidFill>
                    <w14:schemeClr w14:val="tx1"/>
                  </w14:solidFill>
                </w14:textFill>
              </w:rPr>
              <w:t xml:space="preserve">.3 </w:t>
            </w:r>
            <w:r>
              <w:rPr>
                <w:rFonts w:hint="eastAsia" w:ascii="宋体" w:hAnsi="宋体" w:eastAsia="宋体" w:cs="宋体"/>
                <w:color w:val="000000" w:themeColor="text1"/>
                <w:szCs w:val="21"/>
                <w:highlight w:val="none"/>
                <w:lang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响应文件不得涂改，若有修改错漏处，须法定代表人（负责人）或授权委托人签字</w:t>
            </w:r>
            <w:r>
              <w:rPr>
                <w:rFonts w:hint="eastAsia" w:ascii="宋体" w:hAnsi="宋体" w:eastAsia="宋体" w:cs="宋体"/>
                <w:color w:val="000000" w:themeColor="text1"/>
                <w:szCs w:val="21"/>
                <w:highlight w:val="none"/>
                <w:lang w:eastAsia="zh-CN"/>
                <w14:textFill>
                  <w14:solidFill>
                    <w14:schemeClr w14:val="tx1"/>
                  </w14:solidFill>
                </w14:textFill>
              </w:rPr>
              <w:t>（或个人</w:t>
            </w:r>
            <w:r>
              <w:rPr>
                <w:rFonts w:hint="eastAsia" w:ascii="宋体" w:hAnsi="宋体" w:eastAsia="宋体" w:cs="宋体"/>
                <w:color w:val="000000" w:themeColor="text1"/>
                <w:szCs w:val="21"/>
                <w:highlight w:val="none"/>
                <w:lang w:val="en-US" w:eastAsia="zh-CN"/>
                <w14:textFill>
                  <w14:solidFill>
                    <w14:schemeClr w14:val="tx1"/>
                  </w14:solidFill>
                </w14:textFill>
              </w:rPr>
              <w:t>CA签章）</w:t>
            </w: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lang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响应文件因字迹潦草或表达不清所引起的后果由供应商负责。</w:t>
            </w:r>
          </w:p>
          <w:p>
            <w:pPr>
              <w:spacing w:line="360" w:lineRule="auto"/>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16.4</w:t>
            </w:r>
            <w:r>
              <w:rPr>
                <w:rFonts w:hint="eastAsia" w:ascii="宋体" w:hAnsi="宋体" w:eastAsia="宋体" w:cs="宋体"/>
                <w:color w:val="000000" w:themeColor="text1"/>
                <w:szCs w:val="21"/>
                <w:highlight w:val="none"/>
                <w:lang w:eastAsia="zh-CN"/>
                <w14:textFill>
                  <w14:solidFill>
                    <w14:schemeClr w14:val="tx1"/>
                  </w14:solidFill>
                </w14:textFill>
              </w:rPr>
              <w:t xml:space="preserve">磋商前准备 </w:t>
            </w:r>
          </w:p>
          <w:p>
            <w:pPr>
              <w:spacing w:line="360" w:lineRule="auto"/>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16.4.1</w:t>
            </w:r>
            <w:r>
              <w:rPr>
                <w:rFonts w:hint="eastAsia" w:ascii="宋体" w:hAnsi="宋体" w:eastAsia="宋体" w:cs="宋体"/>
                <w:color w:val="000000" w:themeColor="text1"/>
                <w:szCs w:val="21"/>
                <w:highlight w:val="none"/>
                <w:lang w:eastAsia="zh-CN"/>
                <w14:textFill>
                  <w14:solidFill>
                    <w14:schemeClr w14:val="tx1"/>
                  </w14:solidFill>
                </w14:textFill>
              </w:rPr>
              <w:t xml:space="preserve">本项目实行在线磋商，采用电子磋商响应文件。若供应商参与磋商，自行承担磋商一切费用。 </w:t>
            </w:r>
          </w:p>
          <w:p>
            <w:pPr>
              <w:spacing w:line="360" w:lineRule="auto"/>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16.4.2</w:t>
            </w:r>
            <w:r>
              <w:rPr>
                <w:rFonts w:hint="eastAsia" w:ascii="宋体" w:hAnsi="宋体" w:eastAsia="宋体" w:cs="宋体"/>
                <w:color w:val="000000" w:themeColor="text1"/>
                <w:szCs w:val="21"/>
                <w:highlight w:val="none"/>
                <w:lang w:eastAsia="zh-CN"/>
                <w14:textFill>
                  <w14:solidFill>
                    <w14:schemeClr w14:val="tx1"/>
                  </w14:solidFill>
                </w14:textFill>
              </w:rPr>
              <w:t xml:space="preserve">各供应商应在截标前应确保成为政采云平台正式注册入库供应商，并完成 CA 数字证书申领。因未注册入库、未办理 CA 数字证书等原因造成无法磋商或磋商失败等后果由供应商自行承担。 </w:t>
            </w:r>
          </w:p>
          <w:p>
            <w:pPr>
              <w:spacing w:line="36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16.4.3</w:t>
            </w:r>
            <w:r>
              <w:rPr>
                <w:rFonts w:hint="eastAsia" w:ascii="宋体" w:hAnsi="宋体" w:eastAsia="宋体" w:cs="宋体"/>
                <w:color w:val="000000" w:themeColor="text1"/>
                <w:szCs w:val="21"/>
                <w:highlight w:val="none"/>
                <w:lang w:eastAsia="zh-CN"/>
                <w14:textFill>
                  <w14:solidFill>
                    <w14:schemeClr w14:val="tx1"/>
                  </w14:solidFill>
                </w14:textFill>
              </w:rPr>
              <w:t>供应商将政采云电子交易客户端下载、安装完成后，可通过账号密码或 CA 登录客户端进行响应文件制作。客户端请至网站下载专区查看，如有问题可拨打政采云客户服务热线</w:t>
            </w:r>
            <w:r>
              <w:rPr>
                <w:rFonts w:hint="eastAsia" w:ascii="宋体" w:hAnsi="宋体" w:cs="宋体"/>
                <w:color w:val="000000" w:themeColor="text1"/>
                <w:szCs w:val="21"/>
                <w:highlight w:val="none"/>
                <w:lang w:eastAsia="zh-CN"/>
                <w14:textFill>
                  <w14:solidFill>
                    <w14:schemeClr w14:val="tx1"/>
                  </w14:solidFill>
                </w14:textFill>
              </w:rPr>
              <w:t>95763</w:t>
            </w:r>
            <w:r>
              <w:rPr>
                <w:rFonts w:hint="eastAsia" w:ascii="宋体" w:hAnsi="宋体" w:eastAsia="宋体" w:cs="宋体"/>
                <w:color w:val="000000" w:themeColor="text1"/>
                <w:szCs w:val="21"/>
                <w:highlight w:val="none"/>
                <w:lang w:eastAsia="zh-CN"/>
                <w14:textFill>
                  <w14:solidFill>
                    <w14:schemeClr w14:val="tx1"/>
                  </w14:solidFill>
                </w14:textFill>
              </w:rPr>
              <w:t xml:space="preserve"> 进行咨询。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662" w:type="dxa"/>
            <w:noWrap w:val="0"/>
            <w:vAlign w:val="center"/>
          </w:tcPr>
          <w:p>
            <w:pPr>
              <w:spacing w:line="360" w:lineRule="auto"/>
              <w:jc w:val="center"/>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8</w:t>
            </w:r>
          </w:p>
        </w:tc>
        <w:tc>
          <w:tcPr>
            <w:tcW w:w="942" w:type="dxa"/>
            <w:noWrap w:val="0"/>
            <w:vAlign w:val="center"/>
          </w:tcPr>
          <w:p>
            <w:pPr>
              <w:spacing w:line="36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18.1</w:t>
            </w:r>
          </w:p>
        </w:tc>
        <w:tc>
          <w:tcPr>
            <w:tcW w:w="1775" w:type="dxa"/>
            <w:noWrap w:val="0"/>
            <w:vAlign w:val="center"/>
          </w:tcPr>
          <w:p>
            <w:pPr>
              <w:spacing w:line="36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响应文件递交截止时间</w:t>
            </w:r>
          </w:p>
        </w:tc>
        <w:tc>
          <w:tcPr>
            <w:tcW w:w="6912" w:type="dxa"/>
            <w:noWrap w:val="0"/>
            <w:vAlign w:val="center"/>
          </w:tcPr>
          <w:p>
            <w:pPr>
              <w:spacing w:line="36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lang w:eastAsia="zh-CN"/>
                <w14:textFill>
                  <w14:solidFill>
                    <w14:schemeClr w14:val="tx1"/>
                  </w14:solidFill>
                </w14:textFill>
              </w:rPr>
              <w:t>于</w:t>
            </w:r>
            <w:r>
              <w:rPr>
                <w:rFonts w:hint="eastAsia" w:ascii="宋体" w:hAnsi="宋体" w:cs="宋体"/>
                <w:color w:val="000000" w:themeColor="text1"/>
                <w:sz w:val="21"/>
                <w:szCs w:val="21"/>
                <w:highlight w:val="none"/>
                <w:u w:val="single"/>
                <w:lang w:eastAsia="zh-CN"/>
                <w14:textFill>
                  <w14:solidFill>
                    <w14:schemeClr w14:val="tx1"/>
                  </w14:solidFill>
                </w14:textFill>
              </w:rPr>
              <w:t>2024年3月22日09时30分</w:t>
            </w:r>
            <w:r>
              <w:rPr>
                <w:rFonts w:hint="eastAsia" w:ascii="宋体" w:hAnsi="宋体" w:eastAsia="宋体" w:cs="宋体"/>
                <w:color w:val="000000" w:themeColor="text1"/>
                <w:szCs w:val="21"/>
                <w:highlight w:val="none"/>
                <w14:textFill>
                  <w14:solidFill>
                    <w14:schemeClr w14:val="tx1"/>
                  </w14:solidFill>
                </w14:textFill>
              </w:rPr>
              <w:t>之前将电子磋商响应文件上传到政采云平台。应按照本项目磋商文件和政采云平台的要求编制、加密传输磋商响应文件。供应商在使用系统进行投标的过程中遇到涉及平台使用的任何问题，可致电政采云平台技术支持热线咨询，联系方式：</w:t>
            </w:r>
            <w:r>
              <w:rPr>
                <w:rFonts w:hint="eastAsia" w:ascii="宋体" w:hAnsi="宋体" w:cs="宋体"/>
                <w:color w:val="000000" w:themeColor="text1"/>
                <w:szCs w:val="21"/>
                <w:highlight w:val="none"/>
                <w:lang w:eastAsia="zh-CN"/>
                <w14:textFill>
                  <w14:solidFill>
                    <w14:schemeClr w14:val="tx1"/>
                  </w14:solidFill>
                </w14:textFill>
              </w:rPr>
              <w:t>95763</w:t>
            </w:r>
            <w:r>
              <w:rPr>
                <w:rFonts w:hint="eastAsia" w:ascii="宋体" w:hAnsi="宋体" w:eastAsia="宋体" w:cs="宋体"/>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62" w:type="dxa"/>
            <w:noWrap w:val="0"/>
            <w:vAlign w:val="center"/>
          </w:tcPr>
          <w:p>
            <w:pPr>
              <w:spacing w:line="360" w:lineRule="auto"/>
              <w:jc w:val="center"/>
              <w:rPr>
                <w:rFonts w:hint="eastAsia" w:ascii="宋体" w:hAnsi="宋体" w:eastAsia="宋体" w:cs="宋体"/>
                <w:color w:val="000000" w:themeColor="text1"/>
                <w:position w:val="-2"/>
                <w:szCs w:val="21"/>
                <w:highlight w:val="none"/>
                <w:lang w:eastAsia="zh-CN"/>
                <w14:textFill>
                  <w14:solidFill>
                    <w14:schemeClr w14:val="tx1"/>
                  </w14:solidFill>
                </w14:textFill>
              </w:rPr>
            </w:pPr>
            <w:r>
              <w:rPr>
                <w:rFonts w:hint="eastAsia" w:ascii="宋体" w:hAnsi="宋体" w:eastAsia="宋体" w:cs="宋体"/>
                <w:color w:val="000000" w:themeColor="text1"/>
                <w:position w:val="-2"/>
                <w:szCs w:val="21"/>
                <w:highlight w:val="none"/>
                <w:lang w:val="en-US" w:eastAsia="zh-CN"/>
                <w14:textFill>
                  <w14:solidFill>
                    <w14:schemeClr w14:val="tx1"/>
                  </w14:solidFill>
                </w14:textFill>
              </w:rPr>
              <w:t>9</w:t>
            </w:r>
          </w:p>
        </w:tc>
        <w:tc>
          <w:tcPr>
            <w:tcW w:w="942" w:type="dxa"/>
            <w:noWrap w:val="0"/>
            <w:vAlign w:val="center"/>
          </w:tcPr>
          <w:p>
            <w:pPr>
              <w:spacing w:line="360" w:lineRule="auto"/>
              <w:jc w:val="center"/>
              <w:rPr>
                <w:rFonts w:hint="eastAsia" w:ascii="宋体" w:hAnsi="宋体" w:eastAsia="宋体" w:cs="宋体"/>
                <w:color w:val="000000" w:themeColor="text1"/>
                <w:position w:val="-2"/>
                <w:szCs w:val="21"/>
                <w:highlight w:val="none"/>
                <w14:textFill>
                  <w14:solidFill>
                    <w14:schemeClr w14:val="tx1"/>
                  </w14:solidFill>
                </w14:textFill>
              </w:rPr>
            </w:pPr>
            <w:r>
              <w:rPr>
                <w:rFonts w:hint="eastAsia" w:ascii="宋体" w:hAnsi="宋体" w:eastAsia="宋体" w:cs="宋体"/>
                <w:color w:val="000000" w:themeColor="text1"/>
                <w:position w:val="-2"/>
                <w:szCs w:val="21"/>
                <w:highlight w:val="none"/>
                <w14:textFill>
                  <w14:solidFill>
                    <w14:schemeClr w14:val="tx1"/>
                  </w14:solidFill>
                </w14:textFill>
              </w:rPr>
              <w:t>18.2</w:t>
            </w:r>
          </w:p>
        </w:tc>
        <w:tc>
          <w:tcPr>
            <w:tcW w:w="1775" w:type="dxa"/>
            <w:noWrap w:val="0"/>
            <w:vAlign w:val="center"/>
          </w:tcPr>
          <w:p>
            <w:pPr>
              <w:spacing w:line="360" w:lineRule="auto"/>
              <w:jc w:val="center"/>
              <w:rPr>
                <w:rFonts w:hint="eastAsia" w:ascii="宋体" w:hAnsi="宋体" w:eastAsia="宋体" w:cs="宋体"/>
                <w:color w:val="000000" w:themeColor="text1"/>
                <w:position w:val="-2"/>
                <w:szCs w:val="21"/>
                <w:highlight w:val="none"/>
                <w14:textFill>
                  <w14:solidFill>
                    <w14:schemeClr w14:val="tx1"/>
                  </w14:solidFill>
                </w14:textFill>
              </w:rPr>
            </w:pPr>
            <w:r>
              <w:rPr>
                <w:rFonts w:hint="eastAsia" w:ascii="宋体" w:hAnsi="宋体" w:eastAsia="宋体" w:cs="宋体"/>
                <w:color w:val="000000" w:themeColor="text1"/>
                <w:szCs w:val="21"/>
                <w:highlight w:val="none"/>
                <w:lang w:eastAsia="zh-CN"/>
                <w14:textFill>
                  <w14:solidFill>
                    <w14:schemeClr w14:val="tx1"/>
                  </w14:solidFill>
                </w14:textFill>
              </w:rPr>
              <w:t>磋商响应文件解密时间</w:t>
            </w:r>
          </w:p>
        </w:tc>
        <w:tc>
          <w:tcPr>
            <w:tcW w:w="6912" w:type="dxa"/>
            <w:noWrap w:val="0"/>
            <w:vAlign w:val="center"/>
          </w:tcPr>
          <w:p>
            <w:pPr>
              <w:pStyle w:val="28"/>
              <w:spacing w:line="360" w:lineRule="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磋商响应文件解密时间：截标时间后30分钟内（</w:t>
            </w:r>
            <w:r>
              <w:rPr>
                <w:rFonts w:hint="eastAsia" w:ascii="宋体" w:hAnsi="宋体" w:cs="宋体"/>
                <w:color w:val="000000" w:themeColor="text1"/>
                <w:kern w:val="2"/>
                <w:sz w:val="21"/>
                <w:szCs w:val="21"/>
                <w:highlight w:val="none"/>
                <w:lang w:val="en-US" w:eastAsia="zh-CN" w:bidi="ar-SA"/>
                <w14:textFill>
                  <w14:solidFill>
                    <w14:schemeClr w14:val="tx1"/>
                  </w14:solidFill>
                </w14:textFill>
              </w:rPr>
              <w:t>2024年3月22日09时30分</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至</w:t>
            </w:r>
            <w:r>
              <w:rPr>
                <w:rFonts w:hint="eastAsia" w:ascii="宋体" w:hAnsi="宋体" w:cs="宋体"/>
                <w:color w:val="000000" w:themeColor="text1"/>
                <w:kern w:val="2"/>
                <w:sz w:val="21"/>
                <w:szCs w:val="21"/>
                <w:highlight w:val="none"/>
                <w:lang w:val="en-US" w:eastAsia="zh-CN" w:bidi="ar-SA"/>
                <w14:textFill>
                  <w14:solidFill>
                    <w14:schemeClr w14:val="tx1"/>
                  </w14:solidFill>
                </w14:textFill>
              </w:rPr>
              <w:t>10</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时</w:t>
            </w:r>
            <w:r>
              <w:rPr>
                <w:rFonts w:hint="eastAsia" w:ascii="宋体" w:hAnsi="宋体" w:cs="宋体"/>
                <w:color w:val="000000" w:themeColor="text1"/>
                <w:kern w:val="2"/>
                <w:sz w:val="21"/>
                <w:szCs w:val="21"/>
                <w:highlight w:val="none"/>
                <w:lang w:val="en-US" w:eastAsia="zh-CN" w:bidi="ar-SA"/>
                <w14:textFill>
                  <w14:solidFill>
                    <w14:schemeClr w14:val="tx1"/>
                  </w14:solidFill>
                </w14:textFill>
              </w:rPr>
              <w:t>00</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分)磋商供应商可以登录政采云平台，用“项目采购-开标评标”功能进行解密磋商响应文件。</w:t>
            </w:r>
          </w:p>
          <w:p>
            <w:pPr>
              <w:pStyle w:val="28"/>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t>注：响应文件网上递交截止时间后，各供应商须在解密时限内对上传政采云的响应文件进行解密，所有供应商在规定的解密时限内解密完成或解密时限结束后，我中心开启已解密的响应文件。供应商超过解密时限未解密的，系统默认自动放弃，造成响应无效的后果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662" w:type="dxa"/>
            <w:noWrap w:val="0"/>
            <w:vAlign w:val="center"/>
          </w:tcPr>
          <w:p>
            <w:pPr>
              <w:spacing w:line="360" w:lineRule="auto"/>
              <w:jc w:val="center"/>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10</w:t>
            </w:r>
          </w:p>
        </w:tc>
        <w:tc>
          <w:tcPr>
            <w:tcW w:w="942" w:type="dxa"/>
            <w:noWrap w:val="0"/>
            <w:vAlign w:val="center"/>
          </w:tcPr>
          <w:p>
            <w:pPr>
              <w:spacing w:line="360" w:lineRule="auto"/>
              <w:ind w:firstLine="105" w:firstLineChars="50"/>
              <w:jc w:val="center"/>
              <w:rPr>
                <w:rFonts w:hint="eastAsia" w:ascii="宋体" w:hAnsi="宋体" w:eastAsia="宋体" w:cs="宋体"/>
                <w:color w:val="000000" w:themeColor="text1"/>
                <w:position w:val="-2"/>
                <w:szCs w:val="21"/>
                <w:highlight w:val="none"/>
                <w14:textFill>
                  <w14:solidFill>
                    <w14:schemeClr w14:val="tx1"/>
                  </w14:solidFill>
                </w14:textFill>
              </w:rPr>
            </w:pPr>
            <w:r>
              <w:rPr>
                <w:rFonts w:hint="eastAsia" w:ascii="宋体" w:hAnsi="宋体" w:eastAsia="宋体" w:cs="宋体"/>
                <w:color w:val="000000" w:themeColor="text1"/>
                <w:position w:val="-2"/>
                <w:szCs w:val="21"/>
                <w:highlight w:val="none"/>
                <w14:textFill>
                  <w14:solidFill>
                    <w14:schemeClr w14:val="tx1"/>
                  </w14:solidFill>
                </w14:textFill>
              </w:rPr>
              <w:t>19.1</w:t>
            </w:r>
          </w:p>
        </w:tc>
        <w:tc>
          <w:tcPr>
            <w:tcW w:w="1775" w:type="dxa"/>
            <w:noWrap w:val="0"/>
            <w:vAlign w:val="center"/>
          </w:tcPr>
          <w:p>
            <w:pPr>
              <w:spacing w:line="36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磋商小组组成</w:t>
            </w:r>
          </w:p>
        </w:tc>
        <w:tc>
          <w:tcPr>
            <w:tcW w:w="6912" w:type="dxa"/>
            <w:noWrap w:val="0"/>
            <w:vAlign w:val="center"/>
          </w:tcPr>
          <w:p>
            <w:pPr>
              <w:spacing w:line="360" w:lineRule="auto"/>
              <w:ind w:left="15" w:hanging="14" w:hangingChars="7"/>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磋商及评审工作由采购代理机构负责组织，具体磋商、评审工作由依法组建的磋商小组负责，磋商小组由采购人代表和</w:t>
            </w:r>
            <w:r>
              <w:rPr>
                <w:rFonts w:hint="eastAsia" w:ascii="宋体" w:hAnsi="宋体" w:cs="宋体"/>
                <w:color w:val="000000" w:themeColor="text1"/>
                <w:szCs w:val="21"/>
                <w:highlight w:val="none"/>
                <w:lang w:eastAsia="zh-CN"/>
                <w14:textFill>
                  <w14:solidFill>
                    <w14:schemeClr w14:val="tx1"/>
                  </w14:solidFill>
                </w14:textFill>
              </w:rPr>
              <w:t>评审</w:t>
            </w:r>
            <w:r>
              <w:rPr>
                <w:rFonts w:hint="eastAsia" w:ascii="宋体" w:hAnsi="宋体" w:eastAsia="宋体" w:cs="宋体"/>
                <w:color w:val="000000" w:themeColor="text1"/>
                <w:szCs w:val="21"/>
                <w:highlight w:val="none"/>
                <w14:textFill>
                  <w14:solidFill>
                    <w14:schemeClr w14:val="tx1"/>
                  </w14:solidFill>
                </w14:textFill>
              </w:rPr>
              <w:t>专家组成。磋商小组的构成：</w:t>
            </w:r>
            <w:r>
              <w:rPr>
                <w:rFonts w:hint="eastAsia" w:ascii="宋体" w:hAnsi="宋体" w:eastAsia="宋体" w:cs="宋体"/>
                <w:color w:val="000000" w:themeColor="text1"/>
                <w:szCs w:val="21"/>
                <w:highlight w:val="none"/>
                <w:u w:val="single"/>
                <w14:textFill>
                  <w14:solidFill>
                    <w14:schemeClr w14:val="tx1"/>
                  </w14:solidFill>
                </w14:textFill>
              </w:rPr>
              <w:t xml:space="preserve">3 </w:t>
            </w:r>
            <w:r>
              <w:rPr>
                <w:rFonts w:hint="eastAsia" w:ascii="宋体" w:hAnsi="宋体" w:eastAsia="宋体" w:cs="宋体"/>
                <w:color w:val="000000" w:themeColor="text1"/>
                <w:szCs w:val="21"/>
                <w:highlight w:val="none"/>
                <w14:textFill>
                  <w14:solidFill>
                    <w14:schemeClr w14:val="tx1"/>
                  </w14:solidFill>
                </w14:textFill>
              </w:rPr>
              <w:t>人，其中采购人代表</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u w:val="single"/>
                <w:lang w:val="en-US" w:eastAsia="zh-CN"/>
                <w14:textFill>
                  <w14:solidFill>
                    <w14:schemeClr w14:val="tx1"/>
                  </w14:solidFill>
                </w14:textFill>
              </w:rPr>
              <w:t xml:space="preserve">1 </w:t>
            </w:r>
            <w:r>
              <w:rPr>
                <w:rFonts w:hint="eastAsia" w:ascii="宋体" w:hAnsi="宋体" w:eastAsia="宋体" w:cs="宋体"/>
                <w:color w:val="000000" w:themeColor="text1"/>
                <w:szCs w:val="21"/>
                <w:highlight w:val="none"/>
                <w14:textFill>
                  <w14:solidFill>
                    <w14:schemeClr w14:val="tx1"/>
                  </w14:solidFill>
                </w14:textFill>
              </w:rPr>
              <w:t>人，专家</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u w:val="single"/>
                <w:lang w:val="en-US" w:eastAsia="zh-CN"/>
                <w14:textFill>
                  <w14:solidFill>
                    <w14:schemeClr w14:val="tx1"/>
                  </w14:solidFill>
                </w14:textFill>
              </w:rPr>
              <w:t xml:space="preserve">2 </w:t>
            </w:r>
            <w:r>
              <w:rPr>
                <w:rFonts w:hint="eastAsia" w:ascii="宋体" w:hAnsi="宋体" w:eastAsia="宋体" w:cs="宋体"/>
                <w:color w:val="000000" w:themeColor="text1"/>
                <w:szCs w:val="21"/>
                <w:highlight w:val="none"/>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662" w:type="dxa"/>
            <w:noWrap w:val="0"/>
            <w:vAlign w:val="center"/>
          </w:tcPr>
          <w:p>
            <w:pPr>
              <w:spacing w:line="360" w:lineRule="auto"/>
              <w:jc w:val="center"/>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11</w:t>
            </w:r>
          </w:p>
        </w:tc>
        <w:tc>
          <w:tcPr>
            <w:tcW w:w="942" w:type="dxa"/>
            <w:noWrap w:val="0"/>
            <w:vAlign w:val="center"/>
          </w:tcPr>
          <w:p>
            <w:pPr>
              <w:spacing w:line="36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19.2</w:t>
            </w:r>
          </w:p>
        </w:tc>
        <w:tc>
          <w:tcPr>
            <w:tcW w:w="1775" w:type="dxa"/>
            <w:noWrap w:val="0"/>
            <w:vAlign w:val="center"/>
          </w:tcPr>
          <w:p>
            <w:pPr>
              <w:spacing w:line="36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磋商时间、地点、人员</w:t>
            </w:r>
          </w:p>
        </w:tc>
        <w:tc>
          <w:tcPr>
            <w:tcW w:w="6912" w:type="dxa"/>
            <w:noWrap w:val="0"/>
            <w:vAlign w:val="top"/>
          </w:tcPr>
          <w:p>
            <w:pPr>
              <w:spacing w:line="360" w:lineRule="auto"/>
              <w:ind w:left="315" w:hanging="315" w:hangingChars="15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19.2.1磋商时间：响应文件递交截止时间后。</w:t>
            </w:r>
          </w:p>
          <w:p>
            <w:pPr>
              <w:spacing w:line="360" w:lineRule="auto"/>
              <w:jc w:val="left"/>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19.2.2磋商地点：本项目需要磋商供应商代表在截标当天截标后，按磋商小组要求及时登陆政采云平台等候在线磋商</w:t>
            </w:r>
            <w:r>
              <w:rPr>
                <w:rFonts w:hint="eastAsia" w:ascii="宋体" w:hAnsi="宋体" w:eastAsia="宋体" w:cs="宋体"/>
                <w:color w:val="000000" w:themeColor="text1"/>
                <w:szCs w:val="21"/>
                <w:highlight w:val="none"/>
                <w:lang w:eastAsia="zh-CN"/>
                <w14:textFill>
                  <w14:solidFill>
                    <w14:schemeClr w14:val="tx1"/>
                  </w14:solidFill>
                </w14:textFill>
              </w:rPr>
              <w:t>。</w:t>
            </w:r>
          </w:p>
          <w:p>
            <w:pPr>
              <w:spacing w:line="360" w:lineRule="auto"/>
              <w:ind w:left="15" w:hanging="14" w:hangingChars="7"/>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19.2.3磋商参加人员：供应商法定代表人、负责人、自然人或相应的委托代</w:t>
            </w:r>
            <w:r>
              <w:rPr>
                <w:rFonts w:hint="eastAsia" w:ascii="宋体" w:hAnsi="宋体" w:eastAsia="宋体" w:cs="宋体"/>
                <w:color w:val="000000" w:themeColor="text1"/>
                <w:szCs w:val="21"/>
                <w:highlight w:val="none"/>
                <w:u w:val="none"/>
                <w14:textFill>
                  <w14:solidFill>
                    <w14:schemeClr w14:val="tx1"/>
                  </w14:solidFill>
                </w14:textFill>
              </w:rPr>
              <w:t>理人持有效身份证原件</w:t>
            </w:r>
            <w:r>
              <w:rPr>
                <w:rFonts w:hint="eastAsia" w:ascii="宋体" w:hAnsi="宋体" w:eastAsia="宋体" w:cs="宋体"/>
                <w:color w:val="000000" w:themeColor="text1"/>
                <w:szCs w:val="21"/>
                <w:highlight w:val="none"/>
                <w:u w:val="none"/>
                <w:lang w:eastAsia="zh-CN"/>
                <w14:textFill>
                  <w14:solidFill>
                    <w14:schemeClr w14:val="tx1"/>
                  </w14:solidFill>
                </w14:textFill>
              </w:rPr>
              <w:t>和供应商政采云平台</w:t>
            </w:r>
            <w:r>
              <w:rPr>
                <w:rFonts w:hint="eastAsia" w:ascii="宋体" w:hAnsi="宋体" w:eastAsia="宋体" w:cs="宋体"/>
                <w:color w:val="000000" w:themeColor="text1"/>
                <w:szCs w:val="21"/>
                <w:highlight w:val="none"/>
                <w:u w:val="none"/>
                <w:lang w:val="en-US" w:eastAsia="zh-CN"/>
                <w14:textFill>
                  <w14:solidFill>
                    <w14:schemeClr w14:val="tx1"/>
                  </w14:solidFill>
                </w14:textFill>
              </w:rPr>
              <w:t>CA数字证书</w:t>
            </w:r>
            <w:r>
              <w:rPr>
                <w:rFonts w:hint="eastAsia" w:ascii="宋体" w:hAnsi="宋体" w:eastAsia="宋体" w:cs="宋体"/>
                <w:color w:val="000000" w:themeColor="text1"/>
                <w:szCs w:val="21"/>
                <w:highlight w:val="none"/>
                <w14:textFill>
                  <w14:solidFill>
                    <w14:schemeClr w14:val="tx1"/>
                  </w14:solidFill>
                </w14:textFill>
              </w:rPr>
              <w:t>参加磋商。请供应商按时到达指定地点等候磋商。</w:t>
            </w:r>
          </w:p>
          <w:p>
            <w:pPr>
              <w:tabs>
                <w:tab w:val="left" w:pos="1140"/>
              </w:tabs>
              <w:spacing w:line="360" w:lineRule="auto"/>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19.2.4响应文件递交截止时间后，由磋商小组在评标室内</w:t>
            </w:r>
            <w:r>
              <w:rPr>
                <w:rFonts w:hint="eastAsia" w:ascii="宋体" w:hAnsi="宋体" w:eastAsia="宋体" w:cs="宋体"/>
                <w:color w:val="000000" w:themeColor="text1"/>
                <w:szCs w:val="21"/>
                <w:highlight w:val="none"/>
                <w:lang w:eastAsia="zh-CN"/>
                <w14:textFill>
                  <w14:solidFill>
                    <w14:schemeClr w14:val="tx1"/>
                  </w14:solidFill>
                </w14:textFill>
              </w:rPr>
              <w:t>线上</w:t>
            </w:r>
            <w:r>
              <w:rPr>
                <w:rFonts w:hint="eastAsia" w:ascii="宋体" w:hAnsi="宋体" w:eastAsia="宋体" w:cs="宋体"/>
                <w:color w:val="000000" w:themeColor="text1"/>
                <w:szCs w:val="21"/>
                <w:highlight w:val="none"/>
                <w14:textFill>
                  <w14:solidFill>
                    <w14:schemeClr w14:val="tx1"/>
                  </w14:solidFill>
                </w14:textFill>
              </w:rPr>
              <w:t>开启响应文件。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62" w:type="dxa"/>
            <w:noWrap w:val="0"/>
            <w:vAlign w:val="center"/>
          </w:tcPr>
          <w:p>
            <w:pPr>
              <w:spacing w:line="360" w:lineRule="auto"/>
              <w:jc w:val="center"/>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12</w:t>
            </w:r>
          </w:p>
        </w:tc>
        <w:tc>
          <w:tcPr>
            <w:tcW w:w="942" w:type="dxa"/>
            <w:noWrap w:val="0"/>
            <w:vAlign w:val="center"/>
          </w:tcPr>
          <w:p>
            <w:pPr>
              <w:spacing w:line="36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20.2</w:t>
            </w:r>
          </w:p>
        </w:tc>
        <w:tc>
          <w:tcPr>
            <w:tcW w:w="1775" w:type="dxa"/>
            <w:noWrap w:val="0"/>
            <w:vAlign w:val="center"/>
          </w:tcPr>
          <w:p>
            <w:pPr>
              <w:pStyle w:val="12"/>
              <w:spacing w:line="360" w:lineRule="auto"/>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评审办法</w:t>
            </w:r>
          </w:p>
        </w:tc>
        <w:tc>
          <w:tcPr>
            <w:tcW w:w="6912" w:type="dxa"/>
            <w:noWrap w:val="0"/>
            <w:vAlign w:val="center"/>
          </w:tcPr>
          <w:p>
            <w:pPr>
              <w:tabs>
                <w:tab w:val="left" w:pos="1140"/>
              </w:tabs>
              <w:spacing w:line="36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具体详见第四章评审办法。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62" w:type="dxa"/>
            <w:noWrap w:val="0"/>
            <w:vAlign w:val="center"/>
          </w:tcPr>
          <w:p>
            <w:pPr>
              <w:spacing w:line="360" w:lineRule="auto"/>
              <w:jc w:val="center"/>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13</w:t>
            </w:r>
          </w:p>
        </w:tc>
        <w:tc>
          <w:tcPr>
            <w:tcW w:w="942" w:type="dxa"/>
            <w:noWrap w:val="0"/>
            <w:vAlign w:val="center"/>
          </w:tcPr>
          <w:p>
            <w:pPr>
              <w:spacing w:line="36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26</w:t>
            </w:r>
          </w:p>
        </w:tc>
        <w:tc>
          <w:tcPr>
            <w:tcW w:w="1775" w:type="dxa"/>
            <w:noWrap w:val="0"/>
            <w:vAlign w:val="center"/>
          </w:tcPr>
          <w:p>
            <w:pPr>
              <w:spacing w:line="36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信用查询</w:t>
            </w:r>
          </w:p>
        </w:tc>
        <w:tc>
          <w:tcPr>
            <w:tcW w:w="6912" w:type="dxa"/>
            <w:noWrap w:val="0"/>
            <w:vAlign w:val="center"/>
          </w:tcPr>
          <w:p>
            <w:pPr>
              <w:spacing w:line="360" w:lineRule="auto"/>
              <w:ind w:left="15" w:hanging="14" w:hangingChars="7"/>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根据《关于做好政府采购有关信用主体标识码登记及在政府采购活动中查询使用信用记录有关问题的通知》（桂财采〔2016〕37</w:t>
            </w:r>
            <w:r>
              <w:rPr>
                <w:rFonts w:hint="eastAsia" w:ascii="宋体" w:hAnsi="宋体" w:cs="宋体"/>
                <w:color w:val="000000" w:themeColor="text1"/>
                <w:szCs w:val="21"/>
                <w:highlight w:val="none"/>
                <w:lang w:eastAsia="zh-CN"/>
                <w14:textFill>
                  <w14:solidFill>
                    <w14:schemeClr w14:val="tx1"/>
                  </w14:solidFill>
                </w14:textFill>
              </w:rPr>
              <w:t>号</w:t>
            </w:r>
            <w:r>
              <w:rPr>
                <w:rFonts w:hint="eastAsia" w:ascii="宋体" w:hAnsi="宋体" w:eastAsia="宋体" w:cs="宋体"/>
                <w:color w:val="000000" w:themeColor="text1"/>
                <w:szCs w:val="21"/>
                <w:highlight w:val="none"/>
                <w14:textFill>
                  <w14:solidFill>
                    <w14:schemeClr w14:val="tx1"/>
                  </w14:solidFill>
                </w14:textFill>
              </w:rPr>
              <w:t>），由采购代理机构对第一成交候选人进行信用查询：</w:t>
            </w:r>
          </w:p>
          <w:p>
            <w:pPr>
              <w:spacing w:line="360" w:lineRule="auto"/>
              <w:ind w:left="15" w:hanging="14" w:hangingChars="7"/>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⑴查询渠道：“信用中国”网站(www.creditchina.gov.cn)、中国政府采购网(www.ccgp.gov.cn)等；</w:t>
            </w:r>
          </w:p>
          <w:p>
            <w:pPr>
              <w:spacing w:line="360" w:lineRule="auto"/>
              <w:ind w:left="315" w:hanging="315" w:hangingChars="15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⑵查询时间：成交通知书发出前；</w:t>
            </w:r>
          </w:p>
          <w:p>
            <w:pPr>
              <w:spacing w:line="360" w:lineRule="auto"/>
              <w:ind w:left="15" w:hanging="14" w:hangingChars="7"/>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⑶信用信息查询记录和证据留存方式：在查询网站中直接打印查询记录，打印材料作为采购活动资料保存；</w:t>
            </w:r>
          </w:p>
          <w:p>
            <w:pPr>
              <w:spacing w:line="360" w:lineRule="auto"/>
              <w:ind w:left="15" w:hanging="14" w:hangingChars="7"/>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成交候选人资格。采购人依法按照评审报告中磋商小组推荐成交候选人排序表确定排名第二的成交候选人为成交供应商或者重新组织采购。</w:t>
            </w:r>
          </w:p>
          <w:p>
            <w:pPr>
              <w:spacing w:line="36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62" w:type="dxa"/>
            <w:noWrap w:val="0"/>
            <w:vAlign w:val="center"/>
          </w:tcPr>
          <w:p>
            <w:pPr>
              <w:spacing w:line="360" w:lineRule="auto"/>
              <w:jc w:val="center"/>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14</w:t>
            </w:r>
          </w:p>
        </w:tc>
        <w:tc>
          <w:tcPr>
            <w:tcW w:w="942" w:type="dxa"/>
            <w:noWrap w:val="0"/>
            <w:vAlign w:val="center"/>
          </w:tcPr>
          <w:p>
            <w:pPr>
              <w:spacing w:line="36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27</w:t>
            </w:r>
          </w:p>
        </w:tc>
        <w:tc>
          <w:tcPr>
            <w:tcW w:w="1775" w:type="dxa"/>
            <w:noWrap w:val="0"/>
            <w:vAlign w:val="center"/>
          </w:tcPr>
          <w:p>
            <w:pPr>
              <w:spacing w:line="36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成交结果公告</w:t>
            </w:r>
          </w:p>
          <w:p>
            <w:pPr>
              <w:spacing w:line="36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及成交通知书</w:t>
            </w:r>
          </w:p>
        </w:tc>
        <w:tc>
          <w:tcPr>
            <w:tcW w:w="6912" w:type="dxa"/>
            <w:noWrap w:val="0"/>
            <w:vAlign w:val="top"/>
          </w:tcPr>
          <w:p>
            <w:pPr>
              <w:spacing w:line="36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27.1采购代理机构于磋商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spacing w:line="36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27.2在发布成交公告的同时，采购代理机构在线向成交供应商发出电子成交通知书。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662" w:type="dxa"/>
            <w:noWrap w:val="0"/>
            <w:vAlign w:val="center"/>
          </w:tcPr>
          <w:p>
            <w:pPr>
              <w:spacing w:line="360" w:lineRule="auto"/>
              <w:jc w:val="center"/>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15</w:t>
            </w:r>
          </w:p>
        </w:tc>
        <w:tc>
          <w:tcPr>
            <w:tcW w:w="942" w:type="dxa"/>
            <w:noWrap w:val="0"/>
            <w:vAlign w:val="center"/>
          </w:tcPr>
          <w:p>
            <w:pPr>
              <w:spacing w:line="36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28</w:t>
            </w:r>
          </w:p>
        </w:tc>
        <w:tc>
          <w:tcPr>
            <w:tcW w:w="1775" w:type="dxa"/>
            <w:noWrap w:val="0"/>
            <w:vAlign w:val="center"/>
          </w:tcPr>
          <w:p>
            <w:pPr>
              <w:spacing w:line="36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履约保证金</w:t>
            </w:r>
          </w:p>
        </w:tc>
        <w:tc>
          <w:tcPr>
            <w:tcW w:w="6912" w:type="dxa"/>
            <w:noWrap w:val="0"/>
            <w:vAlign w:val="center"/>
          </w:tcPr>
          <w:p>
            <w:pPr>
              <w:spacing w:line="36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本项目免收履约保证金。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62" w:type="dxa"/>
            <w:noWrap w:val="0"/>
            <w:vAlign w:val="center"/>
          </w:tcPr>
          <w:p>
            <w:pPr>
              <w:spacing w:line="360" w:lineRule="auto"/>
              <w:jc w:val="center"/>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16</w:t>
            </w:r>
          </w:p>
        </w:tc>
        <w:tc>
          <w:tcPr>
            <w:tcW w:w="942" w:type="dxa"/>
            <w:noWrap w:val="0"/>
            <w:vAlign w:val="center"/>
          </w:tcPr>
          <w:p>
            <w:pPr>
              <w:spacing w:line="36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29.1</w:t>
            </w:r>
          </w:p>
        </w:tc>
        <w:tc>
          <w:tcPr>
            <w:tcW w:w="1775" w:type="dxa"/>
            <w:noWrap w:val="0"/>
            <w:vAlign w:val="center"/>
          </w:tcPr>
          <w:p>
            <w:pPr>
              <w:spacing w:line="36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签订合同时间</w:t>
            </w:r>
          </w:p>
        </w:tc>
        <w:tc>
          <w:tcPr>
            <w:tcW w:w="6912" w:type="dxa"/>
            <w:noWrap w:val="0"/>
            <w:vAlign w:val="top"/>
          </w:tcPr>
          <w:p>
            <w:pPr>
              <w:spacing w:line="36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Cs/>
                <w:color w:val="000000" w:themeColor="text1"/>
                <w:kern w:val="0"/>
                <w:szCs w:val="21"/>
                <w:highlight w:val="none"/>
                <w:lang w:eastAsia="zh-CN"/>
                <w14:textFill>
                  <w14:solidFill>
                    <w14:schemeClr w14:val="tx1"/>
                  </w14:solidFill>
                </w14:textFill>
              </w:rPr>
              <w:t>成交通知书</w:t>
            </w:r>
            <w:r>
              <w:rPr>
                <w:rFonts w:hint="eastAsia" w:ascii="宋体" w:hAnsi="宋体" w:eastAsia="宋体" w:cs="宋体"/>
                <w:bCs/>
                <w:color w:val="000000" w:themeColor="text1"/>
                <w:kern w:val="0"/>
                <w:szCs w:val="21"/>
                <w:highlight w:val="none"/>
                <w14:textFill>
                  <w14:solidFill>
                    <w14:schemeClr w14:val="tx1"/>
                  </w14:solidFill>
                </w14:textFill>
              </w:rPr>
              <w:t>发出之日起</w:t>
            </w:r>
            <w:r>
              <w:rPr>
                <w:rFonts w:hint="eastAsia" w:ascii="宋体" w:hAnsi="宋体" w:cs="宋体"/>
                <w:bCs/>
                <w:color w:val="000000" w:themeColor="text1"/>
                <w:kern w:val="0"/>
                <w:szCs w:val="21"/>
                <w:highlight w:val="none"/>
                <w:lang w:val="en-US" w:eastAsia="zh-CN"/>
                <w14:textFill>
                  <w14:solidFill>
                    <w14:schemeClr w14:val="tx1"/>
                  </w14:solidFill>
                </w14:textFill>
              </w:rPr>
              <w:t>八个工作</w:t>
            </w:r>
            <w:r>
              <w:rPr>
                <w:rFonts w:hint="eastAsia" w:ascii="宋体" w:hAnsi="宋体" w:eastAsia="宋体" w:cs="宋体"/>
                <w:bCs/>
                <w:color w:val="000000" w:themeColor="text1"/>
                <w:kern w:val="0"/>
                <w:szCs w:val="21"/>
                <w:highlight w:val="none"/>
                <w:lang w:eastAsia="zh-CN"/>
                <w14:textFill>
                  <w14:solidFill>
                    <w14:schemeClr w14:val="tx1"/>
                  </w14:solidFill>
                </w14:textFill>
              </w:rPr>
              <w:t>日</w:t>
            </w:r>
            <w:r>
              <w:rPr>
                <w:rFonts w:hint="eastAsia" w:ascii="宋体" w:hAnsi="宋体" w:eastAsia="宋体" w:cs="宋体"/>
                <w:bCs/>
                <w:color w:val="000000" w:themeColor="text1"/>
                <w:kern w:val="0"/>
                <w:szCs w:val="21"/>
                <w:highlight w:val="none"/>
                <w14:textFill>
                  <w14:solidFill>
                    <w14:schemeClr w14:val="tx1"/>
                  </w14:solidFill>
                </w14:textFill>
              </w:rPr>
              <w:t>内签订合同</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成交供应商</w:t>
            </w:r>
            <w:r>
              <w:rPr>
                <w:rFonts w:hint="eastAsia" w:ascii="宋体" w:hAnsi="宋体" w:cs="宋体"/>
                <w:color w:val="000000" w:themeColor="text1"/>
                <w:szCs w:val="21"/>
                <w:highlight w:val="none"/>
                <w:lang w:val="en-US" w:eastAsia="zh-CN"/>
                <w14:textFill>
                  <w14:solidFill>
                    <w14:schemeClr w14:val="tx1"/>
                  </w14:solidFill>
                </w14:textFill>
              </w:rPr>
              <w:t>收到</w:t>
            </w:r>
            <w:r>
              <w:rPr>
                <w:rFonts w:hint="eastAsia" w:ascii="宋体" w:hAnsi="宋体" w:eastAsia="宋体" w:cs="宋体"/>
                <w:color w:val="000000" w:themeColor="text1"/>
                <w:szCs w:val="21"/>
                <w:highlight w:val="none"/>
                <w14:textFill>
                  <w14:solidFill>
                    <w14:schemeClr w14:val="tx1"/>
                  </w14:solidFill>
                </w14:textFill>
              </w:rPr>
              <w:t>成交通知书后，应按规定与采购人签订合同。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62" w:type="dxa"/>
            <w:noWrap w:val="0"/>
            <w:vAlign w:val="center"/>
          </w:tcPr>
          <w:p>
            <w:pPr>
              <w:spacing w:line="360" w:lineRule="auto"/>
              <w:jc w:val="center"/>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17</w:t>
            </w:r>
          </w:p>
        </w:tc>
        <w:tc>
          <w:tcPr>
            <w:tcW w:w="942" w:type="dxa"/>
            <w:noWrap w:val="0"/>
            <w:vAlign w:val="center"/>
          </w:tcPr>
          <w:p>
            <w:pPr>
              <w:spacing w:line="36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29.3</w:t>
            </w:r>
          </w:p>
        </w:tc>
        <w:tc>
          <w:tcPr>
            <w:tcW w:w="1775" w:type="dxa"/>
            <w:noWrap w:val="0"/>
            <w:vAlign w:val="center"/>
          </w:tcPr>
          <w:p>
            <w:pPr>
              <w:spacing w:line="36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合同备案存档</w:t>
            </w:r>
          </w:p>
        </w:tc>
        <w:tc>
          <w:tcPr>
            <w:tcW w:w="6912" w:type="dxa"/>
            <w:noWrap w:val="0"/>
            <w:vAlign w:val="center"/>
          </w:tcPr>
          <w:p>
            <w:pPr>
              <w:spacing w:line="36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政府采购合同双方自签订之日起</w:t>
            </w:r>
            <w:r>
              <w:rPr>
                <w:rFonts w:hint="eastAsia" w:ascii="宋体" w:hAnsi="宋体" w:cs="宋体"/>
                <w:color w:val="000000" w:themeColor="text1"/>
                <w:highlight w:val="none"/>
                <w:lang w:val="en-US" w:eastAsia="zh-CN"/>
                <w14:textFill>
                  <w14:solidFill>
                    <w14:schemeClr w14:val="tx1"/>
                  </w14:solidFill>
                </w14:textFill>
              </w:rPr>
              <w:t>将自动存档于“政采云平台”上，</w:t>
            </w:r>
            <w:r>
              <w:rPr>
                <w:rFonts w:hint="eastAsia" w:ascii="宋体" w:hAnsi="宋体" w:eastAsia="宋体" w:cs="宋体"/>
                <w:color w:val="000000" w:themeColor="text1"/>
                <w:highlight w:val="none"/>
                <w14:textFill>
                  <w14:solidFill>
                    <w14:schemeClr w14:val="tx1"/>
                  </w14:solidFill>
                </w14:textFill>
              </w:rPr>
              <w:t>采购人于合同签订之日起七个工作日内将一份合同原件送本级财政部门备案。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62" w:type="dxa"/>
            <w:noWrap w:val="0"/>
            <w:vAlign w:val="center"/>
          </w:tcPr>
          <w:p>
            <w:pPr>
              <w:spacing w:line="360" w:lineRule="auto"/>
              <w:jc w:val="center"/>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18</w:t>
            </w:r>
          </w:p>
        </w:tc>
        <w:tc>
          <w:tcPr>
            <w:tcW w:w="942" w:type="dxa"/>
            <w:noWrap w:val="0"/>
            <w:vAlign w:val="center"/>
          </w:tcPr>
          <w:p>
            <w:pPr>
              <w:spacing w:line="36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30</w:t>
            </w:r>
          </w:p>
        </w:tc>
        <w:tc>
          <w:tcPr>
            <w:tcW w:w="1775" w:type="dxa"/>
            <w:noWrap w:val="0"/>
            <w:vAlign w:val="center"/>
          </w:tcPr>
          <w:p>
            <w:pPr>
              <w:spacing w:line="36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采购代理服务费</w:t>
            </w:r>
          </w:p>
        </w:tc>
        <w:tc>
          <w:tcPr>
            <w:tcW w:w="6912" w:type="dxa"/>
            <w:noWrap w:val="0"/>
            <w:vAlign w:val="top"/>
          </w:tcPr>
          <w:p>
            <w:pPr>
              <w:spacing w:line="360" w:lineRule="auto"/>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本项目不收取采购代理服务费</w:t>
            </w:r>
            <w:r>
              <w:rPr>
                <w:rFonts w:hint="eastAsia" w:ascii="宋体" w:hAnsi="宋体" w:cs="宋体"/>
                <w:color w:val="000000" w:themeColor="text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62" w:type="dxa"/>
            <w:noWrap w:val="0"/>
            <w:vAlign w:val="center"/>
          </w:tcPr>
          <w:p>
            <w:pPr>
              <w:spacing w:line="360" w:lineRule="auto"/>
              <w:jc w:val="center"/>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19</w:t>
            </w:r>
          </w:p>
        </w:tc>
        <w:tc>
          <w:tcPr>
            <w:tcW w:w="942" w:type="dxa"/>
            <w:noWrap w:val="0"/>
            <w:vAlign w:val="center"/>
          </w:tcPr>
          <w:p>
            <w:pPr>
              <w:spacing w:line="36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31</w:t>
            </w:r>
          </w:p>
        </w:tc>
        <w:tc>
          <w:tcPr>
            <w:tcW w:w="1775" w:type="dxa"/>
            <w:noWrap w:val="0"/>
            <w:vAlign w:val="center"/>
          </w:tcPr>
          <w:p>
            <w:pPr>
              <w:spacing w:line="36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解释权</w:t>
            </w:r>
          </w:p>
        </w:tc>
        <w:tc>
          <w:tcPr>
            <w:tcW w:w="6912" w:type="dxa"/>
            <w:noWrap w:val="0"/>
            <w:vAlign w:val="top"/>
          </w:tcPr>
          <w:p>
            <w:pPr>
              <w:spacing w:line="36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本竞争性磋商文件是根据《中华人民共和国政府采购法》《中华人民共和国政府采购法实施条例》《政府采购竞争性磋商采购方式管理暂行办法》和政府采购管理有关规定编制，本竞争性磋商文件的解释权属于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662" w:type="dxa"/>
            <w:noWrap w:val="0"/>
            <w:vAlign w:val="center"/>
          </w:tcPr>
          <w:p>
            <w:pPr>
              <w:spacing w:line="360" w:lineRule="auto"/>
              <w:jc w:val="center"/>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20</w:t>
            </w:r>
          </w:p>
        </w:tc>
        <w:tc>
          <w:tcPr>
            <w:tcW w:w="942" w:type="dxa"/>
            <w:noWrap w:val="0"/>
            <w:vAlign w:val="center"/>
          </w:tcPr>
          <w:p>
            <w:pPr>
              <w:spacing w:line="36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32</w:t>
            </w:r>
          </w:p>
        </w:tc>
        <w:tc>
          <w:tcPr>
            <w:tcW w:w="1775" w:type="dxa"/>
            <w:noWrap w:val="0"/>
            <w:vAlign w:val="center"/>
          </w:tcPr>
          <w:p>
            <w:pPr>
              <w:spacing w:line="36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监督管理机构</w:t>
            </w:r>
          </w:p>
        </w:tc>
        <w:tc>
          <w:tcPr>
            <w:tcW w:w="6912" w:type="dxa"/>
            <w:noWrap w:val="0"/>
            <w:vAlign w:val="center"/>
          </w:tcPr>
          <w:p>
            <w:pPr>
              <w:spacing w:line="36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桂林市财政局</w:t>
            </w:r>
            <w:r>
              <w:rPr>
                <w:rFonts w:hint="eastAsia"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szCs w:val="21"/>
                <w:lang w:val="en-US" w:eastAsia="zh-CN"/>
                <w14:textFill>
                  <w14:solidFill>
                    <w14:schemeClr w14:val="tx1"/>
                  </w14:solidFill>
                </w14:textFill>
              </w:rPr>
              <w:t xml:space="preserve"> </w:t>
            </w:r>
            <w:r>
              <w:rPr>
                <w:rFonts w:hint="eastAsia" w:ascii="宋体" w:hAnsi="宋体" w:eastAsia="宋体" w:cs="宋体"/>
                <w:color w:val="000000" w:themeColor="text1"/>
                <w:szCs w:val="21"/>
                <w:lang w:val="en-US" w:eastAsia="zh-CN"/>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电话：</w:t>
            </w:r>
            <w:r>
              <w:rPr>
                <w:rFonts w:hint="eastAsia" w:ascii="宋体" w:hAnsi="宋体" w:cs="宋体"/>
                <w:color w:val="000000" w:themeColor="text1"/>
                <w:szCs w:val="21"/>
                <w:lang w:eastAsia="zh-CN"/>
                <w14:textFill>
                  <w14:solidFill>
                    <w14:schemeClr w14:val="tx1"/>
                  </w14:solidFill>
                </w14:textFill>
              </w:rPr>
              <w:t>0773-2862142</w:t>
            </w:r>
          </w:p>
        </w:tc>
      </w:tr>
    </w:tbl>
    <w:p>
      <w:pPr>
        <w:pStyle w:val="20"/>
        <w:ind w:left="0" w:leftChars="0" w:firstLine="0" w:firstLineChars="0"/>
        <w:rPr>
          <w:rFonts w:hint="eastAsia" w:ascii="宋体" w:hAnsi="宋体" w:eastAsia="宋体" w:cs="宋体"/>
          <w:b/>
          <w:color w:val="000000" w:themeColor="text1"/>
          <w:sz w:val="28"/>
          <w:szCs w:val="28"/>
          <w:highlight w:val="none"/>
          <w14:textFill>
            <w14:solidFill>
              <w14:schemeClr w14:val="tx1"/>
            </w14:solidFill>
          </w14:textFill>
        </w:rPr>
      </w:pPr>
    </w:p>
    <w:p>
      <w:pPr>
        <w:rPr>
          <w:rFonts w:hint="eastAsia" w:ascii="宋体" w:hAnsi="宋体" w:eastAsia="宋体" w:cs="宋体"/>
          <w:b/>
          <w:bCs w:val="0"/>
          <w:color w:val="000000" w:themeColor="text1"/>
          <w:szCs w:val="28"/>
          <w:highlight w:val="none"/>
          <w14:textFill>
            <w14:solidFill>
              <w14:schemeClr w14:val="tx1"/>
            </w14:solidFill>
          </w14:textFill>
        </w:rPr>
      </w:pPr>
      <w:bookmarkStart w:id="57" w:name="_Toc22792"/>
      <w:bookmarkStart w:id="58" w:name="_Toc10058"/>
      <w:r>
        <w:rPr>
          <w:rFonts w:hint="eastAsia" w:ascii="宋体" w:hAnsi="宋体" w:eastAsia="宋体" w:cs="宋体"/>
          <w:b/>
          <w:bCs w:val="0"/>
          <w:color w:val="000000" w:themeColor="text1"/>
          <w:szCs w:val="28"/>
          <w:highlight w:val="none"/>
          <w14:textFill>
            <w14:solidFill>
              <w14:schemeClr w14:val="tx1"/>
            </w14:solidFill>
          </w14:textFill>
        </w:rPr>
        <w:br w:type="page"/>
      </w:r>
    </w:p>
    <w:p>
      <w:pPr>
        <w:pStyle w:val="4"/>
        <w:jc w:val="center"/>
        <w:rPr>
          <w:rFonts w:hint="eastAsia" w:ascii="宋体" w:hAnsi="宋体" w:eastAsia="宋体" w:cs="宋体"/>
          <w:b/>
          <w:bCs w:val="0"/>
          <w:color w:val="000000" w:themeColor="text1"/>
          <w:szCs w:val="28"/>
          <w:highlight w:val="none"/>
          <w14:textFill>
            <w14:solidFill>
              <w14:schemeClr w14:val="tx1"/>
            </w14:solidFill>
          </w14:textFill>
        </w:rPr>
      </w:pPr>
      <w:bookmarkStart w:id="59" w:name="_Toc13430"/>
      <w:r>
        <w:rPr>
          <w:rFonts w:hint="eastAsia" w:ascii="宋体" w:hAnsi="宋体" w:eastAsia="宋体" w:cs="宋体"/>
          <w:b/>
          <w:bCs w:val="0"/>
          <w:color w:val="000000" w:themeColor="text1"/>
          <w:szCs w:val="28"/>
          <w:highlight w:val="none"/>
          <w14:textFill>
            <w14:solidFill>
              <w14:schemeClr w14:val="tx1"/>
            </w14:solidFill>
          </w14:textFill>
        </w:rPr>
        <w:t>一、总则</w:t>
      </w:r>
      <w:bookmarkEnd w:id="57"/>
      <w:bookmarkEnd w:id="58"/>
      <w:bookmarkEnd w:id="59"/>
    </w:p>
    <w:p>
      <w:pPr>
        <w:pStyle w:val="5"/>
        <w:spacing w:before="0" w:after="0"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bookmarkStart w:id="60" w:name="_Toc6626"/>
      <w:bookmarkStart w:id="61" w:name="_Toc24721"/>
      <w:bookmarkStart w:id="62" w:name="_Toc13478"/>
      <w:r>
        <w:rPr>
          <w:rFonts w:hint="eastAsia" w:ascii="宋体" w:hAnsi="宋体" w:eastAsia="宋体" w:cs="宋体"/>
          <w:color w:val="000000" w:themeColor="text1"/>
          <w:sz w:val="21"/>
          <w:szCs w:val="21"/>
          <w:highlight w:val="none"/>
          <w14:textFill>
            <w14:solidFill>
              <w14:schemeClr w14:val="tx1"/>
            </w14:solidFill>
          </w14:textFill>
        </w:rPr>
        <w:t>1. 适应范围</w:t>
      </w:r>
      <w:bookmarkEnd w:id="60"/>
      <w:bookmarkEnd w:id="61"/>
      <w:bookmarkEnd w:id="62"/>
    </w:p>
    <w:p>
      <w:pPr>
        <w:spacing w:line="360" w:lineRule="exact"/>
        <w:ind w:firstLine="435"/>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1.1  项目名称及项目编号：</w:t>
      </w:r>
    </w:p>
    <w:p>
      <w:pPr>
        <w:spacing w:line="360" w:lineRule="auto"/>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项目名称：</w:t>
      </w:r>
      <w:r>
        <w:rPr>
          <w:rFonts w:hint="eastAsia" w:ascii="宋体" w:hAnsi="宋体" w:cs="宋体"/>
          <w:color w:val="000000" w:themeColor="text1"/>
          <w:sz w:val="21"/>
          <w:szCs w:val="21"/>
          <w:lang w:val="en-US" w:eastAsia="zh-CN"/>
          <w14:textFill>
            <w14:solidFill>
              <w14:schemeClr w14:val="tx1"/>
            </w14:solidFill>
          </w14:textFill>
        </w:rPr>
        <w:t>桂林市财政局信息化设备采购</w:t>
      </w:r>
      <w:r>
        <w:rPr>
          <w:rFonts w:hint="eastAsia" w:ascii="宋体" w:hAnsi="宋体" w:eastAsia="宋体" w:cs="宋体"/>
          <w:color w:val="000000" w:themeColor="text1"/>
          <w:sz w:val="21"/>
          <w:szCs w:val="21"/>
          <w14:textFill>
            <w14:solidFill>
              <w14:schemeClr w14:val="tx1"/>
            </w14:solidFill>
          </w14:textFill>
        </w:rPr>
        <w:t xml:space="preserve"> </w:t>
      </w:r>
    </w:p>
    <w:p>
      <w:pPr>
        <w:spacing w:line="360" w:lineRule="auto"/>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项目编号：</w:t>
      </w:r>
      <w:r>
        <w:rPr>
          <w:rStyle w:val="31"/>
          <w:rFonts w:hint="eastAsia" w:ascii="宋体"/>
          <w:color w:val="000000" w:themeColor="text1"/>
          <w:szCs w:val="21"/>
          <w:lang w:val="en-US" w:eastAsia="zh-CN"/>
          <w14:textFill>
            <w14:solidFill>
              <w14:schemeClr w14:val="tx1"/>
            </w14:solidFill>
          </w14:textFill>
        </w:rPr>
        <w:t>GLZC2024-C1-990012-GLJC</w:t>
      </w:r>
    </w:p>
    <w:p>
      <w:pPr>
        <w:spacing w:line="360" w:lineRule="exact"/>
        <w:ind w:firstLine="411" w:firstLineChars="196"/>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1.2本竞争性磋商文件（以下简称磋商文件）适用于本磋商项目的磋商、评审、合同履约、验收、付款等行为（法律、法规另有规定的，从其规定）。</w:t>
      </w:r>
    </w:p>
    <w:p>
      <w:pPr>
        <w:pStyle w:val="5"/>
        <w:spacing w:before="0" w:after="0"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bookmarkStart w:id="63" w:name="_Toc3355"/>
      <w:bookmarkStart w:id="64" w:name="_Toc28336"/>
      <w:bookmarkStart w:id="65" w:name="_Toc7578"/>
      <w:r>
        <w:rPr>
          <w:rFonts w:hint="eastAsia" w:ascii="宋体" w:hAnsi="宋体" w:eastAsia="宋体" w:cs="宋体"/>
          <w:color w:val="000000" w:themeColor="text1"/>
          <w:sz w:val="21"/>
          <w:szCs w:val="21"/>
          <w:highlight w:val="none"/>
          <w14:textFill>
            <w14:solidFill>
              <w14:schemeClr w14:val="tx1"/>
            </w14:solidFill>
          </w14:textFill>
        </w:rPr>
        <w:t>2. 定义</w:t>
      </w:r>
      <w:bookmarkEnd w:id="63"/>
      <w:bookmarkEnd w:id="64"/>
      <w:bookmarkEnd w:id="65"/>
    </w:p>
    <w:p>
      <w:pPr>
        <w:spacing w:line="360" w:lineRule="exact"/>
        <w:ind w:firstLine="435"/>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2.1“供应商”是指符合本次采购项目的供应商资格并提交响应文件、参加磋商的供应商。如果该供应商在本次磋商中成交，即成为“成交供应商”。</w:t>
      </w:r>
    </w:p>
    <w:p>
      <w:pPr>
        <w:spacing w:line="360" w:lineRule="exact"/>
        <w:ind w:firstLine="435"/>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2.2“货物”系指按磋商文件规定，供应商须向采购人提供的一切设备、保险、税金、备品备件、工具、手册及其它有关技术资料和材料。</w:t>
      </w:r>
    </w:p>
    <w:p>
      <w:pPr>
        <w:spacing w:line="360" w:lineRule="exact"/>
        <w:ind w:firstLine="435"/>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2.3“服务”系指按磋商文件规定，供应商须承担的安装、调试、技术协助、校准、培训、技术指导以及其他类似的义务。</w:t>
      </w:r>
    </w:p>
    <w:p>
      <w:pPr>
        <w:spacing w:line="360" w:lineRule="exact"/>
        <w:ind w:firstLine="435"/>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2.4“项目”系指供应商按磋商文件规定向采购人提供的货物和服务。</w:t>
      </w:r>
    </w:p>
    <w:p>
      <w:pPr>
        <w:spacing w:line="360" w:lineRule="exact"/>
        <w:ind w:firstLine="435"/>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2.5“书面形式”包括信函、传真、电报等。</w:t>
      </w:r>
    </w:p>
    <w:p>
      <w:pPr>
        <w:spacing w:line="360" w:lineRule="exact"/>
        <w:ind w:firstLine="435"/>
        <w:rPr>
          <w:rFonts w:hint="eastAsia" w:ascii="宋体" w:hAnsi="宋体" w:eastAsia="宋体" w:cs="宋体"/>
          <w:b/>
          <w:color w:val="000000" w:themeColor="text1"/>
          <w:sz w:val="24"/>
          <w:highlight w:val="none"/>
          <w:u w:val="none"/>
          <w14:textFill>
            <w14:solidFill>
              <w14:schemeClr w14:val="tx1"/>
            </w14:solidFill>
          </w14:textFill>
        </w:rPr>
      </w:pPr>
      <w:r>
        <w:rPr>
          <w:rFonts w:hint="eastAsia" w:ascii="宋体" w:hAnsi="宋体" w:eastAsia="宋体" w:cs="宋体"/>
          <w:b/>
          <w:color w:val="000000" w:themeColor="text1"/>
          <w:sz w:val="21"/>
          <w:szCs w:val="21"/>
          <w:highlight w:val="none"/>
          <w:u w:val="none"/>
          <w14:textFill>
            <w14:solidFill>
              <w14:schemeClr w14:val="tx1"/>
            </w14:solidFill>
          </w14:textFill>
        </w:rPr>
        <w:t>2.6实质性要求：</w:t>
      </w:r>
      <w:r>
        <w:rPr>
          <w:rFonts w:hint="eastAsia" w:ascii="宋体" w:hAnsi="宋体" w:eastAsia="宋体" w:cs="宋体"/>
          <w:b/>
          <w:color w:val="000000" w:themeColor="text1"/>
          <w:sz w:val="21"/>
          <w:szCs w:val="21"/>
          <w:u w:val="none"/>
          <w:lang w:val="en-US" w:eastAsia="zh-CN"/>
          <w14:textFill>
            <w14:solidFill>
              <w14:schemeClr w14:val="tx1"/>
            </w14:solidFill>
          </w14:textFill>
        </w:rPr>
        <w:t>“采购需求”中的标注★号的内容均为实质性要求</w:t>
      </w:r>
      <w:r>
        <w:rPr>
          <w:rFonts w:hint="eastAsia" w:ascii="宋体" w:hAnsi="宋体" w:cs="宋体"/>
          <w:b/>
          <w:color w:val="000000" w:themeColor="text1"/>
          <w:lang w:eastAsia="zh-CN"/>
          <w14:textFill>
            <w14:solidFill>
              <w14:schemeClr w14:val="tx1"/>
            </w14:solidFill>
          </w14:textFill>
        </w:rPr>
        <w:t>；</w:t>
      </w:r>
      <w:r>
        <w:rPr>
          <w:rFonts w:hint="eastAsia" w:ascii="宋体" w:hAnsi="宋体" w:cs="宋体"/>
          <w:b/>
          <w:szCs w:val="21"/>
        </w:rPr>
        <w:t>标注▲号的技术参数，为重要技术指标、功能条款，将作为评审</w:t>
      </w:r>
      <w:r>
        <w:rPr>
          <w:rFonts w:hint="eastAsia" w:ascii="宋体" w:hAnsi="宋体" w:cs="宋体"/>
          <w:b/>
          <w:szCs w:val="21"/>
          <w:u w:val="none"/>
        </w:rPr>
        <w:t>依据</w:t>
      </w:r>
      <w:r>
        <w:rPr>
          <w:rFonts w:hint="eastAsia" w:ascii="宋体" w:hAnsi="宋体" w:eastAsia="宋体" w:cs="宋体"/>
          <w:b/>
          <w:color w:val="000000" w:themeColor="text1"/>
          <w:sz w:val="21"/>
          <w:szCs w:val="21"/>
          <w:u w:val="none"/>
          <w:lang w:val="en-US" w:eastAsia="zh-CN"/>
          <w14:textFill>
            <w14:solidFill>
              <w14:schemeClr w14:val="tx1"/>
            </w14:solidFill>
          </w14:textFill>
        </w:rPr>
        <w:t>。</w:t>
      </w:r>
    </w:p>
    <w:p>
      <w:pPr>
        <w:pStyle w:val="5"/>
        <w:spacing w:before="0" w:after="0"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bookmarkStart w:id="66" w:name="_Toc25441"/>
      <w:bookmarkStart w:id="67" w:name="_Toc23631"/>
      <w:bookmarkStart w:id="68" w:name="_Toc17892"/>
      <w:r>
        <w:rPr>
          <w:rFonts w:hint="eastAsia" w:ascii="宋体" w:hAnsi="宋体" w:eastAsia="宋体" w:cs="宋体"/>
          <w:color w:val="000000" w:themeColor="text1"/>
          <w:sz w:val="21"/>
          <w:szCs w:val="21"/>
          <w:highlight w:val="none"/>
          <w14:textFill>
            <w14:solidFill>
              <w14:schemeClr w14:val="tx1"/>
            </w14:solidFill>
          </w14:textFill>
        </w:rPr>
        <w:t>3. 供应商资格</w:t>
      </w:r>
      <w:bookmarkEnd w:id="66"/>
      <w:bookmarkEnd w:id="67"/>
      <w:bookmarkEnd w:id="68"/>
    </w:p>
    <w:p>
      <w:pPr>
        <w:spacing w:line="360" w:lineRule="exact"/>
        <w:ind w:firstLine="435"/>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3.1符合《中华人民共和国政府采购法》第二十二条和《政府采购法实施条例》第十八条规定，具备合法资格的供应商；</w:t>
      </w:r>
    </w:p>
    <w:p>
      <w:pPr>
        <w:spacing w:line="360" w:lineRule="exact"/>
        <w:ind w:firstLine="435"/>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3.2本项目不接受联合体参与磋商；</w:t>
      </w:r>
    </w:p>
    <w:p>
      <w:pPr>
        <w:spacing w:line="360" w:lineRule="exact"/>
        <w:ind w:firstLine="435"/>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3.3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r>
        <w:rPr>
          <w:rFonts w:hint="eastAsia" w:ascii="宋体" w:hAnsi="宋体" w:cs="宋体"/>
          <w:bCs/>
          <w:color w:val="000000" w:themeColor="text1"/>
          <w:szCs w:val="21"/>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color w:val="000000" w:themeColor="text1"/>
          <w:sz w:val="21"/>
          <w:szCs w:val="21"/>
          <w:lang w:val="en-US" w:eastAsia="zh-CN"/>
          <w14:textFill>
            <w14:solidFill>
              <w14:schemeClr w14:val="tx1"/>
            </w14:solidFill>
          </w14:textFill>
        </w:rPr>
      </w:pPr>
      <w:bookmarkStart w:id="69" w:name="_Toc16496"/>
      <w:r>
        <w:rPr>
          <w:rFonts w:hint="eastAsia" w:ascii="宋体" w:hAnsi="宋体" w:eastAsia="宋体" w:cs="宋体"/>
          <w:color w:val="000000" w:themeColor="text1"/>
          <w:sz w:val="21"/>
          <w:szCs w:val="21"/>
          <w14:textFill>
            <w14:solidFill>
              <w14:schemeClr w14:val="tx1"/>
            </w14:solidFill>
          </w14:textFill>
        </w:rPr>
        <w:t>3.</w:t>
      </w:r>
      <w:r>
        <w:rPr>
          <w:rFonts w:hint="eastAsia" w:ascii="宋体" w:hAnsi="宋体" w:eastAsia="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落实政府采购政策需满足的资格要求：</w:t>
      </w:r>
      <w:r>
        <w:rPr>
          <w:rFonts w:hint="eastAsia" w:ascii="宋体" w:hAnsi="宋体" w:eastAsia="宋体" w:cs="宋体"/>
          <w:b w:val="0"/>
          <w:bCs w:val="0"/>
          <w:color w:val="000000" w:themeColor="text1"/>
          <w:sz w:val="21"/>
          <w:szCs w:val="21"/>
          <w:lang w:eastAsia="zh-CN"/>
          <w14:textFill>
            <w14:solidFill>
              <w14:schemeClr w14:val="tx1"/>
            </w14:solidFill>
          </w14:textFill>
        </w:rPr>
        <w:t>无</w:t>
      </w:r>
      <w:r>
        <w:rPr>
          <w:rFonts w:hint="eastAsia" w:ascii="宋体" w:hAnsi="宋体" w:cs="宋体"/>
          <w:b w:val="0"/>
          <w:bCs w:val="0"/>
          <w:color w:val="000000" w:themeColor="text1"/>
          <w:sz w:val="21"/>
          <w:szCs w:val="21"/>
          <w:lang w:val="en-US" w:eastAsia="zh-CN"/>
          <w14:textFill>
            <w14:solidFill>
              <w14:schemeClr w14:val="tx1"/>
            </w14:solidFill>
          </w14:textFill>
        </w:rPr>
        <w:t>；</w:t>
      </w:r>
    </w:p>
    <w:p>
      <w:pPr>
        <w:pStyle w:val="5"/>
        <w:spacing w:before="0" w:after="0" w:line="360" w:lineRule="auto"/>
        <w:ind w:firstLine="420" w:firstLineChars="200"/>
        <w:rPr>
          <w:rFonts w:hint="eastAsia" w:ascii="宋体" w:hAnsi="宋体" w:eastAsia="宋体" w:cs="宋体"/>
          <w:b w:val="0"/>
          <w:bCs/>
          <w:color w:val="000000" w:themeColor="text1"/>
          <w:kern w:val="2"/>
          <w:sz w:val="21"/>
          <w:szCs w:val="21"/>
          <w:highlight w:val="none"/>
          <w:lang w:val="en-US" w:eastAsia="zh-CN" w:bidi="ar-SA"/>
          <w14:textFill>
            <w14:solidFill>
              <w14:schemeClr w14:val="tx1"/>
            </w14:solidFill>
          </w14:textFill>
        </w:rPr>
      </w:pPr>
      <w:bookmarkStart w:id="70" w:name="_Toc5736"/>
      <w:bookmarkStart w:id="71" w:name="_Toc4527"/>
      <w:bookmarkStart w:id="72" w:name="_Toc10069"/>
      <w:bookmarkStart w:id="73" w:name="_Toc1163"/>
      <w:r>
        <w:rPr>
          <w:rFonts w:hint="eastAsia" w:ascii="宋体" w:hAnsi="宋体" w:eastAsia="宋体" w:cs="宋体"/>
          <w:b w:val="0"/>
          <w:bCs/>
          <w:color w:val="000000" w:themeColor="text1"/>
          <w:kern w:val="2"/>
          <w:sz w:val="21"/>
          <w:szCs w:val="21"/>
          <w:highlight w:val="none"/>
          <w:lang w:val="en-US" w:eastAsia="zh-CN" w:bidi="ar-SA"/>
          <w14:textFill>
            <w14:solidFill>
              <w14:schemeClr w14:val="tx1"/>
            </w14:solidFill>
          </w14:textFill>
        </w:rPr>
        <w:t>3.5本项目的特定资格要求：无</w:t>
      </w:r>
      <w:bookmarkEnd w:id="70"/>
      <w:bookmarkEnd w:id="71"/>
      <w:r>
        <w:rPr>
          <w:rFonts w:hint="eastAsia" w:ascii="宋体" w:hAnsi="宋体" w:eastAsia="宋体" w:cs="宋体"/>
          <w:b w:val="0"/>
          <w:bCs/>
          <w:color w:val="000000" w:themeColor="text1"/>
          <w:kern w:val="2"/>
          <w:sz w:val="21"/>
          <w:szCs w:val="21"/>
          <w:highlight w:val="none"/>
          <w:lang w:val="en-US" w:eastAsia="zh-CN" w:bidi="ar-SA"/>
          <w14:textFill>
            <w14:solidFill>
              <w14:schemeClr w14:val="tx1"/>
            </w14:solidFill>
          </w14:textFill>
        </w:rPr>
        <w:t>；</w:t>
      </w:r>
      <w:bookmarkEnd w:id="72"/>
      <w:bookmarkEnd w:id="73"/>
    </w:p>
    <w:p>
      <w:pPr>
        <w:pStyle w:val="5"/>
        <w:spacing w:before="0" w:after="0"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bookmarkStart w:id="74" w:name="_Toc15983"/>
      <w:bookmarkStart w:id="75" w:name="_Toc16181"/>
      <w:r>
        <w:rPr>
          <w:rFonts w:hint="eastAsia" w:ascii="宋体" w:hAnsi="宋体" w:eastAsia="宋体" w:cs="宋体"/>
          <w:color w:val="000000" w:themeColor="text1"/>
          <w:sz w:val="21"/>
          <w:szCs w:val="21"/>
          <w:highlight w:val="none"/>
          <w14:textFill>
            <w14:solidFill>
              <w14:schemeClr w14:val="tx1"/>
            </w14:solidFill>
          </w14:textFill>
        </w:rPr>
        <w:t>4. 磋商费用</w:t>
      </w:r>
      <w:bookmarkEnd w:id="69"/>
      <w:bookmarkEnd w:id="74"/>
      <w:bookmarkEnd w:id="75"/>
    </w:p>
    <w:p>
      <w:pPr>
        <w:tabs>
          <w:tab w:val="left" w:pos="1635"/>
        </w:tabs>
        <w:spacing w:line="360" w:lineRule="exact"/>
        <w:ind w:firstLine="435"/>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不论磋商结果如何，供应商均应自行承担所有与磋商有关的全部费用。</w:t>
      </w:r>
    </w:p>
    <w:p>
      <w:pPr>
        <w:pStyle w:val="5"/>
        <w:numPr>
          <w:ilvl w:val="0"/>
          <w:numId w:val="3"/>
        </w:numPr>
        <w:spacing w:before="0" w:after="0"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bookmarkStart w:id="76" w:name="_Toc31376"/>
      <w:bookmarkStart w:id="77" w:name="_Toc6933"/>
      <w:bookmarkStart w:id="78" w:name="_Toc5064"/>
      <w:r>
        <w:rPr>
          <w:rFonts w:hint="eastAsia" w:ascii="宋体" w:hAnsi="宋体" w:eastAsia="宋体" w:cs="宋体"/>
          <w:color w:val="000000" w:themeColor="text1"/>
          <w:sz w:val="21"/>
          <w:szCs w:val="21"/>
          <w:highlight w:val="none"/>
          <w14:textFill>
            <w14:solidFill>
              <w14:schemeClr w14:val="tx1"/>
            </w14:solidFill>
          </w14:textFill>
        </w:rPr>
        <w:t>联合体要求</w:t>
      </w:r>
      <w:bookmarkEnd w:id="76"/>
      <w:bookmarkEnd w:id="77"/>
      <w:bookmarkEnd w:id="78"/>
    </w:p>
    <w:p>
      <w:pPr>
        <w:spacing w:line="360" w:lineRule="exact"/>
        <w:ind w:firstLine="420" w:firstLineChars="200"/>
        <w:rPr>
          <w:rFonts w:hint="eastAsia" w:ascii="宋体" w:hAnsi="宋体" w:eastAsia="宋体" w:cs="宋体"/>
          <w:bCs/>
          <w:color w:val="000000" w:themeColor="text1"/>
          <w:szCs w:val="21"/>
          <w:highlight w:val="none"/>
          <w:lang w:eastAsia="zh-CN"/>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本项目不接受联合体参与磋商</w:t>
      </w:r>
      <w:r>
        <w:rPr>
          <w:rFonts w:hint="eastAsia" w:ascii="宋体" w:hAnsi="宋体" w:cs="宋体"/>
          <w:bCs/>
          <w:color w:val="000000" w:themeColor="text1"/>
          <w:szCs w:val="21"/>
          <w:highlight w:val="none"/>
          <w:lang w:eastAsia="zh-CN"/>
          <w14:textFill>
            <w14:solidFill>
              <w14:schemeClr w14:val="tx1"/>
            </w14:solidFill>
          </w14:textFill>
        </w:rPr>
        <w:t>。</w:t>
      </w:r>
    </w:p>
    <w:p>
      <w:pPr>
        <w:pStyle w:val="5"/>
        <w:spacing w:before="0" w:after="0"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bookmarkStart w:id="79" w:name="_Toc16359"/>
      <w:bookmarkStart w:id="80" w:name="_Toc4152"/>
      <w:bookmarkStart w:id="81" w:name="_Toc3849"/>
      <w:r>
        <w:rPr>
          <w:rFonts w:hint="eastAsia" w:ascii="宋体" w:hAnsi="宋体" w:eastAsia="宋体" w:cs="宋体"/>
          <w:color w:val="000000" w:themeColor="text1"/>
          <w:sz w:val="21"/>
          <w:szCs w:val="21"/>
          <w:highlight w:val="none"/>
          <w14:textFill>
            <w14:solidFill>
              <w14:schemeClr w14:val="tx1"/>
            </w14:solidFill>
          </w14:textFill>
        </w:rPr>
        <w:t>6. 质疑和投诉</w:t>
      </w:r>
      <w:bookmarkEnd w:id="79"/>
      <w:bookmarkEnd w:id="80"/>
      <w:bookmarkEnd w:id="81"/>
      <w:r>
        <w:rPr>
          <w:rFonts w:hint="eastAsia" w:ascii="宋体" w:hAnsi="宋体" w:eastAsia="宋体" w:cs="宋体"/>
          <w:color w:val="000000" w:themeColor="text1"/>
          <w:sz w:val="21"/>
          <w:szCs w:val="21"/>
          <w:highlight w:val="none"/>
          <w14:textFill>
            <w14:solidFill>
              <w14:schemeClr w14:val="tx1"/>
            </w14:solidFill>
          </w14:textFill>
        </w:rPr>
        <w:tab/>
      </w:r>
    </w:p>
    <w:p>
      <w:pPr>
        <w:tabs>
          <w:tab w:val="left" w:pos="2190"/>
        </w:tabs>
        <w:spacing w:line="360" w:lineRule="exact"/>
        <w:ind w:firstLine="435"/>
        <w:rPr>
          <w:rFonts w:hint="eastAsia" w:ascii="宋体" w:hAnsi="宋体" w:eastAsia="宋体" w:cs="宋体"/>
          <w:color w:val="000000" w:themeColor="text1"/>
          <w:szCs w:val="21"/>
          <w:highlight w:val="none"/>
          <w:u w:val="none"/>
          <w14:textFill>
            <w14:solidFill>
              <w14:schemeClr w14:val="tx1"/>
            </w14:solidFill>
          </w14:textFill>
        </w:rPr>
      </w:pPr>
      <w:bookmarkStart w:id="82" w:name="_Toc8195"/>
      <w:bookmarkStart w:id="83" w:name="_Toc26087"/>
      <w:r>
        <w:rPr>
          <w:rFonts w:hint="eastAsia" w:ascii="宋体" w:hAnsi="宋体" w:eastAsia="宋体" w:cs="宋体"/>
          <w:color w:val="000000" w:themeColor="text1"/>
          <w:szCs w:val="21"/>
          <w:highlight w:val="none"/>
          <w:u w:val="none"/>
          <w14:textFill>
            <w14:solidFill>
              <w14:schemeClr w14:val="tx1"/>
            </w14:solidFill>
          </w14:textFill>
        </w:rPr>
        <w:t>6.1供应对政府采购活动事项有疑问的，可以向采购人提出询问。</w:t>
      </w:r>
    </w:p>
    <w:p>
      <w:pPr>
        <w:tabs>
          <w:tab w:val="left" w:pos="2190"/>
        </w:tabs>
        <w:spacing w:line="360" w:lineRule="exact"/>
        <w:ind w:firstLine="435"/>
        <w:rPr>
          <w:rFonts w:hint="eastAsia" w:ascii="宋体" w:hAnsi="宋体" w:eastAsia="宋体" w:cs="宋体"/>
          <w:color w:val="000000" w:themeColor="text1"/>
          <w:szCs w:val="21"/>
          <w:highlight w:val="none"/>
          <w:u w:val="none"/>
          <w14:textFill>
            <w14:solidFill>
              <w14:schemeClr w14:val="tx1"/>
            </w14:solidFill>
          </w14:textFill>
        </w:rPr>
      </w:pPr>
      <w:r>
        <w:rPr>
          <w:rFonts w:hint="eastAsia" w:ascii="宋体" w:hAnsi="宋体" w:eastAsia="宋体" w:cs="宋体"/>
          <w:color w:val="000000" w:themeColor="text1"/>
          <w:szCs w:val="21"/>
          <w:highlight w:val="none"/>
          <w:u w:val="none"/>
          <w14:textFill>
            <w14:solidFill>
              <w14:schemeClr w14:val="tx1"/>
            </w14:solidFill>
          </w14:textFill>
        </w:rPr>
        <w:t>6.2供应商认为磋商文件使自己的合法权益受到损害的，应当在竞争性磋商公告期限届满之日起七个工作日内，以书面形式向采购代理机构（桂林市政府集中采购中心）提出质疑。供应商认为采购过程或成交结果使自己的合法权益受到损害的，应当在各采购程序环节结束之日起七个工作日内，以书面形式向采购代理机构（桂林市政府集中采购</w:t>
      </w:r>
      <w:r>
        <w:rPr>
          <w:rFonts w:hint="eastAsia" w:ascii="宋体" w:hAnsi="宋体" w:cs="宋体"/>
          <w:color w:val="000000" w:themeColor="text1"/>
          <w:szCs w:val="21"/>
          <w:highlight w:val="none"/>
          <w:u w:val="none"/>
          <w:lang w:val="en-US" w:eastAsia="zh-CN"/>
          <w14:textFill>
            <w14:solidFill>
              <w14:schemeClr w14:val="tx1"/>
            </w14:solidFill>
          </w14:textFill>
        </w:rPr>
        <w:t>中心</w:t>
      </w:r>
      <w:r>
        <w:rPr>
          <w:rFonts w:hint="eastAsia" w:ascii="宋体" w:hAnsi="宋体" w:eastAsia="宋体" w:cs="宋体"/>
          <w:color w:val="000000" w:themeColor="text1"/>
          <w:szCs w:val="21"/>
          <w:highlight w:val="none"/>
          <w:u w:val="none"/>
          <w14:textFill>
            <w14:solidFill>
              <w14:schemeClr w14:val="tx1"/>
            </w14:solidFill>
          </w14:textFill>
        </w:rPr>
        <w:t>）提出质疑。采购代理机构应认真做好质疑处理工作。</w:t>
      </w:r>
    </w:p>
    <w:p>
      <w:pPr>
        <w:tabs>
          <w:tab w:val="left" w:pos="2190"/>
        </w:tabs>
        <w:spacing w:line="360" w:lineRule="exact"/>
        <w:ind w:firstLine="435"/>
        <w:rPr>
          <w:rFonts w:hint="eastAsia" w:ascii="宋体" w:hAnsi="宋体" w:eastAsia="宋体" w:cs="宋体"/>
          <w:color w:val="000000" w:themeColor="text1"/>
          <w:szCs w:val="21"/>
          <w:highlight w:val="none"/>
          <w:u w:val="none"/>
          <w14:textFill>
            <w14:solidFill>
              <w14:schemeClr w14:val="tx1"/>
            </w14:solidFill>
          </w14:textFill>
        </w:rPr>
      </w:pPr>
      <w:r>
        <w:rPr>
          <w:rFonts w:hint="eastAsia" w:ascii="宋体" w:hAnsi="宋体" w:eastAsia="宋体" w:cs="宋体"/>
          <w:color w:val="000000" w:themeColor="text1"/>
          <w:szCs w:val="21"/>
          <w:highlight w:val="none"/>
          <w:u w:val="none"/>
          <w14:textFill>
            <w14:solidFill>
              <w14:schemeClr w14:val="tx1"/>
            </w14:solidFill>
          </w14:textFill>
        </w:rPr>
        <w:t>6.3供应商对采购代理机构的质疑答复不满意或者采购代理机构未在规定的时间内作出答复的，可以在答复期满后十五个工作日内向本级财政部门投诉。</w:t>
      </w:r>
    </w:p>
    <w:p>
      <w:pPr>
        <w:tabs>
          <w:tab w:val="left" w:pos="2190"/>
        </w:tabs>
        <w:spacing w:line="360" w:lineRule="exact"/>
        <w:ind w:firstLine="435"/>
        <w:rPr>
          <w:rFonts w:hint="eastAsia" w:ascii="宋体" w:hAnsi="宋体" w:eastAsia="宋体" w:cs="宋体"/>
          <w:color w:val="000000" w:themeColor="text1"/>
          <w:szCs w:val="21"/>
          <w:highlight w:val="none"/>
          <w:u w:val="none"/>
          <w14:textFill>
            <w14:solidFill>
              <w14:schemeClr w14:val="tx1"/>
            </w14:solidFill>
          </w14:textFill>
        </w:rPr>
      </w:pPr>
      <w:r>
        <w:rPr>
          <w:rFonts w:hint="eastAsia" w:ascii="宋体" w:hAnsi="宋体" w:eastAsia="宋体" w:cs="宋体"/>
          <w:color w:val="000000" w:themeColor="text1"/>
          <w:szCs w:val="21"/>
          <w:highlight w:val="none"/>
          <w:u w:val="none"/>
          <w14:textFill>
            <w14:solidFill>
              <w14:schemeClr w14:val="tx1"/>
            </w14:solidFill>
          </w14:textFill>
        </w:rPr>
        <w:t>6.4质疑、投诉应当采用书面形式，质疑书、投诉书实行实名制，均应明确阐述磋商文件、采购过程或成交结果中使自己合法权益受到损害的实质性内容，提供相关事实、明确的请求，并提供必要的证明材料。质疑函格式详见附件。</w:t>
      </w:r>
    </w:p>
    <w:p>
      <w:pPr>
        <w:tabs>
          <w:tab w:val="left" w:pos="2190"/>
        </w:tabs>
        <w:spacing w:beforeLines="0" w:afterLines="0" w:line="360" w:lineRule="exact"/>
        <w:ind w:firstLine="420" w:firstLineChars="200"/>
        <w:rPr>
          <w:rFonts w:hint="eastAsia" w:ascii="宋体" w:hAnsi="宋体" w:eastAsia="宋体" w:cs="宋体"/>
          <w:color w:val="000000" w:themeColor="text1"/>
          <w:szCs w:val="21"/>
          <w:highlight w:val="none"/>
          <w:u w:val="none"/>
          <w:lang w:eastAsia="zh-CN"/>
          <w14:textFill>
            <w14:solidFill>
              <w14:schemeClr w14:val="tx1"/>
            </w14:solidFill>
          </w14:textFill>
        </w:rPr>
      </w:pPr>
      <w:r>
        <w:rPr>
          <w:rFonts w:hint="eastAsia" w:ascii="宋体" w:hAnsi="宋体" w:eastAsia="宋体" w:cs="宋体"/>
          <w:color w:val="000000" w:themeColor="text1"/>
          <w:szCs w:val="21"/>
          <w:highlight w:val="none"/>
          <w:u w:val="none"/>
          <w14:textFill>
            <w14:solidFill>
              <w14:schemeClr w14:val="tx1"/>
            </w14:solidFill>
          </w14:textFill>
        </w:rPr>
        <w:t>6.5质疑联系部门：桂林市政府集中采购中心；联系电话：0773-56251</w:t>
      </w:r>
      <w:r>
        <w:rPr>
          <w:rFonts w:hint="eastAsia" w:ascii="宋体" w:hAnsi="宋体" w:eastAsia="宋体" w:cs="宋体"/>
          <w:color w:val="000000" w:themeColor="text1"/>
          <w:szCs w:val="21"/>
          <w:highlight w:val="none"/>
          <w:u w:val="none"/>
          <w:lang w:val="en-US" w:eastAsia="zh-CN"/>
          <w14:textFill>
            <w14:solidFill>
              <w14:schemeClr w14:val="tx1"/>
            </w14:solidFill>
          </w14:textFill>
        </w:rPr>
        <w:t>62</w:t>
      </w:r>
      <w:r>
        <w:rPr>
          <w:rFonts w:hint="eastAsia" w:ascii="宋体" w:hAnsi="宋体" w:cs="宋体"/>
          <w:color w:val="000000" w:themeColor="text1"/>
          <w:szCs w:val="21"/>
          <w:highlight w:val="none"/>
          <w:u w:val="none"/>
          <w:lang w:eastAsia="zh-CN"/>
          <w14:textFill>
            <w14:solidFill>
              <w14:schemeClr w14:val="tx1"/>
            </w14:solidFill>
          </w14:textFill>
        </w:rPr>
        <w:t>。</w:t>
      </w:r>
    </w:p>
    <w:p>
      <w:pPr>
        <w:tabs>
          <w:tab w:val="left" w:pos="2190"/>
        </w:tabs>
        <w:spacing w:beforeLines="0" w:afterLines="0" w:line="360" w:lineRule="exact"/>
        <w:ind w:firstLine="420" w:firstLineChars="200"/>
        <w:rPr>
          <w:rFonts w:hint="eastAsia" w:ascii="宋体" w:hAnsi="宋体" w:eastAsia="宋体" w:cs="宋体"/>
          <w:color w:val="000000" w:themeColor="text1"/>
          <w:szCs w:val="21"/>
          <w:highlight w:val="none"/>
          <w:u w:val="none"/>
          <w:lang w:val="en-US" w:eastAsia="zh-CN"/>
          <w14:textFill>
            <w14:solidFill>
              <w14:schemeClr w14:val="tx1"/>
            </w14:solidFill>
          </w14:textFill>
        </w:rPr>
      </w:pPr>
      <w:r>
        <w:rPr>
          <w:rFonts w:hint="eastAsia" w:ascii="宋体" w:hAnsi="宋体" w:eastAsia="宋体" w:cs="宋体"/>
          <w:color w:val="000000" w:themeColor="text1"/>
          <w:szCs w:val="21"/>
          <w:highlight w:val="none"/>
          <w:u w:val="none"/>
          <w14:textFill>
            <w14:solidFill>
              <w14:schemeClr w14:val="tx1"/>
            </w14:solidFill>
          </w14:textFill>
        </w:rPr>
        <w:t>通讯地址：桂林市临桂区西城中路69号创业大厦西辅楼5楼</w:t>
      </w:r>
      <w:r>
        <w:rPr>
          <w:rFonts w:hint="eastAsia" w:ascii="宋体" w:hAnsi="宋体" w:eastAsia="宋体" w:cs="宋体"/>
          <w:color w:val="000000" w:themeColor="text1"/>
          <w:szCs w:val="21"/>
          <w:highlight w:val="none"/>
          <w:u w:val="none"/>
          <w:lang w:val="en-US" w:eastAsia="zh-CN"/>
          <w14:textFill>
            <w14:solidFill>
              <w14:schemeClr w14:val="tx1"/>
            </w14:solidFill>
          </w14:textFill>
        </w:rPr>
        <w:t>574室</w:t>
      </w:r>
      <w:r>
        <w:rPr>
          <w:rFonts w:hint="eastAsia" w:ascii="宋体" w:hAnsi="宋体" w:cs="宋体"/>
          <w:color w:val="000000" w:themeColor="text1"/>
          <w:szCs w:val="21"/>
          <w:highlight w:val="none"/>
          <w:u w:val="none"/>
          <w:lang w:val="en-US" w:eastAsia="zh-CN"/>
          <w14:textFill>
            <w14:solidFill>
              <w14:schemeClr w14:val="tx1"/>
            </w14:solidFill>
          </w14:textFill>
        </w:rPr>
        <w:t>。</w:t>
      </w:r>
    </w:p>
    <w:p>
      <w:pPr>
        <w:tabs>
          <w:tab w:val="left" w:pos="2190"/>
        </w:tabs>
        <w:spacing w:beforeLines="0" w:afterLines="0" w:line="360" w:lineRule="exact"/>
        <w:ind w:firstLine="420" w:firstLineChars="200"/>
        <w:rPr>
          <w:rFonts w:hint="eastAsia" w:ascii="宋体" w:hAnsi="宋体" w:eastAsia="宋体" w:cs="宋体"/>
          <w:color w:val="000000" w:themeColor="text1"/>
          <w:szCs w:val="21"/>
          <w:highlight w:val="none"/>
          <w:u w:val="none"/>
          <w:lang w:eastAsia="zh-CN"/>
          <w14:textFill>
            <w14:solidFill>
              <w14:schemeClr w14:val="tx1"/>
            </w14:solidFill>
          </w14:textFill>
        </w:rPr>
      </w:pPr>
      <w:r>
        <w:rPr>
          <w:rFonts w:hint="eastAsia" w:ascii="宋体" w:hAnsi="宋体" w:eastAsia="宋体" w:cs="宋体"/>
          <w:color w:val="000000" w:themeColor="text1"/>
          <w:szCs w:val="21"/>
          <w:highlight w:val="none"/>
          <w:u w:val="none"/>
          <w14:textFill>
            <w14:solidFill>
              <w14:schemeClr w14:val="tx1"/>
            </w14:solidFill>
          </w14:textFill>
        </w:rPr>
        <w:t>6.6 投诉联系部门：</w:t>
      </w:r>
      <w:r>
        <w:rPr>
          <w:rFonts w:hint="eastAsia" w:ascii="宋体" w:hAnsi="宋体" w:cs="宋体"/>
          <w:color w:val="000000" w:themeColor="text1"/>
          <w:szCs w:val="21"/>
          <w:highlight w:val="none"/>
          <w:u w:val="none"/>
          <w:lang w:val="en-US" w:eastAsia="zh-CN"/>
          <w14:textFill>
            <w14:solidFill>
              <w14:schemeClr w14:val="tx1"/>
            </w14:solidFill>
          </w14:textFill>
        </w:rPr>
        <w:t>桂林市财政局</w:t>
      </w:r>
      <w:r>
        <w:rPr>
          <w:rFonts w:hint="eastAsia" w:ascii="宋体" w:hAnsi="宋体" w:eastAsia="宋体" w:cs="宋体"/>
          <w:color w:val="000000" w:themeColor="text1"/>
          <w:szCs w:val="21"/>
          <w:highlight w:val="none"/>
          <w:u w:val="none"/>
          <w14:textFill>
            <w14:solidFill>
              <w14:schemeClr w14:val="tx1"/>
            </w14:solidFill>
          </w14:textFill>
        </w:rPr>
        <w:t>；联系电话：</w:t>
      </w:r>
      <w:bookmarkEnd w:id="82"/>
      <w:bookmarkEnd w:id="83"/>
      <w:r>
        <w:rPr>
          <w:rFonts w:hint="eastAsia" w:ascii="宋体" w:hAnsi="宋体" w:cs="宋体"/>
          <w:color w:val="000000" w:themeColor="text1"/>
          <w:szCs w:val="21"/>
          <w:highlight w:val="none"/>
          <w:lang w:eastAsia="zh-CN"/>
          <w14:textFill>
            <w14:solidFill>
              <w14:schemeClr w14:val="tx1"/>
            </w14:solidFill>
          </w14:textFill>
        </w:rPr>
        <w:t>0773-2862142</w:t>
      </w:r>
      <w:r>
        <w:rPr>
          <w:rFonts w:hint="eastAsia"/>
          <w:color w:val="000000" w:themeColor="text1"/>
          <w:lang w:eastAsia="zh-CN"/>
          <w14:textFill>
            <w14:solidFill>
              <w14:schemeClr w14:val="tx1"/>
            </w14:solidFill>
          </w14:textFill>
        </w:rPr>
        <w:t>。</w:t>
      </w:r>
    </w:p>
    <w:p>
      <w:pPr>
        <w:tabs>
          <w:tab w:val="left" w:pos="2190"/>
        </w:tabs>
        <w:spacing w:beforeLines="0" w:afterLines="0" w:line="360" w:lineRule="exact"/>
        <w:ind w:firstLine="420" w:firstLineChars="200"/>
        <w:rPr>
          <w:rFonts w:hint="eastAsia" w:ascii="宋体" w:hAnsi="宋体" w:eastAsia="宋体" w:cs="宋体"/>
          <w:color w:val="000000" w:themeColor="text1"/>
          <w:szCs w:val="21"/>
          <w:highlight w:val="none"/>
          <w:u w:val="none"/>
          <w:lang w:val="en-US" w:eastAsia="zh-CN"/>
          <w14:textFill>
            <w14:solidFill>
              <w14:schemeClr w14:val="tx1"/>
            </w14:solidFill>
          </w14:textFill>
        </w:rPr>
      </w:pPr>
      <w:r>
        <w:rPr>
          <w:rFonts w:hint="eastAsia" w:ascii="宋体" w:hAnsi="宋体" w:eastAsia="宋体" w:cs="宋体"/>
          <w:color w:val="000000" w:themeColor="text1"/>
          <w:szCs w:val="21"/>
          <w:highlight w:val="none"/>
          <w:u w:val="none"/>
          <w:lang w:val="en-US" w:eastAsia="zh-CN"/>
          <w14:textFill>
            <w14:solidFill>
              <w14:schemeClr w14:val="tx1"/>
            </w14:solidFill>
          </w14:textFill>
        </w:rPr>
        <w:t>6.7 供应商在法定质疑期内应当一次性提出针对同一采购程序环节的质疑。</w:t>
      </w:r>
    </w:p>
    <w:p>
      <w:pPr>
        <w:tabs>
          <w:tab w:val="left" w:pos="2190"/>
        </w:tabs>
        <w:spacing w:beforeLines="0" w:afterLines="0" w:line="360" w:lineRule="exact"/>
        <w:ind w:firstLine="420" w:firstLineChars="200"/>
        <w:rPr>
          <w:rFonts w:hint="eastAsia" w:ascii="宋体" w:hAnsi="宋体" w:eastAsia="宋体" w:cs="宋体"/>
          <w:color w:val="000000" w:themeColor="text1"/>
          <w:szCs w:val="21"/>
          <w:highlight w:val="none"/>
          <w:u w:val="none"/>
          <w14:textFill>
            <w14:solidFill>
              <w14:schemeClr w14:val="tx1"/>
            </w14:solidFill>
          </w14:textFill>
        </w:rPr>
      </w:pPr>
      <w:r>
        <w:rPr>
          <w:rFonts w:hint="eastAsia" w:ascii="宋体" w:hAnsi="宋体" w:eastAsia="宋体" w:cs="宋体"/>
          <w:color w:val="000000" w:themeColor="text1"/>
          <w:szCs w:val="21"/>
          <w:highlight w:val="none"/>
          <w:u w:val="none"/>
          <w:lang w:val="en-US" w:eastAsia="zh-CN"/>
          <w14:textFill>
            <w14:solidFill>
              <w14:schemeClr w14:val="tx1"/>
            </w14:solidFill>
          </w14:textFill>
        </w:rPr>
        <w:t>6.8 不在法定质疑期内提出的质疑函可以拒收。不符合要求的质疑函在法定质疑期内及时补充完整，否则作质疑不成立处理。</w:t>
      </w:r>
    </w:p>
    <w:p>
      <w:pPr>
        <w:pStyle w:val="5"/>
        <w:spacing w:before="0" w:after="0"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bookmarkStart w:id="84" w:name="_Toc6998"/>
      <w:bookmarkStart w:id="85" w:name="_Toc13910"/>
      <w:bookmarkStart w:id="86" w:name="_Toc24136"/>
      <w:r>
        <w:rPr>
          <w:rFonts w:hint="eastAsia" w:ascii="宋体" w:hAnsi="宋体" w:eastAsia="宋体" w:cs="宋体"/>
          <w:color w:val="000000" w:themeColor="text1"/>
          <w:sz w:val="21"/>
          <w:szCs w:val="21"/>
          <w:highlight w:val="none"/>
          <w14:textFill>
            <w14:solidFill>
              <w14:schemeClr w14:val="tx1"/>
            </w14:solidFill>
          </w14:textFill>
        </w:rPr>
        <w:t>7. 转包与分包</w:t>
      </w:r>
      <w:bookmarkEnd w:id="84"/>
      <w:bookmarkEnd w:id="85"/>
      <w:bookmarkEnd w:id="86"/>
    </w:p>
    <w:p>
      <w:pPr>
        <w:tabs>
          <w:tab w:val="left" w:pos="2190"/>
        </w:tabs>
        <w:spacing w:beforeLines="0" w:afterLines="0" w:line="360" w:lineRule="exact"/>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7.1 本项目不允许转包。</w:t>
      </w:r>
    </w:p>
    <w:p>
      <w:pPr>
        <w:tabs>
          <w:tab w:val="left" w:pos="2190"/>
        </w:tabs>
        <w:spacing w:beforeLines="0" w:afterLines="0" w:line="360" w:lineRule="exact"/>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7.2 本项目不可以分包。</w:t>
      </w:r>
    </w:p>
    <w:p>
      <w:pPr>
        <w:pStyle w:val="5"/>
        <w:spacing w:before="0" w:after="0"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bookmarkStart w:id="87" w:name="_Toc3368"/>
      <w:bookmarkStart w:id="88" w:name="_Toc9415"/>
      <w:bookmarkStart w:id="89" w:name="_Toc27064"/>
      <w:r>
        <w:rPr>
          <w:rFonts w:hint="eastAsia" w:ascii="宋体" w:hAnsi="宋体" w:eastAsia="宋体" w:cs="宋体"/>
          <w:color w:val="000000" w:themeColor="text1"/>
          <w:sz w:val="21"/>
          <w:szCs w:val="21"/>
          <w:highlight w:val="none"/>
          <w14:textFill>
            <w14:solidFill>
              <w14:schemeClr w14:val="tx1"/>
            </w14:solidFill>
          </w14:textFill>
        </w:rPr>
        <w:t>8. 特别说明</w:t>
      </w:r>
      <w:bookmarkEnd w:id="87"/>
      <w:bookmarkEnd w:id="88"/>
      <w:bookmarkEnd w:id="89"/>
    </w:p>
    <w:p>
      <w:pPr>
        <w:tabs>
          <w:tab w:val="left" w:pos="1635"/>
        </w:tabs>
        <w:spacing w:beforeLines="0" w:afterLines="0" w:line="360" w:lineRule="exact"/>
        <w:ind w:firstLine="420" w:firstLineChars="200"/>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8.1关联供应商不得参加同一合同项下政府采购活动，否则响应文件将被视为无效：</w:t>
      </w:r>
    </w:p>
    <w:p>
      <w:pPr>
        <w:tabs>
          <w:tab w:val="left" w:pos="1635"/>
        </w:tabs>
        <w:spacing w:beforeLines="0" w:afterLines="0" w:line="360" w:lineRule="exact"/>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（1）单位负责人为同一人或者存在直接控股、管理关系的，不得参加同一合同项下的政府采购活动。</w:t>
      </w:r>
    </w:p>
    <w:p>
      <w:pPr>
        <w:tabs>
          <w:tab w:val="left" w:pos="1635"/>
        </w:tabs>
        <w:spacing w:beforeLines="0" w:afterLines="0" w:line="360" w:lineRule="exact"/>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2</w:t>
      </w:r>
      <w:r>
        <w:rPr>
          <w:rFonts w:hint="eastAsia" w:ascii="宋体" w:hAnsi="宋体" w:eastAsia="宋体" w:cs="宋体"/>
          <w:color w:val="000000" w:themeColor="text1"/>
          <w:szCs w:val="21"/>
          <w:highlight w:val="none"/>
          <w14:textFill>
            <w14:solidFill>
              <w14:schemeClr w14:val="tx1"/>
            </w14:solidFill>
          </w14:textFill>
        </w:rPr>
        <w:t>）为本采购项目提供整体设计、规范编制或者项目管理、监理、检测等服务的供应商，不得再参加本次采购活动。</w:t>
      </w:r>
    </w:p>
    <w:p>
      <w:pPr>
        <w:tabs>
          <w:tab w:val="left" w:pos="1635"/>
        </w:tabs>
        <w:spacing w:beforeLines="0" w:afterLines="0" w:line="360" w:lineRule="exact"/>
        <w:ind w:firstLine="420" w:firstLineChars="200"/>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8.2</w:t>
      </w:r>
      <w:r>
        <w:rPr>
          <w:rFonts w:hint="eastAsia" w:ascii="宋体" w:hAnsi="宋体" w:eastAsia="宋体" w:cs="宋体"/>
          <w:b/>
          <w:bCs/>
          <w:color w:val="000000" w:themeColor="text1"/>
          <w:szCs w:val="21"/>
          <w:highlight w:val="none"/>
          <w14:textFill>
            <w14:solidFill>
              <w14:schemeClr w14:val="tx1"/>
            </w14:solidFill>
          </w14:textFill>
        </w:rPr>
        <w:t>提供相同品牌产品的不同供应商参加同一合同项下磋商的，以其中通过资格审查、符合性审查且最后报价最低的参加评审，最后报价相同的，由采购人自主选择确定一个参加评审的供应商，其他报价无效。非单一产品采购项目中，多家供应商提供的核心产品品牌相同的，视为提供相同品牌产品。</w:t>
      </w:r>
    </w:p>
    <w:p>
      <w:pPr>
        <w:pStyle w:val="9"/>
        <w:rPr>
          <w:rFonts w:hint="eastAsia" w:ascii="宋体" w:hAnsi="宋体" w:eastAsia="宋体" w:cs="宋体"/>
          <w:color w:val="000000" w:themeColor="text1"/>
          <w:highlight w:val="none"/>
          <w14:textFill>
            <w14:solidFill>
              <w14:schemeClr w14:val="tx1"/>
            </w14:solidFill>
          </w14:textFill>
        </w:rPr>
      </w:pPr>
    </w:p>
    <w:p>
      <w:pPr>
        <w:pStyle w:val="4"/>
        <w:jc w:val="center"/>
        <w:rPr>
          <w:rFonts w:hint="eastAsia" w:ascii="宋体" w:hAnsi="宋体" w:eastAsia="宋体" w:cs="宋体"/>
          <w:b/>
          <w:bCs w:val="0"/>
          <w:color w:val="000000" w:themeColor="text1"/>
          <w:szCs w:val="28"/>
          <w:highlight w:val="none"/>
          <w14:textFill>
            <w14:solidFill>
              <w14:schemeClr w14:val="tx1"/>
            </w14:solidFill>
          </w14:textFill>
        </w:rPr>
      </w:pPr>
      <w:bookmarkStart w:id="90" w:name="_Toc22498"/>
      <w:bookmarkStart w:id="91" w:name="_Toc8933"/>
      <w:bookmarkStart w:id="92" w:name="_Toc26452"/>
      <w:r>
        <w:rPr>
          <w:rFonts w:hint="eastAsia" w:ascii="宋体" w:hAnsi="宋体" w:eastAsia="宋体" w:cs="宋体"/>
          <w:b/>
          <w:bCs w:val="0"/>
          <w:color w:val="000000" w:themeColor="text1"/>
          <w:szCs w:val="28"/>
          <w:highlight w:val="none"/>
          <w14:textFill>
            <w14:solidFill>
              <w14:schemeClr w14:val="tx1"/>
            </w14:solidFill>
          </w14:textFill>
        </w:rPr>
        <w:t>二、磋商文件</w:t>
      </w:r>
      <w:bookmarkEnd w:id="90"/>
      <w:bookmarkEnd w:id="91"/>
      <w:bookmarkEnd w:id="92"/>
    </w:p>
    <w:p>
      <w:pPr>
        <w:pStyle w:val="5"/>
        <w:spacing w:before="0" w:after="0" w:line="360" w:lineRule="auto"/>
        <w:ind w:firstLine="420" w:firstLineChars="200"/>
        <w:rPr>
          <w:rFonts w:hint="eastAsia" w:ascii="宋体" w:hAnsi="宋体" w:eastAsia="宋体" w:cs="宋体"/>
          <w:color w:val="000000" w:themeColor="text1"/>
          <w:sz w:val="21"/>
          <w:szCs w:val="21"/>
          <w:highlight w:val="none"/>
          <w:lang w:val="pt-BR"/>
          <w14:textFill>
            <w14:solidFill>
              <w14:schemeClr w14:val="tx1"/>
            </w14:solidFill>
          </w14:textFill>
        </w:rPr>
      </w:pPr>
      <w:bookmarkStart w:id="93" w:name="_Toc18964"/>
      <w:bookmarkStart w:id="94" w:name="_Toc20523"/>
      <w:bookmarkStart w:id="95" w:name="_Toc11372"/>
      <w:r>
        <w:rPr>
          <w:rFonts w:hint="eastAsia" w:ascii="宋体" w:hAnsi="宋体" w:eastAsia="宋体" w:cs="宋体"/>
          <w:color w:val="000000" w:themeColor="text1"/>
          <w:sz w:val="21"/>
          <w:szCs w:val="21"/>
          <w:highlight w:val="none"/>
          <w:lang w:val="pt-BR"/>
          <w14:textFill>
            <w14:solidFill>
              <w14:schemeClr w14:val="tx1"/>
            </w14:solidFill>
          </w14:textFill>
        </w:rPr>
        <w:t xml:space="preserve">9. </w:t>
      </w:r>
      <w:r>
        <w:rPr>
          <w:rFonts w:hint="eastAsia" w:ascii="宋体" w:hAnsi="宋体" w:eastAsia="宋体" w:cs="宋体"/>
          <w:color w:val="000000" w:themeColor="text1"/>
          <w:sz w:val="21"/>
          <w:szCs w:val="21"/>
          <w:highlight w:val="none"/>
          <w14:textFill>
            <w14:solidFill>
              <w14:schemeClr w14:val="tx1"/>
            </w14:solidFill>
          </w14:textFill>
        </w:rPr>
        <w:t>磋商文件的构成</w:t>
      </w:r>
      <w:bookmarkEnd w:id="93"/>
      <w:bookmarkEnd w:id="94"/>
      <w:bookmarkEnd w:id="95"/>
    </w:p>
    <w:p>
      <w:pPr>
        <w:spacing w:beforeLines="0" w:afterLines="0"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（1）竞争性磋商公告；</w:t>
      </w:r>
    </w:p>
    <w:p>
      <w:pPr>
        <w:spacing w:beforeLines="0" w:afterLines="0"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（2）供应商须知；</w:t>
      </w:r>
    </w:p>
    <w:p>
      <w:pPr>
        <w:spacing w:beforeLines="0" w:afterLines="0" w:line="360" w:lineRule="auto"/>
        <w:ind w:firstLine="420" w:firstLineChars="200"/>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（3）采购需求</w:t>
      </w:r>
      <w:r>
        <w:rPr>
          <w:rFonts w:hint="eastAsia" w:ascii="宋体" w:hAnsi="宋体" w:eastAsia="宋体" w:cs="宋体"/>
          <w:bCs/>
          <w:color w:val="000000" w:themeColor="text1"/>
          <w:szCs w:val="21"/>
          <w:highlight w:val="none"/>
          <w14:textFill>
            <w14:solidFill>
              <w14:schemeClr w14:val="tx1"/>
            </w14:solidFill>
          </w14:textFill>
        </w:rPr>
        <w:t>；</w:t>
      </w:r>
    </w:p>
    <w:p>
      <w:pPr>
        <w:spacing w:beforeLines="0" w:afterLines="0"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（4）评审办法；</w:t>
      </w:r>
    </w:p>
    <w:p>
      <w:pPr>
        <w:spacing w:beforeLines="0" w:afterLines="0"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（5）采购合同（合同主要条款及格式）；</w:t>
      </w:r>
    </w:p>
    <w:p>
      <w:pPr>
        <w:spacing w:beforeLines="0" w:afterLines="0"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（6）响应文件（格式）。</w:t>
      </w:r>
    </w:p>
    <w:p>
      <w:pPr>
        <w:pStyle w:val="5"/>
        <w:spacing w:before="0" w:after="0"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bookmarkStart w:id="96" w:name="_Toc9103"/>
      <w:bookmarkStart w:id="97" w:name="_Toc1452"/>
      <w:bookmarkStart w:id="98" w:name="_Toc2636"/>
      <w:r>
        <w:rPr>
          <w:rFonts w:hint="eastAsia" w:ascii="宋体" w:hAnsi="宋体" w:eastAsia="宋体" w:cs="宋体"/>
          <w:color w:val="000000" w:themeColor="text1"/>
          <w:sz w:val="21"/>
          <w:szCs w:val="21"/>
          <w:highlight w:val="none"/>
          <w14:textFill>
            <w14:solidFill>
              <w14:schemeClr w14:val="tx1"/>
            </w14:solidFill>
          </w14:textFill>
        </w:rPr>
        <w:t>10. 磋商文件的澄清与修改</w:t>
      </w:r>
      <w:bookmarkEnd w:id="96"/>
      <w:bookmarkEnd w:id="97"/>
      <w:bookmarkEnd w:id="98"/>
    </w:p>
    <w:p>
      <w:pPr>
        <w:spacing w:beforeLines="0" w:afterLines="0" w:line="360" w:lineRule="auto"/>
        <w:ind w:left="0" w:leftChars="0" w:firstLine="42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10.1 提交首次响应文件截止之日前，采购代理机构可以对已发出的磋商文件进行必要澄清、答复、修改或</w:t>
      </w:r>
    </w:p>
    <w:p>
      <w:pPr>
        <w:spacing w:beforeLines="0" w:afterLines="0" w:line="360" w:lineRule="auto"/>
        <w:ind w:firstLine="42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补充，澄清或者修改的内容可能影响响应文件编制的，澄清或者修改的内容作为磋商文件的组成部分。采购代理机构应当在提交首次响应文件递交截止时间</w:t>
      </w:r>
      <w:r>
        <w:rPr>
          <w:rFonts w:hint="eastAsia" w:ascii="宋体" w:hAnsi="宋体" w:eastAsia="宋体" w:cs="宋体"/>
          <w:b/>
          <w:bCs/>
          <w:color w:val="000000" w:themeColor="text1"/>
          <w:szCs w:val="21"/>
          <w:highlight w:val="none"/>
          <w14:textFill>
            <w14:solidFill>
              <w14:schemeClr w14:val="tx1"/>
            </w14:solidFill>
          </w14:textFill>
        </w:rPr>
        <w:t>五日</w:t>
      </w:r>
      <w:r>
        <w:rPr>
          <w:rFonts w:hint="eastAsia" w:ascii="宋体" w:hAnsi="宋体" w:eastAsia="宋体" w:cs="宋体"/>
          <w:color w:val="000000" w:themeColor="text1"/>
          <w:szCs w:val="21"/>
          <w:highlight w:val="none"/>
          <w14:textFill>
            <w14:solidFill>
              <w14:schemeClr w14:val="tx1"/>
            </w14:solidFill>
          </w14:textFill>
        </w:rPr>
        <w:t>前在本项目竞争性磋商公告发布的同一媒体上发布更正公告，不足</w:t>
      </w:r>
      <w:r>
        <w:rPr>
          <w:rFonts w:hint="eastAsia" w:ascii="宋体" w:hAnsi="宋体" w:eastAsia="宋体" w:cs="宋体"/>
          <w:b/>
          <w:bCs/>
          <w:color w:val="000000" w:themeColor="text1"/>
          <w:szCs w:val="21"/>
          <w:highlight w:val="none"/>
          <w14:textFill>
            <w14:solidFill>
              <w14:schemeClr w14:val="tx1"/>
            </w14:solidFill>
          </w14:textFill>
        </w:rPr>
        <w:t>五日</w:t>
      </w:r>
      <w:r>
        <w:rPr>
          <w:rFonts w:hint="eastAsia" w:ascii="宋体" w:hAnsi="宋体" w:eastAsia="宋体" w:cs="宋体"/>
          <w:color w:val="000000" w:themeColor="text1"/>
          <w:szCs w:val="21"/>
          <w:highlight w:val="none"/>
          <w14:textFill>
            <w14:solidFill>
              <w14:schemeClr w14:val="tx1"/>
            </w14:solidFill>
          </w14:textFill>
        </w:rPr>
        <w:t>的，应当顺延首次响应文件递交截止时间。</w:t>
      </w:r>
    </w:p>
    <w:p>
      <w:pPr>
        <w:spacing w:beforeLines="0" w:afterLines="0" w:line="360" w:lineRule="auto"/>
        <w:ind w:left="0" w:leftChars="0" w:firstLine="420" w:firstLineChars="200"/>
        <w:jc w:val="left"/>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10.2</w:t>
      </w:r>
      <w:r>
        <w:rPr>
          <w:rFonts w:hint="eastAsia" w:ascii="宋体" w:hAnsi="宋体" w:eastAsia="宋体" w:cs="宋体"/>
          <w:b/>
          <w:bCs/>
          <w:color w:val="000000" w:themeColor="text1"/>
          <w:szCs w:val="21"/>
          <w:highlight w:val="none"/>
          <w14:textFill>
            <w14:solidFill>
              <w14:schemeClr w14:val="tx1"/>
            </w14:solidFill>
          </w14:textFill>
        </w:rPr>
        <w:t>供应商应实时关注本项目信息公告发布媒体相关网站了解澄清、修改等与项目有关的内容，如因供应</w:t>
      </w:r>
    </w:p>
    <w:p>
      <w:pPr>
        <w:spacing w:beforeLines="0" w:afterLines="0" w:line="360" w:lineRule="auto"/>
        <w:ind w:left="0" w:leftChars="0" w:firstLine="420" w:firstLineChars="200"/>
        <w:jc w:val="left"/>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商未及时登录相关网站了解澄清、修改等与项目有关的内容，从而导致响应文件无效的，由供应商自行承担责任。</w:t>
      </w:r>
    </w:p>
    <w:p>
      <w:pPr>
        <w:spacing w:beforeLines="0" w:afterLines="0" w:line="360" w:lineRule="auto"/>
        <w:ind w:left="0" w:leftChars="0" w:firstLine="42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10.3澄清或者修改的内容为磋商文件的组成部分。当澄清或者修改通知就同一内容的表述不一致时，以最</w:t>
      </w:r>
    </w:p>
    <w:p>
      <w:pPr>
        <w:spacing w:beforeLines="0" w:afterLines="0" w:line="360" w:lineRule="auto"/>
        <w:ind w:firstLine="42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后发出的文件为准。</w:t>
      </w:r>
    </w:p>
    <w:p>
      <w:pPr>
        <w:spacing w:beforeLines="0" w:afterLines="0" w:line="360" w:lineRule="auto"/>
        <w:ind w:left="0" w:leftChars="0" w:firstLine="42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10.4 磋商文件的澄清或者修改都应该通过本项目采购代理机构以法定形式发布，采购人非通过本机构，不</w:t>
      </w:r>
    </w:p>
    <w:p>
      <w:pPr>
        <w:spacing w:beforeLines="0" w:afterLines="0" w:line="360" w:lineRule="auto"/>
        <w:ind w:firstLine="42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得擅自澄清或者修改磋商文件。</w:t>
      </w:r>
    </w:p>
    <w:p>
      <w:pPr>
        <w:spacing w:beforeLines="0" w:afterLines="0" w:line="360" w:lineRule="auto"/>
        <w:ind w:left="0" w:leftChars="0" w:firstLine="42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10.5采购单位可以视采购具体情况，延长响应文件截止时间和磋商时间，在本项目竞争性磋商公告发布的</w:t>
      </w:r>
    </w:p>
    <w:p>
      <w:pPr>
        <w:spacing w:beforeLines="0" w:afterLines="0" w:line="360" w:lineRule="auto"/>
        <w:ind w:firstLine="42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同一媒体上发布变更公告。</w:t>
      </w:r>
    </w:p>
    <w:p>
      <w:pPr>
        <w:pStyle w:val="28"/>
        <w:rPr>
          <w:rFonts w:hint="eastAsia" w:ascii="宋体" w:hAnsi="宋体" w:eastAsia="宋体" w:cs="宋体"/>
          <w:color w:val="000000" w:themeColor="text1"/>
          <w14:textFill>
            <w14:solidFill>
              <w14:schemeClr w14:val="tx1"/>
            </w14:solidFill>
          </w14:textFill>
        </w:rPr>
      </w:pPr>
    </w:p>
    <w:p>
      <w:pPr>
        <w:pStyle w:val="4"/>
        <w:jc w:val="center"/>
        <w:rPr>
          <w:rFonts w:hint="eastAsia" w:ascii="宋体" w:hAnsi="宋体" w:eastAsia="宋体" w:cs="宋体"/>
          <w:b/>
          <w:bCs w:val="0"/>
          <w:color w:val="000000" w:themeColor="text1"/>
          <w:szCs w:val="28"/>
          <w:highlight w:val="none"/>
          <w14:textFill>
            <w14:solidFill>
              <w14:schemeClr w14:val="tx1"/>
            </w14:solidFill>
          </w14:textFill>
        </w:rPr>
      </w:pPr>
      <w:bookmarkStart w:id="99" w:name="_Toc20830"/>
      <w:bookmarkStart w:id="100" w:name="_Toc20641"/>
      <w:bookmarkStart w:id="101" w:name="_Toc29792"/>
      <w:r>
        <w:rPr>
          <w:rFonts w:hint="eastAsia" w:ascii="宋体" w:hAnsi="宋体" w:eastAsia="宋体" w:cs="宋体"/>
          <w:b/>
          <w:bCs w:val="0"/>
          <w:color w:val="000000" w:themeColor="text1"/>
          <w:szCs w:val="28"/>
          <w:highlight w:val="none"/>
          <w14:textFill>
            <w14:solidFill>
              <w14:schemeClr w14:val="tx1"/>
            </w14:solidFill>
          </w14:textFill>
        </w:rPr>
        <w:t>三、竞争性磋商响应文件的编制</w:t>
      </w:r>
      <w:bookmarkEnd w:id="99"/>
      <w:bookmarkEnd w:id="100"/>
      <w:bookmarkEnd w:id="101"/>
    </w:p>
    <w:p>
      <w:pPr>
        <w:pStyle w:val="5"/>
        <w:spacing w:before="0" w:after="0" w:line="360" w:lineRule="auto"/>
        <w:ind w:firstLine="420" w:firstLineChars="200"/>
        <w:jc w:val="left"/>
        <w:rPr>
          <w:rFonts w:hint="eastAsia" w:ascii="宋体" w:hAnsi="宋体" w:eastAsia="宋体" w:cs="宋体"/>
          <w:b/>
          <w:color w:val="000000" w:themeColor="text1"/>
          <w:sz w:val="21"/>
          <w:szCs w:val="21"/>
          <w:highlight w:val="none"/>
          <w:lang w:val="en-US" w:eastAsia="zh-CN"/>
          <w14:textFill>
            <w14:solidFill>
              <w14:schemeClr w14:val="tx1"/>
            </w14:solidFill>
          </w14:textFill>
        </w:rPr>
      </w:pPr>
      <w:bookmarkStart w:id="102" w:name="_Toc772"/>
      <w:bookmarkStart w:id="103" w:name="_Toc18806"/>
      <w:r>
        <w:rPr>
          <w:rFonts w:hint="eastAsia" w:ascii="宋体" w:hAnsi="宋体" w:eastAsia="宋体" w:cs="宋体"/>
          <w:b/>
          <w:color w:val="000000" w:themeColor="text1"/>
          <w:sz w:val="21"/>
          <w:szCs w:val="21"/>
          <w:highlight w:val="none"/>
          <w:lang w:val="en-US" w:eastAsia="zh-CN"/>
          <w14:textFill>
            <w14:solidFill>
              <w14:schemeClr w14:val="tx1"/>
            </w14:solidFill>
          </w14:textFill>
        </w:rPr>
        <w:t>11.竞争性磋商响应文件编制基本要求</w:t>
      </w:r>
      <w:bookmarkEnd w:id="102"/>
      <w:bookmarkEnd w:id="103"/>
    </w:p>
    <w:p>
      <w:pPr>
        <w:spacing w:beforeLines="0" w:afterLines="0" w:line="360" w:lineRule="auto"/>
        <w:ind w:firstLine="420" w:firstLineChars="200"/>
        <w:jc w:val="left"/>
        <w:rPr>
          <w:rFonts w:hint="eastAsia" w:ascii="宋体" w:hAnsi="宋体" w:eastAsia="宋体" w:cs="宋体"/>
          <w:b/>
          <w:bCs/>
          <w:color w:val="000000" w:themeColor="text1"/>
          <w:szCs w:val="21"/>
          <w:highlight w:val="none"/>
          <w:lang w:val="en-US" w:eastAsia="zh-CN"/>
          <w14:textFill>
            <w14:solidFill>
              <w14:schemeClr w14:val="tx1"/>
            </w14:solidFill>
          </w14:textFill>
        </w:rPr>
      </w:pPr>
      <w:r>
        <w:rPr>
          <w:rFonts w:hint="eastAsia" w:ascii="宋体" w:hAnsi="宋体" w:eastAsia="宋体" w:cs="宋体"/>
          <w:b/>
          <w:bCs/>
          <w:color w:val="000000" w:themeColor="text1"/>
          <w:szCs w:val="21"/>
          <w:highlight w:val="none"/>
          <w:lang w:val="en-US" w:eastAsia="zh-CN"/>
          <w14:textFill>
            <w14:solidFill>
              <w14:schemeClr w14:val="tx1"/>
            </w14:solidFill>
          </w14:textFill>
        </w:rPr>
        <w:t>11.1 本项目实行电子投标，供应商应准备电子磋商响应文件：</w:t>
      </w:r>
    </w:p>
    <w:p>
      <w:pPr>
        <w:spacing w:beforeLines="0" w:afterLines="0" w:line="360" w:lineRule="auto"/>
        <w:ind w:firstLine="420" w:firstLineChars="200"/>
        <w:jc w:val="left"/>
        <w:rPr>
          <w:rFonts w:hint="eastAsia" w:ascii="宋体" w:hAnsi="宋体" w:eastAsia="宋体" w:cs="宋体"/>
          <w:b/>
          <w:bCs/>
          <w:color w:val="000000" w:themeColor="text1"/>
          <w:szCs w:val="21"/>
          <w:highlight w:val="none"/>
          <w:lang w:val="en-US" w:eastAsia="zh-CN"/>
          <w14:textFill>
            <w14:solidFill>
              <w14:schemeClr w14:val="tx1"/>
            </w14:solidFill>
          </w14:textFill>
        </w:rPr>
      </w:pPr>
      <w:r>
        <w:rPr>
          <w:rFonts w:hint="eastAsia" w:ascii="宋体" w:hAnsi="宋体" w:eastAsia="宋体" w:cs="宋体"/>
          <w:b/>
          <w:bCs/>
          <w:color w:val="000000" w:themeColor="text1"/>
          <w:szCs w:val="21"/>
          <w:highlight w:val="none"/>
          <w:lang w:val="en-US" w:eastAsia="zh-CN"/>
          <w14:textFill>
            <w14:solidFill>
              <w14:schemeClr w14:val="tx1"/>
            </w14:solidFill>
          </w14:textFill>
        </w:rPr>
        <w:t xml:space="preserve">11.1.1 电子响应文件按政采云平台要求及本磋商文件要求制作、加密并递交。具体操作流程可参考《政府采购项目电子交易管理操作指南-供应商》，指南可在 “http://www.ccgp-guangxi.gov.cn/PurchaseAdvisory/ImportantNotice/2866753.html”下载。 </w:t>
      </w:r>
    </w:p>
    <w:p>
      <w:pPr>
        <w:spacing w:beforeLines="0" w:afterLines="0" w:line="360" w:lineRule="auto"/>
        <w:ind w:firstLine="420" w:firstLineChars="200"/>
        <w:jc w:val="left"/>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11.</w:t>
      </w:r>
      <w:r>
        <w:rPr>
          <w:rFonts w:hint="eastAsia" w:ascii="宋体" w:hAnsi="宋体" w:eastAsia="宋体" w:cs="宋体"/>
          <w:b/>
          <w:bCs/>
          <w:color w:val="000000" w:themeColor="text1"/>
          <w:szCs w:val="21"/>
          <w:highlight w:val="none"/>
          <w:lang w:val="en-US" w:eastAsia="zh-CN"/>
          <w14:textFill>
            <w14:solidFill>
              <w14:schemeClr w14:val="tx1"/>
            </w14:solidFill>
          </w14:textFill>
        </w:rPr>
        <w:t>2</w:t>
      </w:r>
      <w:r>
        <w:rPr>
          <w:rFonts w:hint="eastAsia" w:ascii="宋体" w:hAnsi="宋体" w:eastAsia="宋体" w:cs="宋体"/>
          <w:b/>
          <w:bCs/>
          <w:color w:val="000000" w:themeColor="text1"/>
          <w:szCs w:val="21"/>
          <w:highlight w:val="none"/>
          <w14:textFill>
            <w14:solidFill>
              <w14:schemeClr w14:val="tx1"/>
            </w14:solidFill>
          </w14:textFill>
        </w:rPr>
        <w:t>竞争性磋商响应文件（以下简称响应文件）的组成及要求</w:t>
      </w:r>
    </w:p>
    <w:p>
      <w:pPr>
        <w:spacing w:beforeLines="0" w:afterLines="0" w:line="360" w:lineRule="auto"/>
        <w:ind w:firstLine="420" w:firstLineChars="200"/>
        <w:jc w:val="left"/>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11.</w:t>
      </w:r>
      <w:r>
        <w:rPr>
          <w:rFonts w:hint="eastAsia" w:ascii="宋体" w:hAnsi="宋体" w:eastAsia="宋体" w:cs="宋体"/>
          <w:b/>
          <w:bCs/>
          <w:color w:val="000000" w:themeColor="text1"/>
          <w:szCs w:val="21"/>
          <w:highlight w:val="none"/>
          <w:lang w:val="en-US" w:eastAsia="zh-CN"/>
          <w14:textFill>
            <w14:solidFill>
              <w14:schemeClr w14:val="tx1"/>
            </w14:solidFill>
          </w14:textFill>
        </w:rPr>
        <w:t>2.1</w:t>
      </w:r>
      <w:r>
        <w:rPr>
          <w:rFonts w:hint="eastAsia" w:ascii="宋体" w:hAnsi="宋体" w:eastAsia="宋体" w:cs="宋体"/>
          <w:b/>
          <w:bCs/>
          <w:color w:val="000000" w:themeColor="text1"/>
          <w:szCs w:val="21"/>
          <w:highlight w:val="none"/>
          <w14:textFill>
            <w14:solidFill>
              <w14:schemeClr w14:val="tx1"/>
            </w14:solidFill>
          </w14:textFill>
        </w:rPr>
        <w:t>响应文件组成【格式见第六章“响应文件（格式）”】</w:t>
      </w:r>
    </w:p>
    <w:p>
      <w:pPr>
        <w:spacing w:beforeLines="0" w:afterLines="0" w:line="360" w:lineRule="auto"/>
        <w:ind w:firstLine="42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11.</w:t>
      </w:r>
      <w:r>
        <w:rPr>
          <w:rFonts w:hint="eastAsia" w:ascii="宋体" w:hAnsi="宋体" w:eastAsia="宋体" w:cs="宋体"/>
          <w:b/>
          <w:bCs/>
          <w:color w:val="000000" w:themeColor="text1"/>
          <w:szCs w:val="21"/>
          <w:highlight w:val="none"/>
          <w:lang w:val="en-US" w:eastAsia="zh-CN"/>
          <w14:textFill>
            <w14:solidFill>
              <w14:schemeClr w14:val="tx1"/>
            </w14:solidFill>
          </w14:textFill>
        </w:rPr>
        <w:t>2</w:t>
      </w:r>
      <w:r>
        <w:rPr>
          <w:rFonts w:hint="eastAsia" w:ascii="宋体" w:hAnsi="宋体" w:eastAsia="宋体" w:cs="宋体"/>
          <w:b/>
          <w:bCs/>
          <w:color w:val="000000" w:themeColor="text1"/>
          <w:szCs w:val="21"/>
          <w:highlight w:val="none"/>
          <w14:textFill>
            <w14:solidFill>
              <w14:schemeClr w14:val="tx1"/>
            </w14:solidFill>
          </w14:textFill>
        </w:rPr>
        <w:t>.</w:t>
      </w:r>
      <w:r>
        <w:rPr>
          <w:rFonts w:hint="eastAsia" w:ascii="宋体" w:hAnsi="宋体" w:eastAsia="宋体" w:cs="宋体"/>
          <w:b/>
          <w:bCs/>
          <w:color w:val="000000" w:themeColor="text1"/>
          <w:szCs w:val="21"/>
          <w:highlight w:val="none"/>
          <w:lang w:val="en-US" w:eastAsia="zh-CN"/>
          <w14:textFill>
            <w14:solidFill>
              <w14:schemeClr w14:val="tx1"/>
            </w14:solidFill>
          </w14:textFill>
        </w:rPr>
        <w:t>1.1</w:t>
      </w:r>
      <w:r>
        <w:rPr>
          <w:rFonts w:hint="eastAsia" w:ascii="宋体" w:hAnsi="宋体" w:eastAsia="宋体" w:cs="宋体"/>
          <w:b/>
          <w:bCs/>
          <w:color w:val="000000" w:themeColor="text1"/>
          <w:szCs w:val="21"/>
          <w:highlight w:val="none"/>
          <w14:textFill>
            <w14:solidFill>
              <w14:schemeClr w14:val="tx1"/>
            </w14:solidFill>
          </w14:textFill>
        </w:rPr>
        <w:t>资格性响应证明材料：</w:t>
      </w:r>
    </w:p>
    <w:p>
      <w:pPr>
        <w:spacing w:beforeLines="0" w:afterLines="0" w:line="360" w:lineRule="auto"/>
        <w:ind w:firstLine="42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（1）供应商相应的法定代表人、负责人、自然人身份证正反两面复印件</w:t>
      </w:r>
      <w:r>
        <w:rPr>
          <w:rFonts w:hint="eastAsia" w:ascii="宋体" w:hAnsi="宋体" w:eastAsia="宋体" w:cs="宋体"/>
          <w:b/>
          <w:bCs/>
          <w:color w:val="000000" w:themeColor="text1"/>
          <w:szCs w:val="21"/>
          <w:highlight w:val="none"/>
          <w14:textFill>
            <w14:solidFill>
              <w14:schemeClr w14:val="tx1"/>
            </w14:solidFill>
          </w14:textFill>
        </w:rPr>
        <w:t>（必须提供）</w:t>
      </w:r>
      <w:r>
        <w:rPr>
          <w:rFonts w:hint="eastAsia" w:ascii="宋体" w:hAnsi="宋体" w:eastAsia="宋体" w:cs="宋体"/>
          <w:color w:val="000000" w:themeColor="text1"/>
          <w:szCs w:val="21"/>
          <w:highlight w:val="none"/>
          <w14:textFill>
            <w14:solidFill>
              <w14:schemeClr w14:val="tx1"/>
            </w14:solidFill>
          </w14:textFill>
        </w:rPr>
        <w:t>；</w:t>
      </w:r>
    </w:p>
    <w:p>
      <w:pPr>
        <w:spacing w:beforeLines="0" w:afterLines="0" w:line="360" w:lineRule="auto"/>
        <w:ind w:firstLine="42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（2）供应商的授权委托书原件、委托代理人身份证正反面复印件以及由县级以上（含县级）社会养老保险经办机构出具的供应商为委托代理人交纳的响应文件递交截止时间前</w:t>
      </w:r>
      <w:r>
        <w:rPr>
          <w:rFonts w:hint="eastAsia" w:ascii="宋体" w:hAnsi="宋体" w:cs="宋体"/>
          <w:color w:val="000000" w:themeColor="text1"/>
          <w:szCs w:val="21"/>
          <w:highlight w:val="none"/>
          <w:lang w:eastAsia="zh-CN"/>
          <w14:textFill>
            <w14:solidFill>
              <w14:schemeClr w14:val="tx1"/>
            </w14:solidFill>
          </w14:textFill>
        </w:rPr>
        <w:t>三个月内任意一个月养老保险证明</w:t>
      </w:r>
      <w:r>
        <w:rPr>
          <w:rFonts w:hint="eastAsia" w:ascii="宋体" w:hAnsi="宋体" w:eastAsia="宋体" w:cs="宋体"/>
          <w:color w:val="000000" w:themeColor="text1"/>
          <w:szCs w:val="21"/>
          <w:highlight w:val="none"/>
          <w14:textFill>
            <w14:solidFill>
              <w14:schemeClr w14:val="tx1"/>
            </w14:solidFill>
          </w14:textFill>
        </w:rPr>
        <w:t>复印件，除供应商为以下</w:t>
      </w:r>
      <w:r>
        <w:rPr>
          <w:rFonts w:hint="eastAsia" w:ascii="宋体" w:hAnsi="宋体" w:cs="宋体"/>
          <w:color w:val="000000" w:themeColor="text1"/>
          <w:szCs w:val="21"/>
          <w:highlight w:val="none"/>
          <w:lang w:val="en-US" w:eastAsia="zh-CN"/>
          <w14:textFill>
            <w14:solidFill>
              <w14:schemeClr w14:val="tx1"/>
            </w14:solidFill>
          </w14:textFill>
        </w:rPr>
        <w:t>四</w:t>
      </w:r>
      <w:r>
        <w:rPr>
          <w:rFonts w:hint="eastAsia" w:ascii="宋体" w:hAnsi="宋体" w:eastAsia="宋体" w:cs="宋体"/>
          <w:color w:val="000000" w:themeColor="text1"/>
          <w:szCs w:val="21"/>
          <w:highlight w:val="none"/>
          <w14:textFill>
            <w14:solidFill>
              <w14:schemeClr w14:val="tx1"/>
            </w14:solidFill>
          </w14:textFill>
        </w:rPr>
        <w:t>种情形的：</w:t>
      </w:r>
    </w:p>
    <w:p>
      <w:pPr>
        <w:spacing w:beforeLines="0" w:afterLines="0" w:line="360" w:lineRule="auto"/>
        <w:ind w:firstLine="42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①如供应商为截标时间前60日以内成立的公司，可以提供供应商与委托代理人签订的劳动合同复印件代替</w:t>
      </w:r>
      <w:r>
        <w:rPr>
          <w:rFonts w:hint="eastAsia" w:ascii="宋体" w:hAnsi="宋体" w:cs="宋体"/>
          <w:color w:val="000000" w:themeColor="text1"/>
          <w:szCs w:val="21"/>
          <w:highlight w:val="none"/>
          <w:lang w:eastAsia="zh-CN"/>
          <w14:textFill>
            <w14:solidFill>
              <w14:schemeClr w14:val="tx1"/>
            </w14:solidFill>
          </w14:textFill>
        </w:rPr>
        <w:t>养老保险证明</w:t>
      </w:r>
      <w:r>
        <w:rPr>
          <w:rFonts w:hint="eastAsia" w:ascii="宋体" w:hAnsi="宋体" w:eastAsia="宋体" w:cs="宋体"/>
          <w:color w:val="000000" w:themeColor="text1"/>
          <w:szCs w:val="21"/>
          <w:highlight w:val="none"/>
          <w14:textFill>
            <w14:solidFill>
              <w14:schemeClr w14:val="tx1"/>
            </w14:solidFill>
          </w14:textFill>
        </w:rPr>
        <w:t>复印件；</w:t>
      </w:r>
    </w:p>
    <w:p>
      <w:pPr>
        <w:spacing w:beforeLines="0" w:afterLines="0" w:line="360" w:lineRule="auto"/>
        <w:ind w:firstLine="42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②如供应商为事业单位，可以提供事业单位机构编制管理证复印件或事业单位机构为其发放工资的工资条复印件代替</w:t>
      </w:r>
      <w:r>
        <w:rPr>
          <w:rFonts w:hint="eastAsia" w:ascii="宋体" w:hAnsi="宋体" w:cs="宋体"/>
          <w:color w:val="000000" w:themeColor="text1"/>
          <w:szCs w:val="21"/>
          <w:highlight w:val="none"/>
          <w:lang w:eastAsia="zh-CN"/>
          <w14:textFill>
            <w14:solidFill>
              <w14:schemeClr w14:val="tx1"/>
            </w14:solidFill>
          </w14:textFill>
        </w:rPr>
        <w:t>养老保险证明</w:t>
      </w:r>
      <w:r>
        <w:rPr>
          <w:rFonts w:hint="eastAsia" w:ascii="宋体" w:hAnsi="宋体" w:eastAsia="宋体" w:cs="宋体"/>
          <w:color w:val="000000" w:themeColor="text1"/>
          <w:szCs w:val="21"/>
          <w:highlight w:val="none"/>
          <w14:textFill>
            <w14:solidFill>
              <w14:schemeClr w14:val="tx1"/>
            </w14:solidFill>
          </w14:textFill>
        </w:rPr>
        <w:t>复印件；</w:t>
      </w:r>
    </w:p>
    <w:p>
      <w:pPr>
        <w:spacing w:beforeLines="0" w:afterLines="0" w:line="360" w:lineRule="auto"/>
        <w:ind w:firstLine="420" w:firstLineChars="200"/>
        <w:jc w:val="left"/>
        <w:rPr>
          <w:rFonts w:hint="eastAsia" w:ascii="宋体" w:hAnsi="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③</w:t>
      </w:r>
      <w:r>
        <w:rPr>
          <w:rFonts w:hint="eastAsia" w:ascii="宋体" w:hAnsi="宋体" w:cs="宋体"/>
          <w:color w:val="000000" w:themeColor="text1"/>
          <w:szCs w:val="21"/>
          <w:highlight w:val="none"/>
          <w:lang w:eastAsia="zh-CN"/>
          <w14:textFill>
            <w14:solidFill>
              <w14:schemeClr w14:val="tx1"/>
            </w14:solidFill>
          </w14:textFill>
        </w:rPr>
        <w:t>如委托代理人为免缴纳养老保险人员，提供免缴纳养老保险的证明材料复印件</w:t>
      </w:r>
      <w:r>
        <w:rPr>
          <w:rFonts w:hint="eastAsia" w:ascii="宋体" w:hAnsi="宋体" w:eastAsia="宋体" w:cs="宋体"/>
          <w:color w:val="000000" w:themeColor="text1"/>
          <w:szCs w:val="21"/>
          <w:highlight w:val="none"/>
          <w14:textFill>
            <w14:solidFill>
              <w14:schemeClr w14:val="tx1"/>
            </w14:solidFill>
          </w14:textFill>
        </w:rPr>
        <w:t>及供应商与委托代理人签订的劳动合同复印件代替</w:t>
      </w:r>
      <w:r>
        <w:rPr>
          <w:rFonts w:hint="eastAsia" w:ascii="宋体" w:hAnsi="宋体" w:cs="宋体"/>
          <w:color w:val="000000" w:themeColor="text1"/>
          <w:szCs w:val="21"/>
          <w:highlight w:val="none"/>
          <w:lang w:eastAsia="zh-CN"/>
          <w14:textFill>
            <w14:solidFill>
              <w14:schemeClr w14:val="tx1"/>
            </w14:solidFill>
          </w14:textFill>
        </w:rPr>
        <w:t>养老保险</w:t>
      </w:r>
      <w:r>
        <w:rPr>
          <w:rFonts w:hint="eastAsia" w:ascii="宋体" w:hAnsi="宋体" w:eastAsia="宋体" w:cs="宋体"/>
          <w:color w:val="000000" w:themeColor="text1"/>
          <w:szCs w:val="21"/>
          <w:highlight w:val="none"/>
          <w14:textFill>
            <w14:solidFill>
              <w14:schemeClr w14:val="tx1"/>
            </w14:solidFill>
          </w14:textFill>
        </w:rPr>
        <w:t>证明复印件</w:t>
      </w:r>
      <w:r>
        <w:rPr>
          <w:rFonts w:hint="eastAsia" w:ascii="宋体" w:hAnsi="宋体" w:cs="宋体"/>
          <w:color w:val="000000" w:themeColor="text1"/>
          <w:szCs w:val="21"/>
          <w:highlight w:val="none"/>
          <w:lang w:eastAsia="zh-CN"/>
          <w14:textFill>
            <w14:solidFill>
              <w14:schemeClr w14:val="tx1"/>
            </w14:solidFill>
          </w14:textFill>
        </w:rPr>
        <w:t>；</w:t>
      </w:r>
    </w:p>
    <w:p>
      <w:pPr>
        <w:spacing w:beforeLines="0" w:afterLines="0" w:line="400" w:lineRule="exact"/>
        <w:ind w:firstLine="42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④如因社会养老保险经办机构系统升级等原因，暂时无法向供应商提供社会养老保险缴纳情况查询服务时，供应商可以提供已为委托代理人缴纳社会养老保险的承诺书。（须同时提供无法查询的相关证明材料，包括但不限于查询网站截图、公告等。）</w:t>
      </w:r>
    </w:p>
    <w:p>
      <w:pPr>
        <w:spacing w:beforeLines="0" w:afterLines="0" w:line="360" w:lineRule="auto"/>
        <w:ind w:firstLine="420" w:firstLineChars="200"/>
        <w:jc w:val="left"/>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【属自然人的应提供由县级以上（含县级）社会养老保险经办机构出具的自然人本人及委托代理人所交纳的响应文件递交截止时间前</w:t>
      </w:r>
      <w:r>
        <w:rPr>
          <w:rFonts w:hint="eastAsia" w:ascii="宋体" w:hAnsi="宋体" w:cs="宋体"/>
          <w:b/>
          <w:bCs/>
          <w:color w:val="000000" w:themeColor="text1"/>
          <w:szCs w:val="21"/>
          <w:highlight w:val="none"/>
          <w:lang w:eastAsia="zh-CN"/>
          <w14:textFill>
            <w14:solidFill>
              <w14:schemeClr w14:val="tx1"/>
            </w14:solidFill>
          </w14:textFill>
        </w:rPr>
        <w:t>三个月内任意一个月养老保险证明</w:t>
      </w:r>
      <w:r>
        <w:rPr>
          <w:rFonts w:hint="eastAsia" w:ascii="宋体" w:hAnsi="宋体" w:eastAsia="宋体" w:cs="宋体"/>
          <w:b/>
          <w:bCs/>
          <w:color w:val="000000" w:themeColor="text1"/>
          <w:szCs w:val="21"/>
          <w:highlight w:val="none"/>
          <w14:textFill>
            <w14:solidFill>
              <w14:schemeClr w14:val="tx1"/>
            </w14:solidFill>
          </w14:textFill>
        </w:rPr>
        <w:t>复印件</w:t>
      </w:r>
      <w:r>
        <w:rPr>
          <w:rFonts w:hint="eastAsia" w:ascii="宋体" w:hAnsi="宋体" w:cs="宋体"/>
          <w:b/>
          <w:bCs/>
          <w:color w:val="000000" w:themeColor="text1"/>
          <w:szCs w:val="21"/>
          <w:highlight w:val="none"/>
          <w:lang w:eastAsia="zh-CN"/>
          <w14:textFill>
            <w14:solidFill>
              <w14:schemeClr w14:val="tx1"/>
            </w14:solidFill>
          </w14:textFill>
        </w:rPr>
        <w:t>，</w:t>
      </w:r>
      <w:r>
        <w:rPr>
          <w:rFonts w:hint="eastAsia" w:ascii="宋体" w:hAnsi="宋体" w:cs="宋体"/>
          <w:b/>
          <w:bCs/>
          <w:color w:val="000000" w:themeColor="text1"/>
          <w:szCs w:val="21"/>
          <w:highlight w:val="none"/>
          <w:lang w:val="en-US" w:eastAsia="zh-CN"/>
          <w14:textFill>
            <w14:solidFill>
              <w14:schemeClr w14:val="tx1"/>
            </w14:solidFill>
          </w14:textFill>
        </w:rPr>
        <w:t>如因社会养老保险经办机构系统升级等原因，暂时无法向供应商提供社会养老保险缴纳情况查询服务时，供应商可以提供已为委托代理人缴纳社会养老保险的承诺书（须同时提供无法查询的相关证明材料，包括但不限于查询网站截图、公告等。）</w:t>
      </w: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b/>
          <w:bCs/>
          <w:color w:val="000000" w:themeColor="text1"/>
          <w:szCs w:val="21"/>
          <w:highlight w:val="none"/>
          <w14:textFill>
            <w14:solidFill>
              <w14:schemeClr w14:val="tx1"/>
            </w14:solidFill>
          </w14:textFill>
        </w:rPr>
        <w:t>（委托代理时必须提供；如为联合体的，授权委托书原件须由牵头人出具）</w:t>
      </w:r>
    </w:p>
    <w:p>
      <w:pPr>
        <w:spacing w:beforeLines="0" w:afterLines="0" w:line="360" w:lineRule="auto"/>
        <w:ind w:firstLine="420" w:firstLineChars="200"/>
        <w:jc w:val="left"/>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（3）供应商参加政府采购活动前3年内在经营活动中没有重大违法记录及有关信用信息的书面声明</w:t>
      </w:r>
      <w:r>
        <w:rPr>
          <w:rFonts w:hint="eastAsia" w:ascii="宋体" w:hAnsi="宋体" w:eastAsia="宋体" w:cs="宋体"/>
          <w:b/>
          <w:bCs/>
          <w:color w:val="000000" w:themeColor="text1"/>
          <w:szCs w:val="21"/>
          <w:highlight w:val="none"/>
          <w14:textFill>
            <w14:solidFill>
              <w14:schemeClr w14:val="tx1"/>
            </w14:solidFill>
          </w14:textFill>
        </w:rPr>
        <w:t>（必须提供）；</w:t>
      </w:r>
    </w:p>
    <w:p>
      <w:pPr>
        <w:numPr>
          <w:ilvl w:val="0"/>
          <w:numId w:val="4"/>
        </w:numPr>
        <w:spacing w:beforeLines="0" w:afterLines="0" w:line="360" w:lineRule="auto"/>
        <w:ind w:firstLine="42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供应商的法人或者其他组织营业执照等证明文件复印件</w:t>
      </w:r>
      <w:r>
        <w:rPr>
          <w:rFonts w:hint="eastAsia" w:ascii="宋体" w:hAnsi="宋体" w:eastAsia="宋体" w:cs="宋体"/>
          <w:b/>
          <w:bCs/>
          <w:color w:val="000000" w:themeColor="text1"/>
          <w:szCs w:val="21"/>
          <w:highlight w:val="none"/>
          <w14:textFill>
            <w14:solidFill>
              <w14:schemeClr w14:val="tx1"/>
            </w14:solidFill>
          </w14:textFill>
        </w:rPr>
        <w:t>（必须提供，自然人除外）；</w:t>
      </w:r>
    </w:p>
    <w:p>
      <w:pPr>
        <w:spacing w:beforeLines="0" w:afterLines="0" w:line="360" w:lineRule="auto"/>
        <w:ind w:firstLine="420" w:firstLineChars="200"/>
        <w:jc w:val="left"/>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numPr>
          <w:ilvl w:val="0"/>
          <w:numId w:val="4"/>
        </w:numPr>
        <w:spacing w:beforeLines="0" w:afterLines="0" w:line="360" w:lineRule="auto"/>
        <w:ind w:firstLine="420" w:firstLineChars="200"/>
        <w:jc w:val="left"/>
        <w:rPr>
          <w:rFonts w:hint="eastAsia" w:ascii="宋体" w:hAnsi="宋体" w:eastAsia="宋体" w:cs="宋体"/>
          <w:color w:val="000000" w:themeColor="text1"/>
          <w:highlight w:val="none"/>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财务状况报告【即“四表一注”: 资产负债表、利润表、现金流量表、所有者权益变动表及其附注（四表可以为供应商提供的第三方出具的财务审计报告，或供应商出具的财务报表，或供应商出具的承诺函），或其基本开户银行出具的资信证明，或专业担保机构出具的担保函。】</w:t>
      </w:r>
      <w:r>
        <w:rPr>
          <w:rFonts w:hint="eastAsia" w:ascii="宋体" w:hAnsi="宋体" w:eastAsia="宋体" w:cs="宋体"/>
          <w:b/>
          <w:bCs/>
          <w:color w:val="000000" w:themeColor="text1"/>
          <w:sz w:val="21"/>
          <w:szCs w:val="21"/>
          <w:lang w:val="en-US" w:eastAsia="zh-CN"/>
          <w14:textFill>
            <w14:solidFill>
              <w14:schemeClr w14:val="tx1"/>
            </w14:solidFill>
          </w14:textFill>
        </w:rPr>
        <w:t>（必须提供）</w:t>
      </w:r>
      <w:r>
        <w:rPr>
          <w:rFonts w:hint="eastAsia" w:ascii="宋体" w:hAnsi="宋体" w:eastAsia="宋体" w:cs="宋体"/>
          <w:color w:val="000000" w:themeColor="text1"/>
          <w:szCs w:val="21"/>
          <w:highlight w:val="none"/>
          <w14:textFill>
            <w14:solidFill>
              <w14:schemeClr w14:val="tx1"/>
            </w14:solidFill>
          </w14:textFill>
        </w:rPr>
        <w:t>；</w:t>
      </w:r>
    </w:p>
    <w:p>
      <w:pPr>
        <w:numPr>
          <w:ilvl w:val="0"/>
          <w:numId w:val="4"/>
        </w:numPr>
        <w:spacing w:beforeLines="0" w:afterLines="0" w:line="360" w:lineRule="auto"/>
        <w:ind w:firstLine="420" w:firstLineChars="200"/>
        <w:jc w:val="left"/>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供应商近半年内任意一个月或任一季度依法缴纳税收的证明材料【增值税发票(税收完税证明)或企业所得税完税证明或税务部门出具的免税证明】复印件</w:t>
      </w:r>
      <w:r>
        <w:rPr>
          <w:rFonts w:hint="eastAsia" w:ascii="宋体" w:hAnsi="宋体" w:eastAsia="宋体" w:cs="宋体"/>
          <w:b/>
          <w:bCs/>
          <w:color w:val="000000" w:themeColor="text1"/>
          <w:szCs w:val="21"/>
          <w:highlight w:val="none"/>
          <w14:textFill>
            <w14:solidFill>
              <w14:schemeClr w14:val="tx1"/>
            </w14:solidFill>
          </w14:textFill>
        </w:rPr>
        <w:t>（必须提供）</w:t>
      </w:r>
      <w:r>
        <w:rPr>
          <w:rFonts w:hint="eastAsia" w:ascii="宋体" w:hAnsi="宋体" w:cs="宋体"/>
          <w:b/>
          <w:bCs/>
          <w:color w:val="000000" w:themeColor="text1"/>
          <w:szCs w:val="21"/>
          <w:highlight w:val="none"/>
          <w:lang w:eastAsia="zh-CN"/>
          <w14:textFill>
            <w14:solidFill>
              <w14:schemeClr w14:val="tx1"/>
            </w14:solidFill>
          </w14:textFill>
        </w:rPr>
        <w:t>。</w:t>
      </w:r>
    </w:p>
    <w:p>
      <w:pPr>
        <w:pStyle w:val="20"/>
        <w:spacing w:beforeLines="0" w:afterLines="0"/>
        <w:ind w:left="0" w:leftChars="0" w:firstLine="420"/>
        <w:jc w:val="left"/>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11.</w:t>
      </w:r>
      <w:r>
        <w:rPr>
          <w:rFonts w:hint="eastAsia" w:ascii="宋体" w:hAnsi="宋体" w:eastAsia="宋体" w:cs="宋体"/>
          <w:b/>
          <w:bCs/>
          <w:color w:val="000000" w:themeColor="text1"/>
          <w:szCs w:val="21"/>
          <w:highlight w:val="none"/>
          <w:lang w:val="en-US" w:eastAsia="zh-CN"/>
          <w14:textFill>
            <w14:solidFill>
              <w14:schemeClr w14:val="tx1"/>
            </w14:solidFill>
          </w14:textFill>
        </w:rPr>
        <w:t>2</w:t>
      </w:r>
      <w:r>
        <w:rPr>
          <w:rFonts w:hint="eastAsia" w:ascii="宋体" w:hAnsi="宋体" w:eastAsia="宋体" w:cs="宋体"/>
          <w:b/>
          <w:bCs/>
          <w:color w:val="000000" w:themeColor="text1"/>
          <w:szCs w:val="21"/>
          <w:highlight w:val="none"/>
          <w14:textFill>
            <w14:solidFill>
              <w14:schemeClr w14:val="tx1"/>
            </w14:solidFill>
          </w14:textFill>
        </w:rPr>
        <w:t>.</w:t>
      </w:r>
      <w:r>
        <w:rPr>
          <w:rFonts w:hint="eastAsia" w:ascii="宋体" w:hAnsi="宋体" w:eastAsia="宋体" w:cs="宋体"/>
          <w:b/>
          <w:bCs/>
          <w:color w:val="000000" w:themeColor="text1"/>
          <w:szCs w:val="21"/>
          <w:highlight w:val="none"/>
          <w:lang w:val="en-US" w:eastAsia="zh-CN"/>
          <w14:textFill>
            <w14:solidFill>
              <w14:schemeClr w14:val="tx1"/>
            </w14:solidFill>
          </w14:textFill>
        </w:rPr>
        <w:t>1.2</w:t>
      </w:r>
      <w:r>
        <w:rPr>
          <w:rFonts w:hint="eastAsia" w:ascii="宋体" w:hAnsi="宋体" w:eastAsia="宋体" w:cs="宋体"/>
          <w:b/>
          <w:bCs/>
          <w:color w:val="000000" w:themeColor="text1"/>
          <w:szCs w:val="21"/>
          <w:highlight w:val="none"/>
          <w14:textFill>
            <w14:solidFill>
              <w14:schemeClr w14:val="tx1"/>
            </w14:solidFill>
          </w14:textFill>
        </w:rPr>
        <w:t>符合性响应证明材料：</w:t>
      </w:r>
    </w:p>
    <w:p>
      <w:pPr>
        <w:spacing w:beforeLines="0" w:afterLines="0" w:line="360" w:lineRule="auto"/>
        <w:ind w:firstLine="420" w:firstLineChars="200"/>
        <w:jc w:val="left"/>
        <w:rPr>
          <w:rFonts w:hint="eastAsia" w:ascii="宋体" w:hAnsi="宋体" w:eastAsia="宋体" w:cs="宋体"/>
          <w:bCs w:val="0"/>
          <w:color w:val="000000" w:themeColor="text1"/>
          <w:kern w:val="2"/>
          <w:sz w:val="21"/>
          <w:szCs w:val="21"/>
          <w:highlight w:val="none"/>
          <w:lang w:val="en-US" w:eastAsia="zh-CN" w:bidi="ar-SA"/>
          <w14:textFill>
            <w14:solidFill>
              <w14:schemeClr w14:val="tx1"/>
            </w14:solidFill>
          </w14:textFill>
        </w:rPr>
      </w:pPr>
      <w:bookmarkStart w:id="104" w:name="_Toc16312"/>
      <w:bookmarkStart w:id="105" w:name="_Toc28932"/>
      <w:bookmarkStart w:id="106" w:name="_Toc22761"/>
      <w:bookmarkStart w:id="107" w:name="_Toc2809"/>
      <w:r>
        <w:rPr>
          <w:rFonts w:hint="eastAsia" w:ascii="宋体" w:hAnsi="宋体" w:eastAsia="宋体" w:cs="宋体"/>
          <w:bCs w:val="0"/>
          <w:color w:val="000000" w:themeColor="text1"/>
          <w:kern w:val="2"/>
          <w:sz w:val="21"/>
          <w:szCs w:val="21"/>
          <w:highlight w:val="none"/>
          <w:lang w:val="en-US" w:eastAsia="zh-CN" w:bidi="ar-SA"/>
          <w14:textFill>
            <w14:solidFill>
              <w14:schemeClr w14:val="tx1"/>
            </w14:solidFill>
          </w14:textFill>
        </w:rPr>
        <w:t>（1）响应函（格式见附件）</w:t>
      </w:r>
      <w:r>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t>（必须提供）</w:t>
      </w:r>
      <w:bookmarkEnd w:id="104"/>
      <w:r>
        <w:rPr>
          <w:rFonts w:hint="eastAsia" w:ascii="宋体" w:hAnsi="宋体" w:eastAsia="宋体" w:cs="宋体"/>
          <w:bCs w:val="0"/>
          <w:color w:val="000000" w:themeColor="text1"/>
          <w:kern w:val="2"/>
          <w:sz w:val="21"/>
          <w:szCs w:val="21"/>
          <w:highlight w:val="none"/>
          <w:lang w:val="en-US" w:eastAsia="zh-CN" w:bidi="ar-SA"/>
          <w14:textFill>
            <w14:solidFill>
              <w14:schemeClr w14:val="tx1"/>
            </w14:solidFill>
          </w14:textFill>
        </w:rPr>
        <w:t>；</w:t>
      </w:r>
      <w:bookmarkEnd w:id="105"/>
      <w:bookmarkEnd w:id="106"/>
      <w:bookmarkEnd w:id="107"/>
    </w:p>
    <w:p>
      <w:pPr>
        <w:spacing w:beforeLines="0" w:afterLines="0" w:line="360" w:lineRule="auto"/>
        <w:ind w:firstLine="420" w:firstLineChars="200"/>
        <w:jc w:val="left"/>
        <w:rPr>
          <w:rFonts w:hint="eastAsia" w:ascii="宋体" w:hAnsi="宋体" w:eastAsia="宋体" w:cs="宋体"/>
          <w:bCs w:val="0"/>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Cs w:val="0"/>
          <w:color w:val="000000" w:themeColor="text1"/>
          <w:kern w:val="2"/>
          <w:sz w:val="21"/>
          <w:szCs w:val="21"/>
          <w:highlight w:val="none"/>
          <w:lang w:val="en-US" w:eastAsia="zh-CN" w:bidi="ar-SA"/>
          <w14:textFill>
            <w14:solidFill>
              <w14:schemeClr w14:val="tx1"/>
            </w14:solidFill>
          </w14:textFill>
        </w:rPr>
        <w:t>（2）磋商报价表（格式见附件）</w:t>
      </w:r>
      <w:r>
        <w:rPr>
          <w:rFonts w:hint="eastAsia" w:ascii="宋体" w:hAnsi="宋体" w:eastAsia="宋体" w:cs="宋体"/>
          <w:b/>
          <w:bCs/>
          <w:i w:val="0"/>
          <w:iCs w:val="0"/>
          <w:color w:val="000000" w:themeColor="text1"/>
          <w:kern w:val="2"/>
          <w:sz w:val="21"/>
          <w:szCs w:val="21"/>
          <w:highlight w:val="none"/>
          <w:lang w:val="en-US" w:eastAsia="zh-CN" w:bidi="ar-SA"/>
          <w14:textFill>
            <w14:solidFill>
              <w14:schemeClr w14:val="tx1"/>
            </w14:solidFill>
          </w14:textFill>
        </w:rPr>
        <w:t>（必须提供）</w:t>
      </w:r>
      <w:r>
        <w:rPr>
          <w:rFonts w:hint="eastAsia" w:ascii="宋体" w:hAnsi="宋体" w:eastAsia="宋体" w:cs="宋体"/>
          <w:bCs w:val="0"/>
          <w:color w:val="000000" w:themeColor="text1"/>
          <w:kern w:val="2"/>
          <w:sz w:val="21"/>
          <w:szCs w:val="21"/>
          <w:highlight w:val="none"/>
          <w:lang w:val="en-US" w:eastAsia="zh-CN" w:bidi="ar-SA"/>
          <w14:textFill>
            <w14:solidFill>
              <w14:schemeClr w14:val="tx1"/>
            </w14:solidFill>
          </w14:textFill>
        </w:rPr>
        <w:t>；</w:t>
      </w:r>
    </w:p>
    <w:p>
      <w:pPr>
        <w:spacing w:beforeLines="0" w:afterLines="0" w:line="360" w:lineRule="auto"/>
        <w:ind w:firstLine="420" w:firstLineChars="200"/>
        <w:jc w:val="left"/>
        <w:rPr>
          <w:rFonts w:hint="eastAsia" w:ascii="宋体" w:hAnsi="宋体" w:eastAsia="宋体" w:cs="宋体"/>
          <w:bCs w:val="0"/>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Cs w:val="0"/>
          <w:color w:val="000000" w:themeColor="text1"/>
          <w:kern w:val="2"/>
          <w:sz w:val="21"/>
          <w:szCs w:val="21"/>
          <w:highlight w:val="none"/>
          <w:lang w:val="en-US" w:eastAsia="zh-CN" w:bidi="ar-SA"/>
          <w14:textFill>
            <w14:solidFill>
              <w14:schemeClr w14:val="tx1"/>
            </w14:solidFill>
          </w14:textFill>
        </w:rPr>
        <w:t>（3）服务（技术）响应、商务偏离情况说明表（格式见附件）</w:t>
      </w:r>
      <w:r>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t>(必须提供)</w:t>
      </w:r>
      <w:r>
        <w:rPr>
          <w:rFonts w:hint="eastAsia" w:ascii="宋体" w:hAnsi="宋体" w:eastAsia="宋体" w:cs="宋体"/>
          <w:bCs w:val="0"/>
          <w:color w:val="000000" w:themeColor="text1"/>
          <w:kern w:val="2"/>
          <w:sz w:val="21"/>
          <w:szCs w:val="21"/>
          <w:highlight w:val="none"/>
          <w:lang w:val="en-US" w:eastAsia="zh-CN" w:bidi="ar-SA"/>
          <w14:textFill>
            <w14:solidFill>
              <w14:schemeClr w14:val="tx1"/>
            </w14:solidFill>
          </w14:textFill>
        </w:rPr>
        <w:t>；</w:t>
      </w:r>
    </w:p>
    <w:p>
      <w:pPr>
        <w:spacing w:beforeLines="0" w:afterLines="0" w:line="360" w:lineRule="auto"/>
        <w:ind w:firstLine="420" w:firstLineChars="200"/>
        <w:jc w:val="left"/>
        <w:rPr>
          <w:rFonts w:hint="eastAsia" w:ascii="宋体" w:hAnsi="宋体" w:eastAsia="宋体" w:cs="宋体"/>
          <w:bCs w:val="0"/>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Cs w:val="0"/>
          <w:color w:val="000000" w:themeColor="text1"/>
          <w:kern w:val="2"/>
          <w:sz w:val="21"/>
          <w:szCs w:val="21"/>
          <w:highlight w:val="none"/>
          <w:lang w:val="en-US" w:eastAsia="zh-CN" w:bidi="ar-SA"/>
          <w14:textFill>
            <w14:solidFill>
              <w14:schemeClr w14:val="tx1"/>
            </w14:solidFill>
          </w14:textFill>
        </w:rPr>
        <w:t>（4）“货物采购需求”需提供的有效证明文件</w:t>
      </w:r>
      <w:r>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t>（按其要求提供）</w:t>
      </w:r>
      <w:r>
        <w:rPr>
          <w:rFonts w:hint="eastAsia" w:ascii="宋体" w:hAnsi="宋体" w:cs="宋体"/>
          <w:b/>
          <w:bCs/>
          <w:color w:val="000000" w:themeColor="text1"/>
          <w:kern w:val="2"/>
          <w:sz w:val="21"/>
          <w:szCs w:val="21"/>
          <w:highlight w:val="none"/>
          <w:lang w:val="en-US" w:eastAsia="zh-CN" w:bidi="ar-SA"/>
          <w14:textFill>
            <w14:solidFill>
              <w14:schemeClr w14:val="tx1"/>
            </w14:solidFill>
          </w14:textFill>
        </w:rPr>
        <w:t>；</w:t>
      </w:r>
    </w:p>
    <w:p>
      <w:pPr>
        <w:spacing w:beforeLines="0" w:afterLines="0" w:line="360" w:lineRule="auto"/>
        <w:ind w:firstLine="420" w:firstLineChars="200"/>
        <w:jc w:val="left"/>
        <w:rPr>
          <w:rFonts w:hint="eastAsia" w:ascii="宋体" w:hAnsi="宋体" w:eastAsia="宋体" w:cs="宋体"/>
          <w:bCs w:val="0"/>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Cs w:val="0"/>
          <w:color w:val="000000" w:themeColor="text1"/>
          <w:kern w:val="2"/>
          <w:sz w:val="21"/>
          <w:szCs w:val="21"/>
          <w:highlight w:val="none"/>
          <w:lang w:val="en-US" w:eastAsia="zh-CN" w:bidi="ar-SA"/>
          <w14:textFill>
            <w14:solidFill>
              <w14:schemeClr w14:val="tx1"/>
            </w14:solidFill>
          </w14:textFill>
        </w:rPr>
        <w:t>（</w:t>
      </w:r>
      <w:r>
        <w:rPr>
          <w:rFonts w:hint="eastAsia" w:ascii="宋体" w:hAnsi="宋体" w:cs="宋体"/>
          <w:bCs w:val="0"/>
          <w:color w:val="000000" w:themeColor="text1"/>
          <w:kern w:val="2"/>
          <w:sz w:val="21"/>
          <w:szCs w:val="21"/>
          <w:highlight w:val="none"/>
          <w:lang w:val="en-US" w:eastAsia="zh-CN" w:bidi="ar-SA"/>
          <w14:textFill>
            <w14:solidFill>
              <w14:schemeClr w14:val="tx1"/>
            </w14:solidFill>
          </w14:textFill>
        </w:rPr>
        <w:t>5</w:t>
      </w:r>
      <w:r>
        <w:rPr>
          <w:rFonts w:hint="eastAsia" w:ascii="宋体" w:hAnsi="宋体" w:eastAsia="宋体" w:cs="宋体"/>
          <w:bCs w:val="0"/>
          <w:color w:val="000000" w:themeColor="text1"/>
          <w:kern w:val="2"/>
          <w:sz w:val="21"/>
          <w:szCs w:val="21"/>
          <w:highlight w:val="none"/>
          <w:lang w:val="en-US" w:eastAsia="zh-CN" w:bidi="ar-SA"/>
          <w14:textFill>
            <w14:solidFill>
              <w14:schemeClr w14:val="tx1"/>
            </w14:solidFill>
          </w14:textFill>
        </w:rPr>
        <w:t>）售后服务承诺书（由供应商根据本项目采购需求、特点及供应商自身的处理能力自行编写，承诺书内容至少应包括“采购需求”中的所有服务条款）</w:t>
      </w:r>
      <w:r>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t>（格式见附件）</w:t>
      </w:r>
      <w:r>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t>（必须提供）</w:t>
      </w:r>
      <w:r>
        <w:rPr>
          <w:rFonts w:hint="eastAsia" w:ascii="宋体" w:hAnsi="宋体" w:eastAsia="宋体" w:cs="宋体"/>
          <w:bCs w:val="0"/>
          <w:color w:val="000000" w:themeColor="text1"/>
          <w:kern w:val="2"/>
          <w:sz w:val="21"/>
          <w:szCs w:val="21"/>
          <w:highlight w:val="none"/>
          <w:lang w:val="en-US" w:eastAsia="zh-CN" w:bidi="ar-SA"/>
          <w14:textFill>
            <w14:solidFill>
              <w14:schemeClr w14:val="tx1"/>
            </w14:solidFill>
          </w14:textFill>
        </w:rPr>
        <w:t>。</w:t>
      </w:r>
    </w:p>
    <w:p>
      <w:pPr>
        <w:pStyle w:val="20"/>
        <w:spacing w:beforeLines="0" w:afterLines="0"/>
        <w:ind w:left="0" w:leftChars="0" w:firstLine="420"/>
        <w:jc w:val="left"/>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11.</w:t>
      </w:r>
      <w:r>
        <w:rPr>
          <w:rFonts w:hint="eastAsia" w:ascii="宋体" w:hAnsi="宋体" w:eastAsia="宋体" w:cs="宋体"/>
          <w:b/>
          <w:bCs/>
          <w:color w:val="000000" w:themeColor="text1"/>
          <w:szCs w:val="21"/>
          <w:highlight w:val="none"/>
          <w:lang w:val="en-US" w:eastAsia="zh-CN"/>
          <w14:textFill>
            <w14:solidFill>
              <w14:schemeClr w14:val="tx1"/>
            </w14:solidFill>
          </w14:textFill>
        </w:rPr>
        <w:t>2</w:t>
      </w:r>
      <w:r>
        <w:rPr>
          <w:rFonts w:hint="eastAsia" w:ascii="宋体" w:hAnsi="宋体" w:eastAsia="宋体" w:cs="宋体"/>
          <w:b/>
          <w:bCs/>
          <w:color w:val="000000" w:themeColor="text1"/>
          <w:szCs w:val="21"/>
          <w:highlight w:val="none"/>
          <w14:textFill>
            <w14:solidFill>
              <w14:schemeClr w14:val="tx1"/>
            </w14:solidFill>
          </w14:textFill>
        </w:rPr>
        <w:t>.</w:t>
      </w:r>
      <w:r>
        <w:rPr>
          <w:rFonts w:hint="eastAsia" w:ascii="宋体" w:hAnsi="宋体" w:eastAsia="宋体" w:cs="宋体"/>
          <w:b/>
          <w:bCs/>
          <w:color w:val="000000" w:themeColor="text1"/>
          <w:szCs w:val="21"/>
          <w:highlight w:val="none"/>
          <w:lang w:val="en-US" w:eastAsia="zh-CN"/>
          <w14:textFill>
            <w14:solidFill>
              <w14:schemeClr w14:val="tx1"/>
            </w14:solidFill>
          </w14:textFill>
        </w:rPr>
        <w:t>1.3</w:t>
      </w:r>
      <w:r>
        <w:rPr>
          <w:rFonts w:hint="eastAsia" w:ascii="宋体" w:hAnsi="宋体" w:eastAsia="宋体" w:cs="宋体"/>
          <w:b/>
          <w:bCs/>
          <w:color w:val="000000" w:themeColor="text1"/>
          <w:szCs w:val="21"/>
          <w:highlight w:val="none"/>
          <w14:textFill>
            <w14:solidFill>
              <w14:schemeClr w14:val="tx1"/>
            </w14:solidFill>
          </w14:textFill>
        </w:rPr>
        <w:t>其他有效证明材料</w:t>
      </w:r>
    </w:p>
    <w:p>
      <w:pPr>
        <w:numPr>
          <w:ilvl w:val="0"/>
          <w:numId w:val="0"/>
        </w:numPr>
        <w:tabs>
          <w:tab w:val="left" w:pos="1305"/>
        </w:tabs>
        <w:spacing w:line="400" w:lineRule="exact"/>
        <w:ind w:firstLine="420" w:firstLineChars="200"/>
        <w:rPr>
          <w:color w:val="000000" w:themeColor="text1"/>
          <w14:textFill>
            <w14:solidFill>
              <w14:schemeClr w14:val="tx1"/>
            </w14:solidFill>
          </w14:textFill>
        </w:rPr>
      </w:pP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lang w:val="en-US" w:eastAsia="zh-CN"/>
          <w14:textFill>
            <w14:solidFill>
              <w14:schemeClr w14:val="tx1"/>
            </w14:solidFill>
          </w14:textFill>
        </w:rPr>
        <w:t>1</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项目实施方案</w:t>
      </w:r>
      <w:r>
        <w:rPr>
          <w:rFonts w:hint="eastAsia" w:ascii="宋体" w:hAnsi="宋体" w:cs="宋体"/>
          <w:bCs/>
          <w:color w:val="000000" w:themeColor="text1"/>
          <w:szCs w:val="21"/>
          <w14:textFill>
            <w14:solidFill>
              <w14:schemeClr w14:val="tx1"/>
            </w14:solidFill>
          </w14:textFill>
        </w:rPr>
        <w:t>（格式见附件）</w:t>
      </w:r>
      <w:r>
        <w:rPr>
          <w:rFonts w:hint="eastAsia" w:ascii="宋体" w:hAnsi="宋体" w:cs="宋体"/>
          <w:b/>
          <w:color w:val="000000" w:themeColor="text1"/>
          <w:szCs w:val="21"/>
          <w14:textFill>
            <w14:solidFill>
              <w14:schemeClr w14:val="tx1"/>
            </w14:solidFill>
          </w14:textFill>
        </w:rPr>
        <w:t>（</w:t>
      </w:r>
      <w:r>
        <w:rPr>
          <w:rFonts w:hint="eastAsia" w:ascii="宋体" w:hAnsi="宋体" w:cs="宋体"/>
          <w:b/>
          <w:color w:val="000000" w:themeColor="text1"/>
          <w:szCs w:val="21"/>
          <w:highlight w:val="none"/>
          <w14:textFill>
            <w14:solidFill>
              <w14:schemeClr w14:val="tx1"/>
            </w14:solidFill>
          </w14:textFill>
        </w:rPr>
        <w:t>如有，请提供</w:t>
      </w:r>
      <w:r>
        <w:rPr>
          <w:rFonts w:hint="eastAsia" w:ascii="宋体" w:hAnsi="宋体" w:cs="宋体"/>
          <w:b/>
          <w:color w:val="000000" w:themeColor="text1"/>
          <w:szCs w:val="21"/>
          <w14:textFill>
            <w14:solidFill>
              <w14:schemeClr w14:val="tx1"/>
            </w14:solidFill>
          </w14:textFill>
        </w:rPr>
        <w:t>）；</w:t>
      </w:r>
    </w:p>
    <w:p>
      <w:pPr>
        <w:spacing w:beforeLines="0" w:afterLines="0" w:line="360" w:lineRule="auto"/>
        <w:ind w:firstLine="420" w:firstLineChars="200"/>
        <w:jc w:val="left"/>
        <w:rPr>
          <w:rFonts w:hint="eastAsia" w:ascii="宋体" w:hAnsi="宋体" w:eastAsia="宋体" w:cs="宋体"/>
          <w:b/>
          <w:bCs/>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2</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项目实施人员一览表</w:t>
      </w:r>
      <w:r>
        <w:rPr>
          <w:rFonts w:hint="eastAsia" w:ascii="宋体" w:hAnsi="宋体" w:cs="宋体"/>
          <w:bCs/>
          <w:color w:val="000000" w:themeColor="text1"/>
          <w:szCs w:val="21"/>
          <w14:textFill>
            <w14:solidFill>
              <w14:schemeClr w14:val="tx1"/>
            </w14:solidFill>
          </w14:textFill>
        </w:rPr>
        <w:t>（格式见附件）</w:t>
      </w:r>
      <w:r>
        <w:rPr>
          <w:rFonts w:hint="eastAsia" w:ascii="宋体" w:hAnsi="宋体" w:cs="宋体"/>
          <w:b/>
          <w:bCs/>
          <w:color w:val="000000" w:themeColor="text1"/>
          <w:szCs w:val="21"/>
          <w14:textFill>
            <w14:solidFill>
              <w14:schemeClr w14:val="tx1"/>
            </w14:solidFill>
          </w14:textFill>
        </w:rPr>
        <w:t>【</w:t>
      </w:r>
      <w:r>
        <w:rPr>
          <w:rFonts w:hint="eastAsia" w:ascii="宋体" w:hAnsi="宋体" w:eastAsia="宋体" w:cs="宋体"/>
          <w:b/>
          <w:color w:val="000000" w:themeColor="text1"/>
          <w:szCs w:val="21"/>
          <w:highlight w:val="none"/>
          <w14:textFill>
            <w14:solidFill>
              <w14:schemeClr w14:val="tx1"/>
            </w14:solidFill>
          </w14:textFill>
        </w:rPr>
        <w:t>如有，请提供</w:t>
      </w:r>
      <w:r>
        <w:rPr>
          <w:rFonts w:hint="eastAsia" w:ascii="宋体" w:hAnsi="宋体" w:cs="宋体"/>
          <w:b/>
          <w:bCs/>
          <w:color w:val="000000" w:themeColor="text1"/>
          <w:szCs w:val="21"/>
          <w14:textFill>
            <w14:solidFill>
              <w14:schemeClr w14:val="tx1"/>
            </w14:solidFill>
          </w14:textFill>
        </w:rPr>
        <w:t>，</w:t>
      </w:r>
      <w:r>
        <w:rPr>
          <w:rFonts w:hint="eastAsia" w:ascii="宋体" w:hAnsi="宋体" w:cs="宋体"/>
          <w:b/>
          <w:bCs/>
          <w:color w:val="000000" w:themeColor="text1"/>
          <w:szCs w:val="21"/>
          <w:lang w:val="en-US" w:eastAsia="zh-CN"/>
          <w14:textFill>
            <w14:solidFill>
              <w14:schemeClr w14:val="tx1"/>
            </w14:solidFill>
          </w14:textFill>
        </w:rPr>
        <w:t>并一起提供由县级以上（含县级）社会养老保险经办机构出具的投标人为项目实施人员交纳的开标截止时间前三个月内任意一个月养老保险证明复印件（如投标人为截标时间前60日以内成立的公司，可以提供投标人与项目实施人员签订的劳动合同复印件代替养老保险证明复印件；项目实施人员为免缴纳养老保险人员，提供免缴纳养老保险的证明材料复印件及投标人与项目实施人员签订的劳动合同复印件代替养老保险证明复印件；如因社会养老保险经办机构系统升级等原因，暂时无法向供应商提供社会养老保险缴纳情况查询服务时，供应商可以提供已为项目实施人员缴纳社会养老保险的承诺书，须同时提供无法查询的相关证明材料，包括但不限于查询网站截图、公告等。）</w:t>
      </w:r>
      <w:r>
        <w:rPr>
          <w:rFonts w:hint="eastAsia" w:ascii="宋体" w:hAnsi="宋体" w:cs="宋体"/>
          <w:b/>
          <w:bCs/>
          <w:color w:val="000000" w:themeColor="text1"/>
          <w:szCs w:val="21"/>
          <w:lang w:eastAsia="zh-CN"/>
          <w14:textFill>
            <w14:solidFill>
              <w14:schemeClr w14:val="tx1"/>
            </w14:solidFill>
          </w14:textFill>
        </w:rPr>
        <w:t>】</w:t>
      </w:r>
    </w:p>
    <w:p>
      <w:pPr>
        <w:numPr>
          <w:ilvl w:val="0"/>
          <w:numId w:val="0"/>
        </w:numPr>
        <w:tabs>
          <w:tab w:val="left" w:pos="1305"/>
        </w:tabs>
        <w:spacing w:line="360" w:lineRule="auto"/>
        <w:ind w:firstLine="420" w:firstLineChars="200"/>
        <w:rPr>
          <w:rFonts w:hint="eastAsia" w:ascii="宋体" w:hAnsi="宋体" w:eastAsia="宋体" w:cs="宋体"/>
          <w:color w:val="000000" w:themeColor="text1"/>
          <w:szCs w:val="20"/>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3</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节能方面的证书复印件</w:t>
      </w:r>
      <w:r>
        <w:rPr>
          <w:rFonts w:hint="eastAsia" w:ascii="宋体" w:hAnsi="宋体" w:cs="宋体"/>
          <w:b/>
          <w:color w:val="000000" w:themeColor="text1"/>
          <w:szCs w:val="21"/>
          <w14:textFill>
            <w14:solidFill>
              <w14:schemeClr w14:val="tx1"/>
            </w14:solidFill>
          </w14:textFill>
        </w:rPr>
        <w:t>（如有，请提供）</w:t>
      </w:r>
      <w:r>
        <w:rPr>
          <w:rFonts w:hint="eastAsia" w:ascii="宋体" w:hAnsi="宋体" w:cs="宋体"/>
          <w:bCs/>
          <w:color w:val="000000" w:themeColor="text1"/>
          <w:szCs w:val="21"/>
          <w:lang w:eastAsia="zh-CN"/>
          <w14:textFill>
            <w14:solidFill>
              <w14:schemeClr w14:val="tx1"/>
            </w14:solidFill>
          </w14:textFill>
        </w:rPr>
        <w:t>；</w:t>
      </w:r>
    </w:p>
    <w:p>
      <w:pPr>
        <w:spacing w:beforeLines="0" w:afterLines="0" w:line="360" w:lineRule="auto"/>
        <w:ind w:firstLine="420" w:firstLineChars="200"/>
        <w:jc w:val="lef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4</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环境标志方面的证书复印件</w:t>
      </w:r>
      <w:r>
        <w:rPr>
          <w:rFonts w:hint="eastAsia" w:ascii="宋体" w:hAnsi="宋体" w:cs="宋体"/>
          <w:b/>
          <w:color w:val="000000" w:themeColor="text1"/>
          <w:szCs w:val="21"/>
          <w14:textFill>
            <w14:solidFill>
              <w14:schemeClr w14:val="tx1"/>
            </w14:solidFill>
          </w14:textFill>
        </w:rPr>
        <w:t>（如有，请提供）</w:t>
      </w:r>
      <w:r>
        <w:rPr>
          <w:rFonts w:hint="eastAsia" w:ascii="宋体" w:hAnsi="宋体" w:cs="宋体"/>
          <w:b/>
          <w:color w:val="000000" w:themeColor="text1"/>
          <w:szCs w:val="21"/>
          <w:lang w:eastAsia="zh-CN"/>
          <w14:textFill>
            <w14:solidFill>
              <w14:schemeClr w14:val="tx1"/>
            </w14:solidFill>
          </w14:textFill>
        </w:rPr>
        <w:t>；</w:t>
      </w:r>
    </w:p>
    <w:p>
      <w:pPr>
        <w:numPr>
          <w:ilvl w:val="0"/>
          <w:numId w:val="0"/>
        </w:numPr>
        <w:tabs>
          <w:tab w:val="left" w:pos="1305"/>
        </w:tabs>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投标人为生产厂家的，投标人的生产制造设备清单及专业技术能力说明</w:t>
      </w:r>
      <w:r>
        <w:rPr>
          <w:rFonts w:hint="eastAsia" w:ascii="宋体" w:hAnsi="宋体" w:cs="宋体"/>
          <w:b/>
          <w:bCs/>
          <w:i w:val="0"/>
          <w:iCs w:val="0"/>
          <w:color w:val="000000" w:themeColor="text1"/>
          <w:szCs w:val="21"/>
          <w14:textFill>
            <w14:solidFill>
              <w14:schemeClr w14:val="tx1"/>
            </w14:solidFill>
          </w14:textFill>
        </w:rPr>
        <w:t>（如有，请提供）；</w:t>
      </w:r>
    </w:p>
    <w:p>
      <w:pPr>
        <w:numPr>
          <w:ilvl w:val="0"/>
          <w:numId w:val="0"/>
        </w:numPr>
        <w:tabs>
          <w:tab w:val="left" w:pos="1305"/>
        </w:tabs>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6</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投标人相关获奖证书、认证证书等复印件</w:t>
      </w:r>
      <w:r>
        <w:rPr>
          <w:rFonts w:hint="eastAsia" w:ascii="宋体" w:hAnsi="宋体" w:cs="宋体"/>
          <w:b/>
          <w:bCs/>
          <w:color w:val="000000" w:themeColor="text1"/>
          <w:szCs w:val="21"/>
          <w14:textFill>
            <w14:solidFill>
              <w14:schemeClr w14:val="tx1"/>
            </w14:solidFill>
          </w14:textFill>
        </w:rPr>
        <w:t>（如有，请提供）；</w:t>
      </w:r>
    </w:p>
    <w:p>
      <w:pPr>
        <w:spacing w:beforeLines="0" w:afterLines="0" w:line="360" w:lineRule="auto"/>
        <w:ind w:firstLine="420" w:firstLineChars="200"/>
        <w:jc w:val="left"/>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7</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供应商20</w:t>
      </w:r>
      <w:r>
        <w:rPr>
          <w:rFonts w:hint="eastAsia" w:ascii="宋体" w:hAnsi="宋体" w:cs="宋体"/>
          <w:color w:val="000000" w:themeColor="text1"/>
          <w:szCs w:val="21"/>
          <w:highlight w:val="none"/>
          <w:lang w:val="en-US" w:eastAsia="zh-CN"/>
          <w14:textFill>
            <w14:solidFill>
              <w14:schemeClr w14:val="tx1"/>
            </w14:solidFill>
          </w14:textFill>
        </w:rPr>
        <w:t>21</w:t>
      </w:r>
      <w:r>
        <w:rPr>
          <w:rFonts w:hint="eastAsia" w:ascii="宋体" w:hAnsi="宋体" w:eastAsia="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lang w:val="en-US" w:eastAsia="zh-CN"/>
          <w14:textFill>
            <w14:solidFill>
              <w14:schemeClr w14:val="tx1"/>
            </w14:solidFill>
          </w14:textFill>
        </w:rPr>
        <w:t>1月1日</w:t>
      </w:r>
      <w:r>
        <w:rPr>
          <w:rFonts w:hint="eastAsia" w:ascii="宋体" w:hAnsi="宋体" w:eastAsia="宋体" w:cs="宋体"/>
          <w:color w:val="000000" w:themeColor="text1"/>
          <w:szCs w:val="21"/>
          <w:highlight w:val="none"/>
          <w14:textFill>
            <w14:solidFill>
              <w14:schemeClr w14:val="tx1"/>
            </w14:solidFill>
          </w14:textFill>
        </w:rPr>
        <w:t>以来具有同类</w:t>
      </w:r>
      <w:r>
        <w:rPr>
          <w:rFonts w:hint="eastAsia" w:ascii="宋体" w:hAnsi="宋体" w:eastAsia="宋体" w:cs="宋体"/>
          <w:color w:val="000000" w:themeColor="text1"/>
          <w:szCs w:val="21"/>
          <w:highlight w:val="none"/>
          <w:lang w:eastAsia="zh-CN"/>
          <w14:textFill>
            <w14:solidFill>
              <w14:schemeClr w14:val="tx1"/>
            </w14:solidFill>
          </w14:textFill>
        </w:rPr>
        <w:t>项目</w:t>
      </w:r>
      <w:r>
        <w:rPr>
          <w:rFonts w:hint="eastAsia" w:ascii="宋体" w:hAnsi="宋体" w:eastAsia="宋体" w:cs="宋体"/>
          <w:color w:val="000000" w:themeColor="text1"/>
          <w:szCs w:val="21"/>
          <w:highlight w:val="none"/>
          <w14:textFill>
            <w14:solidFill>
              <w14:schemeClr w14:val="tx1"/>
            </w14:solidFill>
          </w14:textFill>
        </w:rPr>
        <w:t>的业绩相关证明材料（无不良记录，以中标、成交通知书或签订的合同为准，并能清晰反映</w:t>
      </w:r>
      <w:r>
        <w:rPr>
          <w:rFonts w:hint="eastAsia" w:ascii="宋体" w:hAnsi="宋体" w:eastAsia="宋体" w:cs="宋体"/>
          <w:color w:val="000000" w:themeColor="text1"/>
          <w:szCs w:val="21"/>
          <w:highlight w:val="none"/>
          <w:lang w:eastAsia="zh-CN"/>
          <w14:textFill>
            <w14:solidFill>
              <w14:schemeClr w14:val="tx1"/>
            </w14:solidFill>
          </w14:textFill>
        </w:rPr>
        <w:t>项目</w:t>
      </w:r>
      <w:r>
        <w:rPr>
          <w:rFonts w:hint="eastAsia" w:ascii="宋体" w:hAnsi="宋体" w:eastAsia="宋体" w:cs="宋体"/>
          <w:color w:val="000000" w:themeColor="text1"/>
          <w:szCs w:val="21"/>
          <w:highlight w:val="none"/>
          <w14:textFill>
            <w14:solidFill>
              <w14:schemeClr w14:val="tx1"/>
            </w14:solidFill>
          </w14:textFill>
        </w:rPr>
        <w:t>的名称、</w:t>
      </w:r>
      <w:r>
        <w:rPr>
          <w:rFonts w:hint="eastAsia" w:ascii="宋体" w:hAnsi="宋体" w:eastAsia="宋体" w:cs="宋体"/>
          <w:color w:val="000000" w:themeColor="text1"/>
          <w:szCs w:val="21"/>
          <w:highlight w:val="none"/>
          <w:lang w:eastAsia="zh-CN"/>
          <w14:textFill>
            <w14:solidFill>
              <w14:schemeClr w14:val="tx1"/>
            </w14:solidFill>
          </w14:textFill>
        </w:rPr>
        <w:t>采购内容</w:t>
      </w: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lang w:eastAsia="zh-CN"/>
          <w14:textFill>
            <w14:solidFill>
              <w14:schemeClr w14:val="tx1"/>
            </w14:solidFill>
          </w14:textFill>
        </w:rPr>
        <w:t>采购</w:t>
      </w:r>
      <w:r>
        <w:rPr>
          <w:rFonts w:hint="eastAsia" w:ascii="宋体" w:hAnsi="宋体" w:eastAsia="宋体" w:cs="宋体"/>
          <w:color w:val="000000" w:themeColor="text1"/>
          <w:szCs w:val="21"/>
          <w:highlight w:val="none"/>
          <w14:textFill>
            <w14:solidFill>
              <w14:schemeClr w14:val="tx1"/>
            </w14:solidFill>
          </w14:textFill>
        </w:rPr>
        <w:t>金额</w:t>
      </w:r>
      <w:r>
        <w:rPr>
          <w:rFonts w:hint="eastAsia" w:ascii="宋体" w:hAnsi="宋体" w:eastAsia="宋体" w:cs="宋体"/>
          <w:color w:val="000000" w:themeColor="text1"/>
          <w:szCs w:val="21"/>
          <w:highlight w:val="none"/>
          <w:lang w:eastAsia="zh-CN"/>
          <w14:textFill>
            <w14:solidFill>
              <w14:schemeClr w14:val="tx1"/>
            </w14:solidFill>
          </w14:textFill>
        </w:rPr>
        <w:t>、采购时间</w:t>
      </w: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b/>
          <w:bCs/>
          <w:color w:val="000000" w:themeColor="text1"/>
          <w:szCs w:val="21"/>
          <w:highlight w:val="none"/>
          <w14:textFill>
            <w14:solidFill>
              <w14:schemeClr w14:val="tx1"/>
            </w14:solidFill>
          </w14:textFill>
        </w:rPr>
        <w:t>（如有，请提供）</w:t>
      </w:r>
      <w:r>
        <w:rPr>
          <w:rFonts w:hint="eastAsia" w:ascii="宋体" w:hAnsi="宋体" w:eastAsia="宋体" w:cs="宋体"/>
          <w:b/>
          <w:bCs/>
          <w:color w:val="000000" w:themeColor="text1"/>
          <w:szCs w:val="21"/>
          <w14:textFill>
            <w14:solidFill>
              <w14:schemeClr w14:val="tx1"/>
            </w14:solidFill>
          </w14:textFill>
        </w:rPr>
        <w:t>；</w:t>
      </w:r>
    </w:p>
    <w:p>
      <w:pPr>
        <w:numPr>
          <w:ilvl w:val="0"/>
          <w:numId w:val="0"/>
        </w:numPr>
        <w:tabs>
          <w:tab w:val="left" w:pos="1305"/>
        </w:tabs>
        <w:spacing w:beforeLines="0" w:afterLines="0" w:line="400" w:lineRule="exact"/>
        <w:ind w:firstLine="420" w:firstLineChars="20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8</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如所提供</w:t>
      </w:r>
      <w:r>
        <w:rPr>
          <w:rFonts w:hint="eastAsia" w:ascii="宋体" w:hAnsi="宋体" w:eastAsia="宋体" w:cs="宋体"/>
          <w:color w:val="000000" w:themeColor="text1"/>
          <w:lang w:eastAsia="zh-CN"/>
          <w14:textFill>
            <w14:solidFill>
              <w14:schemeClr w14:val="tx1"/>
            </w14:solidFill>
          </w14:textFill>
        </w:rPr>
        <w:t>服务</w:t>
      </w:r>
      <w:r>
        <w:rPr>
          <w:rFonts w:hint="eastAsia" w:ascii="宋体" w:hAnsi="宋体" w:eastAsia="宋体" w:cs="宋体"/>
          <w:color w:val="000000" w:themeColor="text1"/>
          <w14:textFill>
            <w14:solidFill>
              <w14:schemeClr w14:val="tx1"/>
            </w14:solidFill>
          </w14:textFill>
        </w:rPr>
        <w:t>企业属于小型、微型企业【中小微型企业划分标准按照《国家统计局关于印发</w:t>
      </w:r>
      <w:r>
        <w:rPr>
          <w:rFonts w:hint="eastAsia" w:ascii="宋体" w:hAnsi="宋体" w:cs="宋体"/>
          <w:color w:val="000000" w:themeColor="text1"/>
          <w:lang w:val="en-US" w:eastAsia="zh-CN"/>
          <w14:textFill>
            <w14:solidFill>
              <w14:schemeClr w14:val="tx1"/>
            </w14:solidFill>
          </w14:textFill>
        </w:rPr>
        <w:t>&lt;</w:t>
      </w:r>
      <w:r>
        <w:rPr>
          <w:rFonts w:hint="eastAsia" w:ascii="宋体" w:hAnsi="宋体" w:eastAsia="宋体" w:cs="宋体"/>
          <w:color w:val="000000" w:themeColor="text1"/>
          <w14:textFill>
            <w14:solidFill>
              <w14:schemeClr w14:val="tx1"/>
            </w14:solidFill>
          </w14:textFill>
        </w:rPr>
        <w:t>统计上大中小微型企业划分办法〔2017〕</w:t>
      </w:r>
      <w:r>
        <w:rPr>
          <w:rFonts w:hint="eastAsia" w:ascii="宋体" w:hAnsi="宋体" w:cs="宋体"/>
          <w:color w:val="000000" w:themeColor="text1"/>
          <w:lang w:val="en-US" w:eastAsia="zh-CN"/>
          <w14:textFill>
            <w14:solidFill>
              <w14:schemeClr w14:val="tx1"/>
            </w14:solidFill>
          </w14:textFill>
        </w:rPr>
        <w:t>&gt;</w:t>
      </w:r>
      <w:r>
        <w:rPr>
          <w:rFonts w:hint="eastAsia" w:ascii="宋体" w:hAnsi="宋体" w:eastAsia="宋体" w:cs="宋体"/>
          <w:color w:val="000000" w:themeColor="text1"/>
          <w14:textFill>
            <w14:solidFill>
              <w14:schemeClr w14:val="tx1"/>
            </w14:solidFill>
          </w14:textFill>
        </w:rPr>
        <w:t>的通知》（国统字〔2017〕213号）执行，具体划分标准见第四章评标办法中附表《统计上大中小微型企业划分标准》】，以提供的《中小企业声明函》（见附件）为准</w:t>
      </w:r>
      <w:r>
        <w:rPr>
          <w:rFonts w:hint="eastAsia" w:ascii="宋体" w:hAnsi="宋体" w:eastAsia="宋体" w:cs="宋体"/>
          <w:b/>
          <w:bCs/>
          <w:color w:val="000000" w:themeColor="text1"/>
          <w14:textFill>
            <w14:solidFill>
              <w14:schemeClr w14:val="tx1"/>
            </w14:solidFill>
          </w14:textFill>
        </w:rPr>
        <w:t>（如有，请提供）</w:t>
      </w:r>
      <w:r>
        <w:rPr>
          <w:rFonts w:hint="eastAsia" w:ascii="宋体" w:hAnsi="宋体" w:eastAsia="宋体" w:cs="宋体"/>
          <w:color w:val="000000" w:themeColor="text1"/>
          <w14:textFill>
            <w14:solidFill>
              <w14:schemeClr w14:val="tx1"/>
            </w14:solidFill>
          </w14:textFill>
        </w:rPr>
        <w:t>；</w:t>
      </w:r>
    </w:p>
    <w:p>
      <w:pPr>
        <w:numPr>
          <w:ilvl w:val="0"/>
          <w:numId w:val="0"/>
        </w:numPr>
        <w:tabs>
          <w:tab w:val="left" w:pos="1305"/>
        </w:tabs>
        <w:spacing w:beforeLines="0" w:afterLines="0" w:line="400" w:lineRule="exact"/>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9</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kern w:val="2"/>
          <w:sz w:val="21"/>
          <w:szCs w:val="21"/>
          <w:lang w:val="en-US" w:eastAsia="zh-CN"/>
          <w14:textFill>
            <w14:solidFill>
              <w14:schemeClr w14:val="tx1"/>
            </w14:solidFill>
          </w14:textFill>
        </w:rPr>
        <w:t>如提供服务的供应商属于监狱企业的，应当提供由省级以上监狱管理局、戒毒管理局等（含新疆生产建设兵团）出具的属于监狱企业的证明文件</w:t>
      </w:r>
      <w:r>
        <w:rPr>
          <w:rFonts w:hint="eastAsia" w:ascii="宋体" w:hAnsi="宋体" w:eastAsia="宋体" w:cs="宋体"/>
          <w:color w:val="000000" w:themeColor="text1"/>
          <w:kern w:val="0"/>
          <w:sz w:val="24"/>
          <w14:textFill>
            <w14:solidFill>
              <w14:schemeClr w14:val="tx1"/>
            </w14:solidFill>
          </w14:textFill>
        </w:rPr>
        <w:t>（</w:t>
      </w:r>
      <w:r>
        <w:rPr>
          <w:rFonts w:hint="eastAsia" w:ascii="宋体" w:hAnsi="宋体" w:eastAsia="宋体" w:cs="宋体"/>
          <w:b/>
          <w:color w:val="000000" w:themeColor="text1"/>
          <w14:textFill>
            <w14:solidFill>
              <w14:schemeClr w14:val="tx1"/>
            </w14:solidFill>
          </w14:textFill>
        </w:rPr>
        <w:t>如有，请提供</w:t>
      </w:r>
      <w:r>
        <w:rPr>
          <w:rFonts w:hint="eastAsia" w:ascii="宋体" w:hAnsi="宋体" w:eastAsia="宋体" w:cs="宋体"/>
          <w:color w:val="000000" w:themeColor="text1"/>
          <w:kern w:val="0"/>
          <w:sz w:val="24"/>
          <w14:textFill>
            <w14:solidFill>
              <w14:schemeClr w14:val="tx1"/>
            </w14:solidFill>
          </w14:textFill>
        </w:rPr>
        <w:t>）；</w:t>
      </w:r>
    </w:p>
    <w:p>
      <w:pPr>
        <w:pStyle w:val="28"/>
        <w:spacing w:beforeLines="0" w:afterLines="0"/>
        <w:ind w:firstLine="420" w:firstLineChars="200"/>
        <w:rPr>
          <w:rFonts w:hint="eastAsia" w:ascii="宋体" w:hAnsi="宋体" w:eastAsia="宋体" w:cs="宋体"/>
          <w:b/>
          <w:bCs/>
          <w:color w:val="000000" w:themeColor="text1"/>
          <w:kern w:val="2"/>
          <w:sz w:val="21"/>
          <w:szCs w:val="24"/>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10</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kern w:val="2"/>
          <w:sz w:val="21"/>
          <w:szCs w:val="21"/>
          <w:lang w:val="en-US" w:eastAsia="zh-CN"/>
          <w14:textFill>
            <w14:solidFill>
              <w14:schemeClr w14:val="tx1"/>
            </w14:solidFill>
          </w14:textFill>
        </w:rPr>
        <w:t>符合条件的残疾人福利性单位在参加政府采购活动时，应当提供《残疾人福利性单位声明函》，并对声明的真实性负责</w:t>
      </w:r>
      <w:r>
        <w:rPr>
          <w:rFonts w:hint="eastAsia" w:ascii="宋体" w:hAnsi="宋体" w:eastAsia="宋体" w:cs="宋体"/>
          <w:color w:val="000000" w:themeColor="text1"/>
          <w:kern w:val="2"/>
          <w:sz w:val="21"/>
          <w:szCs w:val="24"/>
          <w:lang w:val="en-US" w:eastAsia="zh-CN" w:bidi="ar-SA"/>
          <w14:textFill>
            <w14:solidFill>
              <w14:schemeClr w14:val="tx1"/>
            </w14:solidFill>
          </w14:textFill>
        </w:rPr>
        <w:t>（见附件）</w:t>
      </w:r>
      <w:r>
        <w:rPr>
          <w:rFonts w:hint="eastAsia" w:ascii="宋体" w:hAnsi="宋体" w:eastAsia="宋体" w:cs="宋体"/>
          <w:b/>
          <w:bCs/>
          <w:color w:val="000000" w:themeColor="text1"/>
          <w:kern w:val="2"/>
          <w:sz w:val="21"/>
          <w:szCs w:val="24"/>
          <w:lang w:val="en-US" w:eastAsia="zh-CN" w:bidi="ar-SA"/>
          <w14:textFill>
            <w14:solidFill>
              <w14:schemeClr w14:val="tx1"/>
            </w14:solidFill>
          </w14:textFill>
        </w:rPr>
        <w:t>（如有，请提供）；</w:t>
      </w:r>
    </w:p>
    <w:p>
      <w:pPr>
        <w:spacing w:beforeLines="0" w:afterLines="0"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11</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供应商可结合本项目的评审办法视自身情况自行提交其它相关证明材料</w:t>
      </w:r>
      <w:r>
        <w:rPr>
          <w:rFonts w:hint="eastAsia" w:ascii="宋体" w:hAnsi="宋体" w:eastAsia="宋体" w:cs="宋体"/>
          <w:b/>
          <w:bCs/>
          <w:color w:val="000000" w:themeColor="text1"/>
          <w:kern w:val="2"/>
          <w:sz w:val="21"/>
          <w:szCs w:val="24"/>
          <w:lang w:val="en-US" w:eastAsia="zh-CN" w:bidi="ar-SA"/>
          <w14:textFill>
            <w14:solidFill>
              <w14:schemeClr w14:val="tx1"/>
            </w14:solidFill>
          </w14:textFill>
        </w:rPr>
        <w:t>（如有，请提供）</w:t>
      </w:r>
      <w:r>
        <w:rPr>
          <w:rFonts w:hint="eastAsia" w:ascii="宋体" w:hAnsi="宋体" w:eastAsia="宋体" w:cs="宋体"/>
          <w:color w:val="000000" w:themeColor="text1"/>
          <w:szCs w:val="21"/>
          <w14:textFill>
            <w14:solidFill>
              <w14:schemeClr w14:val="tx1"/>
            </w14:solidFill>
          </w14:textFill>
        </w:rPr>
        <w:t>。</w:t>
      </w:r>
    </w:p>
    <w:p>
      <w:pPr>
        <w:spacing w:beforeLines="0" w:afterLines="0" w:line="400" w:lineRule="exact"/>
        <w:ind w:firstLine="42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供应商</w:t>
      </w:r>
      <w:r>
        <w:rPr>
          <w:rFonts w:hint="eastAsia" w:ascii="宋体" w:hAnsi="宋体" w:eastAsia="宋体" w:cs="宋体"/>
          <w:b/>
          <w:bCs/>
          <w:color w:val="000000" w:themeColor="text1"/>
          <w14:textFill>
            <w14:solidFill>
              <w14:schemeClr w14:val="tx1"/>
            </w14:solidFill>
          </w14:textFill>
        </w:rPr>
        <w:t>提供的以上相关证明材料属于“必须提供”的文件应加盖</w:t>
      </w:r>
      <w:r>
        <w:rPr>
          <w:rFonts w:hint="eastAsia" w:ascii="宋体" w:hAnsi="宋体" w:eastAsia="宋体" w:cs="宋体"/>
          <w:b/>
          <w:bCs/>
          <w:color w:val="000000" w:themeColor="text1"/>
          <w:lang w:eastAsia="zh-CN"/>
          <w14:textFill>
            <w14:solidFill>
              <w14:schemeClr w14:val="tx1"/>
            </w14:solidFill>
          </w14:textFill>
        </w:rPr>
        <w:t>磋商供应商</w:t>
      </w:r>
      <w:r>
        <w:rPr>
          <w:rFonts w:hint="eastAsia" w:ascii="宋体" w:hAnsi="宋体" w:eastAsia="宋体" w:cs="宋体"/>
          <w:b/>
          <w:bCs/>
          <w:color w:val="000000" w:themeColor="text1"/>
          <w14:textFill>
            <w14:solidFill>
              <w14:schemeClr w14:val="tx1"/>
            </w14:solidFill>
          </w14:textFill>
        </w:rPr>
        <w:t>公章（CA签章）</w:t>
      </w:r>
      <w:r>
        <w:rPr>
          <w:rFonts w:hint="eastAsia" w:ascii="宋体" w:hAnsi="宋体" w:eastAsia="宋体" w:cs="宋体"/>
          <w:b/>
          <w:bCs/>
          <w:color w:val="000000" w:themeColor="text1"/>
          <w:lang w:val="en-US" w:eastAsia="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自然人</w:t>
      </w:r>
      <w:r>
        <w:rPr>
          <w:rFonts w:hint="eastAsia" w:ascii="宋体" w:hAnsi="宋体" w:eastAsia="宋体" w:cs="宋体"/>
          <w:b/>
          <w:bCs/>
          <w:color w:val="000000" w:themeColor="text1"/>
          <w:lang w:eastAsia="zh-CN"/>
          <w14:textFill>
            <w14:solidFill>
              <w14:schemeClr w14:val="tx1"/>
            </w14:solidFill>
          </w14:textFill>
        </w:rPr>
        <w:t>签字或</w:t>
      </w:r>
      <w:r>
        <w:rPr>
          <w:rFonts w:hint="eastAsia" w:ascii="宋体" w:hAnsi="宋体" w:eastAsia="宋体" w:cs="宋体"/>
          <w:b/>
          <w:bCs/>
          <w:color w:val="000000" w:themeColor="text1"/>
          <w:lang w:val="en-US" w:eastAsia="zh-CN"/>
          <w14:textFill>
            <w14:solidFill>
              <w14:schemeClr w14:val="tx1"/>
            </w14:solidFill>
          </w14:textFill>
        </w:rPr>
        <w:t>个人</w:t>
      </w:r>
      <w:r>
        <w:rPr>
          <w:rFonts w:hint="eastAsia" w:ascii="宋体" w:hAnsi="宋体" w:eastAsia="宋体" w:cs="宋体"/>
          <w:b/>
          <w:bCs/>
          <w:color w:val="000000" w:themeColor="text1"/>
          <w14:textFill>
            <w14:solidFill>
              <w14:schemeClr w14:val="tx1"/>
            </w14:solidFill>
          </w14:textFill>
        </w:rPr>
        <w:t>CA签章，否则</w:t>
      </w:r>
      <w:r>
        <w:rPr>
          <w:rFonts w:hint="eastAsia" w:ascii="宋体" w:hAnsi="宋体" w:eastAsia="宋体" w:cs="宋体"/>
          <w:b/>
          <w:bCs/>
          <w:color w:val="000000" w:themeColor="text1"/>
          <w:lang w:val="en-US" w:eastAsia="zh-CN"/>
          <w14:textFill>
            <w14:solidFill>
              <w14:schemeClr w14:val="tx1"/>
            </w14:solidFill>
          </w14:textFill>
        </w:rPr>
        <w:t>响应</w:t>
      </w:r>
      <w:r>
        <w:rPr>
          <w:rFonts w:hint="eastAsia" w:ascii="宋体" w:hAnsi="宋体" w:eastAsia="宋体" w:cs="宋体"/>
          <w:b/>
          <w:bCs/>
          <w:color w:val="000000" w:themeColor="text1"/>
          <w14:textFill>
            <w14:solidFill>
              <w14:schemeClr w14:val="tx1"/>
            </w14:solidFill>
          </w14:textFill>
        </w:rPr>
        <w:t>无效。</w:t>
      </w:r>
    </w:p>
    <w:p>
      <w:pPr>
        <w:spacing w:beforeLines="0" w:afterLines="0" w:line="360" w:lineRule="auto"/>
        <w:ind w:firstLine="42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11.</w:t>
      </w:r>
      <w:r>
        <w:rPr>
          <w:rFonts w:hint="eastAsia" w:ascii="宋体" w:hAnsi="宋体" w:eastAsia="宋体" w:cs="宋体"/>
          <w:color w:val="000000" w:themeColor="text1"/>
          <w:szCs w:val="21"/>
          <w:highlight w:val="none"/>
          <w:lang w:val="en-US" w:eastAsia="zh-CN"/>
          <w14:textFill>
            <w14:solidFill>
              <w14:schemeClr w14:val="tx1"/>
            </w14:solidFill>
          </w14:textFill>
        </w:rPr>
        <w:t xml:space="preserve">3 </w:t>
      </w:r>
      <w:r>
        <w:rPr>
          <w:rFonts w:hint="eastAsia" w:ascii="宋体" w:hAnsi="宋体" w:eastAsia="宋体" w:cs="宋体"/>
          <w:color w:val="000000" w:themeColor="text1"/>
          <w:szCs w:val="21"/>
          <w:highlight w:val="none"/>
          <w14:textFill>
            <w14:solidFill>
              <w14:schemeClr w14:val="tx1"/>
            </w14:solidFill>
          </w14:textFill>
        </w:rPr>
        <w:t>供应商应按竞争性磋商文件第六章“响应文件（格式）”编制响应文件。</w:t>
      </w:r>
    </w:p>
    <w:p>
      <w:pPr>
        <w:spacing w:beforeLines="0" w:afterLines="0" w:line="360" w:lineRule="exact"/>
        <w:ind w:firstLine="420" w:firstLineChars="200"/>
        <w:jc w:val="left"/>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特别说明：</w:t>
      </w:r>
    </w:p>
    <w:p>
      <w:pPr>
        <w:spacing w:beforeLines="0" w:afterLines="0" w:line="360" w:lineRule="exact"/>
        <w:ind w:firstLine="420" w:firstLineChars="200"/>
        <w:jc w:val="lef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（1）响</w:t>
      </w:r>
      <w:r>
        <w:rPr>
          <w:rFonts w:hint="eastAsia" w:ascii="宋体" w:hAnsi="宋体" w:eastAsia="宋体" w:cs="宋体"/>
          <w:b/>
          <w:color w:val="000000" w:themeColor="text1"/>
          <w:szCs w:val="21"/>
          <w14:textFill>
            <w14:solidFill>
              <w14:schemeClr w14:val="tx1"/>
            </w14:solidFill>
          </w14:textFill>
        </w:rPr>
        <w:t>应文件（电子响应文件），其中电子响应文件中所须加盖公章部分均采用CA签章。若磋商文件中有专门标注的某关联点，并要求供应商在电子投标系统中作出磋商响应的，如供应商未对关联点进行响应或者在响应文件其它内容进行描述，造成电子评审不能查询的责任由供应商自行承担。</w:t>
      </w:r>
    </w:p>
    <w:p>
      <w:pPr>
        <w:numPr>
          <w:ilvl w:val="0"/>
          <w:numId w:val="5"/>
        </w:numPr>
        <w:spacing w:beforeLines="0" w:afterLines="0" w:line="360" w:lineRule="exact"/>
        <w:ind w:left="210" w:leftChars="0" w:firstLine="420" w:firstLineChars="0"/>
        <w:jc w:val="lef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bCs/>
          <w:color w:val="000000" w:themeColor="text1"/>
          <w:szCs w:val="21"/>
          <w:lang w:eastAsia="zh-CN"/>
          <w14:textFill>
            <w14:solidFill>
              <w14:schemeClr w14:val="tx1"/>
            </w14:solidFill>
          </w14:textFill>
        </w:rPr>
        <w:t>磋商文件</w:t>
      </w:r>
      <w:r>
        <w:rPr>
          <w:rFonts w:hint="eastAsia" w:ascii="宋体" w:hAnsi="宋体" w:eastAsia="宋体" w:cs="宋体"/>
          <w:b/>
          <w:bCs/>
          <w:color w:val="000000" w:themeColor="text1"/>
          <w:szCs w:val="21"/>
          <w14:textFill>
            <w14:solidFill>
              <w14:schemeClr w14:val="tx1"/>
            </w14:solidFill>
          </w14:textFill>
        </w:rPr>
        <w:t>要求法定代表人（负责人）或委托代理人签字的部分必须签字然后扫描或者拍照做成 pdf 格式上传</w:t>
      </w:r>
      <w:r>
        <w:rPr>
          <w:rFonts w:hint="eastAsia" w:ascii="宋体" w:hAnsi="宋体" w:eastAsia="宋体" w:cs="宋体"/>
          <w:b/>
          <w:bCs/>
          <w:color w:val="000000" w:themeColor="text1"/>
          <w:szCs w:val="21"/>
          <w:lang w:eastAsia="zh-CN"/>
          <w14:textFill>
            <w14:solidFill>
              <w14:schemeClr w14:val="tx1"/>
            </w14:solidFill>
          </w14:textFill>
        </w:rPr>
        <w:t>（或加盖个人</w:t>
      </w:r>
      <w:r>
        <w:rPr>
          <w:rFonts w:hint="eastAsia" w:ascii="宋体" w:hAnsi="宋体" w:eastAsia="宋体" w:cs="宋体"/>
          <w:b/>
          <w:bCs/>
          <w:color w:val="000000" w:themeColor="text1"/>
          <w:szCs w:val="21"/>
          <w:lang w:val="en-US" w:eastAsia="zh-CN"/>
          <w14:textFill>
            <w14:solidFill>
              <w14:schemeClr w14:val="tx1"/>
            </w14:solidFill>
          </w14:textFill>
        </w:rPr>
        <w:t>CA签章</w:t>
      </w:r>
      <w:r>
        <w:rPr>
          <w:rFonts w:hint="eastAsia" w:ascii="宋体" w:hAnsi="宋体" w:eastAsia="宋体" w:cs="宋体"/>
          <w:b/>
          <w:bCs/>
          <w:color w:val="000000" w:themeColor="text1"/>
          <w:szCs w:val="21"/>
          <w:lang w:eastAsia="zh-CN"/>
          <w14:textFill>
            <w14:solidFill>
              <w14:schemeClr w14:val="tx1"/>
            </w14:solidFill>
          </w14:textFill>
        </w:rPr>
        <w:t>）</w:t>
      </w:r>
      <w:r>
        <w:rPr>
          <w:rFonts w:hint="eastAsia" w:ascii="宋体" w:hAnsi="宋体" w:eastAsia="宋体" w:cs="宋体"/>
          <w:b/>
          <w:bCs/>
          <w:color w:val="000000" w:themeColor="text1"/>
          <w:szCs w:val="21"/>
          <w14:textFill>
            <w14:solidFill>
              <w14:schemeClr w14:val="tx1"/>
            </w14:solidFill>
          </w14:textFill>
        </w:rPr>
        <w:t>，无签字的视为</w:t>
      </w:r>
      <w:r>
        <w:rPr>
          <w:rFonts w:hint="eastAsia" w:ascii="宋体" w:hAnsi="宋体" w:eastAsia="宋体" w:cs="宋体"/>
          <w:b/>
          <w:bCs/>
          <w:color w:val="000000" w:themeColor="text1"/>
          <w:szCs w:val="21"/>
          <w:lang w:val="en-US" w:eastAsia="zh-CN"/>
          <w14:textFill>
            <w14:solidFill>
              <w14:schemeClr w14:val="tx1"/>
            </w14:solidFill>
          </w14:textFill>
        </w:rPr>
        <w:t>响应</w:t>
      </w:r>
      <w:r>
        <w:rPr>
          <w:rFonts w:hint="eastAsia" w:ascii="宋体" w:hAnsi="宋体" w:eastAsia="宋体" w:cs="宋体"/>
          <w:b/>
          <w:bCs/>
          <w:color w:val="000000" w:themeColor="text1"/>
          <w:szCs w:val="21"/>
          <w14:textFill>
            <w14:solidFill>
              <w14:schemeClr w14:val="tx1"/>
            </w14:solidFill>
          </w14:textFill>
        </w:rPr>
        <w:t>无效。</w:t>
      </w:r>
    </w:p>
    <w:p>
      <w:pPr>
        <w:pStyle w:val="5"/>
        <w:spacing w:before="0" w:after="0" w:line="360" w:lineRule="auto"/>
        <w:ind w:firstLine="420" w:firstLineChars="200"/>
        <w:jc w:val="left"/>
        <w:rPr>
          <w:rFonts w:hint="eastAsia" w:ascii="宋体" w:hAnsi="宋体" w:eastAsia="宋体" w:cs="宋体"/>
          <w:color w:val="000000" w:themeColor="text1"/>
          <w:sz w:val="21"/>
          <w:szCs w:val="21"/>
          <w:highlight w:val="none"/>
          <w14:textFill>
            <w14:solidFill>
              <w14:schemeClr w14:val="tx1"/>
            </w14:solidFill>
          </w14:textFill>
        </w:rPr>
      </w:pPr>
      <w:bookmarkStart w:id="108" w:name="_Toc2180"/>
      <w:bookmarkStart w:id="109" w:name="_Toc6845"/>
      <w:bookmarkStart w:id="110" w:name="_Toc29937"/>
      <w:r>
        <w:rPr>
          <w:rFonts w:hint="eastAsia" w:ascii="宋体" w:hAnsi="宋体" w:eastAsia="宋体" w:cs="宋体"/>
          <w:color w:val="000000" w:themeColor="text1"/>
          <w:sz w:val="21"/>
          <w:szCs w:val="21"/>
          <w:highlight w:val="none"/>
          <w14:textFill>
            <w14:solidFill>
              <w14:schemeClr w14:val="tx1"/>
            </w14:solidFill>
          </w14:textFill>
        </w:rPr>
        <w:t>12. 响应文件的语言及计量</w:t>
      </w:r>
      <w:bookmarkEnd w:id="108"/>
      <w:bookmarkEnd w:id="109"/>
      <w:bookmarkEnd w:id="110"/>
    </w:p>
    <w:p>
      <w:pPr>
        <w:spacing w:beforeLines="0" w:afterLines="0" w:line="360" w:lineRule="auto"/>
        <w:ind w:firstLine="42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12.1 响应文件以及供应商与采购代理机构就有关磋商事宜的所有来往函电，均应以中文汉语书写。供应商提交的支持文件和印刷的文献可以使用别的语言，但其相应内容必须附有中文翻译文本，在解释响应文件时以中文翻译文本为主。</w:t>
      </w:r>
    </w:p>
    <w:p>
      <w:pPr>
        <w:spacing w:beforeLines="0" w:afterLines="0" w:line="360" w:lineRule="auto"/>
        <w:ind w:firstLine="42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12.2 磋商计量单位，磋商文件已有明确规定的，使用磋商文件规定的计量单位；磋商文件没有规定的，应采用中华人民共和国法定计量单位（货币单位：人民币元），否则视同未响应。</w:t>
      </w:r>
    </w:p>
    <w:p>
      <w:pPr>
        <w:pStyle w:val="5"/>
        <w:spacing w:before="0" w:after="0" w:line="360" w:lineRule="auto"/>
        <w:ind w:firstLine="420" w:firstLineChars="200"/>
        <w:jc w:val="left"/>
        <w:rPr>
          <w:rFonts w:hint="eastAsia" w:ascii="宋体" w:hAnsi="宋体" w:eastAsia="宋体" w:cs="宋体"/>
          <w:color w:val="000000" w:themeColor="text1"/>
          <w:sz w:val="21"/>
          <w:szCs w:val="21"/>
          <w:highlight w:val="none"/>
          <w14:textFill>
            <w14:solidFill>
              <w14:schemeClr w14:val="tx1"/>
            </w14:solidFill>
          </w14:textFill>
        </w:rPr>
      </w:pPr>
      <w:bookmarkStart w:id="111" w:name="_Toc10838"/>
      <w:bookmarkStart w:id="112" w:name="_Toc30930"/>
      <w:bookmarkStart w:id="113" w:name="_Toc1085"/>
      <w:r>
        <w:rPr>
          <w:rFonts w:hint="eastAsia" w:ascii="宋体" w:hAnsi="宋体" w:eastAsia="宋体" w:cs="宋体"/>
          <w:color w:val="000000" w:themeColor="text1"/>
          <w:sz w:val="21"/>
          <w:szCs w:val="21"/>
          <w:highlight w:val="none"/>
          <w14:textFill>
            <w14:solidFill>
              <w14:schemeClr w14:val="tx1"/>
            </w14:solidFill>
          </w14:textFill>
        </w:rPr>
        <w:t>13. 磋商报价及采购预算金额</w:t>
      </w:r>
      <w:bookmarkEnd w:id="111"/>
      <w:bookmarkEnd w:id="112"/>
      <w:bookmarkEnd w:id="113"/>
    </w:p>
    <w:p>
      <w:pPr>
        <w:spacing w:beforeLines="0" w:afterLines="0" w:line="360" w:lineRule="auto"/>
        <w:ind w:firstLine="42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13.1 磋商报价应按磋商文件中相关附表格式填写。</w:t>
      </w:r>
      <w:r>
        <w:rPr>
          <w:rFonts w:hint="eastAsia" w:ascii="宋体" w:hAnsi="宋体" w:eastAsia="宋体" w:cs="宋体"/>
          <w:b/>
          <w:bCs/>
          <w:color w:val="000000" w:themeColor="text1"/>
          <w:szCs w:val="21"/>
          <w:highlight w:val="none"/>
          <w:lang w:val="en-US" w:eastAsia="zh-CN"/>
          <w14:textFill>
            <w14:solidFill>
              <w14:schemeClr w14:val="tx1"/>
            </w14:solidFill>
          </w14:textFill>
        </w:rPr>
        <w:t>预算金额：人民币壹佰肆拾万零壹仟捌佰叁拾陆元柒角叁分（¥1401836.73元）；最高限价：人民币壹佰贰拾玖万壹仟捌佰叁拾陆元柒角叁分（¥1291836.73元）</w:t>
      </w:r>
      <w:r>
        <w:rPr>
          <w:rFonts w:hint="eastAsia" w:ascii="宋体" w:hAnsi="宋体" w:eastAsia="宋体" w:cs="宋体"/>
          <w:b/>
          <w:bCs/>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供应商报价</w:t>
      </w:r>
      <w:r>
        <w:rPr>
          <w:rFonts w:hint="eastAsia" w:ascii="宋体" w:hAnsi="宋体" w:eastAsia="宋体" w:cs="宋体"/>
          <w:color w:val="000000" w:themeColor="text1"/>
          <w:kern w:val="0"/>
          <w:szCs w:val="21"/>
          <w:highlight w:val="none"/>
          <w14:textFill>
            <w14:solidFill>
              <w14:schemeClr w14:val="tx1"/>
            </w14:solidFill>
          </w14:textFill>
        </w:rPr>
        <w:t>超出采购</w:t>
      </w:r>
      <w:r>
        <w:rPr>
          <w:rFonts w:hint="eastAsia" w:ascii="宋体" w:hAnsi="宋体" w:cs="宋体"/>
          <w:color w:val="000000" w:themeColor="text1"/>
          <w:kern w:val="0"/>
          <w:szCs w:val="21"/>
          <w:highlight w:val="none"/>
          <w:lang w:val="en-US" w:eastAsia="zh-CN"/>
          <w14:textFill>
            <w14:solidFill>
              <w14:schemeClr w14:val="tx1"/>
            </w14:solidFill>
          </w14:textFill>
        </w:rPr>
        <w:t>最高限价</w:t>
      </w:r>
      <w:r>
        <w:rPr>
          <w:rFonts w:hint="eastAsia" w:ascii="宋体" w:hAnsi="宋体" w:eastAsia="宋体" w:cs="宋体"/>
          <w:color w:val="000000" w:themeColor="text1"/>
          <w:kern w:val="0"/>
          <w:szCs w:val="21"/>
          <w:highlight w:val="none"/>
          <w14:textFill>
            <w14:solidFill>
              <w14:schemeClr w14:val="tx1"/>
            </w14:solidFill>
          </w14:textFill>
        </w:rPr>
        <w:t>的，响应文件按无效处理</w:t>
      </w:r>
      <w:r>
        <w:rPr>
          <w:rFonts w:hint="eastAsia" w:ascii="宋体" w:hAnsi="宋体" w:eastAsia="宋体" w:cs="宋体"/>
          <w:color w:val="000000" w:themeColor="text1"/>
          <w:szCs w:val="21"/>
          <w:highlight w:val="none"/>
          <w14:textFill>
            <w14:solidFill>
              <w14:schemeClr w14:val="tx1"/>
            </w14:solidFill>
          </w14:textFill>
        </w:rPr>
        <w:t>。</w:t>
      </w:r>
    </w:p>
    <w:p>
      <w:pPr>
        <w:spacing w:beforeLines="0" w:afterLines="0" w:line="360" w:lineRule="auto"/>
        <w:ind w:firstLine="42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13.2供应商必须就“采购需求”中所竞所有内容作完整唯一报价，否则，其响应文件无效。响应文件只允许有一个报价，有选择的或有条件的报价将不予接受。</w:t>
      </w:r>
    </w:p>
    <w:p>
      <w:pPr>
        <w:spacing w:beforeLines="0" w:afterLines="0" w:line="360" w:lineRule="auto"/>
        <w:ind w:firstLine="42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13.3 磋商报价应包括本次采购范围内货物价款、货物随配标准附件、包装、运输、装卸、保险、税金、货到位以及调试、检验、售后服务、培训、保修及其他所有成本费用的总和；供应商综合考虑在报价中。</w:t>
      </w:r>
    </w:p>
    <w:p>
      <w:pPr>
        <w:spacing w:beforeLines="0" w:afterLines="0" w:line="360" w:lineRule="auto"/>
        <w:ind w:firstLine="420" w:firstLineChars="200"/>
        <w:jc w:val="left"/>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13.4供应商应在规定时间内在政采云系统上提交最后报价，超出评委设定的最后报价时限或其最后报价超出采购预算导致已通过评审的响应文件无效的，按供应商在提交响应文件截止时间后撤回响应文件处理。</w:t>
      </w:r>
    </w:p>
    <w:p>
      <w:pPr>
        <w:pStyle w:val="5"/>
        <w:spacing w:before="0" w:after="0" w:line="360" w:lineRule="auto"/>
        <w:ind w:firstLine="420" w:firstLineChars="200"/>
        <w:jc w:val="left"/>
        <w:rPr>
          <w:rFonts w:hint="eastAsia" w:ascii="宋体" w:hAnsi="宋体" w:eastAsia="宋体" w:cs="宋体"/>
          <w:color w:val="000000" w:themeColor="text1"/>
          <w:sz w:val="21"/>
          <w:szCs w:val="21"/>
          <w:highlight w:val="none"/>
          <w14:textFill>
            <w14:solidFill>
              <w14:schemeClr w14:val="tx1"/>
            </w14:solidFill>
          </w14:textFill>
        </w:rPr>
      </w:pPr>
      <w:bookmarkStart w:id="114" w:name="_Toc26881"/>
      <w:bookmarkStart w:id="115" w:name="_Toc27015"/>
      <w:bookmarkStart w:id="116" w:name="_Toc11090"/>
      <w:r>
        <w:rPr>
          <w:rFonts w:hint="eastAsia" w:ascii="宋体" w:hAnsi="宋体" w:eastAsia="宋体" w:cs="宋体"/>
          <w:color w:val="000000" w:themeColor="text1"/>
          <w:sz w:val="21"/>
          <w:szCs w:val="21"/>
          <w:highlight w:val="none"/>
          <w14:textFill>
            <w14:solidFill>
              <w14:schemeClr w14:val="tx1"/>
            </w14:solidFill>
          </w14:textFill>
        </w:rPr>
        <w:t>14. 响应文件有效期</w:t>
      </w:r>
      <w:bookmarkEnd w:id="114"/>
      <w:bookmarkEnd w:id="115"/>
      <w:bookmarkEnd w:id="116"/>
    </w:p>
    <w:p>
      <w:pPr>
        <w:spacing w:beforeLines="0" w:afterLines="0" w:line="360" w:lineRule="auto"/>
        <w:ind w:firstLine="42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14.1 响应文件有效期：响应文件递交截止时间之日起90天，有效期不足的响应文件将被拒绝。</w:t>
      </w:r>
    </w:p>
    <w:p>
      <w:pPr>
        <w:spacing w:beforeLines="0" w:afterLines="0" w:line="360" w:lineRule="auto"/>
        <w:ind w:firstLine="42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14.2 出现特殊情况下，需要延长响应文件有效期的，采购代理机构</w:t>
      </w:r>
      <w:r>
        <w:rPr>
          <w:rFonts w:hint="eastAsia" w:ascii="宋体" w:hAnsi="宋体" w:eastAsia="宋体" w:cs="宋体"/>
          <w:color w:val="000000" w:themeColor="text1"/>
          <w:szCs w:val="21"/>
          <w:highlight w:val="none"/>
          <w:lang w:eastAsia="zh-CN"/>
          <w14:textFill>
            <w14:solidFill>
              <w14:schemeClr w14:val="tx1"/>
            </w14:solidFill>
          </w14:textFill>
        </w:rPr>
        <w:t>书面</w:t>
      </w:r>
      <w:r>
        <w:rPr>
          <w:rFonts w:hint="eastAsia" w:ascii="宋体" w:hAnsi="宋体" w:eastAsia="宋体" w:cs="宋体"/>
          <w:color w:val="000000" w:themeColor="text1"/>
          <w:szCs w:val="21"/>
          <w:highlight w:val="none"/>
          <w14:textFill>
            <w14:solidFill>
              <w14:schemeClr w14:val="tx1"/>
            </w14:solidFill>
          </w14:textFill>
        </w:rPr>
        <w:t>通知供应商延长响应文件有效期。供应商同意延长的，但不能修改响应文件。供应商拒绝延长的，其响应文件无效。</w:t>
      </w:r>
    </w:p>
    <w:p>
      <w:pPr>
        <w:pStyle w:val="5"/>
        <w:spacing w:before="0" w:after="0" w:line="360" w:lineRule="auto"/>
        <w:ind w:firstLine="420" w:firstLineChars="200"/>
        <w:jc w:val="left"/>
        <w:rPr>
          <w:rFonts w:hint="eastAsia" w:ascii="宋体" w:hAnsi="宋体" w:eastAsia="宋体" w:cs="宋体"/>
          <w:color w:val="000000" w:themeColor="text1"/>
          <w:sz w:val="21"/>
          <w:szCs w:val="21"/>
          <w:highlight w:val="none"/>
          <w14:textFill>
            <w14:solidFill>
              <w14:schemeClr w14:val="tx1"/>
            </w14:solidFill>
          </w14:textFill>
        </w:rPr>
      </w:pPr>
      <w:bookmarkStart w:id="117" w:name="_Toc22602"/>
      <w:bookmarkStart w:id="118" w:name="_Toc24706"/>
      <w:bookmarkStart w:id="119" w:name="_Toc22679"/>
      <w:r>
        <w:rPr>
          <w:rFonts w:hint="eastAsia" w:ascii="宋体" w:hAnsi="宋体" w:eastAsia="宋体" w:cs="宋体"/>
          <w:color w:val="000000" w:themeColor="text1"/>
          <w:sz w:val="21"/>
          <w:szCs w:val="21"/>
          <w:highlight w:val="none"/>
          <w14:textFill>
            <w14:solidFill>
              <w14:schemeClr w14:val="tx1"/>
            </w14:solidFill>
          </w14:textFill>
        </w:rPr>
        <w:t>15. 保证金</w:t>
      </w:r>
      <w:bookmarkEnd w:id="117"/>
      <w:bookmarkEnd w:id="118"/>
      <w:bookmarkEnd w:id="119"/>
    </w:p>
    <w:p>
      <w:pPr>
        <w:spacing w:beforeLines="0" w:afterLines="0" w:line="360" w:lineRule="auto"/>
        <w:ind w:firstLine="420" w:firstLineChars="200"/>
        <w:jc w:val="left"/>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本项目无需缴纳磋商保证金。</w:t>
      </w:r>
    </w:p>
    <w:p>
      <w:pPr>
        <w:pStyle w:val="5"/>
        <w:spacing w:before="0" w:after="0" w:line="360" w:lineRule="auto"/>
        <w:ind w:firstLine="420" w:firstLineChars="200"/>
        <w:jc w:val="left"/>
        <w:rPr>
          <w:rFonts w:hint="eastAsia" w:ascii="宋体" w:hAnsi="宋体" w:eastAsia="宋体" w:cs="宋体"/>
          <w:color w:val="000000" w:themeColor="text1"/>
          <w:sz w:val="21"/>
          <w:szCs w:val="21"/>
          <w:highlight w:val="none"/>
          <w:lang w:eastAsia="zh-CN"/>
          <w14:textFill>
            <w14:solidFill>
              <w14:schemeClr w14:val="tx1"/>
            </w14:solidFill>
          </w14:textFill>
        </w:rPr>
      </w:pPr>
      <w:bookmarkStart w:id="120" w:name="_Toc387"/>
      <w:bookmarkStart w:id="121" w:name="_Toc8815"/>
      <w:bookmarkStart w:id="122" w:name="_Toc17645"/>
      <w:r>
        <w:rPr>
          <w:rFonts w:hint="eastAsia" w:ascii="宋体" w:hAnsi="宋体" w:eastAsia="宋体" w:cs="宋体"/>
          <w:color w:val="000000" w:themeColor="text1"/>
          <w:sz w:val="21"/>
          <w:szCs w:val="21"/>
          <w:highlight w:val="none"/>
          <w14:textFill>
            <w14:solidFill>
              <w14:schemeClr w14:val="tx1"/>
            </w14:solidFill>
          </w14:textFill>
        </w:rPr>
        <w:t>16. 竞争性</w:t>
      </w:r>
      <w:r>
        <w:rPr>
          <w:rFonts w:hint="eastAsia" w:ascii="宋体" w:hAnsi="宋体" w:eastAsia="宋体" w:cs="宋体"/>
          <w:color w:val="000000" w:themeColor="text1"/>
          <w:sz w:val="21"/>
          <w:szCs w:val="21"/>
          <w:highlight w:val="none"/>
          <w:lang w:eastAsia="zh-CN"/>
          <w14:textFill>
            <w14:solidFill>
              <w14:schemeClr w14:val="tx1"/>
            </w14:solidFill>
          </w14:textFill>
        </w:rPr>
        <w:t>磋商</w:t>
      </w:r>
      <w:r>
        <w:rPr>
          <w:rFonts w:hint="eastAsia" w:ascii="宋体" w:hAnsi="宋体" w:eastAsia="宋体" w:cs="宋体"/>
          <w:color w:val="000000" w:themeColor="text1"/>
          <w:sz w:val="21"/>
          <w:szCs w:val="21"/>
          <w:highlight w:val="none"/>
          <w14:textFill>
            <w14:solidFill>
              <w14:schemeClr w14:val="tx1"/>
            </w14:solidFill>
          </w14:textFill>
        </w:rPr>
        <w:t>响应文件的</w:t>
      </w:r>
      <w:bookmarkEnd w:id="120"/>
      <w:r>
        <w:rPr>
          <w:rFonts w:hint="eastAsia" w:ascii="宋体" w:hAnsi="宋体" w:eastAsia="宋体" w:cs="宋体"/>
          <w:color w:val="000000" w:themeColor="text1"/>
          <w:sz w:val="21"/>
          <w:szCs w:val="21"/>
          <w:highlight w:val="none"/>
          <w:lang w:eastAsia="zh-CN"/>
          <w14:textFill>
            <w14:solidFill>
              <w14:schemeClr w14:val="tx1"/>
            </w14:solidFill>
          </w14:textFill>
        </w:rPr>
        <w:t>制作</w:t>
      </w:r>
      <w:bookmarkEnd w:id="121"/>
      <w:bookmarkEnd w:id="122"/>
    </w:p>
    <w:p>
      <w:pPr>
        <w:spacing w:beforeLines="0" w:afterLines="0" w:line="360" w:lineRule="auto"/>
        <w:ind w:firstLine="42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16</w:t>
      </w:r>
      <w:r>
        <w:rPr>
          <w:rFonts w:hint="eastAsia" w:ascii="宋体" w:hAnsi="宋体" w:eastAsia="宋体" w:cs="宋体"/>
          <w:color w:val="000000" w:themeColor="text1"/>
          <w:szCs w:val="21"/>
          <w:highlight w:val="none"/>
          <w14:textFill>
            <w14:solidFill>
              <w14:schemeClr w14:val="tx1"/>
            </w14:solidFill>
          </w14:textFill>
        </w:rPr>
        <w:t>.1 电子</w:t>
      </w:r>
      <w:r>
        <w:rPr>
          <w:rFonts w:hint="eastAsia" w:ascii="宋体" w:hAnsi="宋体" w:eastAsia="宋体" w:cs="宋体"/>
          <w:color w:val="000000" w:themeColor="text1"/>
          <w:szCs w:val="21"/>
          <w:highlight w:val="none"/>
          <w:lang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响应文件中须加盖供应商公章部分均采用 CA 签章，并根据“政府采购项目电子交易管理操作指南-供应商” 及本</w:t>
      </w:r>
      <w:r>
        <w:rPr>
          <w:rFonts w:hint="eastAsia" w:ascii="宋体" w:hAnsi="宋体" w:eastAsia="宋体" w:cs="宋体"/>
          <w:color w:val="000000" w:themeColor="text1"/>
          <w:szCs w:val="21"/>
          <w:highlight w:val="none"/>
          <w:lang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文件规定的格式和顺序编制电子</w:t>
      </w:r>
      <w:r>
        <w:rPr>
          <w:rFonts w:hint="eastAsia" w:ascii="宋体" w:hAnsi="宋体" w:eastAsia="宋体" w:cs="宋体"/>
          <w:color w:val="000000" w:themeColor="text1"/>
          <w:szCs w:val="21"/>
          <w:highlight w:val="none"/>
          <w:lang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响应文件并进行关联定位，以便</w:t>
      </w:r>
      <w:r>
        <w:rPr>
          <w:rFonts w:hint="eastAsia" w:ascii="宋体" w:hAnsi="宋体" w:eastAsia="宋体" w:cs="宋体"/>
          <w:color w:val="000000" w:themeColor="text1"/>
          <w:szCs w:val="21"/>
          <w:highlight w:val="none"/>
          <w:lang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小组在评</w:t>
      </w:r>
      <w:r>
        <w:rPr>
          <w:rFonts w:hint="eastAsia" w:ascii="宋体" w:hAnsi="宋体" w:eastAsia="宋体" w:cs="宋体"/>
          <w:color w:val="000000" w:themeColor="text1"/>
          <w:szCs w:val="21"/>
          <w:highlight w:val="none"/>
          <w:lang w:val="en-US" w:eastAsia="zh-CN"/>
          <w14:textFill>
            <w14:solidFill>
              <w14:schemeClr w14:val="tx1"/>
            </w14:solidFill>
          </w14:textFill>
        </w:rPr>
        <w:t>审</w:t>
      </w:r>
      <w:r>
        <w:rPr>
          <w:rFonts w:hint="eastAsia" w:ascii="宋体" w:hAnsi="宋体" w:eastAsia="宋体" w:cs="宋体"/>
          <w:color w:val="000000" w:themeColor="text1"/>
          <w:szCs w:val="21"/>
          <w:highlight w:val="none"/>
          <w14:textFill>
            <w14:solidFill>
              <w14:schemeClr w14:val="tx1"/>
            </w14:solidFill>
          </w14:textFill>
        </w:rPr>
        <w:t>时，点击评分项可直接定位到该评分项内容。如对</w:t>
      </w:r>
      <w:r>
        <w:rPr>
          <w:rFonts w:hint="eastAsia" w:ascii="宋体" w:hAnsi="宋体" w:eastAsia="宋体" w:cs="宋体"/>
          <w:color w:val="000000" w:themeColor="text1"/>
          <w:szCs w:val="21"/>
          <w:highlight w:val="none"/>
          <w:lang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文件的某项要求，供应商的电子</w:t>
      </w:r>
      <w:r>
        <w:rPr>
          <w:rFonts w:hint="eastAsia" w:ascii="宋体" w:hAnsi="宋体" w:eastAsia="宋体" w:cs="宋体"/>
          <w:color w:val="000000" w:themeColor="text1"/>
          <w:szCs w:val="21"/>
          <w:highlight w:val="none"/>
          <w:lang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响应文件未能关联定位提供相应的内容与其对应，则</w:t>
      </w:r>
      <w:r>
        <w:rPr>
          <w:rFonts w:hint="eastAsia" w:ascii="宋体" w:hAnsi="宋体" w:eastAsia="宋体" w:cs="宋体"/>
          <w:color w:val="000000" w:themeColor="text1"/>
          <w:szCs w:val="21"/>
          <w:highlight w:val="none"/>
          <w:lang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小组在评审时如做出对供应商不利的评审由供应商自行承担。电子</w:t>
      </w:r>
      <w:r>
        <w:rPr>
          <w:rFonts w:hint="eastAsia" w:ascii="宋体" w:hAnsi="宋体" w:eastAsia="宋体" w:cs="宋体"/>
          <w:color w:val="000000" w:themeColor="text1"/>
          <w:szCs w:val="21"/>
          <w:highlight w:val="none"/>
          <w:lang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响应文件如内容不完整、编排混乱导致</w:t>
      </w:r>
      <w:r>
        <w:rPr>
          <w:rFonts w:hint="eastAsia" w:ascii="宋体" w:hAnsi="宋体" w:eastAsia="宋体" w:cs="宋体"/>
          <w:color w:val="000000" w:themeColor="text1"/>
          <w:szCs w:val="21"/>
          <w:highlight w:val="none"/>
          <w:lang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响应文件被误读、 漏读，或者在按采购文件规定的部位查找不到相关内容的，由供应商自行承担。</w:t>
      </w:r>
    </w:p>
    <w:p>
      <w:pPr>
        <w:spacing w:beforeLines="0" w:afterLines="0" w:line="360" w:lineRule="auto"/>
        <w:ind w:firstLine="42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16.2</w:t>
      </w:r>
      <w:r>
        <w:rPr>
          <w:rFonts w:hint="eastAsia" w:ascii="宋体" w:hAnsi="宋体" w:eastAsia="宋体" w:cs="宋体"/>
          <w:color w:val="000000" w:themeColor="text1"/>
          <w:szCs w:val="21"/>
          <w:highlight w:val="none"/>
          <w14:textFill>
            <w14:solidFill>
              <w14:schemeClr w14:val="tx1"/>
            </w14:solidFill>
          </w14:textFill>
        </w:rPr>
        <w:t>供应商法人（负责人）或授权代表持有政采云个人CA签章的，应在</w:t>
      </w:r>
      <w:r>
        <w:rPr>
          <w:rFonts w:hint="eastAsia" w:ascii="宋体" w:hAnsi="宋体" w:eastAsia="宋体" w:cs="宋体"/>
          <w:color w:val="000000" w:themeColor="text1"/>
          <w:szCs w:val="21"/>
          <w:highlight w:val="none"/>
          <w:lang w:eastAsia="zh-CN"/>
          <w14:textFill>
            <w14:solidFill>
              <w14:schemeClr w14:val="tx1"/>
            </w14:solidFill>
          </w14:textFill>
        </w:rPr>
        <w:t>响应</w:t>
      </w:r>
      <w:r>
        <w:rPr>
          <w:rFonts w:hint="eastAsia" w:ascii="宋体" w:hAnsi="宋体" w:eastAsia="宋体" w:cs="宋体"/>
          <w:color w:val="000000" w:themeColor="text1"/>
          <w:szCs w:val="21"/>
          <w:highlight w:val="none"/>
          <w14:textFill>
            <w14:solidFill>
              <w14:schemeClr w14:val="tx1"/>
            </w14:solidFill>
          </w14:textFill>
        </w:rPr>
        <w:t>文件中涉及到签字的位置使用个人CA签章，没有办理政采云个人CA签章的可在</w:t>
      </w:r>
      <w:r>
        <w:rPr>
          <w:rFonts w:hint="eastAsia" w:ascii="宋体" w:hAnsi="宋体" w:eastAsia="宋体" w:cs="宋体"/>
          <w:color w:val="000000" w:themeColor="text1"/>
          <w:szCs w:val="21"/>
          <w:highlight w:val="none"/>
          <w:lang w:eastAsia="zh-CN"/>
          <w14:textFill>
            <w14:solidFill>
              <w14:schemeClr w14:val="tx1"/>
            </w14:solidFill>
          </w14:textFill>
        </w:rPr>
        <w:t>响应</w:t>
      </w:r>
      <w:r>
        <w:rPr>
          <w:rFonts w:hint="eastAsia" w:ascii="宋体" w:hAnsi="宋体" w:eastAsia="宋体" w:cs="宋体"/>
          <w:color w:val="000000" w:themeColor="text1"/>
          <w:szCs w:val="21"/>
          <w:highlight w:val="none"/>
          <w14:textFill>
            <w14:solidFill>
              <w14:schemeClr w14:val="tx1"/>
            </w14:solidFill>
          </w14:textFill>
        </w:rPr>
        <w:t>文件中涉及到签字的位置手写签字后扫描或者拍照做成 PDF 的格式上传即可。</w:t>
      </w:r>
    </w:p>
    <w:p>
      <w:pPr>
        <w:spacing w:beforeLines="0" w:afterLines="0" w:line="360" w:lineRule="auto"/>
        <w:ind w:firstLine="42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16</w:t>
      </w:r>
      <w:r>
        <w:rPr>
          <w:rFonts w:hint="eastAsia" w:ascii="宋体" w:hAnsi="宋体" w:eastAsia="宋体" w:cs="宋体"/>
          <w:color w:val="000000" w:themeColor="text1"/>
          <w:szCs w:val="21"/>
          <w:highlight w:val="none"/>
          <w14:textFill>
            <w14:solidFill>
              <w14:schemeClr w14:val="tx1"/>
            </w14:solidFill>
          </w14:textFill>
        </w:rPr>
        <w:t xml:space="preserve">.3 </w:t>
      </w:r>
      <w:r>
        <w:rPr>
          <w:rFonts w:hint="eastAsia" w:ascii="宋体" w:hAnsi="宋体" w:eastAsia="宋体" w:cs="宋体"/>
          <w:color w:val="000000" w:themeColor="text1"/>
          <w:szCs w:val="21"/>
          <w:highlight w:val="none"/>
          <w:lang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响应文件不得涂改，若有修改错漏处，须法定代表人（负责人）或授权委托人签字</w:t>
      </w:r>
      <w:r>
        <w:rPr>
          <w:rFonts w:hint="eastAsia" w:ascii="宋体" w:hAnsi="宋体" w:eastAsia="宋体" w:cs="宋体"/>
          <w:color w:val="000000" w:themeColor="text1"/>
          <w:szCs w:val="21"/>
          <w:highlight w:val="none"/>
          <w:lang w:eastAsia="zh-CN"/>
          <w14:textFill>
            <w14:solidFill>
              <w14:schemeClr w14:val="tx1"/>
            </w14:solidFill>
          </w14:textFill>
        </w:rPr>
        <w:t>（或个人</w:t>
      </w:r>
      <w:r>
        <w:rPr>
          <w:rFonts w:hint="eastAsia" w:ascii="宋体" w:hAnsi="宋体" w:eastAsia="宋体" w:cs="宋体"/>
          <w:color w:val="000000" w:themeColor="text1"/>
          <w:szCs w:val="21"/>
          <w:highlight w:val="none"/>
          <w:lang w:val="en-US" w:eastAsia="zh-CN"/>
          <w14:textFill>
            <w14:solidFill>
              <w14:schemeClr w14:val="tx1"/>
            </w14:solidFill>
          </w14:textFill>
        </w:rPr>
        <w:t>CA签章）</w:t>
      </w: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lang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响应文件因字迹潦草或表达不清所引起的后果由供应商负责。</w:t>
      </w:r>
    </w:p>
    <w:p>
      <w:pPr>
        <w:spacing w:beforeLines="0" w:afterLines="0" w:line="360" w:lineRule="auto"/>
        <w:ind w:firstLine="420" w:firstLineChars="200"/>
        <w:jc w:val="left"/>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16.4</w:t>
      </w:r>
      <w:r>
        <w:rPr>
          <w:rFonts w:hint="eastAsia" w:ascii="宋体" w:hAnsi="宋体" w:eastAsia="宋体" w:cs="宋体"/>
          <w:color w:val="000000" w:themeColor="text1"/>
          <w:szCs w:val="21"/>
          <w:highlight w:val="none"/>
          <w:lang w:eastAsia="zh-CN"/>
          <w14:textFill>
            <w14:solidFill>
              <w14:schemeClr w14:val="tx1"/>
            </w14:solidFill>
          </w14:textFill>
        </w:rPr>
        <w:t xml:space="preserve">磋商前准备 </w:t>
      </w:r>
    </w:p>
    <w:p>
      <w:pPr>
        <w:spacing w:beforeLines="0" w:afterLines="0" w:line="360" w:lineRule="auto"/>
        <w:ind w:firstLine="420" w:firstLineChars="200"/>
        <w:jc w:val="left"/>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16.4.1</w:t>
      </w:r>
      <w:r>
        <w:rPr>
          <w:rFonts w:hint="eastAsia" w:ascii="宋体" w:hAnsi="宋体" w:eastAsia="宋体" w:cs="宋体"/>
          <w:color w:val="000000" w:themeColor="text1"/>
          <w:szCs w:val="21"/>
          <w:highlight w:val="none"/>
          <w:lang w:eastAsia="zh-CN"/>
          <w14:textFill>
            <w14:solidFill>
              <w14:schemeClr w14:val="tx1"/>
            </w14:solidFill>
          </w14:textFill>
        </w:rPr>
        <w:t xml:space="preserve">本项目实行在线磋商，采用电子磋商响应文件。若供应商参与磋商，自行承担磋商一切费用。 </w:t>
      </w:r>
    </w:p>
    <w:p>
      <w:pPr>
        <w:spacing w:beforeLines="0" w:afterLines="0" w:line="360" w:lineRule="auto"/>
        <w:ind w:firstLine="420" w:firstLineChars="200"/>
        <w:jc w:val="left"/>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16.4.2</w:t>
      </w:r>
      <w:r>
        <w:rPr>
          <w:rFonts w:hint="eastAsia" w:ascii="宋体" w:hAnsi="宋体" w:eastAsia="宋体" w:cs="宋体"/>
          <w:color w:val="000000" w:themeColor="text1"/>
          <w:szCs w:val="21"/>
          <w:highlight w:val="none"/>
          <w:lang w:eastAsia="zh-CN"/>
          <w14:textFill>
            <w14:solidFill>
              <w14:schemeClr w14:val="tx1"/>
            </w14:solidFill>
          </w14:textFill>
        </w:rPr>
        <w:t xml:space="preserve">各供应商应在截标前应确保成为政采云平台正式注册入库供应商，并完成 CA 数字证书申领。因未注册入库、未办理 CA 数字证书等原因造成无法磋商或磋商失败等后果由供应商自行承担。 </w:t>
      </w:r>
    </w:p>
    <w:p>
      <w:pPr>
        <w:spacing w:beforeLines="0" w:afterLines="0" w:line="360" w:lineRule="auto"/>
        <w:ind w:firstLine="420" w:firstLineChars="200"/>
        <w:jc w:val="left"/>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16.4.3</w:t>
      </w:r>
      <w:r>
        <w:rPr>
          <w:rFonts w:hint="eastAsia" w:ascii="宋体" w:hAnsi="宋体" w:eastAsia="宋体" w:cs="宋体"/>
          <w:color w:val="000000" w:themeColor="text1"/>
          <w:szCs w:val="21"/>
          <w:highlight w:val="none"/>
          <w:lang w:eastAsia="zh-CN"/>
          <w14:textFill>
            <w14:solidFill>
              <w14:schemeClr w14:val="tx1"/>
            </w14:solidFill>
          </w14:textFill>
        </w:rPr>
        <w:t>供应商将政采云电子交易客户端下载、安装完成后，可通过账号密码或 CA 登录客户端进行响应文件制作。客户端请至网站下载专区查看，如有问题可拨打政采云客户服务热线</w:t>
      </w:r>
      <w:r>
        <w:rPr>
          <w:rFonts w:hint="eastAsia" w:ascii="宋体" w:hAnsi="宋体" w:cs="宋体"/>
          <w:color w:val="000000" w:themeColor="text1"/>
          <w:szCs w:val="21"/>
          <w:highlight w:val="none"/>
          <w:lang w:eastAsia="zh-CN"/>
          <w14:textFill>
            <w14:solidFill>
              <w14:schemeClr w14:val="tx1"/>
            </w14:solidFill>
          </w14:textFill>
        </w:rPr>
        <w:t>95763</w:t>
      </w:r>
      <w:r>
        <w:rPr>
          <w:rFonts w:hint="eastAsia" w:ascii="宋体" w:hAnsi="宋体" w:eastAsia="宋体" w:cs="宋体"/>
          <w:color w:val="000000" w:themeColor="text1"/>
          <w:szCs w:val="21"/>
          <w:highlight w:val="none"/>
          <w:lang w:eastAsia="zh-CN"/>
          <w14:textFill>
            <w14:solidFill>
              <w14:schemeClr w14:val="tx1"/>
            </w14:solidFill>
          </w14:textFill>
        </w:rPr>
        <w:t xml:space="preserve"> 进行咨询。</w:t>
      </w:r>
    </w:p>
    <w:p>
      <w:pPr>
        <w:pStyle w:val="5"/>
        <w:spacing w:before="0" w:after="0" w:line="360" w:lineRule="auto"/>
        <w:ind w:firstLine="420" w:firstLineChars="200"/>
        <w:jc w:val="left"/>
        <w:rPr>
          <w:rFonts w:hint="eastAsia" w:ascii="宋体" w:hAnsi="宋体" w:eastAsia="宋体" w:cs="宋体"/>
          <w:color w:val="000000" w:themeColor="text1"/>
          <w:sz w:val="21"/>
          <w:szCs w:val="21"/>
          <w:highlight w:val="none"/>
          <w14:textFill>
            <w14:solidFill>
              <w14:schemeClr w14:val="tx1"/>
            </w14:solidFill>
          </w14:textFill>
        </w:rPr>
      </w:pPr>
      <w:bookmarkStart w:id="123" w:name="_Toc8570"/>
      <w:bookmarkStart w:id="124" w:name="_Toc20584"/>
      <w:r>
        <w:rPr>
          <w:rFonts w:hint="eastAsia" w:ascii="宋体" w:hAnsi="宋体" w:eastAsia="宋体" w:cs="宋体"/>
          <w:color w:val="000000" w:themeColor="text1"/>
          <w:sz w:val="21"/>
          <w:szCs w:val="21"/>
          <w:highlight w:val="none"/>
          <w14:textFill>
            <w14:solidFill>
              <w14:schemeClr w14:val="tx1"/>
            </w14:solidFill>
          </w14:textFill>
        </w:rPr>
        <w:t>17. 响应文件的修改和撤回</w:t>
      </w:r>
      <w:bookmarkEnd w:id="123"/>
      <w:bookmarkEnd w:id="124"/>
    </w:p>
    <w:p>
      <w:pPr>
        <w:spacing w:beforeLines="0" w:afterLines="0" w:line="360" w:lineRule="auto"/>
        <w:ind w:firstLine="420" w:firstLineChars="200"/>
        <w:jc w:val="left"/>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17.1 </w:t>
      </w:r>
      <w:r>
        <w:rPr>
          <w:rFonts w:hint="eastAsia" w:ascii="宋体" w:hAnsi="宋体" w:eastAsia="宋体" w:cs="宋体"/>
          <w:color w:val="000000" w:themeColor="text1"/>
          <w:szCs w:val="21"/>
          <w:highlight w:val="none"/>
          <w:lang w:eastAsia="zh-CN"/>
          <w14:textFill>
            <w14:solidFill>
              <w14:schemeClr w14:val="tx1"/>
            </w14:solidFill>
          </w14:textFill>
        </w:rPr>
        <w:t>响应文件递交截止时间前可以撤回电子磋商响应文件。补充或者修改电子磋商响应文件的，应当先行撤回原文件，补充、修改后重新传输递交，磋商响应文件递交截止时间前未完成传输的，视为撤回磋商响应文件。</w:t>
      </w:r>
    </w:p>
    <w:p>
      <w:pPr>
        <w:spacing w:beforeLines="0" w:afterLines="0" w:line="360" w:lineRule="auto"/>
        <w:ind w:firstLine="42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17.2 在响应文件递交截止时间后的响应文件有效期内，供应商不得撤回其响应文件。</w:t>
      </w:r>
    </w:p>
    <w:p>
      <w:pPr>
        <w:pStyle w:val="5"/>
        <w:spacing w:before="0" w:after="0" w:line="360" w:lineRule="auto"/>
        <w:ind w:firstLine="420" w:firstLineChars="200"/>
        <w:jc w:val="left"/>
        <w:rPr>
          <w:rFonts w:hint="eastAsia" w:ascii="宋体" w:hAnsi="宋体" w:eastAsia="宋体" w:cs="宋体"/>
          <w:color w:val="000000" w:themeColor="text1"/>
          <w:sz w:val="21"/>
          <w:szCs w:val="21"/>
          <w:highlight w:val="none"/>
          <w:lang w:eastAsia="zh-CN"/>
          <w14:textFill>
            <w14:solidFill>
              <w14:schemeClr w14:val="tx1"/>
            </w14:solidFill>
          </w14:textFill>
        </w:rPr>
      </w:pPr>
      <w:bookmarkStart w:id="125" w:name="_Toc27030"/>
      <w:bookmarkStart w:id="126" w:name="_Toc30156"/>
      <w:bookmarkStart w:id="127" w:name="_Toc30130"/>
      <w:r>
        <w:rPr>
          <w:rFonts w:hint="eastAsia" w:ascii="宋体" w:hAnsi="宋体" w:eastAsia="宋体" w:cs="宋体"/>
          <w:color w:val="000000" w:themeColor="text1"/>
          <w:sz w:val="21"/>
          <w:szCs w:val="21"/>
          <w:highlight w:val="none"/>
          <w14:textFill>
            <w14:solidFill>
              <w14:schemeClr w14:val="tx1"/>
            </w14:solidFill>
          </w14:textFill>
        </w:rPr>
        <w:t>18. 响应文件的递交</w:t>
      </w:r>
      <w:r>
        <w:rPr>
          <w:rFonts w:hint="eastAsia" w:ascii="宋体" w:hAnsi="宋体" w:eastAsia="宋体" w:cs="宋体"/>
          <w:color w:val="000000" w:themeColor="text1"/>
          <w:sz w:val="21"/>
          <w:szCs w:val="21"/>
          <w:highlight w:val="none"/>
          <w:lang w:eastAsia="zh-CN"/>
          <w14:textFill>
            <w14:solidFill>
              <w14:schemeClr w14:val="tx1"/>
            </w14:solidFill>
          </w14:textFill>
        </w:rPr>
        <w:t>和解密</w:t>
      </w:r>
      <w:bookmarkEnd w:id="125"/>
      <w:bookmarkEnd w:id="126"/>
      <w:bookmarkEnd w:id="127"/>
    </w:p>
    <w:p>
      <w:pPr>
        <w:spacing w:beforeLines="0" w:afterLines="0" w:line="360" w:lineRule="auto"/>
        <w:ind w:firstLine="42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18.1响应文件递交截止时间</w:t>
      </w:r>
      <w:r>
        <w:rPr>
          <w:rFonts w:hint="eastAsia" w:ascii="宋体" w:hAnsi="宋体" w:eastAsia="宋体" w:cs="宋体"/>
          <w:color w:val="000000" w:themeColor="text1"/>
          <w:szCs w:val="21"/>
          <w:highlight w:val="none"/>
          <w:lang w:eastAsia="zh-CN"/>
          <w14:textFill>
            <w14:solidFill>
              <w14:schemeClr w14:val="tx1"/>
            </w14:solidFill>
          </w14:textFill>
        </w:rPr>
        <w:t>：于</w:t>
      </w:r>
      <w:r>
        <w:rPr>
          <w:rFonts w:hint="eastAsia" w:ascii="宋体" w:hAnsi="宋体" w:cs="宋体"/>
          <w:color w:val="000000" w:themeColor="text1"/>
          <w:sz w:val="21"/>
          <w:szCs w:val="21"/>
          <w:highlight w:val="none"/>
          <w:u w:val="single"/>
          <w:lang w:eastAsia="zh-CN"/>
          <w14:textFill>
            <w14:solidFill>
              <w14:schemeClr w14:val="tx1"/>
            </w14:solidFill>
          </w14:textFill>
        </w:rPr>
        <w:t>2024年3月22日09时30分</w:t>
      </w:r>
      <w:r>
        <w:rPr>
          <w:rFonts w:hint="eastAsia" w:ascii="宋体" w:hAnsi="宋体" w:eastAsia="宋体" w:cs="宋体"/>
          <w:color w:val="000000" w:themeColor="text1"/>
          <w:szCs w:val="21"/>
          <w:highlight w:val="none"/>
          <w14:textFill>
            <w14:solidFill>
              <w14:schemeClr w14:val="tx1"/>
            </w14:solidFill>
          </w14:textFill>
        </w:rPr>
        <w:t>之前将电子磋商响应文件上传到政采云平台。应按照本项目磋商文件和政采云平台的要求编制、加密传输磋商响应文件。供应商在使用系统进行投标的过程中遇到涉及平台使用的任何问题，可致电政采云平台技术支持热线咨询，联系方式：</w:t>
      </w:r>
      <w:r>
        <w:rPr>
          <w:rFonts w:hint="eastAsia" w:ascii="宋体" w:hAnsi="宋体" w:cs="宋体"/>
          <w:color w:val="000000" w:themeColor="text1"/>
          <w:szCs w:val="21"/>
          <w:highlight w:val="none"/>
          <w:lang w:eastAsia="zh-CN"/>
          <w14:textFill>
            <w14:solidFill>
              <w14:schemeClr w14:val="tx1"/>
            </w14:solidFill>
          </w14:textFill>
        </w:rPr>
        <w:t>95763</w:t>
      </w:r>
      <w:r>
        <w:rPr>
          <w:rFonts w:hint="eastAsia" w:ascii="宋体" w:hAnsi="宋体" w:eastAsia="宋体" w:cs="宋体"/>
          <w:color w:val="000000" w:themeColor="text1"/>
          <w:szCs w:val="21"/>
          <w:highlight w:val="none"/>
          <w14:textFill>
            <w14:solidFill>
              <w14:schemeClr w14:val="tx1"/>
            </w14:solidFill>
          </w14:textFill>
        </w:rPr>
        <w:t>。</w:t>
      </w:r>
    </w:p>
    <w:p>
      <w:pPr>
        <w:spacing w:beforeLines="0" w:afterLines="0" w:line="360" w:lineRule="auto"/>
        <w:ind w:firstLine="42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18.2磋商响应文件解密时间：截标时间后</w:t>
      </w:r>
      <w:r>
        <w:rPr>
          <w:rFonts w:hint="eastAsia" w:ascii="宋体" w:hAnsi="宋体" w:eastAsia="宋体" w:cs="宋体"/>
          <w:color w:val="000000" w:themeColor="text1"/>
          <w:szCs w:val="21"/>
          <w:highlight w:val="none"/>
          <w:u w:val="single"/>
          <w14:textFill>
            <w14:solidFill>
              <w14:schemeClr w14:val="tx1"/>
            </w14:solidFill>
          </w14:textFill>
        </w:rPr>
        <w:t>30</w:t>
      </w:r>
      <w:r>
        <w:rPr>
          <w:rFonts w:hint="eastAsia" w:ascii="宋体" w:hAnsi="宋体" w:eastAsia="宋体" w:cs="宋体"/>
          <w:color w:val="000000" w:themeColor="text1"/>
          <w:szCs w:val="21"/>
          <w:highlight w:val="none"/>
          <w14:textFill>
            <w14:solidFill>
              <w14:schemeClr w14:val="tx1"/>
            </w14:solidFill>
          </w14:textFill>
        </w:rPr>
        <w:t>分钟内（</w:t>
      </w:r>
      <w:r>
        <w:rPr>
          <w:rFonts w:hint="eastAsia" w:ascii="宋体" w:hAnsi="宋体" w:cs="宋体"/>
          <w:color w:val="000000" w:themeColor="text1"/>
          <w:sz w:val="21"/>
          <w:szCs w:val="21"/>
          <w:highlight w:val="none"/>
          <w:u w:val="single"/>
          <w:lang w:eastAsia="zh-CN"/>
          <w14:textFill>
            <w14:solidFill>
              <w14:schemeClr w14:val="tx1"/>
            </w14:solidFill>
          </w14:textFill>
        </w:rPr>
        <w:t>2024年3月22日09时30分</w:t>
      </w:r>
      <w:r>
        <w:rPr>
          <w:rFonts w:hint="eastAsia" w:ascii="宋体" w:hAnsi="宋体" w:eastAsia="宋体" w:cs="宋体"/>
          <w:color w:val="000000" w:themeColor="text1"/>
          <w:szCs w:val="21"/>
          <w:highlight w:val="none"/>
          <w:u w:val="single"/>
          <w14:textFill>
            <w14:solidFill>
              <w14:schemeClr w14:val="tx1"/>
            </w14:solidFill>
          </w14:textFill>
        </w:rPr>
        <w:t>至</w:t>
      </w:r>
      <w:r>
        <w:rPr>
          <w:rFonts w:hint="eastAsia" w:ascii="宋体" w:hAnsi="宋体" w:cs="宋体"/>
          <w:color w:val="000000" w:themeColor="text1"/>
          <w:szCs w:val="21"/>
          <w:highlight w:val="none"/>
          <w:u w:val="single"/>
          <w:lang w:val="en-US" w:eastAsia="zh-CN"/>
          <w14:textFill>
            <w14:solidFill>
              <w14:schemeClr w14:val="tx1"/>
            </w14:solidFill>
          </w14:textFill>
        </w:rPr>
        <w:t>10</w:t>
      </w:r>
      <w:r>
        <w:rPr>
          <w:rFonts w:hint="eastAsia" w:ascii="宋体" w:hAnsi="宋体" w:eastAsia="宋体" w:cs="宋体"/>
          <w:color w:val="000000" w:themeColor="text1"/>
          <w:szCs w:val="21"/>
          <w:highlight w:val="none"/>
          <w:u w:val="single"/>
          <w14:textFill>
            <w14:solidFill>
              <w14:schemeClr w14:val="tx1"/>
            </w14:solidFill>
          </w14:textFill>
        </w:rPr>
        <w:t>时</w:t>
      </w:r>
      <w:r>
        <w:rPr>
          <w:rFonts w:hint="eastAsia" w:ascii="宋体" w:hAnsi="宋体" w:cs="宋体"/>
          <w:color w:val="000000" w:themeColor="text1"/>
          <w:szCs w:val="21"/>
          <w:highlight w:val="none"/>
          <w:u w:val="single"/>
          <w:lang w:val="en-US" w:eastAsia="zh-CN"/>
          <w14:textFill>
            <w14:solidFill>
              <w14:schemeClr w14:val="tx1"/>
            </w14:solidFill>
          </w14:textFill>
        </w:rPr>
        <w:t>00</w:t>
      </w:r>
      <w:r>
        <w:rPr>
          <w:rFonts w:hint="eastAsia" w:ascii="宋体" w:hAnsi="宋体" w:eastAsia="宋体" w:cs="宋体"/>
          <w:color w:val="000000" w:themeColor="text1"/>
          <w:szCs w:val="21"/>
          <w:highlight w:val="none"/>
          <w:u w:val="single"/>
          <w14:textFill>
            <w14:solidFill>
              <w14:schemeClr w14:val="tx1"/>
            </w14:solidFill>
          </w14:textFill>
        </w:rPr>
        <w:t>分</w:t>
      </w:r>
      <w:r>
        <w:rPr>
          <w:rFonts w:hint="eastAsia" w:ascii="宋体" w:hAnsi="宋体" w:eastAsia="宋体" w:cs="宋体"/>
          <w:color w:val="000000" w:themeColor="text1"/>
          <w:szCs w:val="21"/>
          <w:highlight w:val="none"/>
          <w14:textFill>
            <w14:solidFill>
              <w14:schemeClr w14:val="tx1"/>
            </w14:solidFill>
          </w14:textFill>
        </w:rPr>
        <w:t>)磋商供应商可以登录政采云平台，用“项目采购-开标评标”功能进行解密磋商文件。</w:t>
      </w:r>
    </w:p>
    <w:p>
      <w:pPr>
        <w:spacing w:beforeLines="0" w:afterLines="0" w:line="360" w:lineRule="auto"/>
        <w:ind w:firstLine="420" w:firstLineChars="200"/>
        <w:jc w:val="left"/>
        <w:rPr>
          <w:rFonts w:hint="eastAsia" w:ascii="宋体" w:hAnsi="宋体" w:eastAsia="宋体" w:cs="宋体"/>
          <w:b/>
          <w:bCs/>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2"/>
          <w:sz w:val="21"/>
          <w:szCs w:val="21"/>
          <w:lang w:val="en-US" w:eastAsia="zh-CN" w:bidi="ar-SA"/>
          <w14:textFill>
            <w14:solidFill>
              <w14:schemeClr w14:val="tx1"/>
            </w14:solidFill>
          </w14:textFill>
        </w:rPr>
        <w:t>注：响应文件网上递交截止时间后，各供应商须在解密时限内对上传政采云的响应文件进行解密，所有供应商在规定的解密时限内解密完成或解密时限结束后，我中心开启已解密的响应文件。供应商超过解密时限未解密的，系统默认自动放弃，造成响应无效的后果由供应商自行承担。</w:t>
      </w:r>
    </w:p>
    <w:p>
      <w:pPr>
        <w:spacing w:beforeLines="0" w:afterLines="0" w:line="360" w:lineRule="auto"/>
        <w:ind w:firstLine="42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18.3 除竞争性磋商文件另有规定外，供应商所递交的响应文件不予退还。</w:t>
      </w:r>
    </w:p>
    <w:p>
      <w:pPr>
        <w:spacing w:beforeLines="0" w:afterLines="0" w:line="360" w:lineRule="auto"/>
        <w:ind w:firstLine="42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 xml:space="preserve">18.4 </w:t>
      </w:r>
      <w:r>
        <w:rPr>
          <w:rFonts w:hint="eastAsia" w:ascii="宋体" w:hAnsi="宋体" w:eastAsia="宋体" w:cs="宋体"/>
          <w:color w:val="000000" w:themeColor="text1"/>
          <w:szCs w:val="21"/>
          <w:highlight w:val="none"/>
          <w14:textFill>
            <w14:solidFill>
              <w14:schemeClr w14:val="tx1"/>
            </w14:solidFill>
          </w14:textFill>
        </w:rPr>
        <w:t>电子响应文件的相关说明</w:t>
      </w:r>
    </w:p>
    <w:p>
      <w:pPr>
        <w:spacing w:beforeLines="0" w:afterLines="0" w:line="360" w:lineRule="auto"/>
        <w:ind w:firstLine="42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（1）供应商进行电子投标应安装客户端软件，并按照采购文件和</w:t>
      </w:r>
      <w:r>
        <w:rPr>
          <w:rFonts w:hint="eastAsia" w:ascii="宋体" w:hAnsi="宋体" w:eastAsia="宋体" w:cs="宋体"/>
          <w:color w:val="000000" w:themeColor="text1"/>
          <w:szCs w:val="21"/>
          <w:highlight w:val="none"/>
          <w:lang w:eastAsia="zh-CN"/>
          <w14:textFill>
            <w14:solidFill>
              <w14:schemeClr w14:val="tx1"/>
            </w14:solidFill>
          </w14:textFill>
        </w:rPr>
        <w:t>政采云平台</w:t>
      </w:r>
      <w:r>
        <w:rPr>
          <w:rFonts w:hint="eastAsia" w:ascii="宋体" w:hAnsi="宋体" w:eastAsia="宋体" w:cs="宋体"/>
          <w:color w:val="000000" w:themeColor="text1"/>
          <w:szCs w:val="21"/>
          <w:highlight w:val="none"/>
          <w14:textFill>
            <w14:solidFill>
              <w14:schemeClr w14:val="tx1"/>
            </w14:solidFill>
          </w14:textFill>
        </w:rPr>
        <w:t>的要求编制并加密</w:t>
      </w:r>
      <w:r>
        <w:rPr>
          <w:rFonts w:hint="eastAsia" w:ascii="宋体" w:hAnsi="宋体" w:eastAsia="宋体" w:cs="宋体"/>
          <w:color w:val="000000" w:themeColor="text1"/>
          <w:szCs w:val="21"/>
          <w:highlight w:val="none"/>
          <w:lang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响应文件。供应商未按规定加密的</w:t>
      </w:r>
      <w:r>
        <w:rPr>
          <w:rFonts w:hint="eastAsia" w:ascii="宋体" w:hAnsi="宋体" w:eastAsia="宋体" w:cs="宋体"/>
          <w:color w:val="000000" w:themeColor="text1"/>
          <w:szCs w:val="21"/>
          <w:highlight w:val="none"/>
          <w:lang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响应文件，</w:t>
      </w:r>
      <w:r>
        <w:rPr>
          <w:rFonts w:hint="eastAsia" w:ascii="宋体" w:hAnsi="宋体" w:eastAsia="宋体" w:cs="宋体"/>
          <w:color w:val="000000" w:themeColor="text1"/>
          <w:szCs w:val="21"/>
          <w:highlight w:val="none"/>
          <w:lang w:eastAsia="zh-CN"/>
          <w14:textFill>
            <w14:solidFill>
              <w14:schemeClr w14:val="tx1"/>
            </w14:solidFill>
          </w14:textFill>
        </w:rPr>
        <w:t>政采云平台</w:t>
      </w:r>
      <w:r>
        <w:rPr>
          <w:rFonts w:hint="eastAsia" w:ascii="宋体" w:hAnsi="宋体" w:eastAsia="宋体" w:cs="宋体"/>
          <w:color w:val="000000" w:themeColor="text1"/>
          <w:szCs w:val="21"/>
          <w:highlight w:val="none"/>
          <w14:textFill>
            <w14:solidFill>
              <w14:schemeClr w14:val="tx1"/>
            </w14:solidFill>
          </w14:textFill>
        </w:rPr>
        <w:t>将拒收。供应商应当在</w:t>
      </w:r>
      <w:r>
        <w:rPr>
          <w:rFonts w:hint="eastAsia" w:ascii="宋体" w:hAnsi="宋体" w:eastAsia="宋体" w:cs="宋体"/>
          <w:color w:val="000000" w:themeColor="text1"/>
          <w:szCs w:val="21"/>
          <w:highlight w:val="none"/>
          <w:lang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截止时间前完成</w:t>
      </w:r>
      <w:r>
        <w:rPr>
          <w:rFonts w:hint="eastAsia" w:ascii="宋体" w:hAnsi="宋体" w:eastAsia="宋体" w:cs="宋体"/>
          <w:color w:val="000000" w:themeColor="text1"/>
          <w:szCs w:val="21"/>
          <w:highlight w:val="none"/>
          <w:lang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响应文件的传输递交，并可以补充、修改或者撤回</w:t>
      </w:r>
      <w:r>
        <w:rPr>
          <w:rFonts w:hint="eastAsia" w:ascii="宋体" w:hAnsi="宋体" w:eastAsia="宋体" w:cs="宋体"/>
          <w:color w:val="000000" w:themeColor="text1"/>
          <w:szCs w:val="21"/>
          <w:highlight w:val="none"/>
          <w:lang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响应文件。补充或者修改</w:t>
      </w:r>
      <w:r>
        <w:rPr>
          <w:rFonts w:hint="eastAsia" w:ascii="宋体" w:hAnsi="宋体" w:eastAsia="宋体" w:cs="宋体"/>
          <w:color w:val="000000" w:themeColor="text1"/>
          <w:szCs w:val="21"/>
          <w:highlight w:val="none"/>
          <w:lang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响应文件的，应当先行撤回原文件，补充、修改后重新传输递交。</w:t>
      </w:r>
      <w:r>
        <w:rPr>
          <w:rFonts w:hint="eastAsia" w:ascii="宋体" w:hAnsi="宋体" w:eastAsia="宋体" w:cs="宋体"/>
          <w:color w:val="000000" w:themeColor="text1"/>
          <w:szCs w:val="21"/>
          <w:highlight w:val="none"/>
          <w:lang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截止时间前未完成传输的，视为撤回</w:t>
      </w:r>
      <w:r>
        <w:rPr>
          <w:rFonts w:hint="eastAsia" w:ascii="宋体" w:hAnsi="宋体" w:eastAsia="宋体" w:cs="宋体"/>
          <w:color w:val="000000" w:themeColor="text1"/>
          <w:szCs w:val="21"/>
          <w:highlight w:val="none"/>
          <w:lang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响应文件。</w:t>
      </w:r>
      <w:r>
        <w:rPr>
          <w:rFonts w:hint="eastAsia" w:ascii="宋体" w:hAnsi="宋体" w:eastAsia="宋体" w:cs="宋体"/>
          <w:color w:val="000000" w:themeColor="text1"/>
          <w:szCs w:val="21"/>
          <w:highlight w:val="none"/>
          <w:lang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截止时间后递交的</w:t>
      </w:r>
      <w:r>
        <w:rPr>
          <w:rFonts w:hint="eastAsia" w:ascii="宋体" w:hAnsi="宋体" w:eastAsia="宋体" w:cs="宋体"/>
          <w:color w:val="000000" w:themeColor="text1"/>
          <w:szCs w:val="21"/>
          <w:highlight w:val="none"/>
          <w:lang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响应文件，</w:t>
      </w:r>
      <w:r>
        <w:rPr>
          <w:rFonts w:hint="eastAsia" w:ascii="宋体" w:hAnsi="宋体" w:eastAsia="宋体" w:cs="宋体"/>
          <w:color w:val="000000" w:themeColor="text1"/>
          <w:szCs w:val="21"/>
          <w:highlight w:val="none"/>
          <w:lang w:eastAsia="zh-CN"/>
          <w14:textFill>
            <w14:solidFill>
              <w14:schemeClr w14:val="tx1"/>
            </w14:solidFill>
          </w14:textFill>
        </w:rPr>
        <w:t>政采云平台</w:t>
      </w:r>
      <w:r>
        <w:rPr>
          <w:rFonts w:hint="eastAsia" w:ascii="宋体" w:hAnsi="宋体" w:eastAsia="宋体" w:cs="宋体"/>
          <w:color w:val="000000" w:themeColor="text1"/>
          <w:szCs w:val="21"/>
          <w:highlight w:val="none"/>
          <w14:textFill>
            <w14:solidFill>
              <w14:schemeClr w14:val="tx1"/>
            </w14:solidFill>
          </w14:textFill>
        </w:rPr>
        <w:t xml:space="preserve">将拒收。 </w:t>
      </w:r>
    </w:p>
    <w:p>
      <w:pPr>
        <w:spacing w:beforeLines="0" w:afterLines="0" w:line="360" w:lineRule="auto"/>
        <w:ind w:firstLine="420" w:firstLineChars="200"/>
        <w:jc w:val="left"/>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（2）如有特殊情况，采购代理机构延长截止时间和开标时间，采购代理机构和供应商的权利和义务将受到新的截止时间和开标时间的约束。</w:t>
      </w:r>
    </w:p>
    <w:p>
      <w:pPr>
        <w:pStyle w:val="4"/>
        <w:jc w:val="center"/>
        <w:rPr>
          <w:rFonts w:hint="eastAsia" w:ascii="宋体" w:hAnsi="宋体" w:eastAsia="宋体" w:cs="宋体"/>
          <w:b/>
          <w:bCs w:val="0"/>
          <w:color w:val="000000" w:themeColor="text1"/>
          <w:szCs w:val="28"/>
          <w:highlight w:val="none"/>
          <w14:textFill>
            <w14:solidFill>
              <w14:schemeClr w14:val="tx1"/>
            </w14:solidFill>
          </w14:textFill>
        </w:rPr>
      </w:pPr>
      <w:bookmarkStart w:id="128" w:name="_Toc18044"/>
      <w:bookmarkStart w:id="129" w:name="_Toc2433"/>
      <w:bookmarkStart w:id="130" w:name="_Toc17171"/>
      <w:r>
        <w:rPr>
          <w:rFonts w:hint="eastAsia" w:ascii="宋体" w:hAnsi="宋体" w:eastAsia="宋体" w:cs="宋体"/>
          <w:b/>
          <w:bCs w:val="0"/>
          <w:color w:val="000000" w:themeColor="text1"/>
          <w:szCs w:val="28"/>
          <w:highlight w:val="none"/>
          <w14:textFill>
            <w14:solidFill>
              <w14:schemeClr w14:val="tx1"/>
            </w14:solidFill>
          </w14:textFill>
        </w:rPr>
        <w:t>四、竞争性磋商（简称磋商）与评审</w:t>
      </w:r>
      <w:bookmarkEnd w:id="128"/>
      <w:bookmarkEnd w:id="129"/>
      <w:bookmarkEnd w:id="130"/>
    </w:p>
    <w:p>
      <w:pPr>
        <w:pStyle w:val="5"/>
        <w:spacing w:before="0" w:after="0"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bookmarkStart w:id="131" w:name="_Toc16714"/>
      <w:bookmarkStart w:id="132" w:name="_Toc31588"/>
      <w:bookmarkStart w:id="133" w:name="_Toc9694"/>
      <w:r>
        <w:rPr>
          <w:rFonts w:hint="eastAsia" w:ascii="宋体" w:hAnsi="宋体" w:eastAsia="宋体" w:cs="宋体"/>
          <w:color w:val="000000" w:themeColor="text1"/>
          <w:sz w:val="21"/>
          <w:szCs w:val="21"/>
          <w:highlight w:val="none"/>
          <w14:textFill>
            <w14:solidFill>
              <w14:schemeClr w14:val="tx1"/>
            </w14:solidFill>
          </w14:textFill>
        </w:rPr>
        <w:t>19. 磋商小组组成及磋商时间、地点、人员</w:t>
      </w:r>
      <w:bookmarkEnd w:id="131"/>
      <w:bookmarkEnd w:id="132"/>
      <w:bookmarkEnd w:id="133"/>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19.1 磋商小组组成：</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磋商及评审工作由采购代理机构负责组织，具体磋商、评审工作由依法组建的磋商小组负责，磋商小组由采购人代表和</w:t>
      </w:r>
      <w:r>
        <w:rPr>
          <w:rFonts w:hint="eastAsia" w:ascii="宋体" w:hAnsi="宋体" w:cs="宋体"/>
          <w:color w:val="000000" w:themeColor="text1"/>
          <w:szCs w:val="21"/>
          <w:highlight w:val="none"/>
          <w:lang w:eastAsia="zh-CN"/>
          <w14:textFill>
            <w14:solidFill>
              <w14:schemeClr w14:val="tx1"/>
            </w14:solidFill>
          </w14:textFill>
        </w:rPr>
        <w:t>评审</w:t>
      </w:r>
      <w:r>
        <w:rPr>
          <w:rFonts w:hint="eastAsia" w:ascii="宋体" w:hAnsi="宋体" w:eastAsia="宋体" w:cs="宋体"/>
          <w:color w:val="000000" w:themeColor="text1"/>
          <w:szCs w:val="21"/>
          <w:highlight w:val="none"/>
          <w14:textFill>
            <w14:solidFill>
              <w14:schemeClr w14:val="tx1"/>
            </w14:solidFill>
          </w14:textFill>
        </w:rPr>
        <w:t>专家组成。磋商小组的构成：</w:t>
      </w:r>
      <w:r>
        <w:rPr>
          <w:rFonts w:hint="eastAsia" w:ascii="宋体" w:hAnsi="宋体" w:eastAsia="宋体" w:cs="宋体"/>
          <w:color w:val="000000" w:themeColor="text1"/>
          <w:szCs w:val="21"/>
          <w:highlight w:val="none"/>
          <w:u w:val="single"/>
          <w14:textFill>
            <w14:solidFill>
              <w14:schemeClr w14:val="tx1"/>
            </w14:solidFill>
          </w14:textFill>
        </w:rPr>
        <w:t xml:space="preserve"> 3 </w:t>
      </w:r>
      <w:r>
        <w:rPr>
          <w:rFonts w:hint="eastAsia" w:ascii="宋体" w:hAnsi="宋体" w:eastAsia="宋体" w:cs="宋体"/>
          <w:color w:val="000000" w:themeColor="text1"/>
          <w:szCs w:val="21"/>
          <w:highlight w:val="none"/>
          <w14:textFill>
            <w14:solidFill>
              <w14:schemeClr w14:val="tx1"/>
            </w14:solidFill>
          </w14:textFill>
        </w:rPr>
        <w:t>人，其中采购人代表</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u w:val="single"/>
          <w:lang w:val="en-US" w:eastAsia="zh-CN"/>
          <w14:textFill>
            <w14:solidFill>
              <w14:schemeClr w14:val="tx1"/>
            </w14:solidFill>
          </w14:textFill>
        </w:rPr>
        <w:t xml:space="preserve">1 </w:t>
      </w:r>
      <w:r>
        <w:rPr>
          <w:rFonts w:hint="eastAsia" w:ascii="宋体" w:hAnsi="宋体" w:eastAsia="宋体" w:cs="宋体"/>
          <w:color w:val="000000" w:themeColor="text1"/>
          <w:szCs w:val="21"/>
          <w:highlight w:val="none"/>
          <w14:textFill>
            <w14:solidFill>
              <w14:schemeClr w14:val="tx1"/>
            </w14:solidFill>
          </w14:textFill>
        </w:rPr>
        <w:t>人， 专家</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u w:val="single"/>
          <w:lang w:val="en-US" w:eastAsia="zh-CN"/>
          <w14:textFill>
            <w14:solidFill>
              <w14:schemeClr w14:val="tx1"/>
            </w14:solidFill>
          </w14:textFill>
        </w:rPr>
        <w:t xml:space="preserve">2 </w:t>
      </w:r>
      <w:r>
        <w:rPr>
          <w:rFonts w:hint="eastAsia" w:ascii="宋体" w:hAnsi="宋体" w:eastAsia="宋体" w:cs="宋体"/>
          <w:color w:val="000000" w:themeColor="text1"/>
          <w:szCs w:val="21"/>
          <w:highlight w:val="none"/>
          <w14:textFill>
            <w14:solidFill>
              <w14:schemeClr w14:val="tx1"/>
            </w14:solidFill>
          </w14:textFill>
        </w:rPr>
        <w:t>人。</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19.2 磋商时间、地点、人员：</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bookmarkStart w:id="134" w:name="_Toc9878"/>
      <w:r>
        <w:rPr>
          <w:rFonts w:hint="eastAsia" w:ascii="宋体" w:hAnsi="宋体" w:eastAsia="宋体" w:cs="宋体"/>
          <w:color w:val="000000" w:themeColor="text1"/>
          <w:szCs w:val="21"/>
          <w:highlight w:val="none"/>
          <w14:textFill>
            <w14:solidFill>
              <w14:schemeClr w14:val="tx1"/>
            </w14:solidFill>
          </w14:textFill>
        </w:rPr>
        <w:t>19.2.1磋商时间：响应文件递交截止时间后。</w:t>
      </w:r>
      <w:bookmarkEnd w:id="134"/>
    </w:p>
    <w:p>
      <w:pPr>
        <w:spacing w:line="360" w:lineRule="auto"/>
        <w:ind w:firstLine="420" w:firstLineChars="200"/>
        <w:rPr>
          <w:rFonts w:hint="eastAsia" w:ascii="宋体" w:hAnsi="宋体" w:eastAsia="宋体" w:cs="宋体"/>
          <w:color w:val="000000" w:themeColor="text1"/>
          <w:szCs w:val="21"/>
          <w:highlight w:val="none"/>
          <w:lang w:eastAsia="zh-CN"/>
          <w14:textFill>
            <w14:solidFill>
              <w14:schemeClr w14:val="tx1"/>
            </w14:solidFill>
          </w14:textFill>
        </w:rPr>
      </w:pPr>
      <w:bookmarkStart w:id="135" w:name="_Toc29268"/>
      <w:r>
        <w:rPr>
          <w:rFonts w:hint="eastAsia" w:ascii="宋体" w:hAnsi="宋体" w:eastAsia="宋体" w:cs="宋体"/>
          <w:color w:val="000000" w:themeColor="text1"/>
          <w:szCs w:val="21"/>
          <w:highlight w:val="none"/>
          <w:lang w:val="en-US" w:eastAsia="zh-CN"/>
          <w14:textFill>
            <w14:solidFill>
              <w14:schemeClr w14:val="tx1"/>
            </w14:solidFill>
          </w14:textFill>
        </w:rPr>
        <w:t>19.2.2磋商地点</w:t>
      </w:r>
      <w:r>
        <w:rPr>
          <w:rFonts w:hint="eastAsia" w:ascii="宋体" w:hAnsi="宋体" w:eastAsia="宋体" w:cs="宋体"/>
          <w:color w:val="000000" w:themeColor="text1"/>
          <w:szCs w:val="21"/>
          <w:highlight w:val="none"/>
          <w14:textFill>
            <w14:solidFill>
              <w14:schemeClr w14:val="tx1"/>
            </w14:solidFill>
          </w14:textFill>
        </w:rPr>
        <w:t>：</w:t>
      </w:r>
      <w:bookmarkEnd w:id="135"/>
      <w:r>
        <w:rPr>
          <w:rFonts w:hint="eastAsia" w:ascii="宋体" w:hAnsi="宋体" w:eastAsia="宋体" w:cs="宋体"/>
          <w:color w:val="000000" w:themeColor="text1"/>
          <w:szCs w:val="21"/>
          <w:highlight w:val="none"/>
          <w14:textFill>
            <w14:solidFill>
              <w14:schemeClr w14:val="tx1"/>
            </w14:solidFill>
          </w14:textFill>
        </w:rPr>
        <w:t>本项目需要磋商供应商代表在截标当天截标后，按磋商小组要求及时登陆政采云平台等候在线磋商</w:t>
      </w:r>
      <w:r>
        <w:rPr>
          <w:rFonts w:hint="eastAsia" w:ascii="宋体" w:hAnsi="宋体" w:eastAsia="宋体" w:cs="宋体"/>
          <w:color w:val="000000" w:themeColor="text1"/>
          <w:szCs w:val="21"/>
          <w:highlight w:val="none"/>
          <w:lang w:eastAsia="zh-CN"/>
          <w14:textFill>
            <w14:solidFill>
              <w14:schemeClr w14:val="tx1"/>
            </w14:solidFill>
          </w14:textFill>
        </w:rPr>
        <w:t>。</w:t>
      </w:r>
    </w:p>
    <w:p>
      <w:pPr>
        <w:spacing w:line="360" w:lineRule="auto"/>
        <w:ind w:firstLine="420" w:firstLineChars="200"/>
        <w:rPr>
          <w:rFonts w:hint="eastAsia" w:ascii="宋体" w:hAnsi="宋体" w:eastAsia="宋体" w:cs="宋体"/>
          <w:b w:val="0"/>
          <w:bCs/>
          <w:color w:val="000000" w:themeColor="text1"/>
          <w:sz w:val="21"/>
          <w:szCs w:val="21"/>
          <w:highlight w:val="none"/>
          <w14:textFill>
            <w14:solidFill>
              <w14:schemeClr w14:val="tx1"/>
            </w14:solidFill>
          </w14:textFill>
        </w:rPr>
      </w:pPr>
      <w:bookmarkStart w:id="136" w:name="_Toc21307"/>
      <w:r>
        <w:rPr>
          <w:rFonts w:hint="eastAsia" w:ascii="宋体" w:hAnsi="宋体" w:eastAsia="宋体" w:cs="宋体"/>
          <w:color w:val="000000" w:themeColor="text1"/>
          <w:szCs w:val="21"/>
          <w:highlight w:val="none"/>
          <w14:textFill>
            <w14:solidFill>
              <w14:schemeClr w14:val="tx1"/>
            </w14:solidFill>
          </w14:textFill>
        </w:rPr>
        <w:t>19</w:t>
      </w:r>
      <w:r>
        <w:rPr>
          <w:rFonts w:hint="eastAsia" w:ascii="宋体" w:hAnsi="宋体" w:eastAsia="宋体" w:cs="宋体"/>
          <w:b w:val="0"/>
          <w:bCs/>
          <w:color w:val="000000" w:themeColor="text1"/>
          <w:sz w:val="21"/>
          <w:szCs w:val="21"/>
          <w:highlight w:val="none"/>
          <w14:textFill>
            <w14:solidFill>
              <w14:schemeClr w14:val="tx1"/>
            </w14:solidFill>
          </w14:textFill>
        </w:rPr>
        <w:t>.2.3磋商参加人员：供应商法定代表人、负责人、自然人或相应的委托代理人持</w:t>
      </w:r>
      <w:r>
        <w:rPr>
          <w:rFonts w:hint="eastAsia" w:ascii="宋体" w:hAnsi="宋体" w:eastAsia="宋体" w:cs="宋体"/>
          <w:b w:val="0"/>
          <w:bCs/>
          <w:color w:val="000000" w:themeColor="text1"/>
          <w:sz w:val="21"/>
          <w:szCs w:val="21"/>
          <w:highlight w:val="none"/>
          <w:u w:val="single"/>
          <w14:textFill>
            <w14:solidFill>
              <w14:schemeClr w14:val="tx1"/>
            </w14:solidFill>
          </w14:textFill>
        </w:rPr>
        <w:t>有效身份证原件</w:t>
      </w:r>
      <w:r>
        <w:rPr>
          <w:rFonts w:hint="eastAsia" w:ascii="宋体" w:hAnsi="宋体" w:eastAsia="宋体" w:cs="宋体"/>
          <w:b w:val="0"/>
          <w:bCs/>
          <w:color w:val="000000" w:themeColor="text1"/>
          <w:sz w:val="21"/>
          <w:szCs w:val="21"/>
          <w:highlight w:val="none"/>
          <w14:textFill>
            <w14:solidFill>
              <w14:schemeClr w14:val="tx1"/>
            </w14:solidFill>
          </w14:textFill>
        </w:rPr>
        <w:t>和供应商</w:t>
      </w:r>
      <w:r>
        <w:rPr>
          <w:rFonts w:hint="eastAsia" w:ascii="宋体" w:hAnsi="宋体" w:eastAsia="宋体" w:cs="宋体"/>
          <w:b w:val="0"/>
          <w:bCs/>
          <w:color w:val="000000" w:themeColor="text1"/>
          <w:sz w:val="21"/>
          <w:szCs w:val="21"/>
          <w:highlight w:val="none"/>
          <w:u w:val="single"/>
          <w14:textFill>
            <w14:solidFill>
              <w14:schemeClr w14:val="tx1"/>
            </w14:solidFill>
          </w14:textFill>
        </w:rPr>
        <w:t>政采云平台CA数字证书</w:t>
      </w:r>
      <w:r>
        <w:rPr>
          <w:rFonts w:hint="eastAsia" w:ascii="宋体" w:hAnsi="宋体" w:eastAsia="宋体" w:cs="宋体"/>
          <w:b w:val="0"/>
          <w:bCs/>
          <w:color w:val="000000" w:themeColor="text1"/>
          <w:sz w:val="21"/>
          <w:szCs w:val="21"/>
          <w:highlight w:val="none"/>
          <w14:textFill>
            <w14:solidFill>
              <w14:schemeClr w14:val="tx1"/>
            </w14:solidFill>
          </w14:textFill>
        </w:rPr>
        <w:t>参加磋商。请供应商按时到达指定地点等候磋商。</w:t>
      </w:r>
      <w:bookmarkEnd w:id="136"/>
    </w:p>
    <w:p>
      <w:pPr>
        <w:spacing w:line="360" w:lineRule="auto"/>
        <w:ind w:firstLine="420" w:firstLineChars="200"/>
        <w:rPr>
          <w:rFonts w:hint="eastAsia" w:ascii="宋体" w:hAnsi="宋体" w:eastAsia="宋体" w:cs="宋体"/>
          <w:b w:val="0"/>
          <w:bCs/>
          <w:color w:val="000000" w:themeColor="text1"/>
          <w:sz w:val="21"/>
          <w:szCs w:val="21"/>
          <w:highlight w:val="none"/>
          <w14:textFill>
            <w14:solidFill>
              <w14:schemeClr w14:val="tx1"/>
            </w14:solidFill>
          </w14:textFill>
        </w:rPr>
      </w:pPr>
      <w:bookmarkStart w:id="137" w:name="_Toc6288"/>
      <w:r>
        <w:rPr>
          <w:rFonts w:hint="eastAsia" w:ascii="宋体" w:hAnsi="宋体" w:eastAsia="宋体" w:cs="宋体"/>
          <w:b w:val="0"/>
          <w:bCs/>
          <w:color w:val="000000" w:themeColor="text1"/>
          <w:sz w:val="21"/>
          <w:szCs w:val="21"/>
          <w:highlight w:val="none"/>
          <w14:textFill>
            <w14:solidFill>
              <w14:schemeClr w14:val="tx1"/>
            </w14:solidFill>
          </w14:textFill>
        </w:rPr>
        <w:t>19.2.4响应文件递交截止时间后，由磋商小组在评标室内线上开启响应文件。</w:t>
      </w:r>
      <w:bookmarkEnd w:id="137"/>
    </w:p>
    <w:p>
      <w:pPr>
        <w:pStyle w:val="5"/>
        <w:spacing w:before="0" w:after="0"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bookmarkStart w:id="138" w:name="_Toc25258"/>
      <w:bookmarkStart w:id="139" w:name="_Toc18640"/>
      <w:bookmarkStart w:id="140" w:name="_Toc21671"/>
      <w:r>
        <w:rPr>
          <w:rFonts w:hint="eastAsia" w:ascii="宋体" w:hAnsi="宋体" w:eastAsia="宋体" w:cs="宋体"/>
          <w:color w:val="000000" w:themeColor="text1"/>
          <w:sz w:val="21"/>
          <w:szCs w:val="21"/>
          <w:highlight w:val="none"/>
          <w14:textFill>
            <w14:solidFill>
              <w14:schemeClr w14:val="tx1"/>
            </w14:solidFill>
          </w14:textFill>
        </w:rPr>
        <w:t>20. 评审原则</w:t>
      </w:r>
      <w:bookmarkEnd w:id="138"/>
      <w:bookmarkEnd w:id="139"/>
      <w:bookmarkEnd w:id="140"/>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20.1 磋商小组必须坚持公平、公正、科学和择优的原则。</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20.2 评审办法：综合评分法，具体详见第四章评审办法。</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20.3 磋商小组应按磋商文件进行评审，不得擅自更改评审办法。</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20.4 在评审过程中，磋商小组任何人不得对某个供应商发表任何倾向性意见，不得向其他磋商小组成员明示或者暗示自己的评审意见。</w:t>
      </w:r>
    </w:p>
    <w:p>
      <w:pPr>
        <w:spacing w:line="360" w:lineRule="auto"/>
        <w:ind w:firstLine="42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20.5 磋商小组成员对需要共同认定的事项存在争议的，按照少数服从多数的原则作出结论。持不同意见的磋商小组成员应当在评审报告上签署不同意见并说明理由，否则视为同意。</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20.6 响应文件最后报价出现前后不一致的，除竞争性磋商文件另有规定外，按照下列规定修正：</w:t>
      </w:r>
    </w:p>
    <w:p>
      <w:pPr>
        <w:pStyle w:val="29"/>
        <w:tabs>
          <w:tab w:val="left" w:pos="1099"/>
        </w:tabs>
        <w:spacing w:before="130"/>
        <w:ind w:left="420" w:leftChars="200" w:firstLine="0" w:firstLineChars="0"/>
        <w:jc w:val="left"/>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(1) </w:t>
      </w:r>
      <w:r>
        <w:rPr>
          <w:rFonts w:hint="eastAsia" w:ascii="宋体" w:hAnsi="宋体" w:eastAsia="宋体" w:cs="宋体"/>
          <w:color w:val="000000" w:themeColor="text1"/>
          <w:highlight w:val="none"/>
          <w14:textFill>
            <w14:solidFill>
              <w14:schemeClr w14:val="tx1"/>
            </w14:solidFill>
          </w14:textFill>
        </w:rPr>
        <w:t>响应文件中磋商报价表内容与响应文件中相应内容不一致的，以最后磋商报价表为准；</w:t>
      </w:r>
    </w:p>
    <w:p>
      <w:pPr>
        <w:pStyle w:val="29"/>
        <w:tabs>
          <w:tab w:val="left" w:pos="1099"/>
        </w:tabs>
        <w:spacing w:before="130"/>
        <w:ind w:left="420" w:leftChars="200" w:firstLine="0" w:firstLineChars="0"/>
        <w:jc w:val="left"/>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t xml:space="preserve"> 大写金额和小写金额不一致的，以大写金额为准；</w:t>
      </w:r>
    </w:p>
    <w:p>
      <w:pPr>
        <w:pStyle w:val="29"/>
        <w:tabs>
          <w:tab w:val="left" w:pos="1099"/>
        </w:tabs>
        <w:spacing w:before="130"/>
        <w:ind w:left="420" w:leftChars="200" w:firstLine="0" w:firstLineChars="0"/>
        <w:jc w:val="left"/>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w:t>
      </w:r>
      <w:r>
        <w:rPr>
          <w:rFonts w:hint="eastAsia" w:ascii="宋体" w:hAnsi="宋体" w:eastAsia="宋体" w:cs="宋体"/>
          <w:color w:val="000000" w:themeColor="text1"/>
          <w:highlight w:val="none"/>
          <w14:textFill>
            <w14:solidFill>
              <w14:schemeClr w14:val="tx1"/>
            </w14:solidFill>
          </w14:textFill>
        </w:rPr>
        <w:t xml:space="preserve"> 单价金额小数点或者百分比有明显错位的，以报价表的总价为准，并修改单价；</w:t>
      </w:r>
    </w:p>
    <w:p>
      <w:pPr>
        <w:pStyle w:val="29"/>
        <w:tabs>
          <w:tab w:val="left" w:pos="1099"/>
        </w:tabs>
        <w:spacing w:before="130"/>
        <w:ind w:left="420" w:leftChars="200" w:firstLine="0" w:firstLineChars="0"/>
        <w:jc w:val="left"/>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(4) </w:t>
      </w:r>
      <w:r>
        <w:rPr>
          <w:rFonts w:hint="eastAsia" w:ascii="宋体" w:hAnsi="宋体" w:eastAsia="宋体" w:cs="宋体"/>
          <w:color w:val="000000" w:themeColor="text1"/>
          <w:highlight w:val="none"/>
          <w14:textFill>
            <w14:solidFill>
              <w14:schemeClr w14:val="tx1"/>
            </w14:solidFill>
          </w14:textFill>
        </w:rPr>
        <w:t>总价金额与按单价汇总金额不一致的，以单价金额计算结果为准。</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同时出现两种以上不一致的，按照前款规定的顺序修正。修正后的报价（不得超出响应文件的范围或者改变响应文件的实质性内容）经磋商供应商确认后产生约束力，磋商供应商不确认的，作无效响应处理。</w:t>
      </w:r>
    </w:p>
    <w:p>
      <w:pPr>
        <w:pStyle w:val="5"/>
        <w:spacing w:before="0" w:after="0"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bookmarkStart w:id="141" w:name="_Toc1312"/>
      <w:bookmarkStart w:id="142" w:name="_Toc27193"/>
      <w:bookmarkStart w:id="143" w:name="_Toc23297"/>
      <w:r>
        <w:rPr>
          <w:rFonts w:hint="eastAsia" w:ascii="宋体" w:hAnsi="宋体" w:eastAsia="宋体" w:cs="宋体"/>
          <w:color w:val="000000" w:themeColor="text1"/>
          <w:sz w:val="21"/>
          <w:szCs w:val="21"/>
          <w:highlight w:val="none"/>
          <w14:textFill>
            <w14:solidFill>
              <w14:schemeClr w14:val="tx1"/>
            </w14:solidFill>
          </w14:textFill>
        </w:rPr>
        <w:t>21. 评审程序及磋商要求</w:t>
      </w:r>
      <w:bookmarkEnd w:id="141"/>
      <w:bookmarkEnd w:id="142"/>
      <w:bookmarkEnd w:id="143"/>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21.1磋商小组成员的通讯工具或相关电子设备交由桂林市公共资源交易中心统一保管后到达评标室，采购 </w:t>
      </w:r>
    </w:p>
    <w:p>
      <w:pPr>
        <w:spacing w:line="36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代理机构核实磋商小组成员身份，告知回避要求，宣布评审工作纪律和程序，推选磋商小组组长。</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21.2磋商小组应当对发布公告的竞争性磋商文件（简称磋商文件）进行确认，审查供应商的响应文件并作出评价；要求供应商解释或者澄清其响应文件；编写评审报告；告知采购人、采购代理机构在评审过程中发现的供应商的违法违规行为。</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21.3 磋商小组依据竞争性磋商文件的规定，首先对响应文件进行资格性审查，以确定供应商是否具备本项 目供应商资格；再对通过资格性审查的供应商响应文件的有效性、完整性和对磋商文件的响应程度进行符合性 审查，以确定是否对磋商文件的实质性要求做出响应。 </w:t>
      </w:r>
    </w:p>
    <w:p>
      <w:pPr>
        <w:spacing w:line="360" w:lineRule="auto"/>
        <w:ind w:firstLine="420" w:firstLineChars="200"/>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21.4 磋商小组在对供应商进行资格性审查时，将对供应商企业股东及出资等信息进行查询。根据 《 中华人民共和国政府采购法实施条例 》 第十八条第一款规定，审查中如发现供应商存在单位负责人为同一人或者存在直接控股、管理关系的不同供应商参加同一合同项下的政府采购活动的，按响应文件无效处理 。</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21.4.1 查询渠道：《国家企业信用信息公示系统》（网址：www.gsxt.gov.cn/index.html）</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21.4.2 审查流程：</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（1）进入《国家企业信用信息公示系统》（网址：www.gsxt.gov.cn/index.html），输入企业名称，进入企业信息主页面；</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（2）查看主页“股东及出资信息”栏，或年报中的“股东及出资信息”栏信息；</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（3）将各供应商的股东及出资信息进行比对，得出审查结论；</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（4）将相关资料作为评审资料打印存档。</w:t>
      </w:r>
    </w:p>
    <w:p>
      <w:pPr>
        <w:spacing w:line="360" w:lineRule="auto"/>
        <w:ind w:firstLine="420" w:firstLineChars="200"/>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21.5 磋商小组如发现供应商提供的证明文件不齐全或不符合规定格式的，应一次性告知供应商，供应</w:t>
      </w:r>
    </w:p>
    <w:p>
      <w:pPr>
        <w:spacing w:line="360" w:lineRule="auto"/>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商应在规定的时间内</w:t>
      </w:r>
      <w:r>
        <w:rPr>
          <w:rFonts w:hint="eastAsia" w:ascii="宋体" w:hAnsi="宋体" w:eastAsia="宋体" w:cs="宋体"/>
          <w:b/>
          <w:bCs/>
          <w:color w:val="000000" w:themeColor="text1"/>
          <w:szCs w:val="21"/>
          <w:highlight w:val="none"/>
          <w:lang w:eastAsia="zh-CN"/>
          <w14:textFill>
            <w14:solidFill>
              <w14:schemeClr w14:val="tx1"/>
            </w14:solidFill>
          </w14:textFill>
        </w:rPr>
        <w:t>线上</w:t>
      </w:r>
      <w:r>
        <w:rPr>
          <w:rFonts w:hint="eastAsia" w:ascii="宋体" w:hAnsi="宋体" w:eastAsia="宋体" w:cs="宋体"/>
          <w:b/>
          <w:bCs/>
          <w:color w:val="000000" w:themeColor="text1"/>
          <w:szCs w:val="21"/>
          <w:highlight w:val="none"/>
          <w14:textFill>
            <w14:solidFill>
              <w14:schemeClr w14:val="tx1"/>
            </w14:solidFill>
          </w14:textFill>
        </w:rPr>
        <w:t>补正或更正。</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21.6 磋商小组在对响应文件的有效性、完整性和响应程度进行审查时，可以要求供应商对响应文件中含义 </w:t>
      </w:r>
    </w:p>
    <w:p>
      <w:pPr>
        <w:spacing w:line="36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不明确、同类问题表述不一致或者有明显文字和计算错误的内容等作出必要的澄清、说明或者更正。供应商的 </w:t>
      </w:r>
    </w:p>
    <w:p>
      <w:pPr>
        <w:spacing w:line="36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澄清、说明或者更正不得超出响应文件的范围或者改变响应文件的实质性内容。澄清、说明或者更正应由其法 </w:t>
      </w:r>
    </w:p>
    <w:p>
      <w:pPr>
        <w:pStyle w:val="8"/>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定代表人或相应的授权委托代表签字</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个人CA签章)</w:t>
      </w:r>
      <w:r>
        <w:rPr>
          <w:rFonts w:hint="eastAsia" w:ascii="宋体" w:hAnsi="宋体" w:eastAsia="宋体" w:cs="宋体"/>
          <w:color w:val="000000" w:themeColor="text1"/>
          <w:szCs w:val="21"/>
          <w:highlight w:val="none"/>
          <w14:textFill>
            <w14:solidFill>
              <w14:schemeClr w14:val="tx1"/>
            </w14:solidFill>
          </w14:textFill>
        </w:rPr>
        <w:t>或者加盖供应商公章</w:t>
      </w:r>
      <w:r>
        <w:rPr>
          <w:rFonts w:hint="eastAsia" w:ascii="宋体" w:hAnsi="宋体" w:eastAsia="宋体" w:cs="宋体"/>
          <w:color w:val="000000" w:themeColor="text1"/>
          <w:szCs w:val="21"/>
          <w:highlight w:val="none"/>
          <w:lang w:val="en-US" w:eastAsia="zh-CN"/>
          <w14:textFill>
            <w14:solidFill>
              <w14:schemeClr w14:val="tx1"/>
            </w14:solidFill>
          </w14:textFill>
        </w:rPr>
        <w:t>(CA签章)</w:t>
      </w:r>
      <w:r>
        <w:rPr>
          <w:rFonts w:hint="eastAsia" w:ascii="宋体" w:hAnsi="宋体" w:eastAsia="宋体" w:cs="宋体"/>
          <w:color w:val="000000" w:themeColor="text1"/>
          <w:szCs w:val="21"/>
          <w:highlight w:val="none"/>
          <w14:textFill>
            <w14:solidFill>
              <w14:schemeClr w14:val="tx1"/>
            </w14:solidFill>
          </w14:textFill>
        </w:rPr>
        <w:t>。</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根据磋商文件规定的程序、评定成交的标准等事项与实质性响应竞争性磋商文件要求的供应商进行磋商。 </w:t>
      </w:r>
    </w:p>
    <w:p>
      <w:pPr>
        <w:spacing w:line="36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未实质性响应磋商文件的响应文件按无效处理，磋商小组应当告知有关供应商。 </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磋商小组所有成员应当按已确定的磋商顺序集中与单一供应商分别进行磋商，并给予所有实质性响应竞争 </w:t>
      </w:r>
    </w:p>
    <w:p>
      <w:pPr>
        <w:spacing w:line="36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性磋商文件要求的供应商平等的磋商机会。 </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磋商中，磋商小组不得透露与磋商有关的其他供应商的技术资料、价格和其他信息。 </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磋商小组对磋商过程和重要磋商内容进行记录，磋商双方在记录上签字确认。 </w:t>
      </w:r>
    </w:p>
    <w:p>
      <w:pPr>
        <w:spacing w:line="360" w:lineRule="auto"/>
        <w:ind w:firstLine="42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21.7当磋商小组一致确定磋商供应商的竞争性磋商响应文件能够详细列明采购标的的技术、服务要求且符合竞争性磋商文件要求，无需再磋商的，磋商小组按竞争性磋商文件设定的21.11、21.16程序和综合评分法确定成交候选人。第一轮磋商后竞争性磋商文件有实质性变动或仍需磋商的，磋商小组对竞争性磋商文件变动或提出磋商意见后进行第二轮磋商。</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21.8 在磋商过程中，磋商小组可以根据磋商文件和磋商情况实质性变动项目需求中的技术、服务要求以及 </w:t>
      </w:r>
    </w:p>
    <w:p>
      <w:pPr>
        <w:spacing w:line="36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合同草案条款，但不得变动磋商文件中的其他内容。实质性变动的内容，须经采购人代表确认。 </w:t>
      </w:r>
    </w:p>
    <w:p>
      <w:pPr>
        <w:spacing w:line="36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对磋商文件作出的实质性变动是磋商文件的有效组成部分，磋商小组应当及时</w:t>
      </w:r>
      <w:r>
        <w:rPr>
          <w:rFonts w:hint="eastAsia" w:ascii="宋体" w:hAnsi="宋体" w:eastAsia="宋体" w:cs="宋体"/>
          <w:color w:val="000000" w:themeColor="text1"/>
          <w:szCs w:val="21"/>
          <w:highlight w:val="none"/>
          <w:lang w:eastAsia="zh-CN"/>
          <w14:textFill>
            <w14:solidFill>
              <w14:schemeClr w14:val="tx1"/>
            </w14:solidFill>
          </w14:textFill>
        </w:rPr>
        <w:t>通过政采云平台同时</w:t>
      </w:r>
      <w:r>
        <w:rPr>
          <w:rFonts w:hint="eastAsia" w:ascii="宋体" w:hAnsi="宋体" w:eastAsia="宋体" w:cs="宋体"/>
          <w:color w:val="000000" w:themeColor="text1"/>
          <w:szCs w:val="21"/>
          <w:highlight w:val="none"/>
          <w14:textFill>
            <w14:solidFill>
              <w14:schemeClr w14:val="tx1"/>
            </w14:solidFill>
          </w14:textFill>
        </w:rPr>
        <w:t xml:space="preserve">通知所有参加磋商的供应商。 </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供应商应当按照磋商文件的变动情况和磋商小组的要求重新提交响应文件，并由其法定代表人、负责人、</w:t>
      </w:r>
      <w:r>
        <w:rPr>
          <w:rFonts w:hint="eastAsia" w:ascii="宋体" w:hAnsi="宋体" w:eastAsia="宋体" w:cs="宋体"/>
          <w:color w:val="000000" w:themeColor="text1"/>
          <w:szCs w:val="21"/>
          <w:highlight w:val="none"/>
          <w:lang w:eastAsia="zh-CN"/>
          <w14:textFill>
            <w14:solidFill>
              <w14:schemeClr w14:val="tx1"/>
            </w14:solidFill>
          </w14:textFill>
        </w:rPr>
        <w:t>自然人或相应的授权委托代表签字（个人</w:t>
      </w:r>
      <w:r>
        <w:rPr>
          <w:rFonts w:hint="eastAsia" w:ascii="宋体" w:hAnsi="宋体" w:eastAsia="宋体" w:cs="宋体"/>
          <w:color w:val="000000" w:themeColor="text1"/>
          <w:szCs w:val="21"/>
          <w:highlight w:val="none"/>
          <w:lang w:val="en-US" w:eastAsia="zh-CN"/>
          <w14:textFill>
            <w14:solidFill>
              <w14:schemeClr w14:val="tx1"/>
            </w14:solidFill>
          </w14:textFill>
        </w:rPr>
        <w:t>CA签章</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或者加盖供应商公章</w:t>
      </w:r>
      <w:r>
        <w:rPr>
          <w:rFonts w:hint="eastAsia" w:ascii="宋体" w:hAnsi="宋体" w:eastAsia="宋体" w:cs="宋体"/>
          <w:color w:val="000000" w:themeColor="text1"/>
          <w:szCs w:val="21"/>
          <w:highlight w:val="none"/>
          <w:lang w:val="en-US" w:eastAsia="zh-CN"/>
          <w14:textFill>
            <w14:solidFill>
              <w14:schemeClr w14:val="tx1"/>
            </w14:solidFill>
          </w14:textFill>
        </w:rPr>
        <w:t>(CA签章)</w:t>
      </w:r>
      <w:r>
        <w:rPr>
          <w:rFonts w:hint="eastAsia" w:ascii="宋体" w:hAnsi="宋体" w:eastAsia="宋体" w:cs="宋体"/>
          <w:color w:val="000000" w:themeColor="text1"/>
          <w:szCs w:val="21"/>
          <w:highlight w:val="none"/>
          <w14:textFill>
            <w14:solidFill>
              <w14:schemeClr w14:val="tx1"/>
            </w14:solidFill>
          </w14:textFill>
        </w:rPr>
        <w:t xml:space="preserve">。逾时不交的，视同放弃磋商。 </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21.9 第二轮磋商</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磋商小组集中就重新提交的响应文件或磋商小组提出的磋商意见与单一响应供应商分别进行磋商。磋商小组对磋商过程和重要磋商内容进行记录，磋商双方在记录上签字确认</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CA签章确认</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磋商后，供应商根据磋商小组统一整理的书面磋商记录要求做出书面承诺，并由其法定代表人或授权代表签字或者加盖公章</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CA签章</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后按时</w:t>
      </w:r>
      <w:r>
        <w:rPr>
          <w:rFonts w:hint="eastAsia" w:ascii="宋体" w:hAnsi="宋体" w:eastAsia="宋体" w:cs="宋体"/>
          <w:color w:val="000000" w:themeColor="text1"/>
          <w:szCs w:val="21"/>
          <w:highlight w:val="none"/>
          <w:lang w:eastAsia="zh-CN"/>
          <w14:textFill>
            <w14:solidFill>
              <w14:schemeClr w14:val="tx1"/>
            </w14:solidFill>
          </w14:textFill>
        </w:rPr>
        <w:t>线上</w:t>
      </w:r>
      <w:r>
        <w:rPr>
          <w:rFonts w:hint="eastAsia" w:ascii="宋体" w:hAnsi="宋体" w:eastAsia="宋体" w:cs="宋体"/>
          <w:color w:val="000000" w:themeColor="text1"/>
          <w:szCs w:val="21"/>
          <w:highlight w:val="none"/>
          <w:lang w:val="en-US" w:eastAsia="zh-CN"/>
          <w14:textFill>
            <w14:solidFill>
              <w14:schemeClr w14:val="tx1"/>
            </w14:solidFill>
          </w14:textFill>
        </w:rPr>
        <w:t>提交</w:t>
      </w:r>
      <w:r>
        <w:rPr>
          <w:rFonts w:hint="eastAsia" w:ascii="宋体" w:hAnsi="宋体" w:eastAsia="宋体" w:cs="宋体"/>
          <w:color w:val="000000" w:themeColor="text1"/>
          <w:szCs w:val="21"/>
          <w:highlight w:val="none"/>
          <w14:textFill>
            <w14:solidFill>
              <w14:schemeClr w14:val="tx1"/>
            </w14:solidFill>
          </w14:textFill>
        </w:rPr>
        <w:t>。</w:t>
      </w:r>
    </w:p>
    <w:p>
      <w:pPr>
        <w:spacing w:line="360" w:lineRule="auto"/>
        <w:ind w:firstLine="42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当磋商小组一致确定供应商的竞争性磋商响应文件符合竞争性磋商文件要求，无需再磋商的，磋商小组按竞争性磋商文件设定的21.11、21.16程序和评审方法确定成交候选人。第二轮磋商后竞争性磋商文件仍有实质性变动的或仍需磋商的，磋商小组对竞争性磋商文件变动或提出磋商意见后进行第三轮磋商。以此类推。</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21.10 在采购过程中符合竞争要求的供应商或者报价未超过采购预算的供应商不足 3 家的，采购人或者采购代理机构应当终止竞争性磋商采购活动。 </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21.11 最后报价 </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21.11.1 磋商文件能够详细列明采购标的的技术、服务要求的，磋商结束后，磋商小组应当要求所有继续参加磋商的供应商在规定时间内</w:t>
      </w:r>
      <w:r>
        <w:rPr>
          <w:rFonts w:hint="eastAsia" w:ascii="宋体" w:hAnsi="宋体" w:eastAsia="宋体" w:cs="宋体"/>
          <w:color w:val="000000" w:themeColor="text1"/>
          <w:szCs w:val="21"/>
          <w:highlight w:val="none"/>
          <w:lang w:eastAsia="zh-CN"/>
          <w14:textFill>
            <w14:solidFill>
              <w14:schemeClr w14:val="tx1"/>
            </w14:solidFill>
          </w14:textFill>
        </w:rPr>
        <w:t>线上</w:t>
      </w:r>
      <w:r>
        <w:rPr>
          <w:rFonts w:hint="eastAsia" w:ascii="宋体" w:hAnsi="宋体" w:eastAsia="宋体" w:cs="宋体"/>
          <w:color w:val="000000" w:themeColor="text1"/>
          <w:szCs w:val="21"/>
          <w:highlight w:val="none"/>
          <w14:textFill>
            <w14:solidFill>
              <w14:schemeClr w14:val="tx1"/>
            </w14:solidFill>
          </w14:textFill>
        </w:rPr>
        <w:t xml:space="preserve">提交最后报价，提交最后报价的供应商不得少于 3 家。 </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21.11.2 磋商文件不能详细列明采购标的的技术、服务要求的，需由磋商供应商提供最终设计方案或解决方案的，磋商结束后，磋商小组应当按照少数服从多数的原则投票推荐 3 家以上（含 3 家）供应商的设计方案或者解决方案，并要求其在规定时间内</w:t>
      </w:r>
      <w:r>
        <w:rPr>
          <w:rFonts w:hint="eastAsia" w:ascii="宋体" w:hAnsi="宋体" w:eastAsia="宋体" w:cs="宋体"/>
          <w:color w:val="000000" w:themeColor="text1"/>
          <w:szCs w:val="21"/>
          <w:highlight w:val="none"/>
          <w:lang w:eastAsia="zh-CN"/>
          <w14:textFill>
            <w14:solidFill>
              <w14:schemeClr w14:val="tx1"/>
            </w14:solidFill>
          </w14:textFill>
        </w:rPr>
        <w:t>线上</w:t>
      </w:r>
      <w:r>
        <w:rPr>
          <w:rFonts w:hint="eastAsia" w:ascii="宋体" w:hAnsi="宋体" w:eastAsia="宋体" w:cs="宋体"/>
          <w:color w:val="000000" w:themeColor="text1"/>
          <w:szCs w:val="21"/>
          <w:highlight w:val="none"/>
          <w14:textFill>
            <w14:solidFill>
              <w14:schemeClr w14:val="tx1"/>
            </w14:solidFill>
          </w14:textFill>
        </w:rPr>
        <w:t xml:space="preserve">提交最后报价。 </w:t>
      </w:r>
    </w:p>
    <w:p>
      <w:pPr>
        <w:spacing w:line="360" w:lineRule="auto"/>
        <w:ind w:firstLine="42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21.11.3 根据《财政部关于政府采购竞争性磋商采购方式管理暂行办法有关问题的补充通知》</w:t>
      </w:r>
      <w:r>
        <w:rPr>
          <w:rFonts w:hint="eastAsia" w:ascii="宋体" w:hAnsi="宋体" w:eastAsia="宋体" w:cs="宋体"/>
          <w:color w:val="000000" w:themeColor="text1"/>
          <w:szCs w:val="21"/>
          <w:highlight w:val="none"/>
          <w:lang w:val="en-US" w:eastAsia="zh-CN"/>
          <w14:textFill>
            <w14:solidFill>
              <w14:schemeClr w14:val="tx1"/>
            </w14:solidFill>
          </w14:textFill>
        </w:rPr>
        <w:t>(</w:t>
      </w:r>
      <w:r>
        <w:rPr>
          <w:rFonts w:hint="eastAsia"/>
          <w:color w:val="000000" w:themeColor="text1"/>
          <w:lang w:eastAsia="zh-CN"/>
          <w14:textFill>
            <w14:solidFill>
              <w14:schemeClr w14:val="tx1"/>
            </w14:solidFill>
          </w14:textFill>
        </w:rPr>
        <w:t>财库</w:t>
      </w:r>
      <w:r>
        <w:rPr>
          <w:rFonts w:hint="eastAsia" w:ascii="宋体" w:hAnsi="宋体" w:eastAsia="宋体" w:cs="宋体"/>
          <w:color w:val="000000" w:themeColor="text1"/>
          <w:szCs w:val="21"/>
          <w:highlight w:val="none"/>
          <w:lang w:eastAsia="zh-CN"/>
          <w14:textFill>
            <w14:solidFill>
              <w14:schemeClr w14:val="tx1"/>
            </w14:solidFill>
          </w14:textFill>
        </w:rPr>
        <w:t>〔2015〕124号</w:t>
      </w:r>
      <w:r>
        <w:rPr>
          <w:rFonts w:hint="eastAsia" w:ascii="宋体" w:hAnsi="宋体" w:eastAsia="宋体" w:cs="宋体"/>
          <w:color w:val="000000" w:themeColor="text1"/>
          <w:szCs w:val="21"/>
          <w:highlight w:val="none"/>
          <w:lang w:val="en-US"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的规定，如采购项目为政府购买服务项目（含政府和社会资本合作项目），在采购过程中符合要求的供应商（社会资本）只有 2 家的，竞争性磋商采购活动可以继续进行，并要求其在规定时间内</w:t>
      </w:r>
      <w:r>
        <w:rPr>
          <w:rFonts w:hint="eastAsia" w:ascii="宋体" w:hAnsi="宋体" w:eastAsia="宋体" w:cs="宋体"/>
          <w:color w:val="000000" w:themeColor="text1"/>
          <w:szCs w:val="21"/>
          <w:highlight w:val="none"/>
          <w:lang w:eastAsia="zh-CN"/>
          <w14:textFill>
            <w14:solidFill>
              <w14:schemeClr w14:val="tx1"/>
            </w14:solidFill>
          </w14:textFill>
        </w:rPr>
        <w:t>线上</w:t>
      </w:r>
      <w:r>
        <w:rPr>
          <w:rFonts w:hint="eastAsia" w:ascii="宋体" w:hAnsi="宋体" w:eastAsia="宋体" w:cs="宋体"/>
          <w:color w:val="000000" w:themeColor="text1"/>
          <w:szCs w:val="21"/>
          <w:highlight w:val="none"/>
          <w14:textFill>
            <w14:solidFill>
              <w14:schemeClr w14:val="tx1"/>
            </w14:solidFill>
          </w14:textFill>
        </w:rPr>
        <w:t xml:space="preserve">提交最后报价；采购过程中符合要求的供应商（社会资本）只有 1 家的，采购人或者采购代理机构应当终止竞争性磋商采购活动，发布项目终止公告并说明原因，重新开展采购活动。 </w:t>
      </w:r>
    </w:p>
    <w:p>
      <w:pPr>
        <w:spacing w:line="360" w:lineRule="auto"/>
        <w:ind w:firstLine="420" w:firstLineChars="200"/>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21.11.4 根据《政府采购竞争性磋商采购方式管理暂行办法》</w:t>
      </w:r>
      <w:r>
        <w:rPr>
          <w:rFonts w:hint="eastAsia" w:ascii="宋体" w:hAnsi="宋体" w:eastAsia="宋体" w:cs="宋体"/>
          <w:color w:val="000000" w:themeColor="text1"/>
          <w:szCs w:val="21"/>
          <w:highlight w:val="none"/>
          <w:lang w:val="en-US"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财库〔2014〕214 号</w:t>
      </w:r>
      <w:r>
        <w:rPr>
          <w:rFonts w:hint="eastAsia" w:ascii="宋体" w:hAnsi="宋体" w:eastAsia="宋体" w:cs="宋体"/>
          <w:color w:val="000000" w:themeColor="text1"/>
          <w:szCs w:val="21"/>
          <w:highlight w:val="none"/>
          <w:lang w:val="en-US"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的规定：</w:t>
      </w:r>
      <w:r>
        <w:rPr>
          <w:rFonts w:hint="eastAsia" w:ascii="宋体" w:hAnsi="宋体" w:eastAsia="宋体" w:cs="宋体"/>
          <w:b/>
          <w:bCs/>
          <w:color w:val="000000" w:themeColor="text1"/>
          <w:szCs w:val="21"/>
          <w:highlight w:val="none"/>
          <w14:textFill>
            <w14:solidFill>
              <w14:schemeClr w14:val="tx1"/>
            </w14:solidFill>
          </w14:textFill>
        </w:rPr>
        <w:t xml:space="preserve">最后报价是供应商响应文件的有效组成部分。 </w:t>
      </w:r>
      <w:r>
        <w:rPr>
          <w:rFonts w:hint="eastAsia" w:ascii="宋体" w:hAnsi="宋体" w:eastAsia="宋体" w:cs="宋体"/>
          <w:color w:val="000000" w:themeColor="text1"/>
          <w:szCs w:val="21"/>
          <w:highlight w:val="none"/>
          <w14:textFill>
            <w14:solidFill>
              <w14:schemeClr w14:val="tx1"/>
            </w14:solidFill>
          </w14:textFill>
        </w:rPr>
        <w:t>符合本办法(财库〔2014〕214号文)第三条第四项情形的，提交最后报价的供应商可以为2家。</w:t>
      </w:r>
      <w:r>
        <w:rPr>
          <w:rFonts w:hint="eastAsia" w:ascii="宋体" w:hAnsi="宋体" w:eastAsia="宋体" w:cs="宋体"/>
          <w:b/>
          <w:bCs/>
          <w:color w:val="000000" w:themeColor="text1"/>
          <w:szCs w:val="21"/>
          <w:highlight w:val="none"/>
          <w14:textFill>
            <w14:solidFill>
              <w14:schemeClr w14:val="tx1"/>
            </w14:solidFill>
          </w14:textFill>
        </w:rPr>
        <w:t>（财库〔2014〕214号文第三条第四项：市场竞争不充分的科研项目，以及需要扶持的科技成果转化项目。）</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21.12 已提交响应文件的供应商，在提交最后报价之前，可以根据磋商情况书面退出磋商。 </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未书面退出磋商的供应商在规定时间内</w:t>
      </w:r>
      <w:r>
        <w:rPr>
          <w:rFonts w:hint="eastAsia" w:ascii="宋体" w:hAnsi="宋体" w:eastAsia="宋体" w:cs="宋体"/>
          <w:color w:val="000000" w:themeColor="text1"/>
          <w:szCs w:val="21"/>
          <w:highlight w:val="none"/>
          <w:lang w:eastAsia="zh-CN"/>
          <w14:textFill>
            <w14:solidFill>
              <w14:schemeClr w14:val="tx1"/>
            </w14:solidFill>
          </w14:textFill>
        </w:rPr>
        <w:t>线上</w:t>
      </w:r>
      <w:r>
        <w:rPr>
          <w:rFonts w:hint="eastAsia" w:ascii="宋体" w:hAnsi="宋体" w:eastAsia="宋体" w:cs="宋体"/>
          <w:color w:val="000000" w:themeColor="text1"/>
          <w:szCs w:val="21"/>
          <w:highlight w:val="none"/>
          <w14:textFill>
            <w14:solidFill>
              <w14:schemeClr w14:val="tx1"/>
            </w14:solidFill>
          </w14:textFill>
        </w:rPr>
        <w:t xml:space="preserve">提交最后报价，其最后报价超出采购预算导致已通过评审的响 </w:t>
      </w:r>
    </w:p>
    <w:p>
      <w:pPr>
        <w:spacing w:line="36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应文件无效的，按供应商在提交响应文件截止时间后撤回响应文件处理。 </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21.13 评审报告 </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磋商小组应当从质量和服务均能满足磋商文件全部实质性响应要求的供应商中，按照最后综合得分由高到低的顺序提出 3 名以上（含 3 名）成交候选人，并编写评审报告。</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21.14 在评审过程中出现法律法规和磋商文件均没有明确规定的情形时，由磋商小组现场协商解决，协商 </w:t>
      </w:r>
    </w:p>
    <w:p>
      <w:pPr>
        <w:spacing w:line="36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不一致的，由全体磋商小组投票表决，以得票率二分之一以上磋商小组成员的意见为准。 </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21.15 采购代理机构发现磋商小组有明显的违规倾向或歧视现象，或不按评审办法进行，或其他不正常行 </w:t>
      </w:r>
    </w:p>
    <w:p>
      <w:pPr>
        <w:spacing w:line="36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为的，应当及时制止。如制止无效，应及时向</w:t>
      </w:r>
      <w:r>
        <w:rPr>
          <w:rFonts w:hint="eastAsia" w:ascii="宋体" w:hAnsi="宋体" w:eastAsia="宋体" w:cs="宋体"/>
          <w:color w:val="000000" w:themeColor="text1"/>
          <w:szCs w:val="21"/>
          <w:highlight w:val="none"/>
          <w:lang w:eastAsia="zh-CN"/>
          <w14:textFill>
            <w14:solidFill>
              <w14:schemeClr w14:val="tx1"/>
            </w14:solidFill>
          </w14:textFill>
        </w:rPr>
        <w:t>桂林市</w:t>
      </w:r>
      <w:r>
        <w:rPr>
          <w:rFonts w:hint="eastAsia" w:ascii="宋体" w:hAnsi="宋体" w:eastAsia="宋体" w:cs="宋体"/>
          <w:color w:val="000000" w:themeColor="text1"/>
          <w:szCs w:val="21"/>
          <w:highlight w:val="none"/>
          <w14:textFill>
            <w14:solidFill>
              <w14:schemeClr w14:val="tx1"/>
            </w14:solidFill>
          </w14:textFill>
        </w:rPr>
        <w:t>政府采购监督管理机构报告。</w:t>
      </w:r>
    </w:p>
    <w:p>
      <w:pPr>
        <w:spacing w:line="360" w:lineRule="auto"/>
        <w:ind w:firstLine="420" w:firstLineChars="200"/>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21.16 本采购项目的评审依据为竞争性磋商文件和竞争性磋商响应文件，采用的评审方法为</w:t>
      </w:r>
      <w:r>
        <w:rPr>
          <w:rFonts w:hint="eastAsia" w:ascii="宋体" w:hAnsi="宋体" w:eastAsia="宋体" w:cs="宋体"/>
          <w:b/>
          <w:bCs/>
          <w:color w:val="000000" w:themeColor="text1"/>
          <w:szCs w:val="21"/>
          <w:highlight w:val="none"/>
          <w14:textFill>
            <w14:solidFill>
              <w14:schemeClr w14:val="tx1"/>
            </w14:solidFill>
          </w14:textFill>
        </w:rPr>
        <w:t>综合评分法。</w:t>
      </w:r>
    </w:p>
    <w:p>
      <w:pPr>
        <w:pStyle w:val="5"/>
        <w:spacing w:before="0" w:after="0"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bookmarkStart w:id="144" w:name="_Toc32470"/>
      <w:bookmarkStart w:id="145" w:name="_Toc26487"/>
      <w:bookmarkStart w:id="146" w:name="_Toc1854"/>
      <w:r>
        <w:rPr>
          <w:rFonts w:hint="eastAsia" w:ascii="宋体" w:hAnsi="宋体" w:eastAsia="宋体" w:cs="宋体"/>
          <w:color w:val="000000" w:themeColor="text1"/>
          <w:sz w:val="21"/>
          <w:szCs w:val="21"/>
          <w:highlight w:val="none"/>
          <w14:textFill>
            <w14:solidFill>
              <w14:schemeClr w14:val="tx1"/>
            </w14:solidFill>
          </w14:textFill>
        </w:rPr>
        <w:t>22. 确定成交供应商</w:t>
      </w:r>
      <w:bookmarkEnd w:id="144"/>
      <w:bookmarkEnd w:id="145"/>
      <w:bookmarkEnd w:id="146"/>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22.1磋商小组应当根据综合得分情况，按照综合得分由高到低顺序推荐成交候选人，并编写评审报告。磋商小组根据综合得分由高到低排列次序，若得分相同时，以评审报价由低到高顺序排列；若得分相同且评审报价相同的，以最后报价由低到高顺序排列；若仍相同的，由磋商小组按照抽签的方式决定排列次序。</w:t>
      </w:r>
    </w:p>
    <w:p>
      <w:pPr>
        <w:spacing w:line="360" w:lineRule="auto"/>
        <w:ind w:firstLine="42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22.2采购单位应当确定磋商小组推荐排名第一的成交候选人为成交供应商。</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22.3排名第一的成交候选人放弃成交、因不可抗力提出不能履行合同，或信用信息记录不符合相关规定的，或者磋商文件规定应当提交履约保证金而在规定的期限内未能提交的（本项目免收履约保证金。），采购单位可以确定排名第二的成交候选人为成交供应商。</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22.4排名第二的成交候选人因前款规定的同样原因不能签订合同的，采购单位可以确定排名第三的成交候选人为成交供应商。</w:t>
      </w:r>
    </w:p>
    <w:p>
      <w:pPr>
        <w:pStyle w:val="5"/>
        <w:spacing w:before="0" w:after="0"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bookmarkStart w:id="147" w:name="_Toc21715"/>
      <w:bookmarkStart w:id="148" w:name="_Toc2766"/>
      <w:bookmarkStart w:id="149" w:name="_Toc7769"/>
      <w:r>
        <w:rPr>
          <w:rFonts w:hint="eastAsia" w:ascii="宋体" w:hAnsi="宋体" w:eastAsia="宋体" w:cs="宋体"/>
          <w:color w:val="000000" w:themeColor="text1"/>
          <w:sz w:val="21"/>
          <w:szCs w:val="21"/>
          <w:highlight w:val="none"/>
          <w14:textFill>
            <w14:solidFill>
              <w14:schemeClr w14:val="tx1"/>
            </w14:solidFill>
          </w14:textFill>
        </w:rPr>
        <w:t>23. 属于下列情况之一者，响应文件无效</w:t>
      </w:r>
      <w:bookmarkEnd w:id="147"/>
      <w:bookmarkEnd w:id="148"/>
      <w:bookmarkEnd w:id="149"/>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（1）未按磋商文件规定完整</w:t>
      </w:r>
      <w:r>
        <w:rPr>
          <w:rFonts w:hint="eastAsia" w:ascii="宋体" w:hAnsi="宋体" w:eastAsia="宋体" w:cs="宋体"/>
          <w:color w:val="000000" w:themeColor="text1"/>
          <w:szCs w:val="21"/>
          <w:highlight w:val="none"/>
          <w:lang w:val="en-US" w:eastAsia="zh-CN"/>
          <w14:textFill>
            <w14:solidFill>
              <w14:schemeClr w14:val="tx1"/>
            </w14:solidFill>
          </w14:textFill>
        </w:rPr>
        <w:t>线上</w:t>
      </w:r>
      <w:r>
        <w:rPr>
          <w:rFonts w:hint="eastAsia" w:ascii="宋体" w:hAnsi="宋体" w:eastAsia="宋体" w:cs="宋体"/>
          <w:color w:val="000000" w:themeColor="text1"/>
          <w:szCs w:val="21"/>
          <w:highlight w:val="none"/>
          <w14:textFill>
            <w14:solidFill>
              <w14:schemeClr w14:val="tx1"/>
            </w14:solidFill>
          </w14:textFill>
        </w:rPr>
        <w:t>提交响应文件或未按规定要求</w:t>
      </w:r>
      <w:r>
        <w:rPr>
          <w:rFonts w:hint="eastAsia" w:ascii="宋体" w:hAnsi="宋体" w:eastAsia="宋体" w:cs="宋体"/>
          <w:color w:val="000000" w:themeColor="text1"/>
          <w:szCs w:val="21"/>
          <w:highlight w:val="none"/>
          <w:lang w:eastAsia="zh-CN"/>
          <w14:textFill>
            <w14:solidFill>
              <w14:schemeClr w14:val="tx1"/>
            </w14:solidFill>
          </w14:textFill>
        </w:rPr>
        <w:t>线上</w:t>
      </w:r>
      <w:r>
        <w:rPr>
          <w:rFonts w:hint="eastAsia" w:ascii="宋体" w:hAnsi="宋体" w:eastAsia="宋体" w:cs="宋体"/>
          <w:color w:val="000000" w:themeColor="text1"/>
          <w:szCs w:val="21"/>
          <w:highlight w:val="none"/>
          <w14:textFill>
            <w14:solidFill>
              <w14:schemeClr w14:val="tx1"/>
            </w14:solidFill>
          </w14:textFill>
        </w:rPr>
        <w:t>签字、</w:t>
      </w:r>
      <w:r>
        <w:rPr>
          <w:rFonts w:hint="eastAsia" w:ascii="宋体" w:hAnsi="宋体" w:eastAsia="宋体" w:cs="宋体"/>
          <w:color w:val="000000" w:themeColor="text1"/>
          <w:szCs w:val="21"/>
          <w:highlight w:val="none"/>
          <w:lang w:val="en-US" w:eastAsia="zh-CN"/>
          <w14:textFill>
            <w14:solidFill>
              <w14:schemeClr w14:val="tx1"/>
            </w14:solidFill>
          </w14:textFill>
        </w:rPr>
        <w:t>签章</w:t>
      </w:r>
      <w:r>
        <w:rPr>
          <w:rFonts w:hint="eastAsia" w:ascii="宋体" w:hAnsi="宋体" w:eastAsia="宋体" w:cs="宋体"/>
          <w:color w:val="000000" w:themeColor="text1"/>
          <w:szCs w:val="21"/>
          <w:highlight w:val="none"/>
          <w14:textFill>
            <w14:solidFill>
              <w14:schemeClr w14:val="tx1"/>
            </w14:solidFill>
          </w14:textFill>
        </w:rPr>
        <w:t>的；</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（2）不具备磋商文件规定的资格要求的；</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（3）响应文件未按磋商文件的内容和要求编制，或提供虚假材料的；</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（4）响应文件有效期、交货时间、免费保修期（升级、维护）期/维护期、售后服务不能满足磋商文件要求的；</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（5）供应商未就“采购需求”中的所有内容作完整唯一报价的，或报价超出采购预算总金额的；</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（6）未在磋商小组规定的时间内提交响应文件(包括最后报价)的；</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（7）超越了按照法律法规规定必须获得行政许可或者行政审批的经营范围的；</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（8）未满足磋商文件实质性要求的或者响应文件有采购人不能接受的附加条件的；</w:t>
      </w:r>
    </w:p>
    <w:p>
      <w:pPr>
        <w:spacing w:line="360" w:lineRule="auto"/>
        <w:ind w:firstLine="42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（9）响应文件实质性要求未做变动，供应商最后报价高于第一次报价的；</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（10）不符合法律、法规和磋商文件规定的其他实质性要求和条件的。</w:t>
      </w:r>
    </w:p>
    <w:p>
      <w:pPr>
        <w:spacing w:line="360" w:lineRule="auto"/>
        <w:ind w:firstLine="420" w:firstLineChars="200"/>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供应商有下列情形之一的视为供应商相互串通磋商，响应文件将被视为无效</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（1）不同供应商的响应文件由同一单位或者个人编制；或不同供应商报名的IP地址一致的；</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（2）不同供应商委托同一单位或者个人办理磋商事宜；</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（3）不同的供应商的响应文件载明的项目管理员为同一个人；</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（4）不同供应商的响应文件异常一致或竞标报价呈规律性差异；</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（5）不同供应商的响应文件相互混</w:t>
      </w:r>
      <w:r>
        <w:rPr>
          <w:rFonts w:hint="eastAsia" w:ascii="宋体" w:hAnsi="宋体" w:cs="宋体"/>
          <w:color w:val="000000" w:themeColor="text1"/>
          <w:szCs w:val="21"/>
          <w:highlight w:val="none"/>
          <w:lang w:eastAsia="zh-CN"/>
          <w14:textFill>
            <w14:solidFill>
              <w14:schemeClr w14:val="tx1"/>
            </w14:solidFill>
          </w14:textFill>
        </w:rPr>
        <w:t>编</w:t>
      </w:r>
      <w:r>
        <w:rPr>
          <w:rFonts w:hint="eastAsia" w:ascii="宋体" w:hAnsi="宋体" w:eastAsia="宋体" w:cs="宋体"/>
          <w:color w:val="000000" w:themeColor="text1"/>
          <w:szCs w:val="21"/>
          <w:highlight w:val="none"/>
          <w14:textFill>
            <w14:solidFill>
              <w14:schemeClr w14:val="tx1"/>
            </w14:solidFill>
          </w14:textFill>
        </w:rPr>
        <w:t>；</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（6）不同供应商的磋商保证金从同一单位或者个人账户转出。</w:t>
      </w:r>
    </w:p>
    <w:p>
      <w:pPr>
        <w:pStyle w:val="5"/>
        <w:spacing w:before="0" w:after="0"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bookmarkStart w:id="150" w:name="_Toc5714"/>
      <w:bookmarkStart w:id="151" w:name="_Toc20770"/>
      <w:bookmarkStart w:id="152" w:name="_Toc14472"/>
      <w:r>
        <w:rPr>
          <w:rFonts w:hint="eastAsia" w:ascii="宋体" w:hAnsi="宋体" w:eastAsia="宋体" w:cs="宋体"/>
          <w:color w:val="000000" w:themeColor="text1"/>
          <w:sz w:val="21"/>
          <w:szCs w:val="21"/>
          <w:highlight w:val="none"/>
          <w14:textFill>
            <w14:solidFill>
              <w14:schemeClr w14:val="tx1"/>
            </w14:solidFill>
          </w14:textFill>
        </w:rPr>
        <w:t>24. 出现下列情形之一的，采购人或者采购代理机构应当终止竞争性磋商采购活动，发布项目终止公告并说明原因，重新开展采购活动</w:t>
      </w:r>
      <w:bookmarkEnd w:id="150"/>
      <w:bookmarkEnd w:id="151"/>
      <w:bookmarkEnd w:id="152"/>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（1）因情况变化，不再符合规定的竞争性磋商采购方式适用情形的；</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（2）出现影响采购公正的违法、违规行为的； </w:t>
      </w:r>
    </w:p>
    <w:p>
      <w:pPr>
        <w:spacing w:line="360" w:lineRule="auto"/>
        <w:ind w:firstLine="420" w:firstLineChars="200"/>
        <w:rPr>
          <w:rFonts w:hint="eastAsia" w:ascii="宋体" w:hAnsi="宋体" w:eastAsia="宋体" w:cs="宋体"/>
          <w:b/>
          <w:bCs/>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（3）在采购过程中符合竞争要求的供应商或者报价未超过采购预算的供应商不足3家的。</w:t>
      </w:r>
      <w:r>
        <w:rPr>
          <w:rFonts w:hint="eastAsia" w:ascii="宋体" w:hAnsi="宋体" w:eastAsia="宋体" w:cs="宋体"/>
          <w:b/>
          <w:bCs/>
          <w:color w:val="000000" w:themeColor="text1"/>
          <w:szCs w:val="21"/>
          <w:highlight w:val="none"/>
          <w14:textFill>
            <w14:solidFill>
              <w14:schemeClr w14:val="tx1"/>
            </w14:solidFill>
          </w14:textFill>
        </w:rPr>
        <w:t>（除财库〔2014〕214 号《政府采购竞争性磋商采购方式管理暂行办法》第二十一条第三款规定的情形外）</w:t>
      </w:r>
      <w:r>
        <w:rPr>
          <w:rFonts w:hint="eastAsia" w:ascii="宋体" w:hAnsi="宋体" w:cs="宋体"/>
          <w:b/>
          <w:bCs/>
          <w:color w:val="000000" w:themeColor="text1"/>
          <w:szCs w:val="21"/>
          <w:highlight w:val="none"/>
          <w:lang w:eastAsia="zh-CN"/>
          <w14:textFill>
            <w14:solidFill>
              <w14:schemeClr w14:val="tx1"/>
            </w14:solidFill>
          </w14:textFill>
        </w:rPr>
        <w:t>。</w:t>
      </w:r>
    </w:p>
    <w:p>
      <w:pPr>
        <w:pStyle w:val="5"/>
        <w:spacing w:before="0" w:after="0"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bookmarkStart w:id="153" w:name="_Toc19105"/>
      <w:bookmarkStart w:id="154" w:name="_Toc32461"/>
      <w:bookmarkStart w:id="155" w:name="_Toc29354"/>
      <w:r>
        <w:rPr>
          <w:rFonts w:hint="eastAsia" w:ascii="宋体" w:hAnsi="宋体" w:eastAsia="宋体" w:cs="宋体"/>
          <w:color w:val="000000" w:themeColor="text1"/>
          <w:sz w:val="21"/>
          <w:szCs w:val="21"/>
          <w:highlight w:val="none"/>
          <w14:textFill>
            <w14:solidFill>
              <w14:schemeClr w14:val="tx1"/>
            </w14:solidFill>
          </w14:textFill>
        </w:rPr>
        <w:t>25. 磋商过程的监控</w:t>
      </w:r>
      <w:bookmarkEnd w:id="153"/>
      <w:bookmarkEnd w:id="154"/>
      <w:bookmarkEnd w:id="155"/>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本项目磋商过程实行全程录音、录像监控，供应商在磋商过程中所进行的试图影响磋商结果的不公正活动，可能导致其磋商被拒绝。</w:t>
      </w:r>
    </w:p>
    <w:p>
      <w:pPr>
        <w:pStyle w:val="5"/>
        <w:numPr>
          <w:ilvl w:val="0"/>
          <w:numId w:val="6"/>
        </w:numPr>
        <w:spacing w:before="0" w:after="0"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bookmarkStart w:id="156" w:name="_Toc32457"/>
      <w:bookmarkStart w:id="157" w:name="_Toc14787"/>
      <w:bookmarkStart w:id="158" w:name="_Toc29861"/>
      <w:r>
        <w:rPr>
          <w:rFonts w:hint="eastAsia" w:ascii="宋体" w:hAnsi="宋体" w:eastAsia="宋体" w:cs="宋体"/>
          <w:color w:val="000000" w:themeColor="text1"/>
          <w:sz w:val="21"/>
          <w:szCs w:val="21"/>
          <w:highlight w:val="none"/>
          <w14:textFill>
            <w14:solidFill>
              <w14:schemeClr w14:val="tx1"/>
            </w14:solidFill>
          </w14:textFill>
        </w:rPr>
        <w:t>信用查询</w:t>
      </w:r>
      <w:bookmarkEnd w:id="156"/>
      <w:bookmarkEnd w:id="157"/>
      <w:bookmarkEnd w:id="158"/>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根据《关于做好政府采购有关信用主体标识码登记及在政府采购活动中查询使用信用记录有关问题的通知》</w:t>
      </w:r>
      <w:r>
        <w:rPr>
          <w:rFonts w:hint="eastAsia" w:ascii="宋体" w:hAnsi="宋体" w:cs="宋体"/>
          <w:color w:val="000000" w:themeColor="text1"/>
          <w:szCs w:val="21"/>
          <w:highlight w:val="none"/>
          <w:lang w:val="en-US"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桂财采〔2016〕37号</w:t>
      </w:r>
      <w:r>
        <w:rPr>
          <w:rFonts w:hint="eastAsia" w:ascii="宋体" w:hAnsi="宋体" w:cs="宋体"/>
          <w:color w:val="000000" w:themeColor="text1"/>
          <w:szCs w:val="21"/>
          <w:highlight w:val="none"/>
          <w:lang w:val="en-US"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，采购代理机构对成交人的成交资格进行信用查询：</w:t>
      </w:r>
    </w:p>
    <w:p>
      <w:pPr>
        <w:spacing w:line="360" w:lineRule="auto"/>
        <w:ind w:firstLine="210" w:firstLineChars="1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（1）查询渠道：“信用中国”网站(www.creditchina.gov.cn)、中国政府采购网(www.ccgp.gov.cn)等；</w:t>
      </w:r>
    </w:p>
    <w:p>
      <w:pPr>
        <w:spacing w:line="360" w:lineRule="auto"/>
        <w:ind w:firstLine="210" w:firstLineChars="1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（2）查询时间：成交通知书发出前；</w:t>
      </w:r>
    </w:p>
    <w:p>
      <w:pPr>
        <w:spacing w:line="360" w:lineRule="auto"/>
        <w:ind w:firstLine="210" w:firstLineChars="1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（3）信用信息查询记录和证据留存方式：在查询网站中直接打印查询记录，打印材料作为采购活动资料保存。</w:t>
      </w:r>
    </w:p>
    <w:p>
      <w:pPr>
        <w:spacing w:line="360" w:lineRule="auto"/>
        <w:ind w:firstLine="210" w:firstLineChars="1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取消其成交候选人资格。采购人依法按照评审报告中磋商小组推荐成交候选人排序表确定排名第二的成交候选人为成交供应商或者重新组织采购。</w:t>
      </w:r>
    </w:p>
    <w:p>
      <w:pPr>
        <w:spacing w:line="360" w:lineRule="auto"/>
        <w:ind w:firstLine="42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5"/>
        <w:spacing w:before="0" w:after="0"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bookmarkStart w:id="159" w:name="_Toc778"/>
      <w:bookmarkStart w:id="160" w:name="_Toc9438"/>
      <w:bookmarkStart w:id="161" w:name="_Toc4267"/>
      <w:r>
        <w:rPr>
          <w:rFonts w:hint="eastAsia" w:ascii="宋体" w:hAnsi="宋体" w:eastAsia="宋体" w:cs="宋体"/>
          <w:color w:val="000000" w:themeColor="text1"/>
          <w:sz w:val="21"/>
          <w:szCs w:val="21"/>
          <w:highlight w:val="none"/>
          <w14:textFill>
            <w14:solidFill>
              <w14:schemeClr w14:val="tx1"/>
            </w14:solidFill>
          </w14:textFill>
        </w:rPr>
        <w:t>27. 成交结果公告及成交通知书</w:t>
      </w:r>
      <w:bookmarkEnd w:id="159"/>
      <w:bookmarkEnd w:id="160"/>
      <w:bookmarkEnd w:id="161"/>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27.1 采购代理机构于磋商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27.2 在发布成交公告的同时，采购代理机构在线向成交供应商发出电子成交通知书。</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27.3 采购代理机构无义务向未成交的供应商解释未成交原因和退还响应文件。</w:t>
      </w:r>
    </w:p>
    <w:p>
      <w:pPr>
        <w:pStyle w:val="4"/>
        <w:jc w:val="center"/>
        <w:rPr>
          <w:rFonts w:hint="eastAsia" w:ascii="宋体" w:hAnsi="宋体" w:eastAsia="宋体" w:cs="宋体"/>
          <w:b/>
          <w:bCs w:val="0"/>
          <w:color w:val="000000" w:themeColor="text1"/>
          <w:szCs w:val="28"/>
          <w:highlight w:val="none"/>
          <w14:textFill>
            <w14:solidFill>
              <w14:schemeClr w14:val="tx1"/>
            </w14:solidFill>
          </w14:textFill>
        </w:rPr>
      </w:pPr>
      <w:bookmarkStart w:id="162" w:name="_Toc25593"/>
      <w:bookmarkStart w:id="163" w:name="_Toc19479"/>
      <w:bookmarkStart w:id="164" w:name="_Toc21142"/>
      <w:r>
        <w:rPr>
          <w:rFonts w:hint="eastAsia" w:ascii="宋体" w:hAnsi="宋体" w:eastAsia="宋体" w:cs="宋体"/>
          <w:b/>
          <w:bCs w:val="0"/>
          <w:color w:val="000000" w:themeColor="text1"/>
          <w:szCs w:val="28"/>
          <w:highlight w:val="none"/>
          <w14:textFill>
            <w14:solidFill>
              <w14:schemeClr w14:val="tx1"/>
            </w14:solidFill>
          </w14:textFill>
        </w:rPr>
        <w:t>五、签订合同</w:t>
      </w:r>
      <w:bookmarkEnd w:id="162"/>
      <w:bookmarkEnd w:id="163"/>
      <w:bookmarkEnd w:id="164"/>
    </w:p>
    <w:p>
      <w:pPr>
        <w:pStyle w:val="5"/>
        <w:spacing w:before="0" w:after="0" w:line="360" w:lineRule="auto"/>
        <w:ind w:firstLine="420" w:firstLineChars="200"/>
        <w:rPr>
          <w:rFonts w:hint="eastAsia" w:ascii="宋体" w:hAnsi="宋体" w:eastAsia="宋体" w:cs="宋体"/>
          <w:color w:val="000000" w:themeColor="text1"/>
          <w:highlight w:val="none"/>
          <w14:textFill>
            <w14:solidFill>
              <w14:schemeClr w14:val="tx1"/>
            </w14:solidFill>
          </w14:textFill>
        </w:rPr>
      </w:pPr>
      <w:bookmarkStart w:id="165" w:name="_Toc2100"/>
      <w:bookmarkStart w:id="166" w:name="_Toc26520"/>
      <w:bookmarkStart w:id="167" w:name="_Toc15172"/>
      <w:r>
        <w:rPr>
          <w:rFonts w:hint="eastAsia" w:ascii="宋体" w:hAnsi="宋体" w:eastAsia="宋体" w:cs="宋体"/>
          <w:color w:val="000000" w:themeColor="text1"/>
          <w:sz w:val="21"/>
          <w:szCs w:val="21"/>
          <w:highlight w:val="none"/>
          <w14:textFill>
            <w14:solidFill>
              <w14:schemeClr w14:val="tx1"/>
            </w14:solidFill>
          </w14:textFill>
        </w:rPr>
        <w:t>28. 履约保证金</w:t>
      </w:r>
      <w:bookmarkEnd w:id="165"/>
      <w:bookmarkEnd w:id="166"/>
      <w:bookmarkEnd w:id="167"/>
    </w:p>
    <w:p>
      <w:pP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本项目免收履约保证金。</w:t>
      </w:r>
    </w:p>
    <w:p>
      <w:pPr>
        <w:pStyle w:val="5"/>
        <w:spacing w:before="0" w:after="0"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bookmarkStart w:id="168" w:name="_Toc1023"/>
      <w:bookmarkStart w:id="169" w:name="_Toc4956"/>
      <w:bookmarkStart w:id="170" w:name="_Toc22892"/>
      <w:r>
        <w:rPr>
          <w:rFonts w:hint="eastAsia" w:ascii="宋体" w:hAnsi="宋体" w:eastAsia="宋体" w:cs="宋体"/>
          <w:color w:val="000000" w:themeColor="text1"/>
          <w:sz w:val="21"/>
          <w:szCs w:val="21"/>
          <w:highlight w:val="none"/>
          <w14:textFill>
            <w14:solidFill>
              <w14:schemeClr w14:val="tx1"/>
            </w14:solidFill>
          </w14:textFill>
        </w:rPr>
        <w:t>29. 签订合同</w:t>
      </w:r>
      <w:bookmarkEnd w:id="168"/>
      <w:bookmarkEnd w:id="169"/>
      <w:bookmarkEnd w:id="170"/>
    </w:p>
    <w:p>
      <w:pPr>
        <w:spacing w:line="360" w:lineRule="auto"/>
        <w:ind w:firstLine="420" w:firstLineChars="200"/>
        <w:rPr>
          <w:rFonts w:hint="eastAsia" w:ascii="宋体" w:hAnsi="宋体" w:eastAsia="宋体" w:cs="宋体"/>
          <w:b w:val="0"/>
          <w:bCs w:val="0"/>
          <w:color w:val="000000" w:themeColor="text1"/>
          <w:szCs w:val="21"/>
          <w:highlight w:val="none"/>
          <w14:textFill>
            <w14:solidFill>
              <w14:schemeClr w14:val="tx1"/>
            </w14:solidFill>
          </w14:textFill>
        </w:rPr>
      </w:pPr>
      <w:r>
        <w:rPr>
          <w:rFonts w:hint="eastAsia" w:ascii="宋体" w:hAnsi="宋体" w:eastAsia="宋体" w:cs="宋体"/>
          <w:b w:val="0"/>
          <w:bCs w:val="0"/>
          <w:color w:val="000000" w:themeColor="text1"/>
          <w:szCs w:val="21"/>
          <w:highlight w:val="none"/>
          <w14:textFill>
            <w14:solidFill>
              <w14:schemeClr w14:val="tx1"/>
            </w14:solidFill>
          </w14:textFill>
        </w:rPr>
        <w:t>29.1 签订合同时间：</w:t>
      </w:r>
      <w:r>
        <w:rPr>
          <w:rFonts w:hint="eastAsia" w:ascii="宋体" w:hAnsi="宋体" w:eastAsia="宋体" w:cs="宋体"/>
          <w:b w:val="0"/>
          <w:bCs w:val="0"/>
          <w:color w:val="000000" w:themeColor="text1"/>
          <w:szCs w:val="21"/>
          <w:highlight w:val="none"/>
          <w:lang w:eastAsia="zh-CN"/>
          <w14:textFill>
            <w14:solidFill>
              <w14:schemeClr w14:val="tx1"/>
            </w14:solidFill>
          </w14:textFill>
        </w:rPr>
        <w:t>成交通知书</w:t>
      </w:r>
      <w:r>
        <w:rPr>
          <w:rFonts w:hint="eastAsia" w:ascii="宋体" w:hAnsi="宋体" w:eastAsia="宋体" w:cs="宋体"/>
          <w:b w:val="0"/>
          <w:bCs w:val="0"/>
          <w:color w:val="000000" w:themeColor="text1"/>
          <w:szCs w:val="21"/>
          <w:highlight w:val="none"/>
          <w14:textFill>
            <w14:solidFill>
              <w14:schemeClr w14:val="tx1"/>
            </w14:solidFill>
          </w14:textFill>
        </w:rPr>
        <w:t>发出之日起</w:t>
      </w:r>
      <w:r>
        <w:rPr>
          <w:rFonts w:hint="eastAsia" w:ascii="宋体" w:hAnsi="宋体" w:cs="宋体"/>
          <w:b w:val="0"/>
          <w:bCs w:val="0"/>
          <w:color w:val="000000" w:themeColor="text1"/>
          <w:szCs w:val="21"/>
          <w:highlight w:val="none"/>
          <w:lang w:val="en-US" w:eastAsia="zh-CN"/>
          <w14:textFill>
            <w14:solidFill>
              <w14:schemeClr w14:val="tx1"/>
            </w14:solidFill>
          </w14:textFill>
        </w:rPr>
        <w:t>八个工作</w:t>
      </w:r>
      <w:r>
        <w:rPr>
          <w:rFonts w:hint="eastAsia" w:ascii="宋体" w:hAnsi="宋体" w:eastAsia="宋体" w:cs="宋体"/>
          <w:b w:val="0"/>
          <w:bCs w:val="0"/>
          <w:color w:val="000000" w:themeColor="text1"/>
          <w:szCs w:val="21"/>
          <w:highlight w:val="none"/>
          <w14:textFill>
            <w14:solidFill>
              <w14:schemeClr w14:val="tx1"/>
            </w14:solidFill>
          </w14:textFill>
        </w:rPr>
        <w:t>日内签订合同。成交供应商</w:t>
      </w:r>
      <w:r>
        <w:rPr>
          <w:rFonts w:hint="eastAsia" w:ascii="宋体" w:hAnsi="宋体" w:cs="宋体"/>
          <w:b w:val="0"/>
          <w:bCs w:val="0"/>
          <w:color w:val="000000" w:themeColor="text1"/>
          <w:szCs w:val="21"/>
          <w:highlight w:val="none"/>
          <w:lang w:val="en-US" w:eastAsia="zh-CN"/>
          <w14:textFill>
            <w14:solidFill>
              <w14:schemeClr w14:val="tx1"/>
            </w14:solidFill>
          </w14:textFill>
        </w:rPr>
        <w:t>收到</w:t>
      </w:r>
      <w:r>
        <w:rPr>
          <w:rFonts w:hint="eastAsia" w:ascii="宋体" w:hAnsi="宋体" w:eastAsia="宋体" w:cs="宋体"/>
          <w:b w:val="0"/>
          <w:bCs w:val="0"/>
          <w:color w:val="000000" w:themeColor="text1"/>
          <w:szCs w:val="21"/>
          <w:highlight w:val="none"/>
          <w14:textFill>
            <w14:solidFill>
              <w14:schemeClr w14:val="tx1"/>
            </w14:solidFill>
          </w14:textFill>
        </w:rPr>
        <w:t>成交通知书后，应按规定与采购人签订合同。</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29.2 如成交供应商有下列情形之一的，情节严重的，由财政部门将其列入不良行为记录名单，在一至三年内禁止参加政府采购活动，并予以通报。采购代理机构可从磋商小组推荐的成交候选人中按顺序重新确定成交供应商或重新组织采购。拒绝签订政府采购合同的成交供应商不得参加对该项目重新开展的采购活动。</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（1）成交后不与采购人签订合同的（不可抗力除外）；</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（2）将成交项目转让给他人，或者在响应文件中未说明，且未经采购人同意，将成交项目分包给他人的；</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（3）拒绝履行合同义务的。</w:t>
      </w:r>
    </w:p>
    <w:p>
      <w:pPr>
        <w:spacing w:line="360" w:lineRule="auto"/>
        <w:ind w:firstLine="42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29.3 合同备案存档：</w:t>
      </w:r>
      <w:r>
        <w:rPr>
          <w:rFonts w:hint="eastAsia" w:ascii="宋体" w:hAnsi="宋体" w:eastAsia="宋体" w:cs="宋体"/>
          <w:color w:val="000000" w:themeColor="text1"/>
          <w:highlight w:val="none"/>
          <w14:textFill>
            <w14:solidFill>
              <w14:schemeClr w14:val="tx1"/>
            </w14:solidFill>
          </w14:textFill>
        </w:rPr>
        <w:t>政府采购合同双方自签订之日起</w:t>
      </w:r>
      <w:r>
        <w:rPr>
          <w:rFonts w:hint="eastAsia" w:ascii="宋体" w:hAnsi="宋体" w:cs="宋体"/>
          <w:color w:val="000000" w:themeColor="text1"/>
          <w:highlight w:val="none"/>
          <w:lang w:val="en-US" w:eastAsia="zh-CN"/>
          <w14:textFill>
            <w14:solidFill>
              <w14:schemeClr w14:val="tx1"/>
            </w14:solidFill>
          </w14:textFill>
        </w:rPr>
        <w:t>将自动存档于“政采云平台”上，</w:t>
      </w:r>
      <w:r>
        <w:rPr>
          <w:rFonts w:hint="eastAsia" w:ascii="宋体" w:hAnsi="宋体" w:eastAsia="宋体" w:cs="宋体"/>
          <w:color w:val="000000" w:themeColor="text1"/>
          <w:highlight w:val="none"/>
          <w14:textFill>
            <w14:solidFill>
              <w14:schemeClr w14:val="tx1"/>
            </w14:solidFill>
          </w14:textFill>
        </w:rPr>
        <w:t>采购人于合同签订之日起七个工作日内将一份合同原件送本级财政部门备案。</w:t>
      </w:r>
    </w:p>
    <w:p>
      <w:pPr>
        <w:pStyle w:val="4"/>
        <w:jc w:val="center"/>
        <w:rPr>
          <w:rFonts w:hint="eastAsia" w:ascii="宋体" w:hAnsi="宋体" w:eastAsia="宋体" w:cs="宋体"/>
          <w:b/>
          <w:bCs w:val="0"/>
          <w:color w:val="000000" w:themeColor="text1"/>
          <w:szCs w:val="28"/>
          <w:highlight w:val="none"/>
          <w14:textFill>
            <w14:solidFill>
              <w14:schemeClr w14:val="tx1"/>
            </w14:solidFill>
          </w14:textFill>
        </w:rPr>
      </w:pPr>
      <w:bookmarkStart w:id="171" w:name="_Toc24170"/>
      <w:bookmarkStart w:id="172" w:name="_Toc16348"/>
      <w:bookmarkStart w:id="173" w:name="_Toc19337"/>
      <w:r>
        <w:rPr>
          <w:rFonts w:hint="eastAsia" w:ascii="宋体" w:hAnsi="宋体" w:eastAsia="宋体" w:cs="宋体"/>
          <w:b/>
          <w:bCs w:val="0"/>
          <w:color w:val="000000" w:themeColor="text1"/>
          <w:szCs w:val="28"/>
          <w:highlight w:val="none"/>
          <w14:textFill>
            <w14:solidFill>
              <w14:schemeClr w14:val="tx1"/>
            </w14:solidFill>
          </w14:textFill>
        </w:rPr>
        <w:t>六、其他事项</w:t>
      </w:r>
      <w:bookmarkEnd w:id="171"/>
      <w:bookmarkEnd w:id="172"/>
      <w:bookmarkEnd w:id="173"/>
    </w:p>
    <w:p>
      <w:pPr>
        <w:pStyle w:val="5"/>
        <w:spacing w:before="0" w:after="0"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bookmarkStart w:id="174" w:name="_Toc28647"/>
      <w:bookmarkStart w:id="175" w:name="_Toc2872"/>
      <w:bookmarkStart w:id="176" w:name="_Toc20450"/>
      <w:r>
        <w:rPr>
          <w:rFonts w:hint="eastAsia" w:ascii="宋体" w:hAnsi="宋体" w:eastAsia="宋体" w:cs="宋体"/>
          <w:color w:val="000000" w:themeColor="text1"/>
          <w:sz w:val="21"/>
          <w:szCs w:val="21"/>
          <w:highlight w:val="none"/>
          <w14:textFill>
            <w14:solidFill>
              <w14:schemeClr w14:val="tx1"/>
            </w14:solidFill>
          </w14:textFill>
        </w:rPr>
        <w:t>30. 采购代理服务费</w:t>
      </w:r>
      <w:bookmarkEnd w:id="174"/>
      <w:bookmarkEnd w:id="175"/>
      <w:bookmarkEnd w:id="176"/>
    </w:p>
    <w:p>
      <w:pPr>
        <w:pStyle w:val="20"/>
        <w:ind w:left="0" w:leftChars="0" w:firstLine="840" w:firstLineChars="400"/>
        <w:rPr>
          <w:rFonts w:hint="eastAsia" w:ascii="宋体" w:hAnsi="宋体" w:eastAsia="宋体" w:cs="宋体"/>
          <w:b w:val="0"/>
          <w:bCs w:val="0"/>
          <w:color w:val="000000" w:themeColor="text1"/>
          <w:highlight w:val="none"/>
          <w:lang w:val="en-US" w:eastAsia="zh-CN"/>
          <w14:textFill>
            <w14:solidFill>
              <w14:schemeClr w14:val="tx1"/>
            </w14:solidFill>
          </w14:textFill>
        </w:rPr>
      </w:pPr>
      <w:r>
        <w:rPr>
          <w:rFonts w:hint="eastAsia" w:ascii="宋体" w:hAnsi="宋体" w:eastAsia="宋体" w:cs="宋体"/>
          <w:b w:val="0"/>
          <w:bCs w:val="0"/>
          <w:color w:val="000000" w:themeColor="text1"/>
          <w:szCs w:val="21"/>
          <w:highlight w:val="none"/>
          <w14:textFill>
            <w14:solidFill>
              <w14:schemeClr w14:val="tx1"/>
            </w14:solidFill>
          </w14:textFill>
        </w:rPr>
        <w:t>本项目不收采购取代理服务费</w:t>
      </w:r>
      <w:r>
        <w:rPr>
          <w:rFonts w:hint="eastAsia" w:ascii="宋体" w:hAnsi="宋体" w:cs="宋体"/>
          <w:b w:val="0"/>
          <w:bCs w:val="0"/>
          <w:color w:val="000000" w:themeColor="text1"/>
          <w:szCs w:val="21"/>
          <w:highlight w:val="none"/>
          <w:lang w:eastAsia="zh-CN"/>
          <w14:textFill>
            <w14:solidFill>
              <w14:schemeClr w14:val="tx1"/>
            </w14:solidFill>
          </w14:textFill>
        </w:rPr>
        <w:t>。</w:t>
      </w: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bookmarkStart w:id="177" w:name="_Toc8271"/>
      <w:bookmarkStart w:id="178" w:name="_Toc12374"/>
      <w:bookmarkStart w:id="179" w:name="_Toc12665"/>
      <w:r>
        <w:rPr>
          <w:rStyle w:val="30"/>
          <w:rFonts w:hint="eastAsia" w:ascii="宋体" w:hAnsi="宋体" w:eastAsia="宋体" w:cs="宋体"/>
          <w:color w:val="000000" w:themeColor="text1"/>
          <w:sz w:val="21"/>
          <w:szCs w:val="21"/>
          <w:highlight w:val="none"/>
          <w14:textFill>
            <w14:solidFill>
              <w14:schemeClr w14:val="tx1"/>
            </w14:solidFill>
          </w14:textFill>
        </w:rPr>
        <w:t>31. 解释权</w:t>
      </w:r>
      <w:bookmarkEnd w:id="177"/>
      <w:bookmarkEnd w:id="178"/>
      <w:bookmarkEnd w:id="179"/>
      <w:r>
        <w:rPr>
          <w:rFonts w:hint="eastAsia" w:ascii="宋体" w:hAnsi="宋体" w:eastAsia="宋体" w:cs="宋体"/>
          <w:color w:val="000000" w:themeColor="text1"/>
          <w:szCs w:val="21"/>
          <w:highlight w:val="none"/>
          <w14:textFill>
            <w14:solidFill>
              <w14:schemeClr w14:val="tx1"/>
            </w14:solidFill>
          </w14:textFill>
        </w:rPr>
        <w:t>：本竞争性磋商文件是根据《中华人民共和国政府采购法》《中华人民共和国政府采购法实施条例》《政府采购竞争性磋商采购方式管理暂行办法》和政府采购管理有关规定编制，本竞争性磋商文件的解释权属于采购代理机构。</w:t>
      </w:r>
    </w:p>
    <w:p>
      <w:pPr>
        <w:snapToGrid w:val="0"/>
        <w:spacing w:line="400" w:lineRule="exact"/>
        <w:ind w:firstLine="420" w:firstLineChars="200"/>
        <w:rPr>
          <w:rFonts w:hint="eastAsia" w:ascii="宋体" w:hAnsi="宋体" w:eastAsia="宋体" w:cs="宋体"/>
          <w:color w:val="000000" w:themeColor="text1"/>
          <w:szCs w:val="21"/>
          <w:lang w:eastAsia="zh-CN"/>
          <w14:textFill>
            <w14:solidFill>
              <w14:schemeClr w14:val="tx1"/>
            </w14:solidFill>
          </w14:textFill>
        </w:rPr>
      </w:pPr>
      <w:bookmarkStart w:id="180" w:name="_Toc24443"/>
      <w:bookmarkStart w:id="181" w:name="_Toc1218"/>
      <w:r>
        <w:rPr>
          <w:rStyle w:val="30"/>
          <w:rFonts w:hint="eastAsia" w:ascii="宋体" w:hAnsi="宋体" w:eastAsia="宋体" w:cs="宋体"/>
          <w:color w:val="000000" w:themeColor="text1"/>
          <w:sz w:val="21"/>
          <w:szCs w:val="21"/>
          <w:highlight w:val="none"/>
          <w14:textFill>
            <w14:solidFill>
              <w14:schemeClr w14:val="tx1"/>
            </w14:solidFill>
          </w14:textFill>
        </w:rPr>
        <w:t>32. 监督管理机构</w:t>
      </w:r>
      <w:bookmarkEnd w:id="180"/>
      <w:bookmarkEnd w:id="181"/>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桂林市财政局</w:t>
      </w:r>
      <w:r>
        <w:rPr>
          <w:rFonts w:hint="eastAsia" w:ascii="宋体" w:hAnsi="宋体" w:eastAsia="宋体" w:cs="宋体"/>
          <w:color w:val="000000" w:themeColor="text1"/>
          <w:szCs w:val="21"/>
          <w:highlight w:val="none"/>
          <w14:textFill>
            <w14:solidFill>
              <w14:schemeClr w14:val="tx1"/>
            </w14:solidFill>
          </w14:textFill>
        </w:rPr>
        <w:t xml:space="preserve">   </w:t>
      </w:r>
      <w:r>
        <w:rPr>
          <w:rFonts w:hint="eastAsia" w:ascii="宋体" w:hAnsi="宋体" w:eastAsia="宋体" w:cs="宋体"/>
          <w:color w:val="000000" w:themeColor="text1"/>
          <w:szCs w:val="21"/>
          <w:highlight w:val="none"/>
          <w:lang w:eastAsia="zh-CN"/>
          <w14:textFill>
            <w14:solidFill>
              <w14:schemeClr w14:val="tx1"/>
            </w14:solidFill>
          </w14:textFill>
        </w:rPr>
        <w:t>电话：</w:t>
      </w:r>
      <w:r>
        <w:rPr>
          <w:rFonts w:hint="eastAsia" w:ascii="宋体" w:hAnsi="宋体" w:cs="宋体"/>
          <w:color w:val="000000" w:themeColor="text1"/>
          <w:szCs w:val="21"/>
          <w:highlight w:val="none"/>
          <w:lang w:eastAsia="zh-CN"/>
          <w14:textFill>
            <w14:solidFill>
              <w14:schemeClr w14:val="tx1"/>
            </w14:solidFill>
          </w14:textFill>
        </w:rPr>
        <w:t>0773-2862142</w:t>
      </w:r>
    </w:p>
    <w:p>
      <w:pPr>
        <w:bidi w:val="0"/>
        <w:rPr>
          <w:rFonts w:hint="eastAsia"/>
          <w:color w:val="000000" w:themeColor="text1"/>
          <w:lang w:eastAsia="zh-CN"/>
          <w14:textFill>
            <w14:solidFill>
              <w14:schemeClr w14:val="tx1"/>
            </w14:solidFill>
          </w14:textFill>
        </w:rPr>
      </w:pPr>
    </w:p>
    <w:p>
      <w:pPr>
        <w:bidi w:val="0"/>
        <w:rPr>
          <w:rFonts w:hint="eastAsia"/>
          <w:color w:val="000000" w:themeColor="text1"/>
          <w:lang w:eastAsia="zh-CN"/>
          <w14:textFill>
            <w14:solidFill>
              <w14:schemeClr w14:val="tx1"/>
            </w14:solidFill>
          </w14:textFill>
        </w:rPr>
      </w:pPr>
      <w:bookmarkStart w:id="182" w:name="_Toc29649"/>
    </w:p>
    <w:p>
      <w:pPr>
        <w:rPr>
          <w:rFonts w:hint="eastAsia" w:ascii="宋体" w:hAnsi="宋体" w:eastAsia="宋体" w:cs="宋体"/>
          <w:color w:val="000000" w:themeColor="text1"/>
          <w:sz w:val="32"/>
          <w:szCs w:val="32"/>
          <w:lang w:eastAsia="zh-CN"/>
          <w14:textFill>
            <w14:solidFill>
              <w14:schemeClr w14:val="tx1"/>
            </w14:solidFill>
          </w14:textFill>
        </w:rPr>
      </w:pPr>
      <w:r>
        <w:rPr>
          <w:rFonts w:hint="eastAsia" w:ascii="宋体" w:hAnsi="宋体" w:eastAsia="宋体" w:cs="宋体"/>
          <w:color w:val="000000" w:themeColor="text1"/>
          <w:sz w:val="32"/>
          <w:szCs w:val="32"/>
          <w:lang w:eastAsia="zh-CN"/>
          <w14:textFill>
            <w14:solidFill>
              <w14:schemeClr w14:val="tx1"/>
            </w14:solidFill>
          </w14:textFill>
        </w:rPr>
        <w:br w:type="page"/>
      </w:r>
    </w:p>
    <w:p>
      <w:pPr>
        <w:pStyle w:val="3"/>
        <w:numPr>
          <w:ilvl w:val="0"/>
          <w:numId w:val="0"/>
        </w:numPr>
        <w:tabs>
          <w:tab w:val="left" w:pos="0"/>
        </w:tabs>
        <w:autoSpaceDE w:val="0"/>
        <w:autoSpaceDN w:val="0"/>
        <w:adjustRightInd w:val="0"/>
        <w:spacing w:before="0" w:after="0" w:line="360" w:lineRule="auto"/>
        <w:jc w:val="center"/>
        <w:rPr>
          <w:rFonts w:hint="eastAsia" w:ascii="宋体" w:hAnsi="宋体" w:eastAsia="宋体" w:cs="宋体"/>
          <w:color w:val="000000" w:themeColor="text1"/>
          <w:sz w:val="32"/>
          <w:szCs w:val="32"/>
          <w14:textFill>
            <w14:solidFill>
              <w14:schemeClr w14:val="tx1"/>
            </w14:solidFill>
          </w14:textFill>
        </w:rPr>
      </w:pPr>
      <w:bookmarkStart w:id="183" w:name="_Toc5864"/>
      <w:r>
        <w:rPr>
          <w:rFonts w:hint="eastAsia" w:ascii="宋体" w:hAnsi="宋体" w:eastAsia="宋体" w:cs="宋体"/>
          <w:color w:val="000000" w:themeColor="text1"/>
          <w:sz w:val="32"/>
          <w:szCs w:val="32"/>
          <w:lang w:eastAsia="zh-CN"/>
          <w14:textFill>
            <w14:solidFill>
              <w14:schemeClr w14:val="tx1"/>
            </w14:solidFill>
          </w14:textFill>
        </w:rPr>
        <w:t>第三章</w:t>
      </w:r>
      <w:r>
        <w:rPr>
          <w:rFonts w:hint="eastAsia" w:ascii="宋体" w:hAnsi="宋体" w:eastAsia="宋体" w:cs="宋体"/>
          <w:color w:val="000000" w:themeColor="text1"/>
          <w:sz w:val="32"/>
          <w:szCs w:val="32"/>
          <w14:textFill>
            <w14:solidFill>
              <w14:schemeClr w14:val="tx1"/>
            </w14:solidFill>
          </w14:textFill>
        </w:rPr>
        <w:t xml:space="preserve"> </w:t>
      </w:r>
      <w:bookmarkStart w:id="184" w:name="_Toc24601"/>
      <w:bookmarkStart w:id="185" w:name="_Toc22353"/>
      <w:r>
        <w:rPr>
          <w:rFonts w:hint="eastAsia" w:ascii="宋体" w:hAnsi="宋体" w:eastAsia="宋体" w:cs="宋体"/>
          <w:color w:val="000000" w:themeColor="text1"/>
          <w:sz w:val="32"/>
          <w:szCs w:val="32"/>
          <w14:textFill>
            <w14:solidFill>
              <w14:schemeClr w14:val="tx1"/>
            </w14:solidFill>
          </w14:textFill>
        </w:rPr>
        <w:t>采购需求</w:t>
      </w:r>
      <w:bookmarkEnd w:id="182"/>
      <w:bookmarkEnd w:id="183"/>
      <w:bookmarkEnd w:id="184"/>
      <w:bookmarkEnd w:id="185"/>
    </w:p>
    <w:p>
      <w:pPr>
        <w:pStyle w:val="20"/>
        <w:ind w:left="0" w:leftChars="0" w:firstLine="0" w:firstLineChars="0"/>
        <w:rPr>
          <w:rFonts w:hint="eastAsia"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说明：</w:t>
      </w:r>
    </w:p>
    <w:p>
      <w:pPr>
        <w:widowControl/>
        <w:ind w:firstLine="420" w:firstLineChars="200"/>
        <w:jc w:val="left"/>
        <w:rPr>
          <w:rFonts w:hint="eastAsia" w:ascii="宋体" w:hAnsi="宋体" w:cs="宋体"/>
          <w:b/>
          <w:color w:val="000000" w:themeColor="text1"/>
          <w:kern w:val="0"/>
          <w:szCs w:val="21"/>
          <w:lang w:bidi="ar"/>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1、</w:t>
      </w:r>
      <w:r>
        <w:rPr>
          <w:rFonts w:hint="eastAsia" w:ascii="宋体" w:hAnsi="宋体" w:cs="宋体"/>
          <w:b/>
          <w:color w:val="000000" w:themeColor="text1"/>
          <w:kern w:val="0"/>
          <w:szCs w:val="21"/>
          <w:lang w:bidi="ar"/>
          <w14:textFill>
            <w14:solidFill>
              <w14:schemeClr w14:val="tx1"/>
            </w14:solidFill>
          </w14:textFill>
        </w:rPr>
        <w:t>根据《关于调整优化节能</w:t>
      </w:r>
      <w:r>
        <w:rPr>
          <w:rFonts w:hint="eastAsia" w:ascii="宋体" w:hAnsi="宋体" w:cs="宋体"/>
          <w:b/>
          <w:color w:val="000000" w:themeColor="text1"/>
          <w:szCs w:val="21"/>
          <w14:textFill>
            <w14:solidFill>
              <w14:schemeClr w14:val="tx1"/>
            </w14:solidFill>
          </w14:textFill>
        </w:rPr>
        <w:t>产品、环境标志产品政府采购执行机制的通知》（财库〔2019〕</w:t>
      </w:r>
      <w:r>
        <w:rPr>
          <w:rFonts w:ascii="宋体" w:hAnsi="宋体" w:cs="宋体"/>
          <w:b/>
          <w:color w:val="000000" w:themeColor="text1"/>
          <w:szCs w:val="21"/>
          <w14:textFill>
            <w14:solidFill>
              <w14:schemeClr w14:val="tx1"/>
            </w14:solidFill>
          </w14:textFill>
        </w:rPr>
        <w:t xml:space="preserve">9 </w:t>
      </w:r>
      <w:r>
        <w:rPr>
          <w:rFonts w:hint="eastAsia" w:ascii="宋体" w:hAnsi="宋体" w:cs="宋体"/>
          <w:b/>
          <w:color w:val="000000" w:themeColor="text1"/>
          <w:szCs w:val="21"/>
          <w14:textFill>
            <w14:solidFill>
              <w14:schemeClr w14:val="tx1"/>
            </w14:solidFill>
          </w14:textFill>
        </w:rPr>
        <w:t>号）的规 定，政府采购节能产品、环境标志产品实施品目清单管</w:t>
      </w:r>
      <w:r>
        <w:rPr>
          <w:rFonts w:hint="eastAsia" w:ascii="宋体" w:hAnsi="宋体" w:cs="宋体"/>
          <w:b/>
          <w:color w:val="000000" w:themeColor="text1"/>
          <w:kern w:val="0"/>
          <w:szCs w:val="21"/>
          <w:lang w:bidi="ar"/>
          <w14:textFill>
            <w14:solidFill>
              <w14:schemeClr w14:val="tx1"/>
            </w14:solidFill>
          </w14:textFill>
        </w:rPr>
        <w:t xml:space="preserve">理，依据品目清单和认证证书实施政府优先采购。 采购人拟采购的产品属于品目清单范围的，采购人及其委托的采购代理机构应当依据国家确定的认证机构 出具的、处于有效期之内的节能产品、环境标志产品认证证书，对获得证书的产品实施政府优先采购。供应商谈判时须提供谈判产品的相关证明材料。 </w:t>
      </w:r>
    </w:p>
    <w:p>
      <w:pPr>
        <w:widowControl/>
        <w:jc w:val="left"/>
        <w:rPr>
          <w:rFonts w:hint="eastAsia"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 xml:space="preserve">《节能产品政府采购品目清单》中： </w:t>
      </w:r>
    </w:p>
    <w:p>
      <w:pPr>
        <w:widowControl/>
        <w:ind w:firstLine="420" w:firstLineChars="200"/>
        <w:jc w:val="left"/>
        <w:rPr>
          <w:rFonts w:hint="eastAsia" w:ascii="宋体" w:hAnsi="宋体" w:cs="宋体"/>
          <w:b/>
          <w:color w:val="000000" w:themeColor="text1"/>
          <w:kern w:val="0"/>
          <w:szCs w:val="21"/>
          <w:lang w:bidi="ar"/>
          <w14:textFill>
            <w14:solidFill>
              <w14:schemeClr w14:val="tx1"/>
            </w14:solidFill>
          </w14:textFill>
        </w:rPr>
      </w:pPr>
      <w:r>
        <w:rPr>
          <w:rFonts w:ascii="宋体" w:hAnsi="宋体" w:cs="宋体"/>
          <w:b/>
          <w:color w:val="000000" w:themeColor="text1"/>
          <w:kern w:val="0"/>
          <w:szCs w:val="21"/>
          <w:lang w:bidi="ar"/>
          <w14:textFill>
            <w14:solidFill>
              <w14:schemeClr w14:val="tx1"/>
            </w14:solidFill>
          </w14:textFill>
        </w:rPr>
        <w:t xml:space="preserve">1) </w:t>
      </w:r>
      <w:r>
        <w:rPr>
          <w:rFonts w:hint="eastAsia" w:ascii="宋体" w:hAnsi="宋体" w:cs="宋体"/>
          <w:b/>
          <w:color w:val="000000" w:themeColor="text1"/>
          <w:kern w:val="0"/>
          <w:szCs w:val="21"/>
          <w:lang w:bidi="ar"/>
          <w14:textFill>
            <w14:solidFill>
              <w14:schemeClr w14:val="tx1"/>
            </w14:solidFill>
          </w14:textFill>
        </w:rPr>
        <w:t xml:space="preserve">计算机设备（台式计算机、便携式计算机、平板式微型计算机）； </w:t>
      </w:r>
    </w:p>
    <w:p>
      <w:pPr>
        <w:widowControl/>
        <w:ind w:firstLine="420" w:firstLineChars="200"/>
        <w:jc w:val="left"/>
        <w:rPr>
          <w:rFonts w:hint="eastAsia" w:ascii="宋体" w:hAnsi="宋体" w:cs="宋体"/>
          <w:b/>
          <w:color w:val="000000" w:themeColor="text1"/>
          <w:kern w:val="0"/>
          <w:szCs w:val="21"/>
          <w:lang w:bidi="ar"/>
          <w14:textFill>
            <w14:solidFill>
              <w14:schemeClr w14:val="tx1"/>
            </w14:solidFill>
          </w14:textFill>
        </w:rPr>
      </w:pPr>
      <w:r>
        <w:rPr>
          <w:rFonts w:ascii="宋体" w:hAnsi="宋体" w:cs="宋体"/>
          <w:b/>
          <w:color w:val="000000" w:themeColor="text1"/>
          <w:kern w:val="0"/>
          <w:szCs w:val="21"/>
          <w:lang w:bidi="ar"/>
          <w14:textFill>
            <w14:solidFill>
              <w14:schemeClr w14:val="tx1"/>
            </w14:solidFill>
          </w14:textFill>
        </w:rPr>
        <w:t xml:space="preserve">2) </w:t>
      </w:r>
      <w:r>
        <w:rPr>
          <w:rFonts w:hint="eastAsia" w:ascii="宋体" w:hAnsi="宋体" w:cs="宋体"/>
          <w:b/>
          <w:color w:val="000000" w:themeColor="text1"/>
          <w:kern w:val="0"/>
          <w:szCs w:val="21"/>
          <w:lang w:bidi="ar"/>
          <w14:textFill>
            <w14:solidFill>
              <w14:schemeClr w14:val="tx1"/>
            </w14:solidFill>
          </w14:textFill>
        </w:rPr>
        <w:t xml:space="preserve">输入输出设备【打印设备（激光打印机、针式打印机）、显示设备（液晶显示器）】； </w:t>
      </w:r>
    </w:p>
    <w:p>
      <w:pPr>
        <w:widowControl/>
        <w:ind w:firstLine="420" w:firstLineChars="200"/>
        <w:jc w:val="left"/>
        <w:rPr>
          <w:rFonts w:hint="eastAsia" w:ascii="宋体" w:hAnsi="宋体" w:cs="宋体"/>
          <w:b/>
          <w:color w:val="000000" w:themeColor="text1"/>
          <w:kern w:val="0"/>
          <w:szCs w:val="21"/>
          <w:lang w:bidi="ar"/>
          <w14:textFill>
            <w14:solidFill>
              <w14:schemeClr w14:val="tx1"/>
            </w14:solidFill>
          </w14:textFill>
        </w:rPr>
      </w:pPr>
      <w:r>
        <w:rPr>
          <w:rFonts w:ascii="宋体" w:hAnsi="宋体" w:cs="宋体"/>
          <w:b/>
          <w:color w:val="000000" w:themeColor="text1"/>
          <w:kern w:val="0"/>
          <w:szCs w:val="21"/>
          <w:lang w:bidi="ar"/>
          <w14:textFill>
            <w14:solidFill>
              <w14:schemeClr w14:val="tx1"/>
            </w14:solidFill>
          </w14:textFill>
        </w:rPr>
        <w:t xml:space="preserve">3) </w:t>
      </w:r>
      <w:r>
        <w:rPr>
          <w:rFonts w:hint="eastAsia" w:ascii="宋体" w:hAnsi="宋体" w:cs="宋体"/>
          <w:b/>
          <w:color w:val="000000" w:themeColor="text1"/>
          <w:kern w:val="0"/>
          <w:szCs w:val="21"/>
          <w:lang w:bidi="ar"/>
          <w14:textFill>
            <w14:solidFill>
              <w14:schemeClr w14:val="tx1"/>
            </w14:solidFill>
          </w14:textFill>
        </w:rPr>
        <w:t>制冷空调设备【制冷压缩机（冷水机组、水源热泵机组、溴化锂吸收式冷水机组）、空调机组（多联式空调（热泵）机组（制冷量＞</w:t>
      </w:r>
      <w:r>
        <w:rPr>
          <w:rFonts w:ascii="宋体" w:hAnsi="宋体" w:cs="宋体"/>
          <w:b/>
          <w:color w:val="000000" w:themeColor="text1"/>
          <w:kern w:val="0"/>
          <w:szCs w:val="21"/>
          <w:lang w:bidi="ar"/>
          <w14:textFill>
            <w14:solidFill>
              <w14:schemeClr w14:val="tx1"/>
            </w14:solidFill>
          </w14:textFill>
        </w:rPr>
        <w:t>14000W</w:t>
      </w:r>
      <w:r>
        <w:rPr>
          <w:rFonts w:hint="eastAsia" w:ascii="宋体" w:hAnsi="宋体" w:cs="宋体"/>
          <w:b/>
          <w:color w:val="000000" w:themeColor="text1"/>
          <w:kern w:val="0"/>
          <w:szCs w:val="21"/>
          <w:lang w:bidi="ar"/>
          <w14:textFill>
            <w14:solidFill>
              <w14:schemeClr w14:val="tx1"/>
            </w14:solidFill>
          </w14:textFill>
        </w:rPr>
        <w:t>）、单元式空气调节机（制冷量＞</w:t>
      </w:r>
      <w:r>
        <w:rPr>
          <w:rFonts w:ascii="宋体" w:hAnsi="宋体" w:cs="宋体"/>
          <w:b/>
          <w:color w:val="000000" w:themeColor="text1"/>
          <w:kern w:val="0"/>
          <w:szCs w:val="21"/>
          <w:lang w:bidi="ar"/>
          <w14:textFill>
            <w14:solidFill>
              <w14:schemeClr w14:val="tx1"/>
            </w14:solidFill>
          </w14:textFill>
        </w:rPr>
        <w:t>14000W</w:t>
      </w:r>
      <w:r>
        <w:rPr>
          <w:rFonts w:hint="eastAsia" w:ascii="宋体" w:hAnsi="宋体" w:cs="宋体"/>
          <w:b/>
          <w:color w:val="000000" w:themeColor="text1"/>
          <w:kern w:val="0"/>
          <w:szCs w:val="21"/>
          <w:lang w:bidi="ar"/>
          <w14:textFill>
            <w14:solidFill>
              <w14:schemeClr w14:val="tx1"/>
            </w14:solidFill>
          </w14:textFill>
        </w:rPr>
        <w:t xml:space="preserve">））、专用制冷、空调设备（机房空调）】； </w:t>
      </w:r>
    </w:p>
    <w:p>
      <w:pPr>
        <w:widowControl/>
        <w:ind w:firstLine="420" w:firstLineChars="200"/>
        <w:jc w:val="left"/>
        <w:rPr>
          <w:rFonts w:hint="eastAsia" w:ascii="宋体" w:hAnsi="宋体" w:cs="宋体"/>
          <w:b/>
          <w:color w:val="000000" w:themeColor="text1"/>
          <w:kern w:val="0"/>
          <w:szCs w:val="21"/>
          <w:lang w:bidi="ar"/>
          <w14:textFill>
            <w14:solidFill>
              <w14:schemeClr w14:val="tx1"/>
            </w14:solidFill>
          </w14:textFill>
        </w:rPr>
      </w:pPr>
      <w:r>
        <w:rPr>
          <w:rFonts w:ascii="宋体" w:hAnsi="宋体" w:cs="宋体"/>
          <w:b/>
          <w:color w:val="000000" w:themeColor="text1"/>
          <w:kern w:val="0"/>
          <w:szCs w:val="21"/>
          <w:lang w:bidi="ar"/>
          <w14:textFill>
            <w14:solidFill>
              <w14:schemeClr w14:val="tx1"/>
            </w14:solidFill>
          </w14:textFill>
        </w:rPr>
        <w:t xml:space="preserve">4) </w:t>
      </w:r>
      <w:r>
        <w:rPr>
          <w:rFonts w:hint="eastAsia" w:ascii="宋体" w:hAnsi="宋体" w:cs="宋体"/>
          <w:b/>
          <w:color w:val="000000" w:themeColor="text1"/>
          <w:kern w:val="0"/>
          <w:szCs w:val="21"/>
          <w:lang w:bidi="ar"/>
          <w14:textFill>
            <w14:solidFill>
              <w14:schemeClr w14:val="tx1"/>
            </w14:solidFill>
          </w14:textFill>
        </w:rPr>
        <w:t xml:space="preserve">镇流器（管型荧光灯镇流器）； </w:t>
      </w:r>
    </w:p>
    <w:p>
      <w:pPr>
        <w:widowControl/>
        <w:ind w:firstLine="420" w:firstLineChars="200"/>
        <w:jc w:val="left"/>
        <w:rPr>
          <w:rFonts w:hint="eastAsia" w:ascii="宋体" w:hAnsi="宋体" w:cs="宋体"/>
          <w:b/>
          <w:color w:val="000000" w:themeColor="text1"/>
          <w:kern w:val="0"/>
          <w:szCs w:val="21"/>
          <w:lang w:bidi="ar"/>
          <w14:textFill>
            <w14:solidFill>
              <w14:schemeClr w14:val="tx1"/>
            </w14:solidFill>
          </w14:textFill>
        </w:rPr>
      </w:pPr>
      <w:r>
        <w:rPr>
          <w:rFonts w:ascii="宋体" w:hAnsi="宋体" w:cs="宋体"/>
          <w:b/>
          <w:color w:val="000000" w:themeColor="text1"/>
          <w:kern w:val="0"/>
          <w:szCs w:val="21"/>
          <w:lang w:bidi="ar"/>
          <w14:textFill>
            <w14:solidFill>
              <w14:schemeClr w14:val="tx1"/>
            </w14:solidFill>
          </w14:textFill>
        </w:rPr>
        <w:t xml:space="preserve">5) </w:t>
      </w:r>
      <w:r>
        <w:rPr>
          <w:rFonts w:hint="eastAsia" w:ascii="宋体" w:hAnsi="宋体" w:cs="宋体"/>
          <w:b/>
          <w:color w:val="000000" w:themeColor="text1"/>
          <w:kern w:val="0"/>
          <w:szCs w:val="21"/>
          <w:lang w:bidi="ar"/>
          <w14:textFill>
            <w14:solidFill>
              <w14:schemeClr w14:val="tx1"/>
            </w14:solidFill>
          </w14:textFill>
        </w:rPr>
        <w:t>生活用电器｛空调机【房间空气调节器、多联式空调（热泵）机组（制冷量≤</w:t>
      </w:r>
      <w:r>
        <w:rPr>
          <w:rFonts w:ascii="宋体" w:hAnsi="宋体" w:cs="宋体"/>
          <w:b/>
          <w:color w:val="000000" w:themeColor="text1"/>
          <w:kern w:val="0"/>
          <w:szCs w:val="21"/>
          <w:lang w:bidi="ar"/>
          <w14:textFill>
            <w14:solidFill>
              <w14:schemeClr w14:val="tx1"/>
            </w14:solidFill>
          </w14:textFill>
        </w:rPr>
        <w:t>14000W</w:t>
      </w:r>
      <w:r>
        <w:rPr>
          <w:rFonts w:hint="eastAsia" w:ascii="宋体" w:hAnsi="宋体" w:cs="宋体"/>
          <w:b/>
          <w:color w:val="000000" w:themeColor="text1"/>
          <w:kern w:val="0"/>
          <w:szCs w:val="21"/>
          <w:lang w:bidi="ar"/>
          <w14:textFill>
            <w14:solidFill>
              <w14:schemeClr w14:val="tx1"/>
            </w14:solidFill>
          </w14:textFill>
        </w:rPr>
        <w:t>）、单元式空气调节机（制冷量</w:t>
      </w:r>
      <w:r>
        <w:rPr>
          <w:rFonts w:ascii="宋体" w:hAnsi="宋体" w:cs="宋体"/>
          <w:b/>
          <w:color w:val="000000" w:themeColor="text1"/>
          <w:kern w:val="0"/>
          <w:szCs w:val="21"/>
          <w:lang w:bidi="ar"/>
          <w14:textFill>
            <w14:solidFill>
              <w14:schemeClr w14:val="tx1"/>
            </w14:solidFill>
          </w14:textFill>
        </w:rPr>
        <w:t>≤14000W</w:t>
      </w:r>
      <w:r>
        <w:rPr>
          <w:rFonts w:hint="eastAsia" w:ascii="宋体" w:hAnsi="宋体" w:cs="宋体"/>
          <w:b/>
          <w:color w:val="000000" w:themeColor="text1"/>
          <w:kern w:val="0"/>
          <w:szCs w:val="21"/>
          <w:lang w:bidi="ar"/>
          <w14:textFill>
            <w14:solidFill>
              <w14:schemeClr w14:val="tx1"/>
            </w14:solidFill>
          </w14:textFill>
        </w:rPr>
        <w:t xml:space="preserve">）】、热水器（电热水器）｝； </w:t>
      </w:r>
    </w:p>
    <w:p>
      <w:pPr>
        <w:widowControl/>
        <w:ind w:firstLine="420" w:firstLineChars="200"/>
        <w:jc w:val="left"/>
        <w:rPr>
          <w:rFonts w:hint="eastAsia" w:ascii="宋体" w:hAnsi="宋体" w:cs="宋体"/>
          <w:b/>
          <w:color w:val="000000" w:themeColor="text1"/>
          <w:kern w:val="0"/>
          <w:szCs w:val="21"/>
          <w:lang w:bidi="ar"/>
          <w14:textFill>
            <w14:solidFill>
              <w14:schemeClr w14:val="tx1"/>
            </w14:solidFill>
          </w14:textFill>
        </w:rPr>
      </w:pPr>
      <w:r>
        <w:rPr>
          <w:rFonts w:ascii="宋体" w:hAnsi="宋体" w:cs="宋体"/>
          <w:b/>
          <w:color w:val="000000" w:themeColor="text1"/>
          <w:kern w:val="0"/>
          <w:szCs w:val="21"/>
          <w:lang w:bidi="ar"/>
          <w14:textFill>
            <w14:solidFill>
              <w14:schemeClr w14:val="tx1"/>
            </w14:solidFill>
          </w14:textFill>
        </w:rPr>
        <w:t xml:space="preserve">6) </w:t>
      </w:r>
      <w:r>
        <w:rPr>
          <w:rFonts w:hint="eastAsia" w:ascii="宋体" w:hAnsi="宋体" w:cs="宋体"/>
          <w:b/>
          <w:color w:val="000000" w:themeColor="text1"/>
          <w:kern w:val="0"/>
          <w:szCs w:val="21"/>
          <w:lang w:bidi="ar"/>
          <w14:textFill>
            <w14:solidFill>
              <w14:schemeClr w14:val="tx1"/>
            </w14:solidFill>
          </w14:textFill>
        </w:rPr>
        <w:t xml:space="preserve">照明设备（普通照明用双端荧光灯）； </w:t>
      </w:r>
    </w:p>
    <w:p>
      <w:pPr>
        <w:widowControl/>
        <w:ind w:firstLine="420" w:firstLineChars="200"/>
        <w:jc w:val="left"/>
        <w:rPr>
          <w:rFonts w:hint="eastAsia" w:ascii="宋体" w:hAnsi="宋体" w:cs="宋体"/>
          <w:b/>
          <w:color w:val="000000" w:themeColor="text1"/>
          <w:kern w:val="0"/>
          <w:szCs w:val="21"/>
          <w:lang w:bidi="ar"/>
          <w14:textFill>
            <w14:solidFill>
              <w14:schemeClr w14:val="tx1"/>
            </w14:solidFill>
          </w14:textFill>
        </w:rPr>
      </w:pPr>
      <w:r>
        <w:rPr>
          <w:rFonts w:ascii="宋体" w:hAnsi="宋体" w:cs="宋体"/>
          <w:b/>
          <w:color w:val="000000" w:themeColor="text1"/>
          <w:kern w:val="0"/>
          <w:szCs w:val="21"/>
          <w:lang w:bidi="ar"/>
          <w14:textFill>
            <w14:solidFill>
              <w14:schemeClr w14:val="tx1"/>
            </w14:solidFill>
          </w14:textFill>
        </w:rPr>
        <w:t xml:space="preserve">7) </w:t>
      </w:r>
      <w:r>
        <w:rPr>
          <w:rFonts w:hint="eastAsia" w:ascii="宋体" w:hAnsi="宋体" w:cs="宋体"/>
          <w:b/>
          <w:color w:val="000000" w:themeColor="text1"/>
          <w:kern w:val="0"/>
          <w:szCs w:val="21"/>
          <w:lang w:bidi="ar"/>
          <w14:textFill>
            <w14:solidFill>
              <w14:schemeClr w14:val="tx1"/>
            </w14:solidFill>
          </w14:textFill>
        </w:rPr>
        <w:t xml:space="preserve">电视设备【普通电视设备（电视机）】； </w:t>
      </w:r>
    </w:p>
    <w:p>
      <w:pPr>
        <w:widowControl/>
        <w:ind w:firstLine="420" w:firstLineChars="200"/>
        <w:jc w:val="left"/>
        <w:rPr>
          <w:rFonts w:hint="eastAsia" w:ascii="宋体" w:hAnsi="宋体" w:cs="宋体"/>
          <w:b/>
          <w:color w:val="000000" w:themeColor="text1"/>
          <w:kern w:val="0"/>
          <w:szCs w:val="21"/>
          <w:lang w:bidi="ar"/>
          <w14:textFill>
            <w14:solidFill>
              <w14:schemeClr w14:val="tx1"/>
            </w14:solidFill>
          </w14:textFill>
        </w:rPr>
      </w:pPr>
      <w:r>
        <w:rPr>
          <w:rFonts w:ascii="宋体" w:hAnsi="宋体" w:cs="宋体"/>
          <w:b/>
          <w:color w:val="000000" w:themeColor="text1"/>
          <w:kern w:val="0"/>
          <w:szCs w:val="21"/>
          <w:lang w:bidi="ar"/>
          <w14:textFill>
            <w14:solidFill>
              <w14:schemeClr w14:val="tx1"/>
            </w14:solidFill>
          </w14:textFill>
        </w:rPr>
        <w:t xml:space="preserve">8) </w:t>
      </w:r>
      <w:r>
        <w:rPr>
          <w:rFonts w:hint="eastAsia" w:ascii="宋体" w:hAnsi="宋体" w:cs="宋体"/>
          <w:b/>
          <w:color w:val="000000" w:themeColor="text1"/>
          <w:kern w:val="0"/>
          <w:szCs w:val="21"/>
          <w:lang w:bidi="ar"/>
          <w14:textFill>
            <w14:solidFill>
              <w14:schemeClr w14:val="tx1"/>
            </w14:solidFill>
          </w14:textFill>
        </w:rPr>
        <w:t xml:space="preserve">视频设备【视频监控设备（监视器）】； </w:t>
      </w:r>
    </w:p>
    <w:p>
      <w:pPr>
        <w:adjustRightInd w:val="0"/>
        <w:spacing w:line="400" w:lineRule="exact"/>
        <w:ind w:firstLine="420" w:firstLineChars="200"/>
        <w:rPr>
          <w:rFonts w:hint="eastAsia" w:ascii="宋体" w:hAnsi="宋体" w:cs="宋体"/>
          <w:b/>
          <w:color w:val="000000" w:themeColor="text1"/>
          <w14:textFill>
            <w14:solidFill>
              <w14:schemeClr w14:val="tx1"/>
            </w14:solidFill>
          </w14:textFill>
        </w:rPr>
      </w:pPr>
      <w:r>
        <w:rPr>
          <w:rFonts w:ascii="宋体" w:hAnsi="宋体" w:cs="宋体"/>
          <w:b/>
          <w:color w:val="000000" w:themeColor="text1"/>
          <w:kern w:val="0"/>
          <w:szCs w:val="21"/>
          <w:lang w:bidi="ar"/>
          <w14:textFill>
            <w14:solidFill>
              <w14:schemeClr w14:val="tx1"/>
            </w14:solidFill>
          </w14:textFill>
        </w:rPr>
        <w:t xml:space="preserve">9) </w:t>
      </w:r>
      <w:r>
        <w:rPr>
          <w:rFonts w:hint="eastAsia" w:ascii="宋体" w:hAnsi="宋体" w:cs="宋体"/>
          <w:b/>
          <w:color w:val="000000" w:themeColor="text1"/>
          <w:kern w:val="0"/>
          <w:szCs w:val="21"/>
          <w:lang w:bidi="ar"/>
          <w14:textFill>
            <w14:solidFill>
              <w14:schemeClr w14:val="tx1"/>
            </w14:solidFill>
          </w14:textFill>
        </w:rPr>
        <w:t>便</w:t>
      </w:r>
      <w:r>
        <w:rPr>
          <w:rFonts w:hint="eastAsia" w:ascii="宋体" w:hAnsi="宋体" w:cs="宋体"/>
          <w:b/>
          <w:color w:val="000000" w:themeColor="text1"/>
          <w14:textFill>
            <w14:solidFill>
              <w14:schemeClr w14:val="tx1"/>
            </w14:solidFill>
          </w14:textFill>
        </w:rPr>
        <w:t xml:space="preserve">器（坐便器、蹲便器、小便器）； </w:t>
      </w:r>
    </w:p>
    <w:p>
      <w:pPr>
        <w:adjustRightInd w:val="0"/>
        <w:spacing w:line="400" w:lineRule="exact"/>
        <w:ind w:firstLine="420" w:firstLineChars="200"/>
        <w:rPr>
          <w:rFonts w:hint="eastAsia"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 xml:space="preserve">10) 水嘴。 </w:t>
      </w:r>
    </w:p>
    <w:p>
      <w:pPr>
        <w:adjustRightInd w:val="0"/>
        <w:spacing w:line="400" w:lineRule="exact"/>
        <w:ind w:firstLine="431"/>
        <w:rPr>
          <w:rFonts w:hint="eastAsia"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 xml:space="preserve">以上所罗列的设备为《节能产品政府采购品目清单》中政府强制采购节能产品，采购人拟采购的产品属于政府强制采购产品的，供应商谈判时必须针对该产品出具依据国家确定的认证机构出具的、处于有效期之内的节能产品认证证书复印件，并加盖供应商公章，否则其响应文件无效。 </w:t>
      </w:r>
    </w:p>
    <w:p>
      <w:pPr>
        <w:adjustRightInd w:val="0"/>
        <w:spacing w:line="400" w:lineRule="exact"/>
        <w:ind w:firstLine="431"/>
        <w:rPr>
          <w:rFonts w:hint="eastAsia"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2、根据《关于信息安全产品实施政府采购的通知》（财库〔2010〕48号）的规定，如采购需求中有涉及信息安全产品的设备，必须提供由中国信息安全认证中心按国家标准认证颁发的有效认证证书复印件。</w:t>
      </w:r>
    </w:p>
    <w:p>
      <w:pPr>
        <w:adjustRightInd w:val="0"/>
        <w:spacing w:line="400" w:lineRule="exact"/>
        <w:ind w:firstLine="431"/>
        <w:rPr>
          <w:rFonts w:hint="eastAsia"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3、供应商应对响应内容所涉及的专利承担法律责任，并负责保护业主的利益不受任何损害。一切由于文字、商标、技术和软件专利授权引起的法律裁决、诉讼和赔偿费用均由成交供应商负责。同时，具有产品专利的供应商应在其响应文件中提供与其自有产品专利相关的有效证明材料，否则，不能就其产品的专利在本项目投标响应过程中被侵权问题而提出异议。</w:t>
      </w:r>
    </w:p>
    <w:p>
      <w:pPr>
        <w:adjustRightInd w:val="0"/>
        <w:spacing w:line="400" w:lineRule="exact"/>
        <w:ind w:firstLine="431"/>
        <w:rPr>
          <w:rFonts w:hint="eastAsia"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4、供应商应注意下列内容：</w:t>
      </w:r>
    </w:p>
    <w:p>
      <w:pPr>
        <w:adjustRightInd w:val="0"/>
        <w:spacing w:line="400" w:lineRule="exact"/>
        <w:ind w:firstLine="431"/>
        <w:rPr>
          <w:rFonts w:hint="eastAsia"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1）本</w:t>
      </w:r>
      <w:r>
        <w:rPr>
          <w:rFonts w:hint="eastAsia" w:ascii="宋体" w:hAnsi="宋体" w:eastAsia="宋体" w:cs="宋体"/>
          <w:b/>
          <w:color w:val="000000" w:themeColor="text1"/>
          <w:sz w:val="21"/>
          <w:szCs w:val="21"/>
          <w:u w:val="none"/>
          <w:lang w:val="en-US" w:eastAsia="zh-CN"/>
          <w14:textFill>
            <w14:solidFill>
              <w14:schemeClr w14:val="tx1"/>
            </w14:solidFill>
          </w14:textFill>
        </w:rPr>
        <w:t>采购需求”中的标注★号的内容均为实质性要求</w:t>
      </w:r>
      <w:r>
        <w:rPr>
          <w:rFonts w:hint="eastAsia" w:ascii="宋体" w:hAnsi="宋体" w:cs="宋体"/>
          <w:b/>
          <w:color w:val="000000" w:themeColor="text1"/>
          <w14:textFill>
            <w14:solidFill>
              <w14:schemeClr w14:val="tx1"/>
            </w14:solidFill>
          </w14:textFill>
        </w:rPr>
        <w:t>和条件，供应商须满足或响应，若无法完全满足，将会被认定为无效响应</w:t>
      </w:r>
      <w:r>
        <w:rPr>
          <w:rFonts w:hint="eastAsia" w:ascii="宋体" w:hAnsi="宋体" w:cs="宋体"/>
          <w:b/>
          <w:color w:val="000000" w:themeColor="text1"/>
          <w:lang w:eastAsia="zh-CN"/>
          <w14:textFill>
            <w14:solidFill>
              <w14:schemeClr w14:val="tx1"/>
            </w14:solidFill>
          </w14:textFill>
        </w:rPr>
        <w:t>；</w:t>
      </w:r>
      <w:r>
        <w:rPr>
          <w:rFonts w:hint="eastAsia" w:ascii="宋体" w:hAnsi="宋体" w:cs="宋体"/>
          <w:b/>
          <w:szCs w:val="21"/>
        </w:rPr>
        <w:t>标注▲号的技术参数，为重要技术指标、功能条款，将作为评审依据</w:t>
      </w:r>
      <w:r>
        <w:rPr>
          <w:rFonts w:hint="eastAsia" w:ascii="宋体" w:hAnsi="宋体" w:cs="宋体"/>
          <w:b/>
          <w:color w:val="000000" w:themeColor="text1"/>
          <w14:textFill>
            <w14:solidFill>
              <w14:schemeClr w14:val="tx1"/>
            </w14:solidFill>
          </w14:textFill>
        </w:rPr>
        <w:t>。</w:t>
      </w:r>
    </w:p>
    <w:p>
      <w:pPr>
        <w:adjustRightInd w:val="0"/>
        <w:spacing w:line="400" w:lineRule="exact"/>
        <w:ind w:firstLine="431"/>
        <w:rPr>
          <w:rFonts w:hint="eastAsia"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2）供应商须在响应文件中填写/应答技术规格参数，当响应文件中技术参数与谈判文件中技术参数有偏离时，须在“偏离”栏内如实注明是“正偏离”或“负偏离”，“正偏离”指投标响应设备的技术参数优于谈判文件中要求，“负偏离”指设备的技术参数低于谈判文件中要求。响应文件中的技术参数、功能或其它内容有“正偏离”的，供应商须对“正偏离”的情况单独作出说明。</w:t>
      </w:r>
    </w:p>
    <w:p>
      <w:pPr>
        <w:bidi w:val="0"/>
        <w:jc w:val="both"/>
        <w:rPr>
          <w:rFonts w:hint="eastAsia"/>
          <w:color w:val="000000" w:themeColor="text1"/>
          <w:highlight w:val="none"/>
          <w:lang w:val="en-US" w:eastAsia="zh-CN"/>
          <w14:textFill>
            <w14:solidFill>
              <w14:schemeClr w14:val="tx1"/>
            </w14:solidFill>
          </w14:textFill>
        </w:rPr>
      </w:pPr>
      <w:bookmarkStart w:id="186" w:name="_Toc2989"/>
      <w:bookmarkStart w:id="187" w:name="_Toc6574"/>
    </w:p>
    <w:tbl>
      <w:tblPr>
        <w:tblStyle w:val="21"/>
        <w:tblpPr w:leftFromText="180" w:rightFromText="180" w:vertAnchor="text" w:horzAnchor="page" w:tblpX="917" w:tblpY="1537"/>
        <w:tblOverlap w:val="never"/>
        <w:tblW w:w="104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960"/>
        <w:gridCol w:w="5309"/>
        <w:gridCol w:w="810"/>
        <w:gridCol w:w="360"/>
        <w:gridCol w:w="990"/>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4" w:type="dxa"/>
            <w:noWrap/>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项号</w:t>
            </w:r>
          </w:p>
        </w:tc>
        <w:tc>
          <w:tcPr>
            <w:tcW w:w="960" w:type="dxa"/>
            <w:noWrap/>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名称</w:t>
            </w:r>
          </w:p>
        </w:tc>
        <w:tc>
          <w:tcPr>
            <w:tcW w:w="5309" w:type="dxa"/>
            <w:noWrap/>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技术参数及性能配置要求</w:t>
            </w:r>
          </w:p>
        </w:tc>
        <w:tc>
          <w:tcPr>
            <w:tcW w:w="810" w:type="dxa"/>
            <w:noWrap/>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数量</w:t>
            </w:r>
          </w:p>
        </w:tc>
        <w:tc>
          <w:tcPr>
            <w:tcW w:w="360" w:type="dxa"/>
            <w:noWrap/>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单位</w:t>
            </w:r>
          </w:p>
        </w:tc>
        <w:tc>
          <w:tcPr>
            <w:tcW w:w="990" w:type="dxa"/>
            <w:noWrap/>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参考单价（元）</w:t>
            </w:r>
          </w:p>
        </w:tc>
        <w:tc>
          <w:tcPr>
            <w:tcW w:w="1486" w:type="dxa"/>
            <w:noWrap/>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449" w:type="dxa"/>
            <w:gridSpan w:val="7"/>
            <w:noWrap/>
            <w:vAlign w:val="center"/>
          </w:tcPr>
          <w:p>
            <w:pPr>
              <w:widowControl/>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kern w:val="0"/>
                <w:sz w:val="21"/>
                <w:szCs w:val="21"/>
                <w:lang w:bidi="ar"/>
                <w14:textFill>
                  <w14:solidFill>
                    <w14:schemeClr w14:val="tx1"/>
                  </w14:solidFill>
                </w14:textFill>
              </w:rPr>
              <w:t>一、综合布线系统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bookmarkStart w:id="188" w:name="_Toc2348"/>
            <w:bookmarkStart w:id="189" w:name="_Toc30534"/>
            <w:bookmarkStart w:id="190" w:name="_Toc17907"/>
            <w:r>
              <w:rPr>
                <w:rFonts w:hint="eastAsia" w:ascii="宋体" w:hAnsi="宋体" w:eastAsia="宋体" w:cs="宋体"/>
                <w:color w:val="000000" w:themeColor="text1"/>
                <w:kern w:val="0"/>
                <w:sz w:val="21"/>
                <w:szCs w:val="21"/>
                <w:lang w:bidi="ar"/>
                <w14:textFill>
                  <w14:solidFill>
                    <w14:schemeClr w14:val="tx1"/>
                  </w14:solidFill>
                </w14:textFill>
              </w:rPr>
              <w:t>1</w:t>
            </w:r>
          </w:p>
        </w:tc>
        <w:tc>
          <w:tcPr>
            <w:tcW w:w="960" w:type="dxa"/>
            <w:noWrap/>
            <w:vAlign w:val="center"/>
          </w:tcPr>
          <w:p>
            <w:pPr>
              <w:widowControl/>
              <w:jc w:val="center"/>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 w:val="21"/>
                <w:szCs w:val="21"/>
                <w:lang w:val="en-US" w:eastAsia="zh-CN" w:bidi="ar"/>
                <w14:textFill>
                  <w14:solidFill>
                    <w14:schemeClr w14:val="tx1"/>
                  </w14:solidFill>
                </w14:textFill>
              </w:rPr>
              <w:t>双口</w:t>
            </w:r>
            <w:r>
              <w:rPr>
                <w:rFonts w:hint="eastAsia" w:ascii="宋体" w:hAnsi="宋体" w:eastAsia="宋体" w:cs="宋体"/>
                <w:color w:val="000000" w:themeColor="text1"/>
                <w:kern w:val="0"/>
                <w:sz w:val="21"/>
                <w:szCs w:val="21"/>
                <w:lang w:bidi="ar"/>
                <w14:textFill>
                  <w14:solidFill>
                    <w14:schemeClr w14:val="tx1"/>
                  </w14:solidFill>
                </w14:textFill>
              </w:rPr>
              <w:t>面板</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产品特性：</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w:t>
            </w:r>
            <w:r>
              <w:rPr>
                <w:rFonts w:hint="eastAsia" w:ascii="宋体" w:hAnsi="宋体" w:eastAsia="宋体" w:cs="宋体"/>
                <w:color w:val="000000" w:themeColor="text1"/>
                <w:kern w:val="0"/>
                <w:sz w:val="21"/>
                <w:szCs w:val="21"/>
                <w:lang w:bidi="ar"/>
                <w14:textFill>
                  <w14:solidFill>
                    <w14:schemeClr w14:val="tx1"/>
                  </w14:solidFill>
                </w14:textFill>
              </w:rPr>
              <w:t>采用86型优质阻燃型PC料(聚碳酸酯)</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w:t>
            </w:r>
            <w:r>
              <w:rPr>
                <w:rFonts w:hint="eastAsia" w:ascii="宋体" w:hAnsi="宋体" w:eastAsia="宋体" w:cs="宋体"/>
                <w:color w:val="000000" w:themeColor="text1"/>
                <w:kern w:val="0"/>
                <w:sz w:val="21"/>
                <w:szCs w:val="21"/>
                <w:lang w:bidi="ar"/>
                <w14:textFill>
                  <w14:solidFill>
                    <w14:schemeClr w14:val="tx1"/>
                  </w14:solidFill>
                </w14:textFill>
              </w:rPr>
              <w:t>自带标签条、方便管理</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3.</w:t>
            </w:r>
            <w:r>
              <w:rPr>
                <w:rFonts w:hint="eastAsia" w:ascii="宋体" w:hAnsi="宋体" w:eastAsia="宋体" w:cs="宋体"/>
                <w:color w:val="000000" w:themeColor="text1"/>
                <w:kern w:val="0"/>
                <w:sz w:val="21"/>
                <w:szCs w:val="21"/>
                <w:lang w:bidi="ar"/>
                <w14:textFill>
                  <w14:solidFill>
                    <w14:schemeClr w14:val="tx1"/>
                  </w14:solidFill>
                </w14:textFill>
              </w:rPr>
              <w:t>弹簧门插口</w:t>
            </w:r>
            <w:r>
              <w:rPr>
                <w:rFonts w:hint="eastAsia" w:ascii="宋体" w:hAnsi="宋体" w:eastAsia="宋体" w:cs="宋体"/>
                <w:color w:val="000000" w:themeColor="text1"/>
                <w:kern w:val="0"/>
                <w:sz w:val="21"/>
                <w:szCs w:val="21"/>
                <w:lang w:eastAsia="zh-CN" w:bidi="ar"/>
                <w14:textFill>
                  <w14:solidFill>
                    <w14:schemeClr w14:val="tx1"/>
                  </w14:solidFill>
                </w14:textFill>
              </w:rPr>
              <w:t>。</w:t>
            </w:r>
          </w:p>
        </w:tc>
        <w:tc>
          <w:tcPr>
            <w:tcW w:w="810" w:type="dxa"/>
            <w:noWrap/>
            <w:vAlign w:val="center"/>
          </w:tcPr>
          <w:p>
            <w:pPr>
              <w:widowControl/>
              <w:jc w:val="center"/>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59</w:t>
            </w:r>
          </w:p>
        </w:tc>
        <w:tc>
          <w:tcPr>
            <w:tcW w:w="360" w:type="dxa"/>
            <w:noWrap/>
            <w:vAlign w:val="center"/>
          </w:tcPr>
          <w:p>
            <w:pPr>
              <w:widowControl/>
              <w:jc w:val="center"/>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个</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5.21</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307.39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模块</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产品特性：</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w:t>
            </w:r>
            <w:r>
              <w:rPr>
                <w:rFonts w:hint="eastAsia" w:ascii="宋体" w:hAnsi="宋体" w:eastAsia="宋体" w:cs="宋体"/>
                <w:color w:val="000000" w:themeColor="text1"/>
                <w:kern w:val="0"/>
                <w:sz w:val="21"/>
                <w:szCs w:val="21"/>
                <w:lang w:bidi="ar"/>
                <w14:textFill>
                  <w14:solidFill>
                    <w14:schemeClr w14:val="tx1"/>
                  </w14:solidFill>
                </w14:textFill>
              </w:rPr>
              <w:t>性能采用TIA/EIA-568B6类标准</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w:t>
            </w:r>
            <w:r>
              <w:rPr>
                <w:rFonts w:hint="eastAsia" w:ascii="宋体" w:hAnsi="宋体" w:eastAsia="宋体" w:cs="宋体"/>
                <w:color w:val="000000" w:themeColor="text1"/>
                <w:kern w:val="0"/>
                <w:sz w:val="21"/>
                <w:szCs w:val="21"/>
                <w:lang w:bidi="ar"/>
                <w14:textFill>
                  <w14:solidFill>
                    <w14:schemeClr w14:val="tx1"/>
                  </w14:solidFill>
                </w14:textFill>
              </w:rPr>
              <w:t>T568A和T568B布线通用标签</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3.</w:t>
            </w:r>
            <w:r>
              <w:rPr>
                <w:rFonts w:hint="eastAsia" w:ascii="宋体" w:hAnsi="宋体" w:eastAsia="宋体" w:cs="宋体"/>
                <w:color w:val="000000" w:themeColor="text1"/>
                <w:kern w:val="0"/>
                <w:sz w:val="21"/>
                <w:szCs w:val="21"/>
                <w:lang w:bidi="ar"/>
                <w14:textFill>
                  <w14:solidFill>
                    <w14:schemeClr w14:val="tx1"/>
                  </w14:solidFill>
                </w14:textFill>
              </w:rPr>
              <w:t>可以在标准面板上以90度(垂直)安装</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4.</w:t>
            </w:r>
            <w:r>
              <w:rPr>
                <w:rFonts w:hint="eastAsia" w:ascii="宋体" w:hAnsi="宋体" w:eastAsia="宋体" w:cs="宋体"/>
                <w:color w:val="000000" w:themeColor="text1"/>
                <w:kern w:val="0"/>
                <w:sz w:val="21"/>
                <w:szCs w:val="21"/>
                <w:lang w:bidi="ar"/>
                <w14:textFill>
                  <w14:solidFill>
                    <w14:schemeClr w14:val="tx1"/>
                  </w14:solidFill>
                </w14:textFill>
              </w:rPr>
              <w:t>高强度防火塑料，可接22-24线规</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5.</w:t>
            </w:r>
            <w:r>
              <w:rPr>
                <w:rFonts w:hint="eastAsia" w:ascii="宋体" w:hAnsi="宋体" w:eastAsia="宋体" w:cs="宋体"/>
                <w:color w:val="000000" w:themeColor="text1"/>
                <w:kern w:val="0"/>
                <w:sz w:val="21"/>
                <w:szCs w:val="21"/>
                <w:lang w:bidi="ar"/>
                <w14:textFill>
                  <w14:solidFill>
                    <w14:schemeClr w14:val="tx1"/>
                  </w14:solidFill>
                </w14:textFill>
              </w:rPr>
              <w:t>镀金层</w:t>
            </w:r>
            <w:r>
              <w:rPr>
                <w:rFonts w:hint="eastAsia" w:ascii="宋体" w:hAnsi="宋体" w:cs="宋体"/>
                <w:color w:val="000000" w:themeColor="text1"/>
                <w:kern w:val="0"/>
                <w:sz w:val="21"/>
                <w:szCs w:val="21"/>
                <w:lang w:eastAsia="zh-CN"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≥50um</w:t>
            </w:r>
            <w:r>
              <w:rPr>
                <w:rFonts w:hint="eastAsia" w:ascii="宋体" w:hAnsi="宋体" w:eastAsia="宋体" w:cs="宋体"/>
                <w:color w:val="000000" w:themeColor="text1"/>
                <w:kern w:val="0"/>
                <w:sz w:val="21"/>
                <w:szCs w:val="21"/>
                <w:lang w:bidi="ar"/>
                <w14:textFill>
                  <w14:solidFill>
                    <w14:schemeClr w14:val="tx1"/>
                  </w14:solidFill>
                </w14:textFill>
              </w:rPr>
              <w:t>，提供最少750次重复插拔</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6.</w:t>
            </w:r>
            <w:r>
              <w:rPr>
                <w:rFonts w:hint="eastAsia" w:ascii="宋体" w:hAnsi="宋体" w:eastAsia="宋体" w:cs="宋体"/>
                <w:color w:val="000000" w:themeColor="text1"/>
                <w:kern w:val="0"/>
                <w:sz w:val="21"/>
                <w:szCs w:val="21"/>
                <w:lang w:bidi="ar"/>
                <w14:textFill>
                  <w14:solidFill>
                    <w14:schemeClr w14:val="tx1"/>
                  </w14:solidFill>
                </w14:textFill>
              </w:rPr>
              <w:t>工作温度：-40-60</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eastAsia="zh-CN" w:bidi="ar"/>
                <w14:textFill>
                  <w14:solidFill>
                    <w14:schemeClr w14:val="tx1"/>
                  </w14:solidFill>
                </w14:textFill>
              </w:rPr>
              <w:t>。</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118</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个</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14.59</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1721.62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地插</w:t>
            </w:r>
          </w:p>
        </w:tc>
        <w:tc>
          <w:tcPr>
            <w:tcW w:w="5309" w:type="dxa"/>
            <w:noWrap/>
            <w:vAlign w:val="center"/>
          </w:tcPr>
          <w:p>
            <w:pPr>
              <w:widowControl/>
              <w:jc w:val="left"/>
              <w:textAlignment w:val="center"/>
              <w:rPr>
                <w:rFonts w:hint="eastAsia" w:ascii="宋体" w:hAnsi="宋体" w:eastAsia="宋体" w:cs="宋体"/>
                <w:color w:val="000000" w:themeColor="text1"/>
                <w:kern w:val="0"/>
                <w:szCs w:val="20"/>
                <w:lang w:bidi="ar"/>
                <w14:textFill>
                  <w14:solidFill>
                    <w14:schemeClr w14:val="tx1"/>
                  </w14:solidFill>
                </w14:textFill>
              </w:rPr>
            </w:pPr>
            <w:r>
              <w:rPr>
                <w:rFonts w:hint="eastAsia" w:ascii="宋体" w:hAnsi="宋体" w:eastAsia="宋体" w:cs="宋体"/>
                <w:color w:val="000000" w:themeColor="text1"/>
                <w:kern w:val="0"/>
                <w:szCs w:val="20"/>
                <w:lang w:val="en-US" w:eastAsia="zh-CN" w:bidi="ar"/>
                <w14:textFill>
                  <w14:solidFill>
                    <w14:schemeClr w14:val="tx1"/>
                  </w14:solidFill>
                </w14:textFill>
              </w:rPr>
              <w:t>1.</w:t>
            </w:r>
            <w:r>
              <w:rPr>
                <w:rFonts w:hint="eastAsia" w:ascii="宋体" w:hAnsi="宋体" w:eastAsia="宋体" w:cs="宋体"/>
                <w:color w:val="000000" w:themeColor="text1"/>
                <w:kern w:val="0"/>
                <w:szCs w:val="20"/>
                <w:lang w:bidi="ar"/>
                <w14:textFill>
                  <w14:solidFill>
                    <w14:schemeClr w14:val="tx1"/>
                  </w14:solidFill>
                </w14:textFill>
              </w:rPr>
              <w:t>嵌入式隐藏地插，与地面齐平；</w:t>
            </w:r>
          </w:p>
          <w:p>
            <w:pPr>
              <w:widowControl/>
              <w:jc w:val="left"/>
              <w:textAlignment w:val="center"/>
              <w:rPr>
                <w:rFonts w:hint="eastAsia" w:ascii="宋体" w:hAnsi="宋体" w:eastAsia="宋体" w:cs="宋体"/>
                <w:color w:val="000000" w:themeColor="text1"/>
                <w:kern w:val="0"/>
                <w:szCs w:val="20"/>
                <w:lang w:bidi="ar"/>
                <w14:textFill>
                  <w14:solidFill>
                    <w14:schemeClr w14:val="tx1"/>
                  </w14:solidFill>
                </w14:textFill>
              </w:rPr>
            </w:pPr>
            <w:r>
              <w:rPr>
                <w:rFonts w:hint="eastAsia" w:ascii="宋体" w:hAnsi="宋体" w:eastAsia="宋体" w:cs="宋体"/>
                <w:color w:val="000000" w:themeColor="text1"/>
                <w:kern w:val="0"/>
                <w:szCs w:val="20"/>
                <w:lang w:val="en-US" w:eastAsia="zh-CN" w:bidi="ar"/>
                <w14:textFill>
                  <w14:solidFill>
                    <w14:schemeClr w14:val="tx1"/>
                  </w14:solidFill>
                </w14:textFill>
              </w:rPr>
              <w:t>2.</w:t>
            </w:r>
            <w:r>
              <w:rPr>
                <w:rFonts w:hint="eastAsia" w:ascii="宋体" w:hAnsi="宋体" w:eastAsia="宋体" w:cs="宋体"/>
                <w:color w:val="000000" w:themeColor="text1"/>
                <w:kern w:val="0"/>
                <w:szCs w:val="20"/>
                <w:lang w:bidi="ar"/>
                <w14:textFill>
                  <w14:solidFill>
                    <w14:schemeClr w14:val="tx1"/>
                  </w14:solidFill>
                </w14:textFill>
              </w:rPr>
              <w:t>产品材质：不锈钢；</w:t>
            </w:r>
          </w:p>
          <w:p>
            <w:pPr>
              <w:widowControl/>
              <w:jc w:val="left"/>
              <w:textAlignment w:val="center"/>
              <w:rPr>
                <w:rFonts w:hint="eastAsia" w:ascii="宋体" w:hAnsi="宋体" w:eastAsia="宋体" w:cs="宋体"/>
                <w:color w:val="000000" w:themeColor="text1"/>
                <w:kern w:val="0"/>
                <w:szCs w:val="20"/>
                <w:lang w:bidi="ar"/>
                <w14:textFill>
                  <w14:solidFill>
                    <w14:schemeClr w14:val="tx1"/>
                  </w14:solidFill>
                </w14:textFill>
              </w:rPr>
            </w:pPr>
            <w:r>
              <w:rPr>
                <w:rFonts w:hint="eastAsia" w:ascii="宋体" w:hAnsi="宋体" w:eastAsia="宋体" w:cs="宋体"/>
                <w:color w:val="000000" w:themeColor="text1"/>
                <w:kern w:val="0"/>
                <w:szCs w:val="20"/>
                <w:lang w:val="en-US" w:eastAsia="zh-CN" w:bidi="ar"/>
                <w14:textFill>
                  <w14:solidFill>
                    <w14:schemeClr w14:val="tx1"/>
                  </w14:solidFill>
                </w14:textFill>
              </w:rPr>
              <w:t>3.</w:t>
            </w:r>
            <w:r>
              <w:rPr>
                <w:rFonts w:hint="eastAsia" w:ascii="宋体" w:hAnsi="宋体" w:eastAsia="宋体" w:cs="宋体"/>
                <w:color w:val="000000" w:themeColor="text1"/>
                <w:kern w:val="0"/>
                <w:szCs w:val="20"/>
                <w:lang w:bidi="ar"/>
                <w14:textFill>
                  <w14:solidFill>
                    <w14:schemeClr w14:val="tx1"/>
                  </w14:solidFill>
                </w14:textFill>
              </w:rPr>
              <w:t>颜色：金色；</w:t>
            </w:r>
          </w:p>
          <w:p>
            <w:pPr>
              <w:widowControl/>
              <w:jc w:val="left"/>
              <w:textAlignment w:val="center"/>
              <w:rPr>
                <w:rFonts w:hint="eastAsia" w:ascii="宋体" w:hAnsi="宋体" w:eastAsia="宋体" w:cs="宋体"/>
                <w:color w:val="000000" w:themeColor="text1"/>
                <w:kern w:val="0"/>
                <w:szCs w:val="20"/>
                <w:lang w:bidi="ar"/>
                <w14:textFill>
                  <w14:solidFill>
                    <w14:schemeClr w14:val="tx1"/>
                  </w14:solidFill>
                </w14:textFill>
              </w:rPr>
            </w:pPr>
            <w:r>
              <w:rPr>
                <w:rFonts w:hint="eastAsia" w:ascii="宋体" w:hAnsi="宋体" w:eastAsia="宋体" w:cs="宋体"/>
                <w:color w:val="000000" w:themeColor="text1"/>
                <w:kern w:val="0"/>
                <w:szCs w:val="20"/>
                <w:lang w:val="en-US" w:eastAsia="zh-CN" w:bidi="ar"/>
                <w14:textFill>
                  <w14:solidFill>
                    <w14:schemeClr w14:val="tx1"/>
                  </w14:solidFill>
                </w14:textFill>
              </w:rPr>
              <w:t>4.</w:t>
            </w:r>
            <w:r>
              <w:rPr>
                <w:rFonts w:hint="eastAsia" w:ascii="宋体" w:hAnsi="宋体" w:eastAsia="宋体" w:cs="宋体"/>
                <w:color w:val="000000" w:themeColor="text1"/>
                <w:kern w:val="0"/>
                <w:szCs w:val="20"/>
                <w:lang w:bidi="ar"/>
                <w14:textFill>
                  <w14:solidFill>
                    <w14:schemeClr w14:val="tx1"/>
                  </w14:solidFill>
                </w14:textFill>
              </w:rPr>
              <w:t>底盒尺寸：≤200</w:t>
            </w:r>
            <w:r>
              <w:rPr>
                <w:rFonts w:hint="eastAsia" w:ascii="宋体" w:hAnsi="宋体" w:eastAsia="宋体" w:cs="宋体"/>
                <w:color w:val="000000" w:themeColor="text1"/>
                <w:kern w:val="0"/>
                <w:szCs w:val="20"/>
                <w:lang w:val="en-US" w:eastAsia="zh-CN" w:bidi="ar"/>
                <w14:textFill>
                  <w14:solidFill>
                    <w14:schemeClr w14:val="tx1"/>
                  </w14:solidFill>
                </w14:textFill>
              </w:rPr>
              <w:t>×</w:t>
            </w:r>
            <w:r>
              <w:rPr>
                <w:rFonts w:hint="eastAsia" w:ascii="宋体" w:hAnsi="宋体" w:eastAsia="宋体" w:cs="宋体"/>
                <w:color w:val="000000" w:themeColor="text1"/>
                <w:kern w:val="0"/>
                <w:szCs w:val="20"/>
                <w:lang w:bidi="ar"/>
                <w14:textFill>
                  <w14:solidFill>
                    <w14:schemeClr w14:val="tx1"/>
                  </w14:solidFill>
                </w14:textFill>
              </w:rPr>
              <w:t>130</w:t>
            </w:r>
            <w:r>
              <w:rPr>
                <w:rFonts w:hint="eastAsia" w:ascii="宋体" w:hAnsi="宋体" w:eastAsia="宋体" w:cs="宋体"/>
                <w:color w:val="000000" w:themeColor="text1"/>
                <w:kern w:val="0"/>
                <w:szCs w:val="20"/>
                <w:lang w:val="en-US" w:eastAsia="zh-CN" w:bidi="ar"/>
                <w14:textFill>
                  <w14:solidFill>
                    <w14:schemeClr w14:val="tx1"/>
                  </w14:solidFill>
                </w14:textFill>
              </w:rPr>
              <w:t>×</w:t>
            </w:r>
            <w:r>
              <w:rPr>
                <w:rFonts w:hint="eastAsia" w:ascii="宋体" w:hAnsi="宋体" w:eastAsia="宋体" w:cs="宋体"/>
                <w:color w:val="000000" w:themeColor="text1"/>
                <w:kern w:val="0"/>
                <w:szCs w:val="20"/>
                <w:lang w:bidi="ar"/>
                <w14:textFill>
                  <w14:solidFill>
                    <w14:schemeClr w14:val="tx1"/>
                  </w14:solidFill>
                </w14:textFill>
              </w:rPr>
              <w:t>45mm；</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Cs w:val="20"/>
                <w:lang w:val="en-US" w:eastAsia="zh-CN" w:bidi="ar"/>
                <w14:textFill>
                  <w14:solidFill>
                    <w14:schemeClr w14:val="tx1"/>
                  </w14:solidFill>
                </w14:textFill>
              </w:rPr>
              <w:t>5.</w:t>
            </w:r>
            <w:r>
              <w:rPr>
                <w:rFonts w:hint="eastAsia" w:ascii="宋体" w:hAnsi="宋体" w:eastAsia="宋体" w:cs="宋体"/>
                <w:color w:val="000000" w:themeColor="text1"/>
                <w:kern w:val="0"/>
                <w:szCs w:val="20"/>
                <w:lang w:bidi="ar"/>
                <w14:textFill>
                  <w14:solidFill>
                    <w14:schemeClr w14:val="tx1"/>
                  </w14:solidFill>
                </w14:textFill>
              </w:rPr>
              <w:t>六类信息点：≥4个</w:t>
            </w:r>
            <w:r>
              <w:rPr>
                <w:rFonts w:hint="eastAsia" w:ascii="宋体" w:hAnsi="宋体" w:eastAsia="宋体" w:cs="宋体"/>
                <w:color w:val="000000" w:themeColor="text1"/>
                <w:kern w:val="0"/>
                <w:sz w:val="21"/>
                <w:szCs w:val="21"/>
                <w:lang w:eastAsia="zh-CN" w:bidi="ar"/>
                <w14:textFill>
                  <w14:solidFill>
                    <w14:schemeClr w14:val="tx1"/>
                  </w14:solidFill>
                </w14:textFill>
              </w:rPr>
              <w:t>。</w:t>
            </w:r>
          </w:p>
        </w:tc>
        <w:tc>
          <w:tcPr>
            <w:tcW w:w="810"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 w:val="21"/>
                <w:szCs w:val="21"/>
                <w:lang w:val="en-US" w:eastAsia="zh-CN" w:bidi="ar"/>
                <w14:textFill>
                  <w14:solidFill>
                    <w14:schemeClr w14:val="tx1"/>
                  </w14:solidFill>
                </w14:textFill>
              </w:rPr>
              <w:t>21</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个</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360.00</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7560</w:t>
            </w:r>
            <w:r>
              <w:rPr>
                <w:rFonts w:hint="eastAsia" w:ascii="宋体" w:hAnsi="宋体" w:eastAsia="宋体" w:cs="宋体"/>
                <w:color w:val="000000" w:themeColor="text1"/>
                <w:kern w:val="0"/>
                <w:sz w:val="21"/>
                <w:szCs w:val="21"/>
                <w:lang w:val="en-US" w:eastAsia="zh-CN"/>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网线</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六类非屏蔽双绞线产品结构：</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w:t>
            </w:r>
            <w:r>
              <w:rPr>
                <w:rFonts w:hint="eastAsia" w:ascii="宋体" w:hAnsi="宋体" w:eastAsia="宋体" w:cs="宋体"/>
                <w:color w:val="000000" w:themeColor="text1"/>
                <w:kern w:val="0"/>
                <w:sz w:val="21"/>
                <w:szCs w:val="21"/>
                <w:lang w:bidi="ar"/>
                <w14:textFill>
                  <w14:solidFill>
                    <w14:schemeClr w14:val="tx1"/>
                  </w14:solidFill>
                </w14:textFill>
              </w:rPr>
              <w:t>导体：实心无氧退火软裸铜导体Φ0.565mm</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w:t>
            </w:r>
            <w:r>
              <w:rPr>
                <w:rFonts w:hint="eastAsia" w:ascii="宋体" w:hAnsi="宋体" w:eastAsia="宋体" w:cs="宋体"/>
                <w:color w:val="000000" w:themeColor="text1"/>
                <w:kern w:val="0"/>
                <w:sz w:val="21"/>
                <w:szCs w:val="21"/>
                <w:lang w:bidi="ar"/>
                <w14:textFill>
                  <w14:solidFill>
                    <w14:schemeClr w14:val="tx1"/>
                  </w14:solidFill>
                </w14:textFill>
              </w:rPr>
              <w:t>绝缘：HDPE中1.05mm</w:t>
            </w:r>
            <w:r>
              <w:rPr>
                <w:rFonts w:hint="eastAsia" w:ascii="宋体" w:hAnsi="宋体" w:eastAsia="宋体" w:cs="宋体"/>
                <w:color w:val="000000" w:themeColor="text1"/>
                <w:kern w:val="0"/>
                <w:szCs w:val="20"/>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8芯+十字架(PE)</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3.</w:t>
            </w:r>
            <w:r>
              <w:rPr>
                <w:rFonts w:hint="eastAsia" w:ascii="宋体" w:hAnsi="宋体" w:eastAsia="宋体" w:cs="宋体"/>
                <w:color w:val="000000" w:themeColor="text1"/>
                <w:kern w:val="0"/>
                <w:sz w:val="21"/>
                <w:szCs w:val="21"/>
                <w:lang w:bidi="ar"/>
                <w14:textFill>
                  <w14:solidFill>
                    <w14:schemeClr w14:val="tx1"/>
                  </w14:solidFill>
                </w14:textFill>
              </w:rPr>
              <w:t>护套：聚氯乙烯PVC或低烟无卤阻燃料LSZH</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4.</w:t>
            </w:r>
            <w:r>
              <w:rPr>
                <w:rFonts w:hint="eastAsia" w:ascii="宋体" w:hAnsi="宋体" w:eastAsia="宋体" w:cs="宋体"/>
                <w:color w:val="000000" w:themeColor="text1"/>
                <w:kern w:val="0"/>
                <w:sz w:val="21"/>
                <w:szCs w:val="21"/>
                <w:lang w:bidi="ar"/>
                <w14:textFill>
                  <w14:solidFill>
                    <w14:schemeClr w14:val="tx1"/>
                  </w14:solidFill>
                </w14:textFill>
              </w:rPr>
              <w:t>电气性能：电缆特性阻抗：100±15Ω</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5.</w:t>
            </w:r>
            <w:r>
              <w:rPr>
                <w:rFonts w:hint="eastAsia" w:ascii="宋体" w:hAnsi="宋体" w:eastAsia="宋体" w:cs="宋体"/>
                <w:color w:val="000000" w:themeColor="text1"/>
                <w:kern w:val="0"/>
                <w:sz w:val="21"/>
                <w:szCs w:val="21"/>
                <w:lang w:bidi="ar"/>
                <w14:textFill>
                  <w14:solidFill>
                    <w14:schemeClr w14:val="tx1"/>
                  </w14:solidFill>
                </w14:textFill>
              </w:rPr>
              <w:t>最大导体电阻(100m/20C)：≤9.38Ω</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6.</w:t>
            </w:r>
            <w:r>
              <w:rPr>
                <w:rFonts w:hint="eastAsia" w:ascii="宋体" w:hAnsi="宋体" w:eastAsia="宋体" w:cs="宋体"/>
                <w:color w:val="000000" w:themeColor="text1"/>
                <w:kern w:val="0"/>
                <w:sz w:val="21"/>
                <w:szCs w:val="21"/>
                <w:lang w:bidi="ar"/>
                <w14:textFill>
                  <w14:solidFill>
                    <w14:schemeClr w14:val="tx1"/>
                  </w14:solidFill>
                </w14:textFill>
              </w:rPr>
              <w:t>使用温度：-20-75</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7.</w:t>
            </w:r>
            <w:r>
              <w:rPr>
                <w:rFonts w:hint="eastAsia" w:ascii="宋体" w:hAnsi="宋体" w:eastAsia="宋体" w:cs="宋体"/>
                <w:color w:val="000000" w:themeColor="text1"/>
                <w:kern w:val="0"/>
                <w:sz w:val="21"/>
                <w:szCs w:val="21"/>
                <w:lang w:bidi="ar"/>
                <w14:textFill>
                  <w14:solidFill>
                    <w14:schemeClr w14:val="tx1"/>
                  </w14:solidFill>
                </w14:textFill>
              </w:rPr>
              <w:t>绝缘电阻：≥5000MΩ·km工作电容：≤5.6nF/100m</w:t>
            </w:r>
            <w:r>
              <w:rPr>
                <w:rFonts w:hint="eastAsia" w:ascii="宋体" w:hAnsi="宋体" w:eastAsia="宋体" w:cs="宋体"/>
                <w:color w:val="000000" w:themeColor="text1"/>
                <w:kern w:val="0"/>
                <w:sz w:val="21"/>
                <w:szCs w:val="21"/>
                <w:lang w:eastAsia="zh-CN" w:bidi="ar"/>
                <w14:textFill>
                  <w14:solidFill>
                    <w14:schemeClr w14:val="tx1"/>
                  </w14:solidFill>
                </w14:textFill>
              </w:rPr>
              <w:t>；</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10500</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米</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3.50</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36750.00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机柜</w:t>
            </w:r>
          </w:p>
        </w:tc>
        <w:tc>
          <w:tcPr>
            <w:tcW w:w="5309" w:type="dxa"/>
            <w:noWrap/>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1.规格：2000×800×600mm（±5mm）；</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2.前门大锁门条（标配两块层板）</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3.风机一个，标配PDU一个</w:t>
            </w:r>
            <w:r>
              <w:rPr>
                <w:rFonts w:hint="eastAsia" w:ascii="宋体" w:hAnsi="宋体" w:eastAsia="宋体" w:cs="宋体"/>
                <w:color w:val="000000" w:themeColor="text1"/>
                <w:kern w:val="0"/>
                <w:sz w:val="21"/>
                <w:szCs w:val="21"/>
                <w:lang w:bidi="ar"/>
                <w14:textFill>
                  <w14:solidFill>
                    <w14:schemeClr w14:val="tx1"/>
                  </w14:solidFill>
                </w14:textFill>
              </w:rPr>
              <w:t>。</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个</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1771.40</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5314.20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机柜</w:t>
            </w:r>
          </w:p>
        </w:tc>
        <w:tc>
          <w:tcPr>
            <w:tcW w:w="5309" w:type="dxa"/>
            <w:noWrap/>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1.规格：1200×800×600mm（±5mm）；</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2.前门大锁门条；</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3.风机一个，标配PDU一个</w:t>
            </w:r>
            <w:r>
              <w:rPr>
                <w:rFonts w:hint="eastAsia" w:ascii="宋体" w:hAnsi="宋体" w:eastAsia="宋体" w:cs="宋体"/>
                <w:color w:val="000000" w:themeColor="text1"/>
                <w:kern w:val="0"/>
                <w:sz w:val="21"/>
                <w:szCs w:val="21"/>
                <w:lang w:bidi="ar"/>
                <w14:textFill>
                  <w14:solidFill>
                    <w14:schemeClr w14:val="tx1"/>
                  </w14:solidFill>
                </w14:textFill>
              </w:rPr>
              <w:t>。</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个</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1492.15</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4476.45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光纤</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GJFJH室内单模24芯光缆</w:t>
            </w:r>
            <w:r>
              <w:rPr>
                <w:rFonts w:hint="eastAsia" w:ascii="宋体" w:hAnsi="宋体" w:eastAsia="宋体" w:cs="宋体"/>
                <w:color w:val="000000" w:themeColor="text1"/>
                <w:kern w:val="0"/>
                <w:sz w:val="21"/>
                <w:szCs w:val="21"/>
                <w:lang w:eastAsia="zh-CN" w:bidi="ar"/>
                <w14:textFill>
                  <w14:solidFill>
                    <w14:schemeClr w14:val="tx1"/>
                  </w14:solidFill>
                </w14:textFill>
              </w:rPr>
              <w:t>。</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1500</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米</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8.00</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8</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光纤配线架</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1U_ST、FC、SC、LC双工适配器均可适用</w:t>
            </w:r>
            <w:r>
              <w:rPr>
                <w:rFonts w:hint="eastAsia" w:ascii="宋体" w:hAnsi="宋体" w:eastAsia="宋体" w:cs="宋体"/>
                <w:color w:val="000000" w:themeColor="text1"/>
                <w:kern w:val="0"/>
                <w:sz w:val="21"/>
                <w:szCs w:val="21"/>
                <w:lang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48芯</w:t>
            </w:r>
            <w:r>
              <w:rPr>
                <w:rFonts w:hint="eastAsia" w:ascii="宋体" w:hAnsi="宋体" w:eastAsia="宋体" w:cs="宋体"/>
                <w:color w:val="000000" w:themeColor="text1"/>
                <w:kern w:val="0"/>
                <w:sz w:val="21"/>
                <w:szCs w:val="21"/>
                <w:lang w:eastAsia="zh-CN" w:bidi="ar"/>
                <w14:textFill>
                  <w14:solidFill>
                    <w14:schemeClr w14:val="tx1"/>
                  </w14:solidFill>
                </w14:textFill>
              </w:rPr>
              <w:t>。</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298.01</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894.03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9</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光纤配线架</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1U_ST、FC、SC、LC双工适配器均可适用</w:t>
            </w:r>
            <w:r>
              <w:rPr>
                <w:rFonts w:hint="eastAsia" w:ascii="宋体" w:hAnsi="宋体" w:eastAsia="宋体" w:cs="宋体"/>
                <w:color w:val="000000" w:themeColor="text1"/>
                <w:kern w:val="0"/>
                <w:sz w:val="21"/>
                <w:szCs w:val="21"/>
                <w:lang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144芯</w:t>
            </w:r>
            <w:r>
              <w:rPr>
                <w:rFonts w:hint="eastAsia" w:ascii="宋体" w:hAnsi="宋体" w:eastAsia="宋体" w:cs="宋体"/>
                <w:color w:val="000000" w:themeColor="text1"/>
                <w:kern w:val="0"/>
                <w:sz w:val="21"/>
                <w:szCs w:val="21"/>
                <w:lang w:eastAsia="zh-CN" w:bidi="ar"/>
                <w14:textFill>
                  <w14:solidFill>
                    <w14:schemeClr w14:val="tx1"/>
                  </w14:solidFill>
                </w14:textFill>
              </w:rPr>
              <w:t>。</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679.39</w:t>
            </w:r>
          </w:p>
        </w:tc>
        <w:tc>
          <w:tcPr>
            <w:tcW w:w="1486"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679.39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10</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网络跳线</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产品结构：</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w:t>
            </w:r>
            <w:r>
              <w:rPr>
                <w:rFonts w:hint="eastAsia" w:ascii="宋体" w:hAnsi="宋体" w:eastAsia="宋体" w:cs="宋体"/>
                <w:color w:val="000000" w:themeColor="text1"/>
                <w:kern w:val="0"/>
                <w:sz w:val="21"/>
                <w:szCs w:val="21"/>
                <w:lang w:bidi="ar"/>
                <w14:textFill>
                  <w14:solidFill>
                    <w14:schemeClr w14:val="tx1"/>
                  </w14:solidFill>
                </w14:textFill>
              </w:rPr>
              <w:t>导体：实心无氧退火软裸铜导体Φ0.565mm</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w:t>
            </w:r>
            <w:r>
              <w:rPr>
                <w:rFonts w:hint="eastAsia" w:ascii="宋体" w:hAnsi="宋体" w:eastAsia="宋体" w:cs="宋体"/>
                <w:color w:val="000000" w:themeColor="text1"/>
                <w:kern w:val="0"/>
                <w:sz w:val="21"/>
                <w:szCs w:val="21"/>
                <w:lang w:bidi="ar"/>
                <w14:textFill>
                  <w14:solidFill>
                    <w14:schemeClr w14:val="tx1"/>
                  </w14:solidFill>
                </w14:textFill>
              </w:rPr>
              <w:t>绝缘：HDPE中1.05mm</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8芯+十字架(PE)</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3.</w:t>
            </w:r>
            <w:r>
              <w:rPr>
                <w:rFonts w:hint="eastAsia" w:ascii="宋体" w:hAnsi="宋体" w:eastAsia="宋体" w:cs="宋体"/>
                <w:color w:val="000000" w:themeColor="text1"/>
                <w:kern w:val="0"/>
                <w:sz w:val="21"/>
                <w:szCs w:val="21"/>
                <w:lang w:bidi="ar"/>
                <w14:textFill>
                  <w14:solidFill>
                    <w14:schemeClr w14:val="tx1"/>
                  </w14:solidFill>
                </w14:textFill>
              </w:rPr>
              <w:t>护套：聚氯乙烯PVC或低烟无卤阻燃料LSZH</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4.</w:t>
            </w:r>
            <w:r>
              <w:rPr>
                <w:rFonts w:hint="eastAsia" w:ascii="宋体" w:hAnsi="宋体" w:eastAsia="宋体" w:cs="宋体"/>
                <w:color w:val="000000" w:themeColor="text1"/>
                <w:kern w:val="0"/>
                <w:sz w:val="21"/>
                <w:szCs w:val="21"/>
                <w:lang w:bidi="ar"/>
                <w14:textFill>
                  <w14:solidFill>
                    <w14:schemeClr w14:val="tx1"/>
                  </w14:solidFill>
                </w14:textFill>
              </w:rPr>
              <w:t>电气性能：电缆特性阻抗：100±15Ω</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5.</w:t>
            </w:r>
            <w:r>
              <w:rPr>
                <w:rFonts w:hint="eastAsia" w:ascii="宋体" w:hAnsi="宋体" w:eastAsia="宋体" w:cs="宋体"/>
                <w:color w:val="000000" w:themeColor="text1"/>
                <w:kern w:val="0"/>
                <w:sz w:val="21"/>
                <w:szCs w:val="21"/>
                <w:lang w:bidi="ar"/>
                <w14:textFill>
                  <w14:solidFill>
                    <w14:schemeClr w14:val="tx1"/>
                  </w14:solidFill>
                </w14:textFill>
              </w:rPr>
              <w:t>最大导体电阻(100m/20C)：≤9.38Ω</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6.</w:t>
            </w:r>
            <w:r>
              <w:rPr>
                <w:rFonts w:hint="eastAsia" w:ascii="宋体" w:hAnsi="宋体" w:eastAsia="宋体" w:cs="宋体"/>
                <w:color w:val="000000" w:themeColor="text1"/>
                <w:kern w:val="0"/>
                <w:sz w:val="21"/>
                <w:szCs w:val="21"/>
                <w:lang w:bidi="ar"/>
                <w14:textFill>
                  <w14:solidFill>
                    <w14:schemeClr w14:val="tx1"/>
                  </w14:solidFill>
                </w14:textFill>
              </w:rPr>
              <w:t>使用温度：-20-75℃</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7.</w:t>
            </w:r>
            <w:r>
              <w:rPr>
                <w:rFonts w:hint="eastAsia" w:ascii="宋体" w:hAnsi="宋体" w:eastAsia="宋体" w:cs="宋体"/>
                <w:color w:val="000000" w:themeColor="text1"/>
                <w:kern w:val="0"/>
                <w:sz w:val="21"/>
                <w:szCs w:val="21"/>
                <w:lang w:bidi="ar"/>
                <w14:textFill>
                  <w14:solidFill>
                    <w14:schemeClr w14:val="tx1"/>
                  </w14:solidFill>
                </w14:textFill>
              </w:rPr>
              <w:t>绝缘电阻：≥5000MΩ·km工作电容：≤5.6nF/100m</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 w:val="21"/>
                <w:szCs w:val="21"/>
                <w:lang w:val="en-US" w:eastAsia="zh-CN" w:bidi="ar"/>
                <w14:textFill>
                  <w14:solidFill>
                    <w14:schemeClr w14:val="tx1"/>
                  </w14:solidFill>
                </w14:textFill>
              </w:rPr>
              <w:t>8</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长度</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3米</w:t>
            </w:r>
            <w:r>
              <w:rPr>
                <w:rFonts w:hint="eastAsia" w:ascii="宋体" w:hAnsi="宋体" w:eastAsia="宋体" w:cs="宋体"/>
                <w:color w:val="000000" w:themeColor="text1"/>
                <w:kern w:val="0"/>
                <w:sz w:val="21"/>
                <w:szCs w:val="21"/>
                <w:lang w:eastAsia="zh-CN" w:bidi="ar"/>
                <w14:textFill>
                  <w14:solidFill>
                    <w14:schemeClr w14:val="tx1"/>
                  </w14:solidFill>
                </w14:textFill>
              </w:rPr>
              <w:t>；</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164</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根</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13.54</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2220.56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11</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网络跳线</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产品结构：</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w:t>
            </w:r>
            <w:r>
              <w:rPr>
                <w:rFonts w:hint="eastAsia" w:ascii="宋体" w:hAnsi="宋体" w:eastAsia="宋体" w:cs="宋体"/>
                <w:color w:val="000000" w:themeColor="text1"/>
                <w:kern w:val="0"/>
                <w:sz w:val="21"/>
                <w:szCs w:val="21"/>
                <w:lang w:bidi="ar"/>
                <w14:textFill>
                  <w14:solidFill>
                    <w14:schemeClr w14:val="tx1"/>
                  </w14:solidFill>
                </w14:textFill>
              </w:rPr>
              <w:t>导体：实心无氧退火软裸铜导体Φ0.565mm</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w:t>
            </w:r>
            <w:r>
              <w:rPr>
                <w:rFonts w:hint="eastAsia" w:ascii="宋体" w:hAnsi="宋体" w:eastAsia="宋体" w:cs="宋体"/>
                <w:color w:val="000000" w:themeColor="text1"/>
                <w:kern w:val="0"/>
                <w:sz w:val="21"/>
                <w:szCs w:val="21"/>
                <w:lang w:bidi="ar"/>
                <w14:textFill>
                  <w14:solidFill>
                    <w14:schemeClr w14:val="tx1"/>
                  </w14:solidFill>
                </w14:textFill>
              </w:rPr>
              <w:t>绝缘：HDPE中1.05mm</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8芯+十字架(PE)</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3.</w:t>
            </w:r>
            <w:r>
              <w:rPr>
                <w:rFonts w:hint="eastAsia" w:ascii="宋体" w:hAnsi="宋体" w:eastAsia="宋体" w:cs="宋体"/>
                <w:color w:val="000000" w:themeColor="text1"/>
                <w:kern w:val="0"/>
                <w:sz w:val="21"/>
                <w:szCs w:val="21"/>
                <w:lang w:bidi="ar"/>
                <w14:textFill>
                  <w14:solidFill>
                    <w14:schemeClr w14:val="tx1"/>
                  </w14:solidFill>
                </w14:textFill>
              </w:rPr>
              <w:t>护套：聚氯乙烯PVC或低烟无卤阻燃料LSZH</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4.</w:t>
            </w:r>
            <w:r>
              <w:rPr>
                <w:rFonts w:hint="eastAsia" w:ascii="宋体" w:hAnsi="宋体" w:eastAsia="宋体" w:cs="宋体"/>
                <w:color w:val="000000" w:themeColor="text1"/>
                <w:kern w:val="0"/>
                <w:sz w:val="21"/>
                <w:szCs w:val="21"/>
                <w:lang w:bidi="ar"/>
                <w14:textFill>
                  <w14:solidFill>
                    <w14:schemeClr w14:val="tx1"/>
                  </w14:solidFill>
                </w14:textFill>
              </w:rPr>
              <w:t>电气性能：电缆特性阻抗：100±15Ω</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5.</w:t>
            </w:r>
            <w:r>
              <w:rPr>
                <w:rFonts w:hint="eastAsia" w:ascii="宋体" w:hAnsi="宋体" w:eastAsia="宋体" w:cs="宋体"/>
                <w:color w:val="000000" w:themeColor="text1"/>
                <w:kern w:val="0"/>
                <w:sz w:val="21"/>
                <w:szCs w:val="21"/>
                <w:lang w:bidi="ar"/>
                <w14:textFill>
                  <w14:solidFill>
                    <w14:schemeClr w14:val="tx1"/>
                  </w14:solidFill>
                </w14:textFill>
              </w:rPr>
              <w:t>最大导体电阻(100m/20C)：≤9.38Ω</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6.</w:t>
            </w:r>
            <w:r>
              <w:rPr>
                <w:rFonts w:hint="eastAsia" w:ascii="宋体" w:hAnsi="宋体" w:eastAsia="宋体" w:cs="宋体"/>
                <w:color w:val="000000" w:themeColor="text1"/>
                <w:kern w:val="0"/>
                <w:sz w:val="21"/>
                <w:szCs w:val="21"/>
                <w:lang w:bidi="ar"/>
                <w14:textFill>
                  <w14:solidFill>
                    <w14:schemeClr w14:val="tx1"/>
                  </w14:solidFill>
                </w14:textFill>
              </w:rPr>
              <w:t>使用温度：-20-75℃</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7.</w:t>
            </w:r>
            <w:r>
              <w:rPr>
                <w:rFonts w:hint="eastAsia" w:ascii="宋体" w:hAnsi="宋体" w:eastAsia="宋体" w:cs="宋体"/>
                <w:color w:val="000000" w:themeColor="text1"/>
                <w:kern w:val="0"/>
                <w:sz w:val="21"/>
                <w:szCs w:val="21"/>
                <w:lang w:bidi="ar"/>
                <w14:textFill>
                  <w14:solidFill>
                    <w14:schemeClr w14:val="tx1"/>
                  </w14:solidFill>
                </w14:textFill>
              </w:rPr>
              <w:t>绝缘电阻：≥5000MΩ·km工作电容：≤5.6nF/100m</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9.</w:t>
            </w:r>
            <w:r>
              <w:rPr>
                <w:rFonts w:hint="eastAsia" w:ascii="宋体" w:hAnsi="宋体" w:eastAsia="宋体" w:cs="宋体"/>
                <w:color w:val="000000" w:themeColor="text1"/>
                <w:kern w:val="0"/>
                <w:sz w:val="21"/>
                <w:szCs w:val="21"/>
                <w:lang w:bidi="ar"/>
                <w14:textFill>
                  <w14:solidFill>
                    <w14:schemeClr w14:val="tx1"/>
                  </w14:solidFill>
                </w14:textFill>
              </w:rPr>
              <w:t>长度</w:t>
            </w:r>
            <w:r>
              <w:rPr>
                <w:rFonts w:hint="eastAsia"/>
                <w:color w:val="000000" w:themeColor="text1"/>
                <w:lang w:val="en-US" w:eastAsia="zh-CN"/>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1米</w:t>
            </w:r>
            <w:r>
              <w:rPr>
                <w:rFonts w:hint="eastAsia" w:ascii="宋体" w:hAnsi="宋体" w:eastAsia="宋体" w:cs="宋体"/>
                <w:color w:val="000000" w:themeColor="text1"/>
                <w:kern w:val="0"/>
                <w:sz w:val="21"/>
                <w:szCs w:val="21"/>
                <w:lang w:eastAsia="zh-CN" w:bidi="ar"/>
                <w14:textFill>
                  <w14:solidFill>
                    <w14:schemeClr w14:val="tx1"/>
                  </w14:solidFill>
                </w14:textFill>
              </w:rPr>
              <w:t>；</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164</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根</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7.30</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1197.20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12</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光纤跳线</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LC-SC单模双纤3.0（</w:t>
            </w:r>
            <w:r>
              <w:rPr>
                <w:rFonts w:hint="eastAsia"/>
                <w:color w:val="000000" w:themeColor="text1"/>
                <w:lang w:val="en-US" w:eastAsia="zh-CN"/>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3米）</w:t>
            </w:r>
            <w:r>
              <w:rPr>
                <w:rFonts w:hint="eastAsia" w:ascii="宋体" w:hAnsi="宋体" w:eastAsia="宋体" w:cs="宋体"/>
                <w:color w:val="000000" w:themeColor="text1"/>
                <w:kern w:val="0"/>
                <w:sz w:val="21"/>
                <w:szCs w:val="21"/>
                <w:lang w:eastAsia="zh-CN" w:bidi="ar"/>
                <w14:textFill>
                  <w14:solidFill>
                    <w14:schemeClr w14:val="tx1"/>
                  </w14:solidFill>
                </w14:textFill>
              </w:rPr>
              <w:t>。</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68</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对</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25.01</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1700.68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13</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理线架</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理线架12-24档通用款</w:t>
            </w:r>
            <w:r>
              <w:rPr>
                <w:rFonts w:hint="eastAsia" w:ascii="宋体" w:hAnsi="宋体" w:eastAsia="宋体" w:cs="宋体"/>
                <w:color w:val="000000" w:themeColor="text1"/>
                <w:kern w:val="0"/>
                <w:sz w:val="21"/>
                <w:szCs w:val="21"/>
                <w:lang w:eastAsia="zh-CN" w:bidi="ar"/>
                <w14:textFill>
                  <w14:solidFill>
                    <w14:schemeClr w14:val="tx1"/>
                  </w14:solidFill>
                </w14:textFill>
              </w:rPr>
              <w:t>。</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12</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个</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85.00</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1020.00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14</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配线架</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产品特性：</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w:t>
            </w:r>
            <w:r>
              <w:rPr>
                <w:rFonts w:hint="eastAsia" w:ascii="宋体" w:hAnsi="宋体" w:eastAsia="宋体" w:cs="宋体"/>
                <w:color w:val="000000" w:themeColor="text1"/>
                <w:kern w:val="0"/>
                <w:sz w:val="21"/>
                <w:szCs w:val="21"/>
                <w:lang w:bidi="ar"/>
                <w14:textFill>
                  <w14:solidFill>
                    <w14:schemeClr w14:val="tx1"/>
                  </w14:solidFill>
                </w14:textFill>
              </w:rPr>
              <w:t>性能采用TIA/EIA-568B标准</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w:t>
            </w:r>
            <w:r>
              <w:rPr>
                <w:rFonts w:hint="eastAsia" w:ascii="宋体" w:hAnsi="宋体" w:eastAsia="宋体" w:cs="宋体"/>
                <w:color w:val="000000" w:themeColor="text1"/>
                <w:kern w:val="0"/>
                <w:sz w:val="21"/>
                <w:szCs w:val="21"/>
                <w:lang w:bidi="ar"/>
                <w14:textFill>
                  <w14:solidFill>
                    <w14:schemeClr w14:val="tx1"/>
                  </w14:solidFill>
                </w14:textFill>
              </w:rPr>
              <w:t>背部具有利于理线的金属化支撑架</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3.</w:t>
            </w:r>
            <w:r>
              <w:rPr>
                <w:rFonts w:hint="eastAsia" w:ascii="宋体" w:hAnsi="宋体" w:eastAsia="宋体" w:cs="宋体"/>
                <w:color w:val="000000" w:themeColor="text1"/>
                <w:kern w:val="0"/>
                <w:sz w:val="21"/>
                <w:szCs w:val="21"/>
                <w:lang w:bidi="ar"/>
                <w14:textFill>
                  <w14:solidFill>
                    <w14:schemeClr w14:val="tx1"/>
                  </w14:solidFill>
                </w14:textFill>
              </w:rPr>
              <w:t>50um镀金层，保证多次插拔的良好导通性</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4.</w:t>
            </w:r>
            <w:r>
              <w:rPr>
                <w:rFonts w:hint="eastAsia" w:ascii="宋体" w:hAnsi="宋体" w:eastAsia="宋体" w:cs="宋体"/>
                <w:color w:val="000000" w:themeColor="text1"/>
                <w:kern w:val="0"/>
                <w:sz w:val="21"/>
                <w:szCs w:val="21"/>
                <w:lang w:bidi="ar"/>
                <w14:textFill>
                  <w14:solidFill>
                    <w14:schemeClr w14:val="tx1"/>
                  </w14:solidFill>
                </w14:textFill>
              </w:rPr>
              <w:t>端口数量：</w:t>
            </w:r>
            <w:r>
              <w:rPr>
                <w:rFonts w:hint="eastAsia"/>
                <w:color w:val="000000" w:themeColor="text1"/>
                <w:lang w:val="en-US" w:eastAsia="zh-CN"/>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24口</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5.</w:t>
            </w:r>
            <w:r>
              <w:rPr>
                <w:rFonts w:hint="eastAsia" w:ascii="宋体" w:hAnsi="宋体" w:eastAsia="宋体" w:cs="宋体"/>
                <w:color w:val="000000" w:themeColor="text1"/>
                <w:kern w:val="0"/>
                <w:sz w:val="21"/>
                <w:szCs w:val="21"/>
                <w:lang w:bidi="ar"/>
                <w14:textFill>
                  <w14:solidFill>
                    <w14:schemeClr w14:val="tx1"/>
                  </w14:solidFill>
                </w14:textFill>
              </w:rPr>
              <w:t>用于19"标准机柜</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6.</w:t>
            </w:r>
            <w:r>
              <w:rPr>
                <w:rFonts w:hint="eastAsia" w:ascii="宋体" w:hAnsi="宋体" w:eastAsia="宋体" w:cs="宋体"/>
                <w:color w:val="000000" w:themeColor="text1"/>
                <w:kern w:val="0"/>
                <w:sz w:val="21"/>
                <w:szCs w:val="21"/>
                <w:lang w:bidi="ar"/>
                <w14:textFill>
                  <w14:solidFill>
                    <w14:schemeClr w14:val="tx1"/>
                  </w14:solidFill>
                </w14:textFill>
              </w:rPr>
              <w:t>高度：</w:t>
            </w:r>
            <w:r>
              <w:rPr>
                <w:rFonts w:hint="eastAsia" w:ascii="宋体" w:hAnsi="宋体" w:cs="宋体"/>
                <w:color w:val="000000" w:themeColor="text1"/>
                <w:kern w:val="0"/>
                <w:sz w:val="21"/>
                <w:szCs w:val="21"/>
                <w:lang w:val="en-US" w:eastAsia="zh-CN" w:bidi="ar"/>
                <w14:textFill>
                  <w14:solidFill>
                    <w14:schemeClr w14:val="tx1"/>
                  </w14:solidFill>
                </w14:textFill>
              </w:rPr>
              <w:t>1</w:t>
            </w:r>
            <w:r>
              <w:rPr>
                <w:rFonts w:hint="eastAsia" w:ascii="宋体" w:hAnsi="宋体" w:eastAsia="宋体" w:cs="宋体"/>
                <w:color w:val="000000" w:themeColor="text1"/>
                <w:kern w:val="0"/>
                <w:sz w:val="21"/>
                <w:szCs w:val="21"/>
                <w:lang w:bidi="ar"/>
                <w14:textFill>
                  <w14:solidFill>
                    <w14:schemeClr w14:val="tx1"/>
                  </w14:solidFill>
                </w14:textFill>
              </w:rPr>
              <w:t>U</w:t>
            </w:r>
            <w:r>
              <w:rPr>
                <w:rFonts w:hint="eastAsia" w:ascii="宋体" w:hAnsi="宋体" w:eastAsia="宋体" w:cs="宋体"/>
                <w:color w:val="000000" w:themeColor="text1"/>
                <w:kern w:val="0"/>
                <w:sz w:val="21"/>
                <w:szCs w:val="21"/>
                <w:lang w:eastAsia="zh-CN" w:bidi="ar"/>
                <w14:textFill>
                  <w14:solidFill>
                    <w14:schemeClr w14:val="tx1"/>
                  </w14:solidFill>
                </w14:textFill>
              </w:rPr>
              <w:t>。</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12</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个</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605.40</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7264.80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15</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桥架</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MR100</w:t>
            </w:r>
            <w:r>
              <w:rPr>
                <w:rFonts w:hint="eastAsia" w:ascii="宋体" w:hAnsi="宋体" w:eastAsia="宋体" w:cs="宋体"/>
                <w:color w:val="000000" w:themeColor="text1"/>
                <w:kern w:val="0"/>
                <w:sz w:val="21"/>
                <w:szCs w:val="21"/>
                <w:lang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100（mm）金属桥架，含连接配置和吊装配件。</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130</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米</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108.37</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14088.10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16</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PDU插座</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w:t>
            </w:r>
            <w:r>
              <w:rPr>
                <w:rFonts w:hint="eastAsia" w:ascii="宋体" w:hAnsi="宋体" w:eastAsia="宋体" w:cs="宋体"/>
                <w:color w:val="000000" w:themeColor="text1"/>
                <w:kern w:val="0"/>
                <w:sz w:val="21"/>
                <w:szCs w:val="21"/>
                <w:lang w:bidi="ar"/>
                <w14:textFill>
                  <w14:solidFill>
                    <w14:schemeClr w14:val="tx1"/>
                  </w14:solidFill>
                </w14:textFill>
              </w:rPr>
              <w:t>输入：L+N+PE,国标10A插头</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2.额定值：10A250V2500W</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3.8位10A新国标五孔</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4.3</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1.5平方线，纯线长</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1.8M</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5.铝壳，带总开关，单灯防雷模块</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6.19"安装1U高</w:t>
            </w:r>
            <w:r>
              <w:rPr>
                <w:rFonts w:hint="eastAsia" w:ascii="宋体" w:hAnsi="宋体" w:eastAsia="宋体" w:cs="宋体"/>
                <w:color w:val="000000" w:themeColor="text1"/>
                <w:kern w:val="0"/>
                <w:sz w:val="21"/>
                <w:szCs w:val="21"/>
                <w:lang w:eastAsia="zh-CN" w:bidi="ar"/>
                <w14:textFill>
                  <w14:solidFill>
                    <w14:schemeClr w14:val="tx1"/>
                  </w14:solidFill>
                </w14:textFill>
              </w:rPr>
              <w:t>。</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个</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126.08</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756.48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449" w:type="dxa"/>
            <w:gridSpan w:val="7"/>
            <w:noWrap/>
            <w:vAlign w:val="center"/>
          </w:tcPr>
          <w:p>
            <w:pPr>
              <w:widowControl/>
              <w:jc w:val="left"/>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b/>
                <w:bCs/>
                <w:color w:val="000000" w:themeColor="text1"/>
                <w:kern w:val="0"/>
                <w:sz w:val="21"/>
                <w:szCs w:val="21"/>
                <w:lang w:bidi="ar"/>
                <w14:textFill>
                  <w14:solidFill>
                    <w14:schemeClr w14:val="tx1"/>
                  </w14:solidFill>
                </w14:textFill>
              </w:rPr>
              <w:t>二、计算机网络系统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ascii="宋体" w:hAnsi="宋体" w:eastAsia="宋体" w:cs="宋体"/>
                <w:color w:val="000000" w:themeColor="text1"/>
                <w:kern w:val="0"/>
                <w:sz w:val="21"/>
                <w:szCs w:val="21"/>
                <w:lang w:val="en-US" w:eastAsia="zh-CN" w:bidi="ar"/>
                <w14:textFill>
                  <w14:solidFill>
                    <w14:schemeClr w14:val="tx1"/>
                  </w14:solidFill>
                </w14:textFill>
              </w:rPr>
              <w:t>7</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24口交换机</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1.交换容量≥336Gbps，包转发率≥51Mpps；</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2.千兆以太网电口≥24，千兆SFP光口≥4；</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cs="宋体"/>
                <w:color w:val="000000" w:themeColor="text1"/>
                <w:kern w:val="0"/>
                <w:sz w:val="21"/>
                <w:szCs w:val="21"/>
                <w:lang w:val="en-US" w:eastAsia="zh-CN" w:bidi="ar"/>
                <w14:textFill>
                  <w14:solidFill>
                    <w14:schemeClr w14:val="tx1"/>
                  </w14:solidFill>
                </w14:textFill>
              </w:rPr>
              <w:t>4</w:t>
            </w:r>
            <w:r>
              <w:rPr>
                <w:rFonts w:hint="eastAsia" w:ascii="宋体" w:hAnsi="宋体" w:eastAsia="宋体" w:cs="宋体"/>
                <w:color w:val="000000" w:themeColor="text1"/>
                <w:kern w:val="0"/>
                <w:sz w:val="21"/>
                <w:szCs w:val="21"/>
                <w:lang w:bidi="ar"/>
                <w14:textFill>
                  <w14:solidFill>
                    <w14:schemeClr w14:val="tx1"/>
                  </w14:solidFill>
                </w14:textFill>
              </w:rPr>
              <w:t>.支持4</w:t>
            </w:r>
            <w:r>
              <w:rPr>
                <w:rFonts w:hint="eastAsia" w:ascii="宋体" w:hAnsi="宋体" w:cs="宋体"/>
                <w:color w:val="000000" w:themeColor="text1"/>
                <w:kern w:val="0"/>
                <w:sz w:val="21"/>
                <w:szCs w:val="21"/>
                <w:lang w:val="en-US" w:eastAsia="zh-CN" w:bidi="ar"/>
                <w14:textFill>
                  <w14:solidFill>
                    <w14:schemeClr w14:val="tx1"/>
                  </w14:solidFill>
                </w14:textFill>
              </w:rPr>
              <w:t>000</w:t>
            </w:r>
            <w:r>
              <w:rPr>
                <w:rFonts w:hint="eastAsia" w:ascii="宋体" w:hAnsi="宋体" w:eastAsia="宋体" w:cs="宋体"/>
                <w:color w:val="000000" w:themeColor="text1"/>
                <w:kern w:val="0"/>
                <w:sz w:val="21"/>
                <w:szCs w:val="21"/>
                <w:lang w:bidi="ar"/>
                <w14:textFill>
                  <w14:solidFill>
                    <w14:schemeClr w14:val="tx1"/>
                  </w14:solidFill>
                </w14:textFill>
              </w:rPr>
              <w:t>个</w:t>
            </w:r>
            <w:r>
              <w:rPr>
                <w:rFonts w:hint="eastAsia" w:ascii="宋体" w:hAnsi="宋体" w:cs="宋体"/>
                <w:color w:val="000000" w:themeColor="text1"/>
                <w:kern w:val="0"/>
                <w:sz w:val="21"/>
                <w:szCs w:val="21"/>
                <w:lang w:val="en-US" w:eastAsia="zh-CN" w:bidi="ar"/>
                <w14:textFill>
                  <w14:solidFill>
                    <w14:schemeClr w14:val="tx1"/>
                  </w14:solidFill>
                </w14:textFill>
              </w:rPr>
              <w:t>以上</w:t>
            </w:r>
            <w:r>
              <w:rPr>
                <w:rFonts w:hint="eastAsia" w:ascii="宋体" w:hAnsi="宋体" w:eastAsia="宋体" w:cs="宋体"/>
                <w:color w:val="000000" w:themeColor="text1"/>
                <w:kern w:val="0"/>
                <w:sz w:val="21"/>
                <w:szCs w:val="21"/>
                <w:lang w:bidi="ar"/>
                <w14:textFill>
                  <w14:solidFill>
                    <w14:schemeClr w14:val="tx1"/>
                  </w14:solidFill>
                </w14:textFill>
              </w:rPr>
              <w:t>VLAN，支持VoiceVLAN，基于端口的VLAN，基于MAC的VLAN，基于协议的VLAN，支持Smartlink；</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cs="宋体"/>
                <w:color w:val="000000" w:themeColor="text1"/>
                <w:kern w:val="0"/>
                <w:sz w:val="21"/>
                <w:szCs w:val="21"/>
                <w:lang w:val="en-US" w:eastAsia="zh-CN" w:bidi="ar"/>
                <w14:textFill>
                  <w14:solidFill>
                    <w14:schemeClr w14:val="tx1"/>
                  </w14:solidFill>
                </w14:textFill>
              </w:rPr>
              <w:t>4</w:t>
            </w:r>
            <w:r>
              <w:rPr>
                <w:rFonts w:hint="eastAsia" w:ascii="宋体" w:hAnsi="宋体" w:eastAsia="宋体" w:cs="宋体"/>
                <w:color w:val="000000" w:themeColor="text1"/>
                <w:kern w:val="0"/>
                <w:sz w:val="21"/>
                <w:szCs w:val="21"/>
                <w:lang w:bidi="ar"/>
                <w14:textFill>
                  <w14:solidFill>
                    <w14:schemeClr w14:val="tx1"/>
                  </w14:solidFill>
                </w14:textFill>
              </w:rPr>
              <w:t>.支持RIP、RIPng、OSPF、OSPFv3路由协议；</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cs="宋体"/>
                <w:color w:val="000000" w:themeColor="text1"/>
                <w:kern w:val="0"/>
                <w:sz w:val="21"/>
                <w:szCs w:val="21"/>
                <w:lang w:val="en-US" w:eastAsia="zh-CN" w:bidi="ar"/>
                <w14:textFill>
                  <w14:solidFill>
                    <w14:schemeClr w14:val="tx1"/>
                  </w14:solidFill>
                </w14:textFill>
              </w:rPr>
              <w:t>5</w:t>
            </w:r>
            <w:r>
              <w:rPr>
                <w:rFonts w:hint="eastAsia" w:ascii="宋体" w:hAnsi="宋体" w:eastAsia="宋体" w:cs="宋体"/>
                <w:color w:val="000000" w:themeColor="text1"/>
                <w:kern w:val="0"/>
                <w:sz w:val="21"/>
                <w:szCs w:val="21"/>
                <w:lang w:bidi="ar"/>
                <w14:textFill>
                  <w14:solidFill>
                    <w14:schemeClr w14:val="tx1"/>
                  </w14:solidFill>
                </w14:textFill>
              </w:rPr>
              <w:t>.支持CPU保护功能，支持DHCPSnooping、DHCPv6Snooping功能；</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cs="宋体"/>
                <w:color w:val="000000" w:themeColor="text1"/>
                <w:kern w:val="0"/>
                <w:sz w:val="21"/>
                <w:szCs w:val="21"/>
                <w:lang w:val="en-US" w:eastAsia="zh-CN" w:bidi="ar"/>
                <w14:textFill>
                  <w14:solidFill>
                    <w14:schemeClr w14:val="tx1"/>
                  </w14:solidFill>
                </w14:textFill>
              </w:rPr>
              <w:t>6</w:t>
            </w:r>
            <w:r>
              <w:rPr>
                <w:rFonts w:hint="eastAsia" w:ascii="宋体" w:hAnsi="宋体" w:eastAsia="宋体" w:cs="宋体"/>
                <w:color w:val="000000" w:themeColor="text1"/>
                <w:kern w:val="0"/>
                <w:sz w:val="21"/>
                <w:szCs w:val="21"/>
                <w:lang w:bidi="ar"/>
                <w14:textFill>
                  <w14:solidFill>
                    <w14:schemeClr w14:val="tx1"/>
                  </w14:solidFill>
                </w14:textFill>
              </w:rPr>
              <w:t>.安全：支持防止DOS、ARP攻击功能、ICMP防攻击，支持CPU保护功能，支持DHCPSnooping、DHCPv6Snooping功能；</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cs="宋体"/>
                <w:color w:val="000000" w:themeColor="text1"/>
                <w:kern w:val="0"/>
                <w:sz w:val="21"/>
                <w:szCs w:val="21"/>
                <w:lang w:val="en-US" w:eastAsia="zh-CN" w:bidi="ar"/>
                <w14:textFill>
                  <w14:solidFill>
                    <w14:schemeClr w14:val="tx1"/>
                  </w14:solidFill>
                </w14:textFill>
              </w:rPr>
              <w:t>7</w:t>
            </w:r>
            <w:r>
              <w:rPr>
                <w:rFonts w:hint="eastAsia" w:ascii="宋体" w:hAnsi="宋体" w:eastAsia="宋体" w:cs="宋体"/>
                <w:color w:val="000000" w:themeColor="text1"/>
                <w:kern w:val="0"/>
                <w:sz w:val="21"/>
                <w:szCs w:val="21"/>
                <w:lang w:bidi="ar"/>
                <w14:textFill>
                  <w14:solidFill>
                    <w14:schemeClr w14:val="tx1"/>
                  </w14:solidFill>
                </w14:textFill>
              </w:rPr>
              <w:t>.可靠性：支持ERPS以太环保护协议（G.8032）；</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cs="宋体"/>
                <w:color w:val="000000" w:themeColor="text1"/>
                <w:kern w:val="0"/>
                <w:sz w:val="21"/>
                <w:szCs w:val="21"/>
                <w:lang w:val="en-US" w:eastAsia="zh-CN" w:bidi="ar"/>
                <w14:textFill>
                  <w14:solidFill>
                    <w14:schemeClr w14:val="tx1"/>
                  </w14:solidFill>
                </w14:textFill>
              </w:rPr>
              <w:t>8</w:t>
            </w:r>
            <w:r>
              <w:rPr>
                <w:rFonts w:hint="eastAsia" w:ascii="宋体" w:hAnsi="宋体" w:eastAsia="宋体" w:cs="宋体"/>
                <w:color w:val="000000" w:themeColor="text1"/>
                <w:kern w:val="0"/>
                <w:sz w:val="21"/>
                <w:szCs w:val="21"/>
                <w:lang w:bidi="ar"/>
                <w14:textFill>
                  <w14:solidFill>
                    <w14:schemeClr w14:val="tx1"/>
                  </w14:solidFill>
                </w14:textFill>
              </w:rPr>
              <w:t>.网络管理：支持SNMPv1/v2/v3、Telnet、RMON、SSHv2，支持通过命令行、Web、中文图形化配置软件等方式进行配置和管理；</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 w:val="21"/>
                <w:szCs w:val="21"/>
                <w:lang w:val="en-US" w:eastAsia="zh-CN" w:bidi="ar"/>
                <w14:textFill>
                  <w14:solidFill>
                    <w14:schemeClr w14:val="tx1"/>
                  </w14:solidFill>
                </w14:textFill>
              </w:rPr>
              <w:t>9</w:t>
            </w:r>
            <w:r>
              <w:rPr>
                <w:rFonts w:hint="eastAsia" w:ascii="宋体" w:hAnsi="宋体" w:eastAsia="宋体" w:cs="宋体"/>
                <w:color w:val="000000" w:themeColor="text1"/>
                <w:kern w:val="0"/>
                <w:sz w:val="21"/>
                <w:szCs w:val="21"/>
                <w:lang w:bidi="ar"/>
                <w14:textFill>
                  <w14:solidFill>
                    <w14:schemeClr w14:val="tx1"/>
                  </w14:solidFill>
                </w14:textFill>
              </w:rPr>
              <w:t>.网络分析：支持Telemetry技术，配合网络分析组件通过智能故障识别算法对网络数据进行分析，精准展现网络实时状态，并能及时有效地定界故障以及定位故障发生原因，发现影响用户体验的网络问题，精准保障用户体验；</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12</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1353.56</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16242.72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ascii="宋体" w:hAnsi="宋体" w:eastAsia="宋体" w:cs="宋体"/>
                <w:color w:val="000000" w:themeColor="text1"/>
                <w:kern w:val="0"/>
                <w:sz w:val="21"/>
                <w:szCs w:val="21"/>
                <w:lang w:val="en-US" w:eastAsia="zh-CN" w:bidi="ar"/>
                <w14:textFill>
                  <w14:solidFill>
                    <w14:schemeClr w14:val="tx1"/>
                  </w14:solidFill>
                </w14:textFill>
              </w:rPr>
              <w:t>8</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8口POE交换机</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1.交换容量≥336Gbps，包转发率≥27Mpps；</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2.千兆POE以太网端口≥8（PoE功率≥124W），千兆SFP光口≥4；</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3.无风扇，自然散热；</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4.支持快速POE功能，当交换机电源上电时，支持秒级实现对PD设备的供电；</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5.支持</w:t>
            </w:r>
            <w:r>
              <w:rPr>
                <w:rFonts w:hint="eastAsia" w:ascii="宋体" w:hAnsi="宋体" w:cs="宋体"/>
                <w:color w:val="000000" w:themeColor="text1"/>
                <w:kern w:val="0"/>
                <w:sz w:val="21"/>
                <w:szCs w:val="21"/>
                <w:lang w:val="en-US" w:eastAsia="zh-CN" w:bidi="ar"/>
                <w14:textFill>
                  <w14:solidFill>
                    <w14:schemeClr w14:val="tx1"/>
                  </w14:solidFill>
                </w14:textFill>
              </w:rPr>
              <w:t>不少于</w:t>
            </w:r>
            <w:r>
              <w:rPr>
                <w:rFonts w:hint="eastAsia" w:ascii="宋体" w:hAnsi="宋体" w:eastAsia="宋体" w:cs="宋体"/>
                <w:color w:val="000000" w:themeColor="text1"/>
                <w:kern w:val="0"/>
                <w:sz w:val="21"/>
                <w:szCs w:val="21"/>
                <w:lang w:bidi="ar"/>
                <w14:textFill>
                  <w14:solidFill>
                    <w14:schemeClr w14:val="tx1"/>
                  </w14:solidFill>
                </w14:textFill>
              </w:rPr>
              <w:t>4</w:t>
            </w:r>
            <w:r>
              <w:rPr>
                <w:rFonts w:hint="eastAsia" w:ascii="宋体" w:hAnsi="宋体" w:cs="宋体"/>
                <w:color w:val="000000" w:themeColor="text1"/>
                <w:kern w:val="0"/>
                <w:sz w:val="21"/>
                <w:szCs w:val="21"/>
                <w:lang w:val="en-US" w:eastAsia="zh-CN" w:bidi="ar"/>
                <w14:textFill>
                  <w14:solidFill>
                    <w14:schemeClr w14:val="tx1"/>
                  </w14:solidFill>
                </w14:textFill>
              </w:rPr>
              <w:t>000</w:t>
            </w:r>
            <w:r>
              <w:rPr>
                <w:rFonts w:hint="eastAsia" w:ascii="宋体" w:hAnsi="宋体" w:eastAsia="宋体" w:cs="宋体"/>
                <w:color w:val="000000" w:themeColor="text1"/>
                <w:kern w:val="0"/>
                <w:sz w:val="21"/>
                <w:szCs w:val="21"/>
                <w:lang w:bidi="ar"/>
                <w14:textFill>
                  <w14:solidFill>
                    <w14:schemeClr w14:val="tx1"/>
                  </w14:solidFill>
                </w14:textFill>
              </w:rPr>
              <w:t>个VLAN，支持VoiceVLAN，基于端口的VLAN，基于MAC的VLAN，基于协议的VLAN，支持Smartlink；</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6.支持RIP、RIPng、OSPF、OSPFv3路由协议；</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7.支持CPU保护功能，支持DHCPSnooping、DHCPv6Snooping功能；</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8.安全：支持防止DOS、ARP攻击功能、ICMP防攻击，支持CPU保护功能，支持DHCPSnooping、DHCPv6Snooping功能；</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9.可靠性：支持ERPS以太环保护协议（G.8032）；</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10.网络管理：支持SNMPv1/v2/v3、Telnet、RMON、SSHv2，支持通过命令行、Web、中文图形化配置软件等方式进行配置和管理；</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11.网络分析：支持Telemetry技术，配合网络分析组件通过智能故障识别算法对网络数据进行分析，精准展现网络实时状态，并能及时有效地定界故障以及定位故障发生原因，发现影响用户体验的网络问题，精准保障用户体验；</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2082.96</w:t>
            </w:r>
          </w:p>
        </w:tc>
        <w:tc>
          <w:tcPr>
            <w:tcW w:w="1486"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2082.96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19</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防火墙</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cs="宋体"/>
                <w:color w:val="000000" w:themeColor="text1"/>
                <w:kern w:val="0"/>
                <w:sz w:val="21"/>
                <w:szCs w:val="21"/>
                <w:lang w:val="en-US" w:eastAsia="zh-CN" w:bidi="ar"/>
                <w14:textFill>
                  <w14:solidFill>
                    <w14:schemeClr w14:val="tx1"/>
                  </w14:solidFill>
                </w14:textFill>
              </w:rPr>
              <w:t>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具备完整自主知识产权，独立专业防火墙设备，非插卡式扩展的防火墙设备。</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w:t>
            </w:r>
            <w:r>
              <w:rPr>
                <w:rFonts w:hint="eastAsia" w:ascii="宋体" w:hAnsi="宋体" w:cs="宋体"/>
                <w:color w:val="000000" w:themeColor="text1"/>
                <w:kern w:val="0"/>
                <w:szCs w:val="21"/>
                <w:lang w:val="en-US" w:eastAsia="zh-CN"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.1U设备，千兆电口≥8个，千兆光口≥2个，4G EMMC存储，单电源，防火墙吞吐量≥2Gbps；IPS+AV吞吐量≥1.6Gbps；并发连接≥150万；每秒新建≥1.6万；Ipsec VPN吞吐≥400M；具备SSL VPN授权≥250个，3年硬件质保与软件升级服务</w:t>
            </w:r>
            <w:r>
              <w:rPr>
                <w:rFonts w:hint="eastAsia" w:ascii="宋体" w:hAnsi="宋体" w:eastAsia="宋体" w:cs="宋体"/>
                <w:color w:val="000000" w:themeColor="text1"/>
                <w:kern w:val="0"/>
                <w:sz w:val="21"/>
                <w:szCs w:val="21"/>
                <w:lang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支持策略预编译技术，</w:t>
            </w:r>
            <w:r>
              <w:rPr>
                <w:rFonts w:hint="eastAsia" w:ascii="宋体" w:hAnsi="宋体" w:cs="宋体"/>
                <w:b/>
                <w:bCs/>
                <w:color w:val="000000" w:themeColor="text1"/>
                <w:kern w:val="0"/>
                <w:sz w:val="21"/>
                <w:szCs w:val="21"/>
                <w:lang w:eastAsia="zh-CN" w:bidi="ar"/>
                <w14:textFill>
                  <w14:solidFill>
                    <w14:schemeClr w14:val="tx1"/>
                  </w14:solidFill>
                </w14:textFill>
              </w:rPr>
              <w:t>需提供相关证明材料（包括但不限于彩页或官网或功能截图等）并加盖投标人公章（CA签章）</w:t>
            </w:r>
            <w:r>
              <w:rPr>
                <w:rFonts w:hint="eastAsia" w:ascii="宋体" w:hAnsi="宋体" w:eastAsia="宋体" w:cs="宋体"/>
                <w:color w:val="000000" w:themeColor="text1"/>
                <w:kern w:val="0"/>
                <w:sz w:val="21"/>
                <w:szCs w:val="21"/>
                <w:lang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支持基于IP网段、IP地址范围、ISP地址库、区域地址库等的多种黑名单阻断方式，支持分组功能，可基于分组的一键启停，支持在会话管理界面根据当前会话信息直接设置黑名单。</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支持并开通 网络入侵检测及防御功能，入侵防御事件库事件数量不少于3000条，可基于IP地址、网段、用户、时间、VLAN、协议类型等条件设定入侵防御模块的检测事件及响应方式，一条策略可同时引用攻击防护、病毒防护、入侵防护、web防护、威胁情报、口令防护等安全防护模板。</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支持IPS抓包取证，可选择将产生IPS事件的会话所有报文进行存储，并与IPS日志关联一键导出。</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支持并开通对HTTP、FTP、SMTP、POP3、IMAP协议的病毒检测和过滤功能。</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8</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基于主流杀毒引擎，支持对文件感染型病毒、蠕虫病毒、脚本病毒、宏病毒、木马、恶意软件等过滤，病毒库数量不少于1200万，防病毒功能开启后，整机处理性能衰减不超过30%。</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9</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本地离线库在线更新，离线更新，支持威胁情报威胁信息一键跳转云端威胁情报中信查看威胁详细实时全量的信息化展示，失陷检测情报分类包含：勒索软件、挖矿软件、网银木马、窃密木马、黑客工具、后门软件、僵尸网络、常规木马、DGA、黑灰产、扫描探测、隐匿追踪、可疑威胁、定向攻击、蠕虫病毒、APT攻击、其他远控等风险流量进行识别和过滤，可对不同类别风险IP流量进行记录日志或者阻断一定时间。</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10</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支持DoH加密域名解析服务，对解析流量加密处理，可在本地查询DNS</w:t>
            </w:r>
            <w:r>
              <w:rPr>
                <w:rFonts w:hint="eastAsia" w:ascii="宋体" w:hAnsi="宋体" w:cs="宋体"/>
                <w:color w:val="000000" w:themeColor="text1"/>
                <w:kern w:val="0"/>
                <w:sz w:val="21"/>
                <w:szCs w:val="21"/>
                <w:lang w:val="en-US" w:eastAsia="zh-CN" w:bidi="ar"/>
                <w14:textFill>
                  <w14:solidFill>
                    <w14:schemeClr w14:val="tx1"/>
                  </w14:solidFill>
                </w14:textFill>
              </w:rPr>
              <w:t>查询次数</w:t>
            </w:r>
            <w:r>
              <w:rPr>
                <w:rFonts w:hint="eastAsia" w:ascii="宋体" w:hAnsi="宋体" w:eastAsia="宋体" w:cs="宋体"/>
                <w:color w:val="000000" w:themeColor="text1"/>
                <w:kern w:val="0"/>
                <w:sz w:val="21"/>
                <w:szCs w:val="21"/>
                <w:lang w:bidi="ar"/>
                <w14:textFill>
                  <w14:solidFill>
                    <w14:schemeClr w14:val="tx1"/>
                  </w14:solidFill>
                </w14:textFill>
              </w:rPr>
              <w:t>以及威胁</w:t>
            </w:r>
            <w:r>
              <w:rPr>
                <w:rFonts w:hint="eastAsia" w:ascii="宋体" w:hAnsi="宋体" w:cs="宋体"/>
                <w:color w:val="000000" w:themeColor="text1"/>
                <w:kern w:val="0"/>
                <w:sz w:val="21"/>
                <w:szCs w:val="21"/>
                <w:lang w:val="en-US" w:eastAsia="zh-CN" w:bidi="ar"/>
                <w14:textFill>
                  <w14:solidFill>
                    <w14:schemeClr w14:val="tx1"/>
                  </w14:solidFill>
                </w14:textFill>
              </w:rPr>
              <w:t>次数</w:t>
            </w:r>
            <w:r>
              <w:rPr>
                <w:rFonts w:hint="eastAsia" w:ascii="宋体" w:hAnsi="宋体" w:eastAsia="宋体" w:cs="宋体"/>
                <w:color w:val="000000" w:themeColor="text1"/>
                <w:kern w:val="0"/>
                <w:sz w:val="21"/>
                <w:szCs w:val="21"/>
                <w:lang w:bidi="ar"/>
                <w14:textFill>
                  <w14:solidFill>
                    <w14:schemeClr w14:val="tx1"/>
                  </w14:solidFill>
                </w14:textFill>
              </w:rPr>
              <w:t>，</w:t>
            </w:r>
            <w:r>
              <w:rPr>
                <w:rFonts w:hint="eastAsia" w:ascii="宋体" w:hAnsi="宋体" w:cs="宋体"/>
                <w:b/>
                <w:bCs/>
                <w:color w:val="000000" w:themeColor="text1"/>
                <w:kern w:val="0"/>
                <w:sz w:val="21"/>
                <w:szCs w:val="21"/>
                <w:lang w:eastAsia="zh-CN" w:bidi="ar"/>
                <w14:textFill>
                  <w14:solidFill>
                    <w14:schemeClr w14:val="tx1"/>
                  </w14:solidFill>
                </w14:textFill>
              </w:rPr>
              <w:t>需提供相关证明材料（包括但不限于彩页或官网或功能截图等）并加盖投标人公章（CA签章）</w:t>
            </w:r>
            <w:r>
              <w:rPr>
                <w:rFonts w:hint="eastAsia" w:ascii="宋体" w:hAnsi="宋体" w:eastAsia="宋体" w:cs="宋体"/>
                <w:color w:val="000000" w:themeColor="text1"/>
                <w:kern w:val="0"/>
                <w:sz w:val="21"/>
                <w:szCs w:val="21"/>
                <w:lang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支持并开通基于DPI和DFI技术的应用特征识别及行为控制，应用识别的种类不少于2000种，支持并开通基于URL分类库的WEB访问管理，URL分类库规模不少于2000万条。</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支持链路质量</w:t>
            </w:r>
            <w:r>
              <w:rPr>
                <w:rFonts w:hint="eastAsia" w:ascii="宋体" w:hAnsi="宋体" w:cs="宋体"/>
                <w:color w:val="000000" w:themeColor="text1"/>
                <w:kern w:val="0"/>
                <w:sz w:val="21"/>
                <w:szCs w:val="21"/>
                <w:lang w:val="en-US" w:eastAsia="zh-CN" w:bidi="ar"/>
                <w14:textFill>
                  <w14:solidFill>
                    <w14:schemeClr w14:val="tx1"/>
                  </w14:solidFill>
                </w14:textFill>
              </w:rPr>
              <w:t>检查</w:t>
            </w:r>
            <w:r>
              <w:rPr>
                <w:rFonts w:hint="eastAsia" w:ascii="宋体" w:hAnsi="宋体" w:eastAsia="宋体" w:cs="宋体"/>
                <w:color w:val="000000" w:themeColor="text1"/>
                <w:kern w:val="0"/>
                <w:sz w:val="21"/>
                <w:szCs w:val="21"/>
                <w:lang w:bidi="ar"/>
                <w14:textFill>
                  <w14:solidFill>
                    <w14:schemeClr w14:val="tx1"/>
                  </w14:solidFill>
                </w14:textFill>
              </w:rPr>
              <w:t>，在链路存在丢包、延迟、抖动等因素时，通过</w:t>
            </w:r>
            <w:r>
              <w:rPr>
                <w:rFonts w:hint="eastAsia" w:ascii="宋体" w:hAnsi="宋体" w:cs="宋体"/>
                <w:color w:val="000000" w:themeColor="text1"/>
                <w:kern w:val="0"/>
                <w:sz w:val="21"/>
                <w:szCs w:val="21"/>
                <w:lang w:val="en-US" w:eastAsia="zh-CN" w:bidi="ar"/>
                <w14:textFill>
                  <w14:solidFill>
                    <w14:schemeClr w14:val="tx1"/>
                  </w14:solidFill>
                </w14:textFill>
              </w:rPr>
              <w:t>负载均衡算法降低延迟，</w:t>
            </w:r>
            <w:r>
              <w:rPr>
                <w:rFonts w:hint="eastAsia" w:ascii="宋体" w:hAnsi="宋体" w:cs="宋体"/>
                <w:b/>
                <w:bCs/>
                <w:color w:val="000000" w:themeColor="text1"/>
                <w:kern w:val="0"/>
                <w:sz w:val="21"/>
                <w:szCs w:val="21"/>
                <w:lang w:eastAsia="zh-CN" w:bidi="ar"/>
                <w14:textFill>
                  <w14:solidFill>
                    <w14:schemeClr w14:val="tx1"/>
                  </w14:solidFill>
                </w14:textFill>
              </w:rPr>
              <w:t>需提供相关证明材料（包括但不限于彩页或官网或功能截图等）并加盖投标人公章（CA签章）</w:t>
            </w:r>
            <w:r>
              <w:rPr>
                <w:rFonts w:hint="eastAsia" w:ascii="宋体" w:hAnsi="宋体" w:eastAsia="宋体" w:cs="宋体"/>
                <w:color w:val="000000" w:themeColor="text1"/>
                <w:kern w:val="0"/>
                <w:sz w:val="21"/>
                <w:szCs w:val="21"/>
                <w:lang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13</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支持链路复制技术，</w:t>
            </w:r>
            <w:r>
              <w:rPr>
                <w:rFonts w:hint="eastAsia" w:ascii="宋体" w:hAnsi="宋体" w:cs="宋体"/>
                <w:b/>
                <w:bCs/>
                <w:color w:val="000000" w:themeColor="text1"/>
                <w:kern w:val="0"/>
                <w:sz w:val="21"/>
                <w:szCs w:val="21"/>
                <w:lang w:eastAsia="zh-CN" w:bidi="ar"/>
                <w14:textFill>
                  <w14:solidFill>
                    <w14:schemeClr w14:val="tx1"/>
                  </w14:solidFill>
                </w14:textFill>
              </w:rPr>
              <w:t>需提供相关证明材料（包括但不限于彩页或官网或功能截图等）并加盖投标人公章（CA签章）</w:t>
            </w:r>
            <w:r>
              <w:rPr>
                <w:rFonts w:hint="eastAsia" w:ascii="宋体" w:hAnsi="宋体" w:eastAsia="宋体" w:cs="宋体"/>
                <w:color w:val="000000" w:themeColor="text1"/>
                <w:kern w:val="0"/>
                <w:sz w:val="21"/>
                <w:szCs w:val="21"/>
                <w:lang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14</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高、中、低三种密码检查强度，支持对常见应用（如HTTP、Telnet、FTP、SMTP、POP3等）进行弱口令检查，并上报安全事件，支持对口令频繁暴力破解的检测。检测到暴力破解后可选择告警、精准阻断、阻断源ip等动作。</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15</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支持并开通IPSec VPN、GRE VPN，并且支持从管控平台查询到每条ipsec隧道、gre隧道的实时包、抖动、延迟数据以图形化界面进行展示。</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16</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支持压缩</w:t>
            </w:r>
            <w:r>
              <w:rPr>
                <w:rFonts w:hint="eastAsia" w:ascii="宋体" w:hAnsi="宋体" w:cs="宋体"/>
                <w:color w:val="000000" w:themeColor="text1"/>
                <w:kern w:val="0"/>
                <w:sz w:val="21"/>
                <w:szCs w:val="21"/>
                <w:lang w:val="en-US" w:eastAsia="zh-CN" w:bidi="ar"/>
                <w14:textFill>
                  <w14:solidFill>
                    <w14:schemeClr w14:val="tx1"/>
                  </w14:solidFill>
                </w14:textFill>
              </w:rPr>
              <w:t>和双边加速</w:t>
            </w:r>
            <w:r>
              <w:rPr>
                <w:rFonts w:hint="eastAsia" w:ascii="宋体" w:hAnsi="宋体" w:eastAsia="宋体" w:cs="宋体"/>
                <w:color w:val="000000" w:themeColor="text1"/>
                <w:kern w:val="0"/>
                <w:sz w:val="21"/>
                <w:szCs w:val="21"/>
                <w:lang w:bidi="ar"/>
                <w14:textFill>
                  <w14:solidFill>
                    <w14:schemeClr w14:val="tx1"/>
                  </w14:solidFill>
                </w14:textFill>
              </w:rPr>
              <w:t>功能，</w:t>
            </w:r>
            <w:r>
              <w:rPr>
                <w:rFonts w:hint="eastAsia" w:ascii="宋体" w:hAnsi="宋体" w:cs="宋体"/>
                <w:b/>
                <w:bCs/>
                <w:color w:val="000000" w:themeColor="text1"/>
                <w:kern w:val="0"/>
                <w:sz w:val="21"/>
                <w:szCs w:val="21"/>
                <w:lang w:eastAsia="zh-CN" w:bidi="ar"/>
                <w14:textFill>
                  <w14:solidFill>
                    <w14:schemeClr w14:val="tx1"/>
                  </w14:solidFill>
                </w14:textFill>
              </w:rPr>
              <w:t>需提供相关证明材料（包括但不限于彩页或官网或功能截图等）并加盖投标人公章（CA签章）</w:t>
            </w:r>
            <w:r>
              <w:rPr>
                <w:rFonts w:hint="eastAsia" w:ascii="宋体" w:hAnsi="宋体" w:eastAsia="宋体" w:cs="宋体"/>
                <w:color w:val="000000" w:themeColor="text1"/>
                <w:kern w:val="0"/>
                <w:sz w:val="21"/>
                <w:szCs w:val="21"/>
                <w:lang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17</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根据需要可另开授权，通过云端DNS安全检查系统进行攻击识别，识别的攻击类型应至少包含：后门、远控木马、DDOS、挖矿、银行木马、APT、DGA、黑客工具、勒索软件、数据窃取、蠕虫、钓鱼网站、黄赌毒等威胁。</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18</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支持设备与终端安全系统联动，查询终端设备安全状态，</w:t>
            </w:r>
            <w:r>
              <w:rPr>
                <w:rFonts w:hint="eastAsia" w:ascii="宋体" w:hAnsi="宋体" w:cs="宋体"/>
                <w:b/>
                <w:bCs/>
                <w:color w:val="000000" w:themeColor="text1"/>
                <w:kern w:val="0"/>
                <w:sz w:val="21"/>
                <w:szCs w:val="21"/>
                <w:lang w:eastAsia="zh-CN" w:bidi="ar"/>
                <w14:textFill>
                  <w14:solidFill>
                    <w14:schemeClr w14:val="tx1"/>
                  </w14:solidFill>
                </w14:textFill>
              </w:rPr>
              <w:t>需提供相关证明材料（包括但不限于彩页或官网或功能截图等）并加盖投标人公章（CA签章）</w:t>
            </w:r>
            <w:r>
              <w:rPr>
                <w:rFonts w:hint="eastAsia" w:ascii="宋体" w:hAnsi="宋体" w:eastAsia="宋体" w:cs="宋体"/>
                <w:color w:val="000000" w:themeColor="text1"/>
                <w:kern w:val="0"/>
                <w:sz w:val="21"/>
                <w:szCs w:val="21"/>
                <w:lang w:bidi="ar"/>
                <w14:textFill>
                  <w14:solidFill>
                    <w14:schemeClr w14:val="tx1"/>
                  </w14:solidFill>
                </w14:textFill>
              </w:rPr>
              <w:t>。</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12000.00</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r>
              <w:rPr>
                <w:rFonts w:hint="eastAsia" w:ascii="宋体" w:hAnsi="宋体" w:eastAsia="宋体" w:cs="宋体"/>
                <w:color w:val="000000" w:themeColor="text1"/>
                <w:kern w:val="0"/>
                <w:sz w:val="21"/>
                <w:szCs w:val="21"/>
                <w:lang w:val="en-US" w:eastAsia="zh-CN" w:bidi="ar"/>
                <w14:textFill>
                  <w14:solidFill>
                    <w14:schemeClr w14:val="tx1"/>
                  </w14:solidFill>
                </w14:textFill>
              </w:rPr>
              <w:t>0</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光模块</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1.光模块传输速率≥1G</w:t>
            </w:r>
            <w:r>
              <w:rPr>
                <w:rFonts w:hint="eastAsia" w:ascii="宋体" w:hAnsi="宋体" w:eastAsia="宋体" w:cs="宋体"/>
                <w:color w:val="000000" w:themeColor="text1"/>
                <w:kern w:val="0"/>
                <w:sz w:val="21"/>
                <w:szCs w:val="21"/>
                <w:lang w:val="en-US" w:eastAsia="zh-CN" w:bidi="ar"/>
                <w14:textFill>
                  <w14:solidFill>
                    <w14:schemeClr w14:val="tx1"/>
                  </w14:solidFill>
                </w14:textFill>
              </w:rPr>
              <w:t>ps；</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2.采用1310nm波长,传输距离≥10km,支持LC接口</w:t>
            </w:r>
            <w:r>
              <w:rPr>
                <w:rFonts w:hint="eastAsia" w:ascii="宋体" w:hAnsi="宋体" w:eastAsia="宋体" w:cs="宋体"/>
                <w:color w:val="000000" w:themeColor="text1"/>
                <w:kern w:val="0"/>
                <w:sz w:val="21"/>
                <w:szCs w:val="21"/>
                <w:lang w:eastAsia="zh-CN" w:bidi="ar"/>
                <w14:textFill>
                  <w14:solidFill>
                    <w14:schemeClr w14:val="tx1"/>
                  </w14:solidFill>
                </w14:textFill>
              </w:rPr>
              <w:t>。</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98</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个</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158.39</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15522.22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449" w:type="dxa"/>
            <w:gridSpan w:val="7"/>
            <w:noWrap/>
            <w:vAlign w:val="center"/>
          </w:tcPr>
          <w:p>
            <w:pPr>
              <w:widowControl/>
              <w:jc w:val="left"/>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b/>
                <w:bCs/>
                <w:color w:val="000000" w:themeColor="text1"/>
                <w:kern w:val="0"/>
                <w:sz w:val="21"/>
                <w:szCs w:val="21"/>
                <w:lang w:bidi="ar"/>
                <w14:textFill>
                  <w14:solidFill>
                    <w14:schemeClr w14:val="tx1"/>
                  </w14:solidFill>
                </w14:textFill>
              </w:rPr>
              <w:t>三、安全防范系统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r>
              <w:rPr>
                <w:rFonts w:hint="eastAsia" w:ascii="宋体" w:hAnsi="宋体" w:eastAsia="宋体" w:cs="宋体"/>
                <w:color w:val="000000" w:themeColor="text1"/>
                <w:kern w:val="0"/>
                <w:sz w:val="21"/>
                <w:szCs w:val="21"/>
                <w:lang w:val="en-US" w:eastAsia="zh-CN" w:bidi="ar"/>
                <w14:textFill>
                  <w14:solidFill>
                    <w14:schemeClr w14:val="tx1"/>
                  </w14:solidFill>
                </w14:textFill>
              </w:rPr>
              <w:t>1</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网络摄像机</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像素≥600万，靶面尺寸≥1/2.4"，最大图像尺寸≥3200×1800</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支持最低照度彩色≤0.005lx，支持补光距离≥30m</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支持背光补偿，强光抑制，3D数字降噪，宽动态≥120dB</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调节角度：水平0°～360°，垂直0°～75°，旋转0°～360°</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内置≥1个麦克风，高清拾音</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供电方式支持DC12V±25%，支持防反接保护，支持POE供电</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支持RESET按键，支持客户端或浏览器恢复</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8</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支持场景变更、虚焦、区域入侵、越界、进入区域、离开区域、物品遗留、物品拿取、徘徊、停车、人员聚集、快速移动、音频异常、音频陡升、音频陡降侦测</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9</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防护等级≥IP66，工作温度：-30℃～60℃。</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460.00</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r>
              <w:rPr>
                <w:rFonts w:hint="eastAsia" w:ascii="宋体" w:hAnsi="宋体" w:eastAsia="宋体" w:cs="宋体"/>
                <w:color w:val="000000" w:themeColor="text1"/>
                <w:kern w:val="0"/>
                <w:sz w:val="21"/>
                <w:szCs w:val="21"/>
                <w:lang w:val="en-US" w:eastAsia="zh-CN" w:bidi="ar"/>
                <w14:textFill>
                  <w14:solidFill>
                    <w14:schemeClr w14:val="tx1"/>
                  </w14:solidFill>
                </w14:textFill>
              </w:rPr>
              <w:t>2</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网络硬盘录像机</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支持接入≥8路分辨率≥1920×1080的视频图像，支持输入带宽≥80Mbps，输出带宽≥160Mbps，支持≥5个SATA接口硬盘</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支持≥2路视频流人脸识别或≥8路图片流人脸识别，支持开启视频流智能分析后设备网络带宽不应降低</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活动目标与实时预览同屏显示，实时预览的同时可以提取视频画面中的活动目标，可显示人脸、人体、车辆等目标图片，点击图片可即时回放相关录像，具有存储安全保障功能，当存储压力过高或硬盘出现性能不足时，可优先录像业务存储</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支持接入1T</w:t>
            </w:r>
            <w:r>
              <w:rPr>
                <w:rFonts w:hint="eastAsia" w:ascii="宋体" w:hAnsi="宋体" w:eastAsia="宋体" w:cs="宋体"/>
                <w:color w:val="000000" w:themeColor="text1"/>
                <w:kern w:val="0"/>
                <w:sz w:val="21"/>
                <w:szCs w:val="21"/>
                <w:lang w:val="en-US" w:eastAsia="zh-CN" w:bidi="ar"/>
                <w14:textFill>
                  <w14:solidFill>
                    <w14:schemeClr w14:val="tx1"/>
                  </w14:solidFill>
                </w14:textFill>
              </w:rPr>
              <w:t>B</w:t>
            </w:r>
            <w:r>
              <w:rPr>
                <w:rFonts w:hint="eastAsia" w:ascii="宋体" w:hAnsi="宋体" w:eastAsia="宋体" w:cs="宋体"/>
                <w:color w:val="000000" w:themeColor="text1"/>
                <w:kern w:val="0"/>
                <w:sz w:val="21"/>
                <w:szCs w:val="21"/>
                <w:lang w:bidi="ar"/>
                <w14:textFill>
                  <w14:solidFill>
                    <w14:schemeClr w14:val="tx1"/>
                  </w14:solidFill>
                </w14:textFill>
              </w:rPr>
              <w:t>、2T</w:t>
            </w:r>
            <w:r>
              <w:rPr>
                <w:rFonts w:hint="eastAsia" w:ascii="宋体" w:hAnsi="宋体" w:eastAsia="宋体" w:cs="宋体"/>
                <w:color w:val="000000" w:themeColor="text1"/>
                <w:kern w:val="0"/>
                <w:sz w:val="21"/>
                <w:szCs w:val="21"/>
                <w:lang w:val="en-US" w:eastAsia="zh-CN" w:bidi="ar"/>
                <w14:textFill>
                  <w14:solidFill>
                    <w14:schemeClr w14:val="tx1"/>
                  </w14:solidFill>
                </w14:textFill>
              </w:rPr>
              <w:t>B</w:t>
            </w:r>
            <w:r>
              <w:rPr>
                <w:rFonts w:hint="eastAsia" w:ascii="宋体" w:hAnsi="宋体" w:eastAsia="宋体" w:cs="宋体"/>
                <w:color w:val="000000" w:themeColor="text1"/>
                <w:kern w:val="0"/>
                <w:sz w:val="21"/>
                <w:szCs w:val="21"/>
                <w:lang w:bidi="ar"/>
                <w14:textFill>
                  <w14:solidFill>
                    <w14:schemeClr w14:val="tx1"/>
                  </w14:solidFill>
                </w14:textFill>
              </w:rPr>
              <w:t>、3T</w:t>
            </w:r>
            <w:r>
              <w:rPr>
                <w:rFonts w:hint="eastAsia" w:ascii="宋体" w:hAnsi="宋体" w:eastAsia="宋体" w:cs="宋体"/>
                <w:color w:val="000000" w:themeColor="text1"/>
                <w:kern w:val="0"/>
                <w:sz w:val="21"/>
                <w:szCs w:val="21"/>
                <w:lang w:val="en-US" w:eastAsia="zh-CN" w:bidi="ar"/>
                <w14:textFill>
                  <w14:solidFill>
                    <w14:schemeClr w14:val="tx1"/>
                  </w14:solidFill>
                </w14:textFill>
              </w:rPr>
              <w:t>B</w:t>
            </w:r>
            <w:r>
              <w:rPr>
                <w:rFonts w:hint="eastAsia" w:ascii="宋体" w:hAnsi="宋体" w:eastAsia="宋体" w:cs="宋体"/>
                <w:color w:val="000000" w:themeColor="text1"/>
                <w:kern w:val="0"/>
                <w:sz w:val="21"/>
                <w:szCs w:val="21"/>
                <w:lang w:bidi="ar"/>
                <w14:textFill>
                  <w14:solidFill>
                    <w14:schemeClr w14:val="tx1"/>
                  </w14:solidFill>
                </w14:textFill>
              </w:rPr>
              <w:t>、4T</w:t>
            </w:r>
            <w:r>
              <w:rPr>
                <w:rFonts w:hint="eastAsia" w:ascii="宋体" w:hAnsi="宋体" w:eastAsia="宋体" w:cs="宋体"/>
                <w:color w:val="000000" w:themeColor="text1"/>
                <w:kern w:val="0"/>
                <w:sz w:val="21"/>
                <w:szCs w:val="21"/>
                <w:lang w:val="en-US" w:eastAsia="zh-CN" w:bidi="ar"/>
                <w14:textFill>
                  <w14:solidFill>
                    <w14:schemeClr w14:val="tx1"/>
                  </w14:solidFill>
                </w14:textFill>
              </w:rPr>
              <w:t>B</w:t>
            </w:r>
            <w:r>
              <w:rPr>
                <w:rFonts w:hint="eastAsia" w:ascii="宋体" w:hAnsi="宋体" w:eastAsia="宋体" w:cs="宋体"/>
                <w:color w:val="000000" w:themeColor="text1"/>
                <w:kern w:val="0"/>
                <w:sz w:val="21"/>
                <w:szCs w:val="21"/>
                <w:lang w:bidi="ar"/>
                <w14:textFill>
                  <w14:solidFill>
                    <w14:schemeClr w14:val="tx1"/>
                  </w14:solidFill>
                </w14:textFill>
              </w:rPr>
              <w:t>、6T</w:t>
            </w:r>
            <w:r>
              <w:rPr>
                <w:rFonts w:hint="eastAsia" w:ascii="宋体" w:hAnsi="宋体" w:eastAsia="宋体" w:cs="宋体"/>
                <w:color w:val="000000" w:themeColor="text1"/>
                <w:kern w:val="0"/>
                <w:sz w:val="21"/>
                <w:szCs w:val="21"/>
                <w:lang w:val="en-US" w:eastAsia="zh-CN" w:bidi="ar"/>
                <w14:textFill>
                  <w14:solidFill>
                    <w14:schemeClr w14:val="tx1"/>
                  </w14:solidFill>
                </w14:textFill>
              </w:rPr>
              <w:t>B</w:t>
            </w:r>
            <w:r>
              <w:rPr>
                <w:rFonts w:hint="eastAsia" w:ascii="宋体" w:hAnsi="宋体" w:eastAsia="宋体" w:cs="宋体"/>
                <w:color w:val="000000" w:themeColor="text1"/>
                <w:kern w:val="0"/>
                <w:sz w:val="21"/>
                <w:szCs w:val="21"/>
                <w:lang w:bidi="ar"/>
                <w14:textFill>
                  <w14:solidFill>
                    <w14:schemeClr w14:val="tx1"/>
                  </w14:solidFill>
                </w14:textFill>
              </w:rPr>
              <w:t>、8T</w:t>
            </w:r>
            <w:r>
              <w:rPr>
                <w:rFonts w:hint="eastAsia" w:ascii="宋体" w:hAnsi="宋体" w:eastAsia="宋体" w:cs="宋体"/>
                <w:color w:val="000000" w:themeColor="text1"/>
                <w:kern w:val="0"/>
                <w:sz w:val="21"/>
                <w:szCs w:val="21"/>
                <w:lang w:val="en-US" w:eastAsia="zh-CN" w:bidi="ar"/>
                <w14:textFill>
                  <w14:solidFill>
                    <w14:schemeClr w14:val="tx1"/>
                  </w14:solidFill>
                </w14:textFill>
              </w:rPr>
              <w:t>B</w:t>
            </w:r>
            <w:r>
              <w:rPr>
                <w:rFonts w:hint="eastAsia" w:ascii="宋体" w:hAnsi="宋体" w:eastAsia="宋体" w:cs="宋体"/>
                <w:color w:val="000000" w:themeColor="text1"/>
                <w:kern w:val="0"/>
                <w:sz w:val="21"/>
                <w:szCs w:val="21"/>
                <w:lang w:bidi="ar"/>
                <w14:textFill>
                  <w14:solidFill>
                    <w14:schemeClr w14:val="tx1"/>
                  </w14:solidFill>
                </w14:textFill>
              </w:rPr>
              <w:t>、10T</w:t>
            </w:r>
            <w:r>
              <w:rPr>
                <w:rFonts w:hint="eastAsia" w:ascii="宋体" w:hAnsi="宋体" w:eastAsia="宋体" w:cs="宋体"/>
                <w:color w:val="000000" w:themeColor="text1"/>
                <w:kern w:val="0"/>
                <w:sz w:val="21"/>
                <w:szCs w:val="21"/>
                <w:lang w:val="en-US" w:eastAsia="zh-CN" w:bidi="ar"/>
                <w14:textFill>
                  <w14:solidFill>
                    <w14:schemeClr w14:val="tx1"/>
                  </w14:solidFill>
                </w14:textFill>
              </w:rPr>
              <w:t>B</w:t>
            </w:r>
            <w:r>
              <w:rPr>
                <w:rFonts w:hint="eastAsia" w:ascii="宋体" w:hAnsi="宋体" w:eastAsia="宋体" w:cs="宋体"/>
                <w:color w:val="000000" w:themeColor="text1"/>
                <w:kern w:val="0"/>
                <w:sz w:val="21"/>
                <w:szCs w:val="21"/>
                <w:lang w:bidi="ar"/>
                <w14:textFill>
                  <w14:solidFill>
                    <w14:schemeClr w14:val="tx1"/>
                  </w14:solidFill>
                </w14:textFill>
              </w:rPr>
              <w:t>、12TB、14TB、16TB、18TB、20TB容量的SATA接口硬盘</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可同时显示输出≥8路H.265编码、30fps、1920×1080格式的视频图像，或同时输出≥4路H.265编码、25fps、4096×2160或者3840×2160格式的视频图像，或同时解码≥3路H.265编码、20fps、4000×3000格式的视频图像，输出≥1路H.265编码、25fps、8160×3616格式的视频图像，支持开启视频流智能分析，NVR解码性能不会降低</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支持以IPv6方式接入IPC进行预览、参数配置、报警接收和展现、语音对讲、IPC列表导入、IP地址冲突检测等功能</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支持≥16个人脸库，库容≥5万张人脸图片，支持人脸库建模成功率不低于99%</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8</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支持≥30张/秒人脸比对报警，比对结果显示包括人脸比对成功、人脸比对失败、高频次报警和陌生人报警，人脸正对相机、人脸无遮挡等干扰情况，人脸识别准确率≥99%</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9</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支持从其他设备导入录像文件，并对录像文件进行人脸检测和识别，显示识别结果</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10</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支持过车记录导出表格功能，表格包含通道、时间、车牌号、车型、车牌颜色、车身颜色、车辆品牌、车辆抓拍图片信息</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周界报警过滤功能，对IPC上报的越界侦测报警和区域入侵报警进行去误报，可去除由树叶、灯光、车辆、阴影以及小动物引起的误报，支持≥8路，支持导入不同的语音文件，关联不同人脸库播报不同的语音，支持播报语音文件，支持人脸、周界、车辆检测、视频结构化的报警触发时联动语音播报</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支持常规距离、中距离、远距离三种检测模式，根据不同的检测距离，在配置界面给出最小可检出人体目标尺寸，单个通道最多同时支持≥4种周界报警模式，每种模武最多同时支持≥4个警戒区域</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13</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支持以脸搜脸、按姓名检索、按属性检索，支持人脸属性识别、人脸评分功能，支持接入混合抓拍事件</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14</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支持检索与回放，在录像回放界面设备自动检索出关联通道录像，并以日历形式展示出录像分布情况，同时自动回放当天录像</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15</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支持≥2个HDMI接口、≥1个VGA接口、≥2个RJ45网络接口、≥2个USB2.0接口、≥1个USB3.0接口、≥1个eSata接口、≥16路报警输入接口、≥9路报警输出接口。</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个</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1560.00</w:t>
            </w:r>
          </w:p>
        </w:tc>
        <w:tc>
          <w:tcPr>
            <w:tcW w:w="1486"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1560.00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r>
              <w:rPr>
                <w:rFonts w:hint="eastAsia" w:ascii="宋体" w:hAnsi="宋体" w:eastAsia="宋体" w:cs="宋体"/>
                <w:color w:val="000000" w:themeColor="text1"/>
                <w:kern w:val="0"/>
                <w:sz w:val="21"/>
                <w:szCs w:val="21"/>
                <w:lang w:val="en-US" w:eastAsia="zh-CN" w:bidi="ar"/>
                <w14:textFill>
                  <w14:solidFill>
                    <w14:schemeClr w14:val="tx1"/>
                  </w14:solidFill>
                </w14:textFill>
              </w:rPr>
              <w:t>3</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硬盘</w:t>
            </w:r>
          </w:p>
        </w:tc>
        <w:tc>
          <w:tcPr>
            <w:tcW w:w="5309" w:type="dxa"/>
            <w:noWrap/>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1.3.5HDD容量：≥10TB,SATA传输速度：≥6Gb/s；</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2.转速：≥7200rpm；</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3.支持RAID应用(搭配NVR)；</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4.不少于256MB缓冲区，流畅存储视频有效防止丢帧；</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5.年写入负载：不小于550TB；</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6.24×7全天候高效稳定运行；</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7.支持5年有限质保服务</w:t>
            </w:r>
            <w:r>
              <w:rPr>
                <w:rFonts w:hint="eastAsia" w:ascii="宋体" w:hAnsi="宋体" w:eastAsia="宋体" w:cs="宋体"/>
                <w:color w:val="000000" w:themeColor="text1"/>
                <w:kern w:val="0"/>
                <w:sz w:val="21"/>
                <w:szCs w:val="21"/>
                <w:lang w:eastAsia="zh-CN" w:bidi="ar"/>
                <w14:textFill>
                  <w14:solidFill>
                    <w14:schemeClr w14:val="tx1"/>
                  </w14:solidFill>
                </w14:textFill>
              </w:rPr>
              <w:t>。</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个</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1560.00</w:t>
            </w:r>
          </w:p>
        </w:tc>
        <w:tc>
          <w:tcPr>
            <w:tcW w:w="1486"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1560.00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r>
              <w:rPr>
                <w:rFonts w:hint="eastAsia" w:ascii="宋体" w:hAnsi="宋体" w:eastAsia="宋体" w:cs="宋体"/>
                <w:color w:val="000000" w:themeColor="text1"/>
                <w:kern w:val="0"/>
                <w:sz w:val="21"/>
                <w:szCs w:val="21"/>
                <w:lang w:val="en-US" w:eastAsia="zh-CN" w:bidi="ar"/>
                <w14:textFill>
                  <w14:solidFill>
                    <w14:schemeClr w14:val="tx1"/>
                  </w14:solidFill>
                </w14:textFill>
              </w:rPr>
              <w:t>4</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身份信息识别产品</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采用7英寸触摸显示屏，屏幕比例9：16，屏幕流明度≥600cd/㎡，分辨率不小于600×1280</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支持嵌入式Linux操作系统，采用宽动态≥200万双目摄像头，帧率≥25帧/s，防护等级≥IP65，通信方式支持有线网络、WiFi</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支持人脸、刷卡、密码认证方式，支持外接身份证、指纹、蓝牙、二维码功能模块，本地支持≥10000人脸库、≥50000张卡，≥15万条事件记录</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支持识读模块的扩展功能，形成一体化识别终端，支持Mifare卡识读，支持CPU卡识读，WEB端应支持配置防卡片复制安全机制，功能开启后第三方卡片或复制卡片可屏蔽识读</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支持通过文字转换为提示语音的TTS功能，支持本地广告信息播放，支持广告节目编排播放，播放时间可自定义。</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6.</w:t>
            </w:r>
            <w:r>
              <w:rPr>
                <w:rFonts w:hint="eastAsia" w:ascii="宋体" w:hAnsi="宋体" w:eastAsia="宋体" w:cs="宋体"/>
                <w:color w:val="000000" w:themeColor="text1"/>
                <w:kern w:val="0"/>
                <w:sz w:val="21"/>
                <w:szCs w:val="21"/>
                <w:lang w:bidi="ar"/>
                <w14:textFill>
                  <w14:solidFill>
                    <w14:schemeClr w14:val="tx1"/>
                  </w14:solidFill>
                </w14:textFill>
              </w:rPr>
              <w:t>支持图片、文字、视频广告节目播放，支持在设备端查看人员信息、设备状态、显示模式</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支持根据比对结果，输出开关量信号联动门禁等设备，支持本地非明文存储比对结果、身份信息及抓拍人脸照片</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8</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在管理中心远程视频预览功能，支持与管理平台或客户端中心远程视频对讲，支持与室内机、管理机可视对讲，支持手机APP对讲功能，支持配置一键呼叫管理机或固定室内机的视频对讲功能，支持与广播主机实现广播系统可对讲功能，支持与广播主机呼叫对讲功能，支持中心广播主机向门禁设备广播喊话</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9</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支持断网续传离线记录非明文数据功能，支持抓拍图片本地存储功能开启/关闭</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10</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支持设备本地比对结果用户信息脱敏显示功能开启/关闭，即隐藏姓名和工号信息，用户数据及比对记录采用非明文方式导出</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支持人脸比对平均时间≤120ms（1：1对比方式），最大人脸识别距离≥4m，最小人脸识别距离≤0.2m，支持设备本地人脸注册，远程下发人脸、APP采集人脸并注册下发</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接入系统平台后应能支持视频联动报警功能，系统应具有应急开启的方法，如设备支持接入消防应急信号联动开门，支持未授权人员刷人脸时，设备应能支持抓拍图片并实时上报平台预警，根据设定事件的联动关系，当检测到该事件发生时，应能触发对应的动作</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13</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支持在没有用户使用时自动切换到屏保或息屏待机状态，人员靠近自动唤醒待机设备，唤醒距离应能调节，采用软硬件低功耗管理模式，设备待机运行功耗应不超过6W</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14</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支持中心下发黑名单信息，具有本地黑名单事件报警功能，报警信息应能上传至平台，支持本地U盘升级、在线远程升级功能</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15</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支持按时间分时段管控门禁权限，支持常开、常闭时段、首卡开门管理，支持反潜回功能</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16</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支持≥1个LAN、≥1个RS485、≥1个支持双向的Wiegand、≥1个typeC类型USB接口、≥1个电锁、≥1个门磁、≥2个报警输入、≥1个报警输出、≥1个开门按钮、≥1个SD卡槽、≥1个3.5mm音频输出接口。</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1248.31</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4993.24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r>
              <w:rPr>
                <w:rFonts w:hint="eastAsia" w:ascii="宋体" w:hAnsi="宋体" w:eastAsia="宋体" w:cs="宋体"/>
                <w:color w:val="000000" w:themeColor="text1"/>
                <w:kern w:val="0"/>
                <w:sz w:val="21"/>
                <w:szCs w:val="21"/>
                <w:lang w:val="en-US" w:eastAsia="zh-CN" w:bidi="ar"/>
                <w14:textFill>
                  <w14:solidFill>
                    <w14:schemeClr w14:val="tx1"/>
                  </w14:solidFill>
                </w14:textFill>
              </w:rPr>
              <w:t>5</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门禁产品安装配件</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模块功能：支持拓展指纹（1万指纹容量）识别、蓝牙开门功能；</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物理接口：Type</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C</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使用环境：室内室外</w:t>
            </w:r>
            <w:r>
              <w:rPr>
                <w:rFonts w:hint="eastAsia" w:ascii="宋体" w:hAnsi="宋体" w:eastAsia="宋体" w:cs="宋体"/>
                <w:color w:val="000000" w:themeColor="text1"/>
                <w:kern w:val="0"/>
                <w:sz w:val="21"/>
                <w:szCs w:val="21"/>
                <w:lang w:eastAsia="zh-CN" w:bidi="ar"/>
                <w14:textFill>
                  <w14:solidFill>
                    <w14:schemeClr w14:val="tx1"/>
                  </w14:solidFill>
                </w14:textFill>
              </w:rPr>
              <w:t>。</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750.00</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r>
              <w:rPr>
                <w:rFonts w:hint="eastAsia" w:ascii="宋体" w:hAnsi="宋体" w:eastAsia="宋体" w:cs="宋体"/>
                <w:color w:val="000000" w:themeColor="text1"/>
                <w:kern w:val="0"/>
                <w:sz w:val="21"/>
                <w:szCs w:val="21"/>
                <w:lang w:val="en-US" w:eastAsia="zh-CN" w:bidi="ar"/>
                <w14:textFill>
                  <w14:solidFill>
                    <w14:schemeClr w14:val="tx1"/>
                  </w14:solidFill>
                </w14:textFill>
              </w:rPr>
              <w:t>6</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开门按钮</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标准结构：304不锈钢面板，304不锈钢按钮；</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接点输出：NO/NC/COM接点；</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外形尺寸：</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86</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86</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29mm</w:t>
            </w:r>
            <w:r>
              <w:rPr>
                <w:rFonts w:hint="eastAsia" w:ascii="宋体" w:hAnsi="宋体" w:eastAsia="宋体" w:cs="宋体"/>
                <w:color w:val="000000" w:themeColor="text1"/>
                <w:kern w:val="0"/>
                <w:sz w:val="21"/>
                <w:szCs w:val="21"/>
                <w:lang w:eastAsia="zh-CN" w:bidi="ar"/>
                <w14:textFill>
                  <w14:solidFill>
                    <w14:schemeClr w14:val="tx1"/>
                  </w14:solidFill>
                </w14:textFill>
              </w:rPr>
              <w:t>。</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个</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20.84</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83.36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r>
              <w:rPr>
                <w:rFonts w:hint="eastAsia" w:ascii="宋体" w:hAnsi="宋体" w:eastAsia="宋体" w:cs="宋体"/>
                <w:color w:val="000000" w:themeColor="text1"/>
                <w:kern w:val="0"/>
                <w:sz w:val="21"/>
                <w:szCs w:val="21"/>
                <w:lang w:val="en-US" w:eastAsia="zh-CN" w:bidi="ar"/>
                <w14:textFill>
                  <w14:solidFill>
                    <w14:schemeClr w14:val="tx1"/>
                  </w14:solidFill>
                </w14:textFill>
              </w:rPr>
              <w:t>7</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门禁开关电源</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输入电压：100-240VAC；</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输出电压：12VDC；</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输出电流：4.17A；</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输出功率：50W；</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工作温度：-10℃-+50℃；</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工作湿度：＜95%；</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7.</w:t>
            </w:r>
            <w:r>
              <w:rPr>
                <w:rFonts w:hint="eastAsia" w:ascii="宋体" w:hAnsi="宋体" w:eastAsia="宋体" w:cs="宋体"/>
                <w:color w:val="000000" w:themeColor="text1"/>
                <w:kern w:val="0"/>
                <w:sz w:val="21"/>
                <w:szCs w:val="21"/>
                <w:lang w:bidi="ar"/>
                <w14:textFill>
                  <w14:solidFill>
                    <w14:schemeClr w14:val="tx1"/>
                  </w14:solidFill>
                </w14:textFill>
              </w:rPr>
              <w:t>尺寸：</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99</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82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30mm</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306.35</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1225.40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28</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双门电子锁</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w:t>
            </w:r>
            <w:r>
              <w:rPr>
                <w:rFonts w:hint="eastAsia" w:ascii="宋体" w:hAnsi="宋体" w:eastAsia="宋体" w:cs="宋体"/>
                <w:color w:val="000000" w:themeColor="text1"/>
                <w:kern w:val="0"/>
                <w:sz w:val="21"/>
                <w:szCs w:val="21"/>
                <w:lang w:bidi="ar"/>
                <w14:textFill>
                  <w14:solidFill>
                    <w14:schemeClr w14:val="tx1"/>
                  </w14:solidFill>
                </w14:textFill>
              </w:rPr>
              <w:t>锁体主体颜色为：氧化银</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w:t>
            </w:r>
            <w:r>
              <w:rPr>
                <w:rFonts w:hint="eastAsia" w:ascii="宋体" w:hAnsi="宋体" w:eastAsia="宋体" w:cs="宋体"/>
                <w:color w:val="000000" w:themeColor="text1"/>
                <w:kern w:val="0"/>
                <w:sz w:val="21"/>
                <w:szCs w:val="21"/>
                <w:lang w:bidi="ar"/>
                <w14:textFill>
                  <w14:solidFill>
                    <w14:schemeClr w14:val="tx1"/>
                  </w14:solidFill>
                </w14:textFill>
              </w:rPr>
              <w:t>最大静态直线拉力：280kg±5%</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2；</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3.</w:t>
            </w:r>
            <w:r>
              <w:rPr>
                <w:rFonts w:hint="eastAsia" w:ascii="宋体" w:hAnsi="宋体" w:eastAsia="宋体" w:cs="宋体"/>
                <w:color w:val="000000" w:themeColor="text1"/>
                <w:kern w:val="0"/>
                <w:sz w:val="21"/>
                <w:szCs w:val="21"/>
                <w:lang w:bidi="ar"/>
                <w14:textFill>
                  <w14:solidFill>
                    <w14:schemeClr w14:val="tx1"/>
                  </w14:solidFill>
                </w14:textFill>
              </w:rPr>
              <w:t>断电开锁，满足消防要求；</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4.</w:t>
            </w:r>
            <w:r>
              <w:rPr>
                <w:rFonts w:hint="eastAsia" w:ascii="宋体" w:hAnsi="宋体" w:eastAsia="宋体" w:cs="宋体"/>
                <w:color w:val="000000" w:themeColor="text1"/>
                <w:kern w:val="0"/>
                <w:sz w:val="21"/>
                <w:szCs w:val="21"/>
                <w:lang w:bidi="ar"/>
                <w14:textFill>
                  <w14:solidFill>
                    <w14:schemeClr w14:val="tx1"/>
                  </w14:solidFill>
                </w14:textFill>
              </w:rPr>
              <w:t>具有电锁状态指示灯（红灯为开锁状态，绿灯为上锁状态）；</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5.</w:t>
            </w:r>
            <w:r>
              <w:rPr>
                <w:rFonts w:hint="eastAsia" w:ascii="宋体" w:hAnsi="宋体" w:eastAsia="宋体" w:cs="宋体"/>
                <w:color w:val="000000" w:themeColor="text1"/>
                <w:kern w:val="0"/>
                <w:sz w:val="21"/>
                <w:szCs w:val="21"/>
                <w:lang w:bidi="ar"/>
                <w14:textFill>
                  <w14:solidFill>
                    <w14:schemeClr w14:val="tx1"/>
                  </w14:solidFill>
                </w14:textFill>
              </w:rPr>
              <w:t>支持锁状态侦测信号(门磁)输出：NO/NC/COM接点；</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6.</w:t>
            </w:r>
            <w:r>
              <w:rPr>
                <w:rFonts w:hint="eastAsia" w:ascii="宋体" w:hAnsi="宋体" w:eastAsia="宋体" w:cs="宋体"/>
                <w:color w:val="000000" w:themeColor="text1"/>
                <w:kern w:val="0"/>
                <w:sz w:val="21"/>
                <w:szCs w:val="21"/>
                <w:lang w:bidi="ar"/>
                <w14:textFill>
                  <w14:solidFill>
                    <w14:schemeClr w14:val="tx1"/>
                  </w14:solidFill>
                </w14:textFill>
              </w:rPr>
              <w:t>工作电压：12V/1040mA或24V/520mA；</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7.</w:t>
            </w:r>
            <w:r>
              <w:rPr>
                <w:rFonts w:hint="eastAsia" w:ascii="宋体" w:hAnsi="宋体" w:eastAsia="宋体" w:cs="宋体"/>
                <w:color w:val="000000" w:themeColor="text1"/>
                <w:kern w:val="0"/>
                <w:sz w:val="21"/>
                <w:szCs w:val="21"/>
                <w:lang w:bidi="ar"/>
                <w14:textFill>
                  <w14:solidFill>
                    <w14:schemeClr w14:val="tx1"/>
                  </w14:solidFill>
                </w14:textFill>
              </w:rPr>
              <w:t>锁体尺寸：</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长480</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宽48.8</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厚27.5(mm)；</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8.</w:t>
            </w:r>
            <w:r>
              <w:rPr>
                <w:rFonts w:hint="eastAsia" w:ascii="宋体" w:hAnsi="宋体" w:eastAsia="宋体" w:cs="宋体"/>
                <w:color w:val="000000" w:themeColor="text1"/>
                <w:kern w:val="0"/>
                <w:sz w:val="21"/>
                <w:szCs w:val="21"/>
                <w:lang w:bidi="ar"/>
                <w14:textFill>
                  <w14:solidFill>
                    <w14:schemeClr w14:val="tx1"/>
                  </w14:solidFill>
                </w14:textFill>
              </w:rPr>
              <w:t>吸板尺寸：</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长180</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宽38.8</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高13(mm)；</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9.</w:t>
            </w:r>
            <w:r>
              <w:rPr>
                <w:rFonts w:hint="eastAsia" w:ascii="宋体" w:hAnsi="宋体" w:eastAsia="宋体" w:cs="宋体"/>
                <w:color w:val="000000" w:themeColor="text1"/>
                <w:kern w:val="0"/>
                <w:sz w:val="21"/>
                <w:szCs w:val="21"/>
                <w:lang w:bidi="ar"/>
                <w14:textFill>
                  <w14:solidFill>
                    <w14:schemeClr w14:val="tx1"/>
                  </w14:solidFill>
                </w14:textFill>
              </w:rPr>
              <w:t>使用环境：室内（不防水）；</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10.</w:t>
            </w:r>
            <w:r>
              <w:rPr>
                <w:rFonts w:hint="eastAsia" w:ascii="宋体" w:hAnsi="宋体" w:eastAsia="宋体" w:cs="宋体"/>
                <w:color w:val="000000" w:themeColor="text1"/>
                <w:kern w:val="0"/>
                <w:sz w:val="21"/>
                <w:szCs w:val="21"/>
                <w:lang w:bidi="ar"/>
                <w14:textFill>
                  <w14:solidFill>
                    <w14:schemeClr w14:val="tx1"/>
                  </w14:solidFill>
                </w14:textFill>
              </w:rPr>
              <w:t>适用门型：木门、玻璃门、金属门、防火门</w:t>
            </w:r>
            <w:r>
              <w:rPr>
                <w:rFonts w:hint="eastAsia" w:ascii="宋体" w:hAnsi="宋体" w:eastAsia="宋体" w:cs="宋体"/>
                <w:color w:val="000000" w:themeColor="text1"/>
                <w:kern w:val="0"/>
                <w:sz w:val="21"/>
                <w:szCs w:val="21"/>
                <w:lang w:eastAsia="zh-CN" w:bidi="ar"/>
                <w14:textFill>
                  <w14:solidFill>
                    <w14:schemeClr w14:val="tx1"/>
                  </w14:solidFill>
                </w14:textFill>
              </w:rPr>
              <w:t>。</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个</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345.95</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691.90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29</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双门电子锁支架</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w:t>
            </w:r>
            <w:r>
              <w:rPr>
                <w:rFonts w:hint="eastAsia" w:ascii="宋体" w:hAnsi="宋体" w:eastAsia="宋体" w:cs="宋体"/>
                <w:color w:val="000000" w:themeColor="text1"/>
                <w:kern w:val="0"/>
                <w:sz w:val="21"/>
                <w:szCs w:val="21"/>
                <w:lang w:bidi="ar"/>
                <w14:textFill>
                  <w14:solidFill>
                    <w14:schemeClr w14:val="tx1"/>
                  </w14:solidFill>
                </w14:textFill>
              </w:rPr>
              <w:t>选用材料：高强铝合金，表面喷沙，颜色为氧化银</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w:t>
            </w:r>
            <w:r>
              <w:rPr>
                <w:rFonts w:hint="eastAsia" w:ascii="宋体" w:hAnsi="宋体" w:eastAsia="宋体" w:cs="宋体"/>
                <w:color w:val="000000" w:themeColor="text1"/>
                <w:kern w:val="0"/>
                <w:sz w:val="21"/>
                <w:szCs w:val="21"/>
                <w:lang w:bidi="ar"/>
                <w14:textFill>
                  <w14:solidFill>
                    <w14:schemeClr w14:val="tx1"/>
                  </w14:solidFill>
                </w14:textFill>
              </w:rPr>
              <w:t>外壳处理：阳极硬化电镀处理</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3.</w:t>
            </w:r>
            <w:r>
              <w:rPr>
                <w:rFonts w:hint="eastAsia" w:ascii="宋体" w:hAnsi="宋体" w:eastAsia="宋体" w:cs="宋体"/>
                <w:color w:val="000000" w:themeColor="text1"/>
                <w:kern w:val="0"/>
                <w:sz w:val="21"/>
                <w:szCs w:val="21"/>
                <w:lang w:bidi="ar"/>
                <w14:textFill>
                  <w14:solidFill>
                    <w14:schemeClr w14:val="tx1"/>
                  </w14:solidFill>
                </w14:textFill>
              </w:rPr>
              <w:t>适用门型：木门、金属门</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4.</w:t>
            </w:r>
            <w:r>
              <w:rPr>
                <w:rFonts w:hint="eastAsia" w:ascii="宋体" w:hAnsi="宋体" w:eastAsia="宋体" w:cs="宋体"/>
                <w:color w:val="000000" w:themeColor="text1"/>
                <w:kern w:val="0"/>
                <w:sz w:val="21"/>
                <w:szCs w:val="21"/>
                <w:lang w:bidi="ar"/>
                <w14:textFill>
                  <w14:solidFill>
                    <w14:schemeClr w14:val="tx1"/>
                  </w14:solidFill>
                </w14:textFill>
              </w:rPr>
              <w:t>开门方式：90度内开式门</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cs="宋体"/>
                <w:color w:val="000000" w:themeColor="text1"/>
                <w:kern w:val="0"/>
                <w:sz w:val="21"/>
                <w:szCs w:val="21"/>
                <w:lang w:val="en-US" w:eastAsia="zh-CN" w:bidi="ar"/>
                <w14:textFill>
                  <w14:solidFill>
                    <w14:schemeClr w14:val="tx1"/>
                  </w14:solidFill>
                </w14:textFill>
              </w:rPr>
              <w:t>5</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L型支架尺寸：</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长480</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宽48.8</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厚30.4(mm)</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 w:val="21"/>
                <w:szCs w:val="21"/>
                <w:lang w:val="en-US" w:eastAsia="zh-CN" w:bidi="ar"/>
                <w14:textFill>
                  <w14:solidFill>
                    <w14:schemeClr w14:val="tx1"/>
                  </w14:solidFill>
                </w14:textFill>
              </w:rPr>
              <w:t>6</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Z型支架尺寸：</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长180</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宽50</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厚50(mm)</w:t>
            </w:r>
            <w:r>
              <w:rPr>
                <w:rFonts w:hint="eastAsia" w:ascii="宋体" w:hAnsi="宋体" w:eastAsia="宋体" w:cs="宋体"/>
                <w:color w:val="000000" w:themeColor="text1"/>
                <w:kern w:val="0"/>
                <w:sz w:val="21"/>
                <w:szCs w:val="21"/>
                <w:lang w:eastAsia="zh-CN" w:bidi="ar"/>
                <w14:textFill>
                  <w14:solidFill>
                    <w14:schemeClr w14:val="tx1"/>
                  </w14:solidFill>
                </w14:textFill>
              </w:rPr>
              <w:t>。</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套</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230.00</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460.00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w:t>
            </w:r>
            <w:r>
              <w:rPr>
                <w:rFonts w:hint="eastAsia" w:ascii="宋体" w:hAnsi="宋体" w:eastAsia="宋体" w:cs="宋体"/>
                <w:color w:val="000000" w:themeColor="text1"/>
                <w:kern w:val="0"/>
                <w:sz w:val="21"/>
                <w:szCs w:val="21"/>
                <w:lang w:val="en-US" w:eastAsia="zh-CN" w:bidi="ar"/>
                <w14:textFill>
                  <w14:solidFill>
                    <w14:schemeClr w14:val="tx1"/>
                  </w14:solidFill>
                </w14:textFill>
              </w:rPr>
              <w:t>0</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单门电子锁</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w:t>
            </w:r>
            <w:r>
              <w:rPr>
                <w:rFonts w:hint="eastAsia" w:ascii="宋体" w:hAnsi="宋体" w:eastAsia="宋体" w:cs="宋体"/>
                <w:color w:val="000000" w:themeColor="text1"/>
                <w:kern w:val="0"/>
                <w:sz w:val="21"/>
                <w:szCs w:val="21"/>
                <w:lang w:bidi="ar"/>
                <w14:textFill>
                  <w14:solidFill>
                    <w14:schemeClr w14:val="tx1"/>
                  </w14:solidFill>
                </w14:textFill>
              </w:rPr>
              <w:t>锁体主体颜色为深灰色</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w:t>
            </w:r>
            <w:r>
              <w:rPr>
                <w:rFonts w:hint="eastAsia" w:ascii="宋体" w:hAnsi="宋体" w:eastAsia="宋体" w:cs="宋体"/>
                <w:color w:val="000000" w:themeColor="text1"/>
                <w:kern w:val="0"/>
                <w:sz w:val="21"/>
                <w:szCs w:val="21"/>
                <w:lang w:bidi="ar"/>
                <w14:textFill>
                  <w14:solidFill>
                    <w14:schemeClr w14:val="tx1"/>
                  </w14:solidFill>
                </w14:textFill>
              </w:rPr>
              <w:t>最大静态直线拉力：280kg±15%</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3.</w:t>
            </w:r>
            <w:r>
              <w:rPr>
                <w:rFonts w:hint="eastAsia" w:ascii="宋体" w:hAnsi="宋体" w:eastAsia="宋体" w:cs="宋体"/>
                <w:color w:val="000000" w:themeColor="text1"/>
                <w:kern w:val="0"/>
                <w:sz w:val="21"/>
                <w:szCs w:val="21"/>
                <w:lang w:bidi="ar"/>
                <w14:textFill>
                  <w14:solidFill>
                    <w14:schemeClr w14:val="tx1"/>
                  </w14:solidFill>
                </w14:textFill>
              </w:rPr>
              <w:t>断电开锁，满足消防要求；</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4.</w:t>
            </w:r>
            <w:r>
              <w:rPr>
                <w:rFonts w:hint="eastAsia" w:ascii="宋体" w:hAnsi="宋体" w:eastAsia="宋体" w:cs="宋体"/>
                <w:color w:val="000000" w:themeColor="text1"/>
                <w:kern w:val="0"/>
                <w:sz w:val="21"/>
                <w:szCs w:val="21"/>
                <w:lang w:bidi="ar"/>
                <w14:textFill>
                  <w14:solidFill>
                    <w14:schemeClr w14:val="tx1"/>
                  </w14:solidFill>
                </w14:textFill>
              </w:rPr>
              <w:t>具有电锁状态指示灯（红灯为开锁状态，绿灯为上锁状态）；</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5.</w:t>
            </w:r>
            <w:r>
              <w:rPr>
                <w:rFonts w:hint="eastAsia" w:ascii="宋体" w:hAnsi="宋体" w:eastAsia="宋体" w:cs="宋体"/>
                <w:color w:val="000000" w:themeColor="text1"/>
                <w:kern w:val="0"/>
                <w:sz w:val="21"/>
                <w:szCs w:val="21"/>
                <w:lang w:bidi="ar"/>
                <w14:textFill>
                  <w14:solidFill>
                    <w14:schemeClr w14:val="tx1"/>
                  </w14:solidFill>
                </w14:textFill>
              </w:rPr>
              <w:t>支持锁状态侦测信号(门磁)输出：NO/NC/COM接点；</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6.</w:t>
            </w:r>
            <w:r>
              <w:rPr>
                <w:rFonts w:hint="eastAsia" w:ascii="宋体" w:hAnsi="宋体" w:eastAsia="宋体" w:cs="宋体"/>
                <w:color w:val="000000" w:themeColor="text1"/>
                <w:kern w:val="0"/>
                <w:sz w:val="21"/>
                <w:szCs w:val="21"/>
                <w:lang w:bidi="ar"/>
                <w14:textFill>
                  <w14:solidFill>
                    <w14:schemeClr w14:val="tx1"/>
                  </w14:solidFill>
                </w14:textFill>
              </w:rPr>
              <w:t>工作电压：12V/420mA或24V/210mA；</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7.</w:t>
            </w:r>
            <w:r>
              <w:rPr>
                <w:rFonts w:hint="eastAsia" w:ascii="宋体" w:hAnsi="宋体" w:eastAsia="宋体" w:cs="宋体"/>
                <w:color w:val="000000" w:themeColor="text1"/>
                <w:kern w:val="0"/>
                <w:sz w:val="21"/>
                <w:szCs w:val="21"/>
                <w:lang w:bidi="ar"/>
                <w14:textFill>
                  <w14:solidFill>
                    <w14:schemeClr w14:val="tx1"/>
                  </w14:solidFill>
                </w14:textFill>
              </w:rPr>
              <w:t>锁体尺寸：</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长238</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宽47</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厚28(mm)；</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8.</w:t>
            </w:r>
            <w:r>
              <w:rPr>
                <w:rFonts w:hint="eastAsia" w:ascii="宋体" w:hAnsi="宋体" w:eastAsia="宋体" w:cs="宋体"/>
                <w:color w:val="000000" w:themeColor="text1"/>
                <w:kern w:val="0"/>
                <w:sz w:val="21"/>
                <w:szCs w:val="21"/>
                <w:lang w:bidi="ar"/>
                <w14:textFill>
                  <w14:solidFill>
                    <w14:schemeClr w14:val="tx1"/>
                  </w14:solidFill>
                </w14:textFill>
              </w:rPr>
              <w:t>吸板尺寸：</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长182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宽38</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高13(mm)；</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9.</w:t>
            </w:r>
            <w:r>
              <w:rPr>
                <w:rFonts w:hint="eastAsia" w:ascii="宋体" w:hAnsi="宋体" w:eastAsia="宋体" w:cs="宋体"/>
                <w:color w:val="000000" w:themeColor="text1"/>
                <w:kern w:val="0"/>
                <w:sz w:val="21"/>
                <w:szCs w:val="21"/>
                <w:lang w:bidi="ar"/>
                <w14:textFill>
                  <w14:solidFill>
                    <w14:schemeClr w14:val="tx1"/>
                  </w14:solidFill>
                </w14:textFill>
              </w:rPr>
              <w:t>使用环境：室内（不防水）；</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10.</w:t>
            </w:r>
            <w:r>
              <w:rPr>
                <w:rFonts w:hint="eastAsia" w:ascii="宋体" w:hAnsi="宋体" w:eastAsia="宋体" w:cs="宋体"/>
                <w:color w:val="000000" w:themeColor="text1"/>
                <w:kern w:val="0"/>
                <w:sz w:val="21"/>
                <w:szCs w:val="21"/>
                <w:lang w:bidi="ar"/>
                <w14:textFill>
                  <w14:solidFill>
                    <w14:schemeClr w14:val="tx1"/>
                  </w14:solidFill>
                </w14:textFill>
              </w:rPr>
              <w:t>适用门型：木门、玻璃门、金属门、防火门。</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个</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108.00</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216.00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w:t>
            </w:r>
            <w:r>
              <w:rPr>
                <w:rFonts w:hint="eastAsia" w:ascii="宋体" w:hAnsi="宋体" w:eastAsia="宋体" w:cs="宋体"/>
                <w:color w:val="000000" w:themeColor="text1"/>
                <w:kern w:val="0"/>
                <w:sz w:val="21"/>
                <w:szCs w:val="21"/>
                <w:lang w:val="en-US" w:eastAsia="zh-CN" w:bidi="ar"/>
                <w14:textFill>
                  <w14:solidFill>
                    <w14:schemeClr w14:val="tx1"/>
                  </w14:solidFill>
                </w14:textFill>
              </w:rPr>
              <w:t>1</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单门电子锁支架</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w:t>
            </w:r>
            <w:r>
              <w:rPr>
                <w:rFonts w:hint="eastAsia" w:ascii="宋体" w:hAnsi="宋体" w:eastAsia="宋体" w:cs="宋体"/>
                <w:color w:val="000000" w:themeColor="text1"/>
                <w:kern w:val="0"/>
                <w:sz w:val="21"/>
                <w:szCs w:val="21"/>
                <w:lang w:bidi="ar"/>
                <w14:textFill>
                  <w14:solidFill>
                    <w14:schemeClr w14:val="tx1"/>
                  </w14:solidFill>
                </w14:textFill>
              </w:rPr>
              <w:t>选用材料：高强铝合金，表面喷沙，颜色为氧化银</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w:t>
            </w:r>
            <w:r>
              <w:rPr>
                <w:rFonts w:hint="eastAsia" w:ascii="宋体" w:hAnsi="宋体" w:eastAsia="宋体" w:cs="宋体"/>
                <w:color w:val="000000" w:themeColor="text1"/>
                <w:kern w:val="0"/>
                <w:sz w:val="21"/>
                <w:szCs w:val="21"/>
                <w:lang w:bidi="ar"/>
                <w14:textFill>
                  <w14:solidFill>
                    <w14:schemeClr w14:val="tx1"/>
                  </w14:solidFill>
                </w14:textFill>
              </w:rPr>
              <w:t>外壳处理：阳极硬化电镀处理</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3.</w:t>
            </w:r>
            <w:r>
              <w:rPr>
                <w:rFonts w:hint="eastAsia" w:ascii="宋体" w:hAnsi="宋体" w:eastAsia="宋体" w:cs="宋体"/>
                <w:color w:val="000000" w:themeColor="text1"/>
                <w:kern w:val="0"/>
                <w:sz w:val="21"/>
                <w:szCs w:val="21"/>
                <w:lang w:bidi="ar"/>
                <w14:textFill>
                  <w14:solidFill>
                    <w14:schemeClr w14:val="tx1"/>
                  </w14:solidFill>
                </w14:textFill>
              </w:rPr>
              <w:t>适用门型：木门、金属门</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4.</w:t>
            </w:r>
            <w:r>
              <w:rPr>
                <w:rFonts w:hint="eastAsia" w:ascii="宋体" w:hAnsi="宋体" w:eastAsia="宋体" w:cs="宋体"/>
                <w:color w:val="000000" w:themeColor="text1"/>
                <w:kern w:val="0"/>
                <w:sz w:val="21"/>
                <w:szCs w:val="21"/>
                <w:lang w:bidi="ar"/>
                <w14:textFill>
                  <w14:solidFill>
                    <w14:schemeClr w14:val="tx1"/>
                  </w14:solidFill>
                </w14:textFill>
              </w:rPr>
              <w:t>开门方式：90度内开式门</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cs="宋体"/>
                <w:color w:val="000000" w:themeColor="text1"/>
                <w:kern w:val="0"/>
                <w:sz w:val="21"/>
                <w:szCs w:val="21"/>
                <w:lang w:val="en-US" w:eastAsia="zh-CN" w:bidi="ar"/>
                <w14:textFill>
                  <w14:solidFill>
                    <w14:schemeClr w14:val="tx1"/>
                  </w14:solidFill>
                </w14:textFill>
              </w:rPr>
              <w:t>5</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L型支架尺寸：</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长480</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宽48.8</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厚30.4(mm)</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 w:val="21"/>
                <w:szCs w:val="21"/>
                <w:lang w:val="en-US" w:eastAsia="zh-CN" w:bidi="ar"/>
                <w14:textFill>
                  <w14:solidFill>
                    <w14:schemeClr w14:val="tx1"/>
                  </w14:solidFill>
                </w14:textFill>
              </w:rPr>
              <w:t>6</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Z型支架尺寸：</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长180</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宽50</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厚50(mm)</w:t>
            </w:r>
            <w:r>
              <w:rPr>
                <w:rFonts w:hint="eastAsia" w:ascii="宋体" w:hAnsi="宋体" w:eastAsia="宋体" w:cs="宋体"/>
                <w:color w:val="000000" w:themeColor="text1"/>
                <w:kern w:val="0"/>
                <w:sz w:val="21"/>
                <w:szCs w:val="21"/>
                <w:lang w:eastAsia="zh-CN" w:bidi="ar"/>
                <w14:textFill>
                  <w14:solidFill>
                    <w14:schemeClr w14:val="tx1"/>
                  </w14:solidFill>
                </w14:textFill>
              </w:rPr>
              <w:t>。</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套</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104.20</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208.40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w:t>
            </w:r>
            <w:r>
              <w:rPr>
                <w:rFonts w:hint="eastAsia" w:ascii="宋体" w:hAnsi="宋体" w:eastAsia="宋体" w:cs="宋体"/>
                <w:color w:val="000000" w:themeColor="text1"/>
                <w:kern w:val="0"/>
                <w:sz w:val="21"/>
                <w:szCs w:val="21"/>
                <w:lang w:val="en-US" w:eastAsia="zh-CN" w:bidi="ar"/>
                <w14:textFill>
                  <w14:solidFill>
                    <w14:schemeClr w14:val="tx1"/>
                  </w14:solidFill>
                </w14:textFill>
              </w:rPr>
              <w:t>2</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控制终端</w:t>
            </w:r>
          </w:p>
        </w:tc>
        <w:tc>
          <w:tcPr>
            <w:tcW w:w="5309" w:type="dxa"/>
            <w:noWrap/>
            <w:vAlign w:val="center"/>
          </w:tcPr>
          <w:p>
            <w:pPr>
              <w:pStyle w:val="9"/>
              <w:jc w:val="left"/>
              <w:rPr>
                <w:rFonts w:hint="default" w:ascii="宋体" w:hAnsi="宋体" w:eastAsia="宋体" w:cs="宋体"/>
                <w:b/>
                <w:bCs/>
                <w:szCs w:val="21"/>
                <w:lang w:val="en-US" w:eastAsia="zh-CN"/>
              </w:rPr>
            </w:pPr>
            <w:r>
              <w:rPr>
                <w:rFonts w:hint="eastAsia" w:ascii="宋体" w:hAnsi="宋体" w:cs="宋体"/>
                <w:b/>
                <w:bCs/>
                <w:szCs w:val="21"/>
                <w:lang w:val="en-US" w:eastAsia="zh-CN"/>
              </w:rPr>
              <w:t>注：以下指标均为实质性需求</w:t>
            </w:r>
          </w:p>
          <w:p>
            <w:pPr>
              <w:pStyle w:val="9"/>
              <w:jc w:val="left"/>
              <w:rPr>
                <w:rFonts w:hint="eastAsia" w:ascii="宋体" w:hAnsi="宋体" w:eastAsia="宋体" w:cs="宋体"/>
                <w:szCs w:val="21"/>
              </w:rPr>
            </w:pPr>
            <w:r>
              <w:rPr>
                <w:rFonts w:hint="eastAsia" w:ascii="宋体" w:hAnsi="宋体" w:eastAsia="宋体" w:cs="宋体"/>
                <w:b w:val="0"/>
                <w:bCs w:val="0"/>
                <w:szCs w:val="21"/>
              </w:rPr>
              <w:t>1</w:t>
            </w:r>
            <w:r>
              <w:rPr>
                <w:rFonts w:hint="eastAsia" w:ascii="宋体" w:hAnsi="宋体" w:eastAsia="宋体" w:cs="宋体"/>
                <w:b w:val="0"/>
                <w:bCs w:val="0"/>
                <w:szCs w:val="21"/>
                <w:lang w:val="en-US" w:eastAsia="zh-CN"/>
              </w:rPr>
              <w:t>.</w:t>
            </w:r>
            <w:r>
              <w:rPr>
                <w:rFonts w:hint="eastAsia" w:ascii="宋体" w:hAnsi="宋体" w:eastAsia="宋体" w:cs="宋体"/>
                <w:b/>
                <w:bCs/>
                <w:szCs w:val="21"/>
              </w:rPr>
              <w:t>CPU：</w:t>
            </w:r>
            <w:r>
              <w:rPr>
                <w:rFonts w:hint="eastAsia" w:ascii="宋体" w:hAnsi="宋体" w:eastAsia="宋体" w:cs="宋体"/>
                <w:szCs w:val="21"/>
              </w:rPr>
              <w:t>CPU内核≥8核；主频≥2.3GHz；末级缓存容量≥2MB；支持的内存最高速率≥2666MT/s；</w:t>
            </w:r>
            <w:r>
              <w:rPr>
                <w:rFonts w:hint="eastAsia" w:ascii="宋体" w:hAnsi="宋体" w:eastAsia="宋体" w:cs="宋体"/>
                <w:b/>
                <w:bCs/>
                <w:szCs w:val="21"/>
              </w:rPr>
              <w:t>符合安全可靠测评要求，通过政府有关部门指定的中国信息安全测评中心和国家保密科技测评中心网站查看安全可靠测评结果</w:t>
            </w:r>
            <w:r>
              <w:rPr>
                <w:rFonts w:hint="eastAsia" w:ascii="宋体" w:hAnsi="宋体" w:eastAsia="宋体" w:cs="宋体"/>
                <w:szCs w:val="21"/>
              </w:rPr>
              <w:t>；CPU 芯片应符合 GM/T 0008 的相关规定，或芯片密码模块应符合 GB/T 37092或 GM/T 0028 的相关规定，0008 的相关规定，或芯片密码模块应符合 GB/T 37092或 GM/T 0028 的相关规定，通过商用密码检测机构检</w:t>
            </w:r>
          </w:p>
          <w:p>
            <w:pPr>
              <w:pStyle w:val="9"/>
              <w:jc w:val="left"/>
              <w:rPr>
                <w:rFonts w:hint="eastAsia" w:ascii="宋体" w:hAnsi="宋体" w:eastAsia="宋体" w:cs="宋体"/>
                <w:szCs w:val="21"/>
              </w:rPr>
            </w:pPr>
            <w:r>
              <w:rPr>
                <w:rFonts w:hint="eastAsia" w:ascii="宋体" w:hAnsi="宋体" w:eastAsia="宋体" w:cs="宋体"/>
                <w:szCs w:val="21"/>
              </w:rPr>
              <w:t>测并经商用密码认证机构认证合格。</w:t>
            </w:r>
          </w:p>
          <w:p>
            <w:pPr>
              <w:rPr>
                <w:rFonts w:hint="eastAsia" w:ascii="宋体" w:hAnsi="宋体" w:eastAsia="宋体" w:cs="宋体"/>
                <w:szCs w:val="21"/>
              </w:rPr>
            </w:pPr>
            <w:r>
              <w:rPr>
                <w:rFonts w:hint="eastAsia" w:ascii="宋体" w:hAnsi="宋体" w:eastAsia="宋体" w:cs="宋体"/>
                <w:b w:val="0"/>
                <w:bCs w:val="0"/>
                <w:szCs w:val="21"/>
              </w:rPr>
              <w:t>2</w:t>
            </w:r>
            <w:r>
              <w:rPr>
                <w:rFonts w:hint="eastAsia" w:ascii="宋体" w:hAnsi="宋体" w:eastAsia="宋体" w:cs="宋体"/>
                <w:b w:val="0"/>
                <w:bCs w:val="0"/>
                <w:szCs w:val="21"/>
                <w:lang w:val="en-US" w:eastAsia="zh-CN"/>
              </w:rPr>
              <w:t>.</w:t>
            </w:r>
            <w:r>
              <w:rPr>
                <w:rFonts w:hint="eastAsia" w:ascii="宋体" w:hAnsi="宋体" w:eastAsia="宋体" w:cs="宋体"/>
                <w:b/>
                <w:bCs/>
                <w:szCs w:val="21"/>
              </w:rPr>
              <w:t>内存规格：</w:t>
            </w:r>
            <w:r>
              <w:rPr>
                <w:rFonts w:hint="eastAsia" w:ascii="宋体" w:hAnsi="宋体" w:eastAsia="宋体" w:cs="宋体"/>
                <w:szCs w:val="21"/>
              </w:rPr>
              <w:t>内存类型支持 DDR4/LPDDR4/LPDDR4X及以上内存类型；内存条配置数量（板载内存不涉及）≥1；内存读写速率≥2666MT/s；内存总容量≥8GB；单条内存容量≥4GB。</w:t>
            </w:r>
          </w:p>
          <w:p>
            <w:pPr>
              <w:rPr>
                <w:rFonts w:hint="eastAsia" w:ascii="宋体" w:hAnsi="宋体" w:eastAsia="宋体" w:cs="宋体"/>
                <w:szCs w:val="21"/>
              </w:rPr>
            </w:pPr>
            <w:r>
              <w:rPr>
                <w:rFonts w:hint="eastAsia" w:ascii="宋体" w:hAnsi="宋体" w:eastAsia="宋体" w:cs="宋体"/>
                <w:b w:val="0"/>
                <w:bCs w:val="0"/>
                <w:szCs w:val="21"/>
              </w:rPr>
              <w:t>3</w:t>
            </w:r>
            <w:r>
              <w:rPr>
                <w:rFonts w:hint="eastAsia" w:ascii="宋体" w:hAnsi="宋体" w:eastAsia="宋体" w:cs="宋体"/>
                <w:b w:val="0"/>
                <w:bCs w:val="0"/>
                <w:szCs w:val="21"/>
                <w:lang w:val="en-US" w:eastAsia="zh-CN"/>
              </w:rPr>
              <w:t>.</w:t>
            </w:r>
            <w:r>
              <w:rPr>
                <w:rFonts w:hint="eastAsia" w:ascii="宋体" w:hAnsi="宋体" w:eastAsia="宋体" w:cs="宋体"/>
                <w:b/>
                <w:bCs/>
                <w:szCs w:val="21"/>
              </w:rPr>
              <w:t>主板规格：</w:t>
            </w:r>
            <w:r>
              <w:rPr>
                <w:rFonts w:hint="eastAsia" w:ascii="宋体" w:hAnsi="宋体" w:eastAsia="宋体" w:cs="宋体"/>
                <w:szCs w:val="21"/>
              </w:rPr>
              <w:t>主板集成模块集成资源扩展模块、计算处理模块、音频扩展模块等，主板的互联拓扑可通过处理器或交换电路实现；</w:t>
            </w:r>
            <w:r>
              <w:rPr>
                <w:rFonts w:hint="eastAsia" w:ascii="宋体" w:hAnsi="宋体" w:eastAsia="宋体" w:cs="宋体"/>
                <w:b/>
                <w:bCs/>
                <w:szCs w:val="21"/>
              </w:rPr>
              <w:t>主板支持的 CPU和内存情况：供应商给出主板支持的 CPU 和内存型号和数量情况</w:t>
            </w:r>
            <w:r>
              <w:rPr>
                <w:rFonts w:hint="eastAsia" w:ascii="宋体" w:hAnsi="宋体" w:eastAsia="宋体" w:cs="宋体"/>
                <w:szCs w:val="21"/>
              </w:rPr>
              <w:t>；主板内置PCIe 插槽数量≥2；内存扩展接口(板载内存不涉及)≥2 个；主板 USB支持瞬间过流保护功能；支持防静电保护功能；I/O 接口功能：提供基于标准 USB 接口外设连接功能、基于音频输入输出接口的音频扩展功能、基于 PCIe 接口板卡扩展功能、基于 HDMI 或 VGA 或 Type-C 或 DVI 或 DP等接口外接显示器扩展功能、基于存储接口对产品进行增容功能等，产品I/O 接口，应具备外接标准 USB 设备、显示器、音频设备等内外部设备能力；特殊孔位及接口：接口工作电压 5V，最大过电流应不小于 3A，预留多功能导入装置板卡安装孔位，采用内置方式与主机一体化集成，容量不小于 145mm×125mm×16.5mm （长×宽×高）（±5mm）；主板其他内置接口：</w:t>
            </w:r>
            <w:r>
              <w:rPr>
                <w:rFonts w:hint="eastAsia" w:ascii="宋体" w:hAnsi="宋体" w:eastAsia="宋体" w:cs="宋体"/>
                <w:b/>
                <w:bCs/>
                <w:szCs w:val="21"/>
              </w:rPr>
              <w:t>供应商给出相关 SATA、M.2、USB 接口数量及占用状态</w:t>
            </w:r>
            <w:r>
              <w:rPr>
                <w:rFonts w:hint="eastAsia" w:ascii="宋体" w:hAnsi="宋体" w:eastAsia="宋体" w:cs="宋体"/>
                <w:szCs w:val="21"/>
              </w:rPr>
              <w:t>；单内存插槽最大可支持容量（板载内存不涉及）≥8GB；内存插槽满配时提供的最高内存总容量≥16GB。</w:t>
            </w:r>
          </w:p>
          <w:p>
            <w:pPr>
              <w:rPr>
                <w:rFonts w:hint="eastAsia" w:ascii="宋体" w:hAnsi="宋体" w:eastAsia="宋体" w:cs="宋体"/>
              </w:rPr>
            </w:pPr>
            <w:r>
              <w:rPr>
                <w:rFonts w:hint="eastAsia" w:ascii="宋体" w:hAnsi="宋体" w:eastAsia="宋体" w:cs="宋体"/>
                <w:b w:val="0"/>
                <w:bCs w:val="0"/>
              </w:rPr>
              <w:t>4</w:t>
            </w:r>
            <w:r>
              <w:rPr>
                <w:rFonts w:hint="eastAsia" w:ascii="宋体" w:hAnsi="宋体" w:eastAsia="宋体" w:cs="宋体"/>
                <w:b w:val="0"/>
                <w:bCs w:val="0"/>
                <w:lang w:val="en-US" w:eastAsia="zh-CN"/>
              </w:rPr>
              <w:t>.</w:t>
            </w:r>
            <w:r>
              <w:rPr>
                <w:rFonts w:hint="eastAsia" w:ascii="宋体" w:hAnsi="宋体" w:eastAsia="宋体" w:cs="宋体"/>
                <w:b/>
                <w:bCs/>
              </w:rPr>
              <w:t>存储设备规格：</w:t>
            </w:r>
            <w:r>
              <w:rPr>
                <w:rFonts w:hint="eastAsia" w:ascii="宋体" w:hAnsi="宋体" w:eastAsia="宋体" w:cs="宋体"/>
              </w:rPr>
              <w:t>固态盘数量≥</w:t>
            </w:r>
            <w:r>
              <w:rPr>
                <w:rFonts w:hint="eastAsia" w:ascii="宋体" w:hAnsi="宋体" w:eastAsia="宋体" w:cs="宋体"/>
                <w:szCs w:val="21"/>
              </w:rPr>
              <w:t>1 个；固态存储容量≥512GB；固态存储形态：采用插卡或板载等形态，可选用符合M.2 、2.5 寸 SATA 或 mSATA 等标准的插卡形态</w:t>
            </w:r>
            <w:r>
              <w:rPr>
                <w:rFonts w:hint="eastAsia" w:ascii="宋体" w:hAnsi="宋体" w:eastAsia="宋体" w:cs="宋体"/>
              </w:rPr>
              <w:t>；存储功能存：通过 SATA 固态存储/PCIe 固态存储/UFS 固态存储/SATA 硬磁盘等存储部件提供存储功能；固态存储寿命：TBW ≥ 80TB（条件：240GB 硬盘容量）；固态盘应符合 SJ/T 11654 相关规定，侧面固定螺丝孔数量可为 4 孔或 6 孔，工作状态环境温度应满足 5℃~55℃，其它参数应符合 GB/T 12628 相关规定。</w:t>
            </w:r>
          </w:p>
          <w:p>
            <w:pPr>
              <w:rPr>
                <w:rFonts w:hint="eastAsia" w:ascii="宋体" w:hAnsi="宋体" w:eastAsia="宋体" w:cs="宋体"/>
              </w:rPr>
            </w:pPr>
            <w:r>
              <w:rPr>
                <w:rFonts w:hint="eastAsia" w:ascii="宋体" w:hAnsi="宋体" w:eastAsia="宋体" w:cs="宋体"/>
                <w:b w:val="0"/>
                <w:bCs w:val="0"/>
                <w:lang w:val="en-US" w:eastAsia="zh-CN"/>
              </w:rPr>
              <w:t>5.</w:t>
            </w:r>
            <w:r>
              <w:rPr>
                <w:rFonts w:hint="eastAsia" w:ascii="宋体" w:hAnsi="宋体" w:eastAsia="宋体" w:cs="宋体"/>
                <w:b/>
                <w:bCs/>
              </w:rPr>
              <w:t>显卡规格：</w:t>
            </w:r>
            <w:r>
              <w:rPr>
                <w:rFonts w:hint="eastAsia" w:ascii="宋体" w:hAnsi="宋体" w:eastAsia="宋体" w:cs="宋体"/>
              </w:rPr>
              <w:t>显卡类型：独立显卡；独立显卡显存类</w:t>
            </w:r>
            <w:r>
              <w:rPr>
                <w:rFonts w:hint="eastAsia" w:ascii="宋体" w:hAnsi="宋体" w:eastAsia="宋体" w:cs="宋体"/>
                <w:szCs w:val="21"/>
              </w:rPr>
              <w:t>≥</w:t>
            </w:r>
            <w:r>
              <w:rPr>
                <w:rFonts w:hint="eastAsia" w:ascii="宋体" w:hAnsi="宋体" w:eastAsia="宋体" w:cs="宋体"/>
              </w:rPr>
              <w:t>DDR4型；独立显卡显存位宽≥16 位；独立显卡显存容量≥1GB；独立显卡接口协议支持 PCIe 协议版本大于等于 2.0 或 HT（HyperTransport）协议版本大于等于 3.0 的独立显卡接口协议；显卡显示分辨率≥1920x1080；显卡显示芯片核心频率≥300MHz；显卡显存等效频率≥1000MT/s；显卡可支持多屏同时显示数量≥2块屏且分辨率应不低于 1920×1080；显卡外接显示接口至少支持 VGA、HDMI、DVI、DP、Type-C 中 1 种显示接口，并与显示器接口相匹配。</w:t>
            </w:r>
          </w:p>
          <w:p>
            <w:pPr>
              <w:pStyle w:val="9"/>
              <w:jc w:val="left"/>
              <w:rPr>
                <w:rFonts w:hint="eastAsia" w:ascii="宋体" w:hAnsi="宋体" w:eastAsia="宋体" w:cs="宋体"/>
              </w:rPr>
            </w:pPr>
            <w:r>
              <w:rPr>
                <w:rFonts w:hint="eastAsia" w:ascii="宋体" w:hAnsi="宋体" w:eastAsia="宋体" w:cs="宋体"/>
                <w:b w:val="0"/>
                <w:bCs w:val="0"/>
                <w:lang w:val="en-US" w:eastAsia="zh-CN"/>
              </w:rPr>
              <w:t>6.</w:t>
            </w:r>
            <w:r>
              <w:rPr>
                <w:rFonts w:hint="eastAsia" w:ascii="宋体" w:hAnsi="宋体" w:eastAsia="宋体" w:cs="宋体"/>
                <w:b/>
                <w:bCs/>
              </w:rPr>
              <w:t>显示设备规格：</w:t>
            </w:r>
            <w:r>
              <w:rPr>
                <w:rFonts w:hint="eastAsia" w:ascii="宋体" w:hAnsi="宋体" w:eastAsia="宋体" w:cs="宋体"/>
              </w:rPr>
              <w:t>显示屏屏占比≥80%；显示屏分辨率≥1920x1080；显示屏尺寸≥23 英寸；显示屏屏幕比例：16:9/16:10 等；显示器外观颜色：黑色/银色等商务色系；显示屏支持防蓝光模式，蓝光加权辐射亮度比应≤0.0012W/（·cd·sr）（瓦每坎特拉每球面度）可参照 SJ/T11841.2.2-2022标准；显示屏应支持低频闪≤-35dB；显示屏镜面反射率≤10%；显示屏刷新率≥75Hz；显示屏位深≥8 位；显示屏色域≥99% sRGB；显示屏色准△E ≤ 4；显示屏响应时间≤8ms；显示屏亮度≥250 尼特；显示屏亮度一致性≥70%；显示屏对比度≥500：1；显示器接口应与显卡外接显示接口匹配；显示器应提供显示器支架；显示器参数调节：提供 OSD 选单按钮用于调节色彩、模式等，支持色温、亮度、对比度调节；；显示屏其他参数应符合 SJ/T 11292 的相关规定。</w:t>
            </w:r>
          </w:p>
          <w:p>
            <w:pPr>
              <w:rPr>
                <w:rFonts w:hint="eastAsia" w:ascii="宋体" w:hAnsi="宋体" w:eastAsia="宋体" w:cs="宋体"/>
              </w:rPr>
            </w:pPr>
            <w:r>
              <w:rPr>
                <w:rFonts w:hint="eastAsia" w:ascii="宋体" w:hAnsi="宋体" w:eastAsia="宋体" w:cs="宋体"/>
                <w:b w:val="0"/>
                <w:bCs w:val="0"/>
                <w:lang w:val="en-US" w:eastAsia="zh-CN"/>
              </w:rPr>
              <w:t>7.</w:t>
            </w:r>
            <w:r>
              <w:rPr>
                <w:rFonts w:hint="eastAsia" w:ascii="宋体" w:hAnsi="宋体" w:eastAsia="宋体" w:cs="宋体"/>
                <w:b/>
                <w:bCs/>
              </w:rPr>
              <w:t>外设规格：</w:t>
            </w:r>
            <w:r>
              <w:rPr>
                <w:rFonts w:hint="eastAsia" w:ascii="宋体" w:hAnsi="宋体" w:eastAsia="宋体" w:cs="宋体"/>
              </w:rPr>
              <w:t>鼠标数量≥1 个（有线或无线）；键盘数量≥1 个（有线或无线）；键盘按键数目不低于104键；键盘键程：2.3mm ~ 4.0mm；键盘按键压力应在 0.54 N±0.14N；有线键盘连接线≥1.5 米；键盘颜色：黑色/银色等商务色系；鼠标 DPI分辨率≥（800~1600）；鼠标颜色：黑色/银色等商务色系；鼠标其他要求应符合 GB/T 26245 的相关规定；键盘按键寿命≥1000万次；鼠标按键寿命≥500 万次；键盘鼠标线材寿命键盘鼠标所用线材经±60°弯折不低于3000次，功能、外观完好；风扇寿命≥4 万小时。</w:t>
            </w:r>
          </w:p>
          <w:p>
            <w:pPr>
              <w:rPr>
                <w:rFonts w:hint="eastAsia" w:ascii="宋体" w:hAnsi="宋体" w:eastAsia="宋体" w:cs="宋体"/>
              </w:rPr>
            </w:pPr>
            <w:r>
              <w:rPr>
                <w:rFonts w:hint="eastAsia" w:ascii="宋体" w:hAnsi="宋体" w:eastAsia="宋体" w:cs="宋体"/>
                <w:b w:val="0"/>
                <w:bCs w:val="0"/>
                <w:lang w:val="en-US" w:eastAsia="zh-CN"/>
              </w:rPr>
              <w:t>8.</w:t>
            </w:r>
            <w:r>
              <w:rPr>
                <w:rFonts w:hint="eastAsia" w:ascii="宋体" w:hAnsi="宋体" w:eastAsia="宋体" w:cs="宋体"/>
                <w:b/>
                <w:bCs/>
              </w:rPr>
              <w:t>网络设备规格：</w:t>
            </w:r>
            <w:r>
              <w:rPr>
                <w:rFonts w:hint="eastAsia" w:ascii="宋体" w:hAnsi="宋体" w:eastAsia="宋体" w:cs="宋体"/>
              </w:rPr>
              <w:t>有线网卡数量≥1；有线网卡速率：最高速率应不低于 1000Mbps，应支持10Mbps、100Mbps、1000Mbps 速率自适应；支持网络连接、网络开启/关闭功能；支持访问网络和数据交换功能；支持数据传输能力，并提供数据流量和异常日志记录功能；支持 RJ45 接口≥1；支持物理拆装，包括无线网卡和蓝牙模块等。</w:t>
            </w:r>
          </w:p>
          <w:p>
            <w:pPr>
              <w:rPr>
                <w:rFonts w:hint="eastAsia" w:ascii="宋体" w:hAnsi="宋体" w:eastAsia="宋体" w:cs="宋体"/>
              </w:rPr>
            </w:pPr>
            <w:r>
              <w:rPr>
                <w:rFonts w:hint="eastAsia" w:ascii="宋体" w:hAnsi="宋体" w:eastAsia="宋体" w:cs="宋体"/>
                <w:b w:val="0"/>
                <w:bCs w:val="0"/>
                <w:lang w:val="en-US" w:eastAsia="zh-CN"/>
              </w:rPr>
              <w:t>9.</w:t>
            </w:r>
            <w:r>
              <w:rPr>
                <w:rFonts w:hint="eastAsia" w:ascii="宋体" w:hAnsi="宋体" w:eastAsia="宋体" w:cs="宋体"/>
                <w:b/>
                <w:bCs/>
              </w:rPr>
              <w:t>外部接口规格：</w:t>
            </w:r>
            <w:r>
              <w:rPr>
                <w:rFonts w:hint="eastAsia" w:ascii="宋体" w:hAnsi="宋体" w:eastAsia="宋体" w:cs="宋体"/>
              </w:rPr>
              <w:t>USB 接口数量机箱前面板应提供不少于3个USB 接口（含2个USB3.0 及以上接口）；视频接口数量≥1，视频接口类型至少支持 VGA、HDMI、DVI、DP、Type-C中 1 种显示接口，若提供 HDMI 或 DP或 Type-C作为显示接口，应支持音频和视频同步输出；音频接口数量≥1，音频接口类型支持 3.5mm孔径3段式或4段式接口。</w:t>
            </w:r>
          </w:p>
          <w:p>
            <w:pPr>
              <w:rPr>
                <w:rFonts w:hint="eastAsia" w:ascii="宋体" w:hAnsi="宋体" w:eastAsia="宋体" w:cs="宋体"/>
              </w:rPr>
            </w:pPr>
            <w:r>
              <w:rPr>
                <w:rFonts w:hint="eastAsia" w:ascii="宋体" w:hAnsi="宋体" w:eastAsia="宋体" w:cs="宋体"/>
                <w:b w:val="0"/>
                <w:bCs w:val="0"/>
                <w:lang w:val="en-US" w:eastAsia="zh-CN"/>
              </w:rPr>
              <w:t>10.</w:t>
            </w:r>
            <w:r>
              <w:rPr>
                <w:rFonts w:hint="eastAsia" w:ascii="宋体" w:hAnsi="宋体" w:eastAsia="宋体" w:cs="宋体"/>
                <w:b/>
                <w:bCs/>
              </w:rPr>
              <w:t>整机基础规格：整机外观：</w:t>
            </w:r>
            <w:r>
              <w:rPr>
                <w:rFonts w:hint="eastAsia" w:ascii="宋体" w:hAnsi="宋体" w:eastAsia="宋体" w:cs="宋体"/>
              </w:rPr>
              <w:t>产品表面不应有凹痕、划伤、裂缝、变形和污染等。表面涂层均匀，不应起泡、龟裂、脱落和磨损，金属零部件无锈蚀及其它机械损伤；产品表面说明功能的文字、符号、标志，应清晰、端正、牢固；</w:t>
            </w:r>
            <w:r>
              <w:rPr>
                <w:rFonts w:hint="eastAsia" w:ascii="宋体" w:hAnsi="宋体" w:eastAsia="宋体" w:cs="宋体"/>
                <w:b/>
                <w:bCs/>
              </w:rPr>
              <w:t>状态指示灯：</w:t>
            </w:r>
            <w:r>
              <w:rPr>
                <w:rFonts w:hint="eastAsia" w:ascii="宋体" w:hAnsi="宋体" w:eastAsia="宋体" w:cs="宋体"/>
              </w:rPr>
              <w:t>在产品显著位置提供状态指示功能，如运行状态，并由供应商提供详细参数；</w:t>
            </w:r>
            <w:r>
              <w:rPr>
                <w:rFonts w:hint="eastAsia" w:ascii="宋体" w:hAnsi="宋体" w:eastAsia="宋体" w:cs="宋体"/>
                <w:b/>
                <w:bCs/>
              </w:rPr>
              <w:t>整机结构：</w:t>
            </w:r>
            <w:r>
              <w:rPr>
                <w:rFonts w:hint="eastAsia" w:ascii="宋体" w:hAnsi="宋体" w:eastAsia="宋体" w:cs="宋体"/>
              </w:rPr>
              <w:t>a) 机箱应符合 GB/T 4208、GB/T 26246标准的相关规定；b) 产品内部结构应符合通用部件的安装需求；c) 所有输入输出接口应符合相关国家或行业标准；d) 产品零部件应紧固无松动，可插拔部件应可靠连接，开关、按钮和其它控制部件应灵活可靠，布局应方便使用；e) 所有 I/O 连接器及需插接线缆的部位应预留采购人操作空间，方便插拔解锁与插拔线缆；f) 可插拔板卡插槽部位应预留安装、拆卸或更换板卡空间；g) 拆装可能接触到的金属剪口或金属尖角部位应做防划伤处理，以保证安全；h) 整机内部走线应规整，固线结构和位置要合理可靠并做防割线处理，需便于理线和插拔操作，走线应不影响系统各主要部件组装和拆卸；i) 如需通过孔走线，过线孔应做防割线处理；j) 各插头位置和插拔方向应合理，应做到插拔无障碍设计，具备防呆设计，有效避免误操作；k) 各主要部件拆装无障碍，使用常规工具拆装，无特殊拆装工具需求；l) 各主要部件拆装步骤要少，各自拆装需避免相互干扰；m) 对于整机或零部件外表面为高亮面的，应粘贴保护膜，保护膜需粘贴牢固，运输、组装等过程不易脱落，撕下无残留；机箱应符合 GB/T 4208 中 IP20 防护要求；产品工作在空闲状态下，产品的声功率级应不超过 4.5 Bel；</w:t>
            </w:r>
            <w:r>
              <w:rPr>
                <w:rFonts w:hint="eastAsia" w:ascii="宋体" w:hAnsi="宋体" w:eastAsia="宋体" w:cs="宋体"/>
                <w:b/>
                <w:bCs/>
              </w:rPr>
              <w:t>整机散热在环境温度 25℃及处理器满载情况下，产品表面温度应符合如下要求：</w:t>
            </w:r>
            <w:r>
              <w:rPr>
                <w:rFonts w:hint="eastAsia" w:ascii="宋体" w:hAnsi="宋体" w:eastAsia="宋体" w:cs="宋体"/>
              </w:rPr>
              <w:t>a) 出风口在机箱后面板情况下，出风口温度不高于55℃；b) 可触及面温度不高于45℃；c) 显示器表面温度：显示屏不高于38℃，显示屏上下灯带位置温度（如涉及）不高于40℃，出风口温度不高于45℃；产品能效限定值应达到GB 28380-2012标准中能效等级 2 级及以上；机身材质：塑料/金属等；机身颜色：灰色/黑色等商务色系；机箱尺寸容量：机箱体积应不大于 30L；</w:t>
            </w:r>
          </w:p>
          <w:p>
            <w:pPr>
              <w:rPr>
                <w:rFonts w:hint="eastAsia" w:ascii="宋体" w:hAnsi="宋体" w:eastAsia="宋体" w:cs="宋体"/>
              </w:rPr>
            </w:pPr>
            <w:r>
              <w:rPr>
                <w:rFonts w:hint="eastAsia" w:ascii="宋体" w:hAnsi="宋体" w:eastAsia="宋体" w:cs="宋体"/>
                <w:b w:val="0"/>
                <w:bCs w:val="0"/>
                <w:lang w:val="en-US" w:eastAsia="zh-CN"/>
              </w:rPr>
              <w:t>11.</w:t>
            </w:r>
            <w:r>
              <w:rPr>
                <w:rFonts w:hint="eastAsia" w:ascii="宋体" w:hAnsi="宋体" w:eastAsia="宋体" w:cs="宋体"/>
                <w:b/>
                <w:bCs/>
              </w:rPr>
              <w:t>电源：</w:t>
            </w:r>
            <w:r>
              <w:rPr>
                <w:rFonts w:hint="eastAsia" w:ascii="宋体" w:hAnsi="宋体" w:eastAsia="宋体" w:cs="宋体"/>
              </w:rPr>
              <w:t>功率≥200W；电源适配器电线组件应符合GB/T15934的要求，可拆线的插头和连接器可以不做要求。</w:t>
            </w:r>
          </w:p>
          <w:p>
            <w:pPr>
              <w:rPr>
                <w:rFonts w:hint="eastAsia" w:ascii="宋体" w:hAnsi="宋体" w:eastAsia="宋体" w:cs="宋体"/>
              </w:rPr>
            </w:pPr>
            <w:r>
              <w:rPr>
                <w:rFonts w:hint="eastAsia" w:ascii="宋体" w:hAnsi="宋体" w:eastAsia="宋体" w:cs="宋体"/>
                <w:lang w:val="en-US" w:eastAsia="zh-CN"/>
              </w:rPr>
              <w:t>12.</w:t>
            </w:r>
            <w:r>
              <w:rPr>
                <w:rFonts w:hint="eastAsia" w:ascii="宋体" w:hAnsi="宋体" w:eastAsia="宋体" w:cs="宋体"/>
                <w:b/>
                <w:bCs/>
              </w:rPr>
              <w:t>操作系统及软件功能：提供的操作系统应符合安全可靠测评要求，通过政府有关部门指定的中国信息安全测评中心和国家保密科技测评中心网站查看安全可靠测评结果；预装的操作系统符合《操作系统政府采购需求标准》中加*指标要求。</w:t>
            </w:r>
            <w:r>
              <w:rPr>
                <w:rFonts w:hint="eastAsia" w:ascii="宋体" w:hAnsi="宋体" w:eastAsia="宋体" w:cs="宋体"/>
              </w:rPr>
              <w:t>中文信息处理要求符合 GB 18030 的相关规定；支持操作系统备份及还原功能；支持备份及还原固件的功能；操作系统及驱动升级支持通过网络、闪存盘等方式对操作系统、驱动进行升级；固件升级支持通过网络、闪存盘等方式对固件进行升级；支持 BIOS 关闭以太网及 USB 接口；支持查看固件版本、内存信息、主板信息、处理器信息和系统时间信息等功能；支持设置启动顺序功能，并按照设置的启动顺序启动；支持设置口令、修改口令、验证口令功能；支持网络引导启动和关闭功能。</w:t>
            </w:r>
          </w:p>
          <w:p>
            <w:pPr>
              <w:rPr>
                <w:rFonts w:hint="eastAsia" w:ascii="宋体" w:hAnsi="宋体" w:eastAsia="宋体" w:cs="宋体"/>
              </w:rPr>
            </w:pPr>
            <w:r>
              <w:rPr>
                <w:rFonts w:hint="eastAsia" w:ascii="宋体" w:hAnsi="宋体" w:eastAsia="宋体" w:cs="宋体"/>
                <w:b w:val="0"/>
                <w:bCs w:val="0"/>
                <w:lang w:val="en-US" w:eastAsia="zh-CN"/>
              </w:rPr>
              <w:t>13.</w:t>
            </w:r>
            <w:r>
              <w:rPr>
                <w:rFonts w:hint="eastAsia" w:ascii="宋体" w:hAnsi="宋体" w:eastAsia="宋体" w:cs="宋体"/>
                <w:b/>
                <w:bCs/>
              </w:rPr>
              <w:t>服务要求：</w:t>
            </w:r>
            <w:r>
              <w:rPr>
                <w:rFonts w:hint="eastAsia" w:ascii="宋体" w:hAnsi="宋体" w:eastAsia="宋体" w:cs="宋体"/>
              </w:rPr>
              <w:t>配置检查工具：供应商提供自检测试工具；</w:t>
            </w:r>
            <w:r>
              <w:rPr>
                <w:rFonts w:hint="eastAsia" w:ascii="宋体" w:hAnsi="宋体" w:eastAsia="宋体" w:cs="宋体"/>
                <w:b/>
                <w:bCs/>
              </w:rPr>
              <w:t>服务响应：</w:t>
            </w:r>
            <w:r>
              <w:rPr>
                <w:rFonts w:hint="eastAsia" w:ascii="宋体" w:hAnsi="宋体" w:eastAsia="宋体" w:cs="宋体"/>
              </w:rPr>
              <w:t>a)供应商提供电话、电子邮件、远程连接等多种形式服务；b)供应商提供同城 4h、异地 12h 技术响应服务，2 个工作日解决问题，对于未能解决的问题和故障应提供可行的升级方案，并提供周转设备或更换设备；c)建立全国技术服务体系和服务团体，符合专业服务体系标准要求，提供原厂中文服务；</w:t>
            </w:r>
            <w:r>
              <w:rPr>
                <w:rFonts w:hint="eastAsia" w:ascii="宋体" w:hAnsi="宋体" w:eastAsia="宋体" w:cs="宋体"/>
                <w:b/>
                <w:bCs/>
              </w:rPr>
              <w:t>服务周期：</w:t>
            </w:r>
            <w:r>
              <w:rPr>
                <w:rFonts w:hint="eastAsia" w:ascii="宋体" w:hAnsi="宋体" w:eastAsia="宋体" w:cs="宋体"/>
              </w:rPr>
              <w:t>a) 设备停产后应继续提供质量保障服务（含备品备件），服务终止时间与最后一批设备交付时间间隔不低于6 年；b) 产品停止服务时间应提前 1 年告知；c) 应明确产品发布日期；d)服务周期内提供产品的维修、换件和升级服务；培训服务：供应商提供培训材料、产品手册、培训视频等培训相关内容；典型问题解决手册：供应商提供典型问题解决说明文档或视频；厂家升级软件与扩容服务：供应商提供上门升级部件/软件与扩容的增值服务；厂家升级软件与扩容服务：供应商提供上门升级部件/软件与扩容的增值服务；整机质量服务要求：</w:t>
            </w:r>
            <w:r>
              <w:rPr>
                <w:rFonts w:hint="eastAsia" w:ascii="宋体" w:hAnsi="宋体" w:eastAsia="宋体" w:cs="宋体"/>
                <w:b/>
                <w:bCs/>
              </w:rPr>
              <w:t>免费服务周期（含换件和维修）≥3年</w:t>
            </w:r>
            <w:r>
              <w:rPr>
                <w:rFonts w:hint="eastAsia" w:ascii="宋体" w:hAnsi="宋体" w:eastAsia="宋体" w:cs="宋体"/>
              </w:rPr>
              <w:t>；供应商提供产品合格证；供应商提供开箱组装/使用指导；供应商提供驱动光盘或下载方式；供应商提供兼容适配软件下载渠道（光盘、网站）；供应商保障产品主要部件，提供</w:t>
            </w:r>
            <w:r>
              <w:rPr>
                <w:rFonts w:hint="eastAsia" w:ascii="宋体" w:hAnsi="宋体" w:eastAsia="宋体" w:cs="宋体"/>
                <w:b/>
                <w:bCs/>
              </w:rPr>
              <w:t>≥</w:t>
            </w:r>
            <w:r>
              <w:rPr>
                <w:rFonts w:hint="eastAsia" w:ascii="宋体" w:hAnsi="宋体" w:eastAsia="宋体" w:cs="宋体"/>
              </w:rPr>
              <w:t>6年的备件服务能力（自购买之日起），或提供可兼容原设备的升级换代产品；当产品部件出现供应风险时，供应商应通知采购人并提供风险应对方案确保产品的服务保障；供应商提供供应链稳定承诺书，确保产品的部件在产品服务周期内稳定供货。</w:t>
            </w:r>
          </w:p>
          <w:p>
            <w:pPr>
              <w:rPr>
                <w:rFonts w:hint="eastAsia" w:ascii="宋体" w:hAnsi="宋体" w:eastAsia="宋体" w:cs="宋体"/>
              </w:rPr>
            </w:pPr>
            <w:r>
              <w:rPr>
                <w:rFonts w:hint="eastAsia" w:ascii="宋体" w:hAnsi="宋体" w:eastAsia="宋体" w:cs="宋体"/>
              </w:rPr>
              <w:t>14</w:t>
            </w:r>
            <w:r>
              <w:rPr>
                <w:rFonts w:hint="eastAsia" w:ascii="宋体" w:hAnsi="宋体" w:eastAsia="宋体" w:cs="宋体"/>
                <w:lang w:val="en-US" w:eastAsia="zh-CN"/>
              </w:rPr>
              <w:t>.</w:t>
            </w:r>
            <w:r>
              <w:rPr>
                <w:rFonts w:hint="eastAsia" w:ascii="宋体" w:hAnsi="宋体" w:eastAsia="宋体" w:cs="宋体"/>
                <w:b/>
                <w:bCs/>
              </w:rPr>
              <w:t>安全要求：</w:t>
            </w:r>
            <w:r>
              <w:rPr>
                <w:rFonts w:hint="eastAsia" w:ascii="宋体" w:hAnsi="宋体" w:eastAsia="宋体" w:cs="宋体"/>
              </w:rPr>
              <w:t>信息安全基本要求：a) 产品应符合GB/T 39276的5.2的规定；b) 生产厂商应建立漏洞跟踪表，保证产品版本涉及到的漏洞(如驱动程序等)可查看；c) 产品不得包含已知的恶意代码或漏洞，不存在未声明的指令、功能、接口；支持固件安全启动功能，固件启动过程中只有通过启动校验才能正常启动；限用物质的限量要求符合 GB/T 26572 中规定。</w:t>
            </w:r>
          </w:p>
          <w:p>
            <w:pP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rPr>
              <w:t>15</w:t>
            </w:r>
            <w:r>
              <w:rPr>
                <w:rFonts w:hint="eastAsia" w:ascii="宋体" w:hAnsi="宋体" w:eastAsia="宋体" w:cs="宋体"/>
                <w:lang w:val="en-US" w:eastAsia="zh-CN"/>
              </w:rPr>
              <w:t>.</w:t>
            </w:r>
            <w:r>
              <w:rPr>
                <w:rFonts w:hint="eastAsia" w:ascii="宋体" w:hAnsi="宋体" w:eastAsia="宋体" w:cs="宋体"/>
                <w:b/>
                <w:bCs/>
              </w:rPr>
              <w:t>其他要求：</w:t>
            </w:r>
            <w:r>
              <w:rPr>
                <w:rFonts w:hint="eastAsia" w:ascii="宋体" w:hAnsi="宋体" w:eastAsia="宋体" w:cs="宋体"/>
              </w:rPr>
              <w:t>环境条件要求的气候环境适应性、电磁兼容性要求的抗扰度、环境条件要求的振动适、环境条件要求的冲击适应性、环境条件要求的碰撞适应性、环境条件要求的运输包装件跌落适应性应性符合 GB/T 9813.1 中规定；MTBF测试：MTBF(m1)≥3 万小时；常用软件兼容：支持流式软件、版式软件、浏览器、邮件采购人端、解压软件、多媒体、图形图像处理等常用软件；数据库兼容：兼容3个及以上厂商的数据库产品（</w:t>
            </w:r>
            <w:r>
              <w:rPr>
                <w:rFonts w:hint="eastAsia" w:ascii="宋体" w:hAnsi="宋体" w:eastAsia="宋体" w:cs="宋体"/>
                <w:b/>
                <w:bCs/>
              </w:rPr>
              <w:t>供应商出具说明</w:t>
            </w:r>
            <w:r>
              <w:rPr>
                <w:rFonts w:hint="eastAsia" w:ascii="宋体" w:hAnsi="宋体" w:eastAsia="宋体" w:cs="宋体"/>
              </w:rPr>
              <w:t>）；中间件兼容：兼容3个及以上厂商中间件产品（</w:t>
            </w:r>
            <w:r>
              <w:rPr>
                <w:rFonts w:hint="eastAsia" w:ascii="宋体" w:hAnsi="宋体" w:eastAsia="宋体" w:cs="宋体"/>
                <w:b/>
                <w:bCs/>
              </w:rPr>
              <w:t>供应商出具说明</w:t>
            </w:r>
            <w:r>
              <w:rPr>
                <w:rFonts w:hint="eastAsia" w:ascii="宋体" w:hAnsi="宋体" w:eastAsia="宋体" w:cs="宋体"/>
              </w:rPr>
              <w:t>）；平台软件兼容：兼容3个及以上厂商云计算及大数据平台（</w:t>
            </w:r>
            <w:r>
              <w:rPr>
                <w:rFonts w:hint="eastAsia" w:ascii="宋体" w:hAnsi="宋体" w:eastAsia="宋体" w:cs="宋体"/>
                <w:b/>
                <w:bCs/>
              </w:rPr>
              <w:t>供应商出具说明</w:t>
            </w:r>
            <w:r>
              <w:rPr>
                <w:rFonts w:hint="eastAsia" w:ascii="宋体" w:hAnsi="宋体" w:eastAsia="宋体" w:cs="宋体"/>
              </w:rPr>
              <w:t>）；标志、包装、运输和贮存：符合 GB/T 9813.1 和商品包装政府采购需求标准的相关规定。</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w:t>
            </w:r>
            <w:r>
              <w:rPr>
                <w:rFonts w:hint="eastAsia" w:ascii="宋体" w:hAnsi="宋体" w:cs="宋体"/>
                <w:color w:val="000000" w:themeColor="text1"/>
                <w:kern w:val="0"/>
                <w:sz w:val="21"/>
                <w:szCs w:val="21"/>
                <w:lang w:val="en-US" w:eastAsia="zh-CN" w:bidi="ar"/>
                <w14:textFill>
                  <w14:solidFill>
                    <w14:schemeClr w14:val="tx1"/>
                  </w14:solidFill>
                </w14:textFill>
              </w:rPr>
              <w:t>331.94</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bidi="ar"/>
                <w14:textFill>
                  <w14:solidFill>
                    <w14:schemeClr w14:val="tx1"/>
                  </w14:solidFill>
                </w14:textFill>
              </w:rPr>
              <w:t>4331.94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w:t>
            </w:r>
            <w:r>
              <w:rPr>
                <w:rFonts w:hint="eastAsia" w:ascii="宋体" w:hAnsi="宋体" w:eastAsia="宋体" w:cs="宋体"/>
                <w:color w:val="000000" w:themeColor="text1"/>
                <w:kern w:val="0"/>
                <w:sz w:val="21"/>
                <w:szCs w:val="21"/>
                <w:lang w:val="en-US" w:eastAsia="zh-CN" w:bidi="ar"/>
                <w14:textFill>
                  <w14:solidFill>
                    <w14:schemeClr w14:val="tx1"/>
                  </w14:solidFill>
                </w14:textFill>
              </w:rPr>
              <w:t>3</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身份信息识别产品</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3.97英寸触摸显示屏，屏幕分辨率</w:t>
            </w:r>
            <w:r>
              <w:rPr>
                <w:rFonts w:hint="eastAsia" w:ascii="宋体" w:hAnsi="宋体" w:cs="宋体"/>
                <w:color w:val="000000" w:themeColor="text1"/>
                <w:kern w:val="0"/>
                <w:sz w:val="21"/>
                <w:szCs w:val="21"/>
                <w:lang w:val="en-US" w:eastAsia="zh-CN" w:bidi="ar"/>
                <w14:textFill>
                  <w14:solidFill>
                    <w14:schemeClr w14:val="tx1"/>
                  </w14:solidFill>
                </w14:textFill>
              </w:rPr>
              <w:t>不低于</w:t>
            </w:r>
            <w:r>
              <w:rPr>
                <w:rFonts w:hint="eastAsia" w:ascii="宋体" w:hAnsi="宋体" w:eastAsia="宋体" w:cs="宋体"/>
                <w:color w:val="000000" w:themeColor="text1"/>
                <w:kern w:val="0"/>
                <w:sz w:val="21"/>
                <w:szCs w:val="21"/>
                <w:lang w:bidi="ar"/>
                <w14:textFill>
                  <w14:solidFill>
                    <w14:schemeClr w14:val="tx1"/>
                  </w14:solidFill>
                </w14:textFill>
              </w:rPr>
              <w:t>800</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480；</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采用</w:t>
            </w:r>
            <w:r>
              <w:rPr>
                <w:rFonts w:hint="eastAsia" w:ascii="宋体" w:hAnsi="宋体" w:cs="宋体"/>
                <w:color w:val="000000" w:themeColor="text1"/>
                <w:kern w:val="0"/>
                <w:sz w:val="21"/>
                <w:szCs w:val="21"/>
                <w:lang w:val="en-US" w:eastAsia="zh-CN" w:bidi="ar"/>
                <w14:textFill>
                  <w14:solidFill>
                    <w14:schemeClr w14:val="tx1"/>
                  </w14:solidFill>
                </w14:textFill>
              </w:rPr>
              <w:t>不低于</w:t>
            </w:r>
            <w:r>
              <w:rPr>
                <w:rFonts w:hint="eastAsia" w:ascii="宋体" w:hAnsi="宋体" w:eastAsia="宋体" w:cs="宋体"/>
                <w:color w:val="000000" w:themeColor="text1"/>
                <w:kern w:val="0"/>
                <w:sz w:val="21"/>
                <w:szCs w:val="21"/>
                <w:lang w:bidi="ar"/>
                <w14:textFill>
                  <w14:solidFill>
                    <w14:schemeClr w14:val="tx1"/>
                  </w14:solidFill>
                </w14:textFill>
              </w:rPr>
              <w:t>200万</w:t>
            </w:r>
            <w:r>
              <w:rPr>
                <w:rFonts w:hint="eastAsia" w:ascii="宋体" w:hAnsi="宋体" w:cs="宋体"/>
                <w:color w:val="000000" w:themeColor="text1"/>
                <w:kern w:val="0"/>
                <w:sz w:val="21"/>
                <w:szCs w:val="21"/>
                <w:lang w:val="en-US" w:eastAsia="zh-CN" w:bidi="ar"/>
                <w14:textFill>
                  <w14:solidFill>
                    <w14:schemeClr w14:val="tx1"/>
                  </w14:solidFill>
                </w14:textFill>
              </w:rPr>
              <w:t>像素</w:t>
            </w:r>
            <w:r>
              <w:rPr>
                <w:rFonts w:hint="eastAsia" w:ascii="宋体" w:hAnsi="宋体" w:eastAsia="宋体" w:cs="宋体"/>
                <w:color w:val="000000" w:themeColor="text1"/>
                <w:kern w:val="0"/>
                <w:sz w:val="21"/>
                <w:szCs w:val="21"/>
                <w:lang w:bidi="ar"/>
                <w14:textFill>
                  <w14:solidFill>
                    <w14:schemeClr w14:val="tx1"/>
                  </w14:solidFill>
                </w14:textFill>
              </w:rPr>
              <w:t>双目摄像头，有照片视频防假功能；</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支持人脸采集、卡片录入（ID/Mifare/普通CPU/国密CPU卡/二三代身份证序列号）；</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支持有线网络、无线WiFi、USB口通信；</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支持在线采集，通过网络协议或USB口对接到平台，平台进行在线采集，采集信息实时上传；</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工作电压：DC12V/1.5A(自带电源适配器）；</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1979.8</w:t>
            </w:r>
            <w:r>
              <w:rPr>
                <w:rFonts w:hint="eastAsia" w:ascii="宋体" w:hAnsi="宋体" w:eastAsia="宋体" w:cs="宋体"/>
                <w:color w:val="000000" w:themeColor="text1"/>
                <w:kern w:val="0"/>
                <w:sz w:val="21"/>
                <w:szCs w:val="21"/>
                <w:lang w:val="en-US" w:eastAsia="zh-CN" w:bidi="ar"/>
                <w14:textFill>
                  <w14:solidFill>
                    <w14:schemeClr w14:val="tx1"/>
                  </w14:solidFill>
                </w14:textFill>
              </w:rPr>
              <w:t>0</w:t>
            </w:r>
          </w:p>
        </w:tc>
        <w:tc>
          <w:tcPr>
            <w:tcW w:w="1486"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1979.8</w:t>
            </w:r>
            <w:r>
              <w:rPr>
                <w:rFonts w:hint="eastAsia" w:ascii="宋体" w:hAnsi="宋体" w:eastAsia="宋体" w:cs="宋体"/>
                <w:color w:val="000000" w:themeColor="text1"/>
                <w:kern w:val="0"/>
                <w:sz w:val="21"/>
                <w:szCs w:val="21"/>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449" w:type="dxa"/>
            <w:gridSpan w:val="7"/>
            <w:noWrap/>
            <w:vAlign w:val="center"/>
          </w:tcPr>
          <w:p>
            <w:pPr>
              <w:widowControl/>
              <w:jc w:val="left"/>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b/>
                <w:bCs/>
                <w:color w:val="000000" w:themeColor="text1"/>
                <w:kern w:val="0"/>
                <w:sz w:val="21"/>
                <w:szCs w:val="21"/>
                <w:lang w:bidi="ar"/>
                <w14:textFill>
                  <w14:solidFill>
                    <w14:schemeClr w14:val="tx1"/>
                  </w14:solidFill>
                </w14:textFill>
              </w:rPr>
              <w:t>四、会议显示系统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449" w:type="dxa"/>
            <w:gridSpan w:val="7"/>
            <w:noWrap/>
            <w:vAlign w:val="center"/>
          </w:tcPr>
          <w:p>
            <w:pPr>
              <w:widowControl/>
              <w:jc w:val="left"/>
              <w:textAlignment w:val="center"/>
              <w:rPr>
                <w:rFonts w:hint="eastAsia" w:ascii="宋体" w:hAnsi="宋体" w:eastAsia="宋体" w:cs="宋体"/>
                <w:b/>
                <w:bCs/>
                <w:color w:val="000000" w:themeColor="text1"/>
                <w:kern w:val="0"/>
                <w:sz w:val="21"/>
                <w:szCs w:val="21"/>
                <w:lang w:val="en-US" w:eastAsia="zh-CN" w:bidi="ar"/>
                <w14:textFill>
                  <w14:solidFill>
                    <w14:schemeClr w14:val="tx1"/>
                  </w14:solidFill>
                </w14:textFill>
              </w:rPr>
            </w:pPr>
            <w:r>
              <w:rPr>
                <w:rFonts w:hint="eastAsia" w:ascii="宋体" w:hAnsi="宋体" w:eastAsia="宋体" w:cs="宋体"/>
                <w:b/>
                <w:bCs/>
                <w:color w:val="000000" w:themeColor="text1"/>
                <w:kern w:val="0"/>
                <w:sz w:val="21"/>
                <w:szCs w:val="21"/>
                <w:lang w:bidi="ar"/>
                <w14:textFill>
                  <w14:solidFill>
                    <w14:schemeClr w14:val="tx1"/>
                  </w14:solidFill>
                </w14:textFill>
              </w:rPr>
              <w:t>1、会议室一LED显示系统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449" w:type="dxa"/>
            <w:gridSpan w:val="7"/>
            <w:noWrap/>
            <w:vAlign w:val="center"/>
          </w:tcPr>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1.1 主屏体部分（显示屏净尺寸：5.12m</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1.44m=7.37m²）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w:t>
            </w:r>
            <w:r>
              <w:rPr>
                <w:rFonts w:hint="eastAsia" w:ascii="宋体" w:hAnsi="宋体" w:eastAsia="宋体" w:cs="宋体"/>
                <w:color w:val="000000" w:themeColor="text1"/>
                <w:kern w:val="0"/>
                <w:sz w:val="21"/>
                <w:szCs w:val="21"/>
                <w:lang w:val="en-US" w:eastAsia="zh-CN" w:bidi="ar"/>
                <w14:textFill>
                  <w14:solidFill>
                    <w14:schemeClr w14:val="tx1"/>
                  </w14:solidFill>
                </w14:textFill>
              </w:rPr>
              <w:t>4</w:t>
            </w:r>
          </w:p>
        </w:tc>
        <w:tc>
          <w:tcPr>
            <w:tcW w:w="96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LED显示单元</w:t>
            </w:r>
          </w:p>
        </w:tc>
        <w:tc>
          <w:tcPr>
            <w:tcW w:w="5309" w:type="dxa"/>
            <w:noWrap/>
            <w:vAlign w:val="center"/>
          </w:tcPr>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显示屏面积：宽5.12</w:t>
            </w:r>
            <w:r>
              <w:rPr>
                <w:rFonts w:hint="eastAsia" w:ascii="宋体" w:hAnsi="宋体" w:cs="宋体"/>
                <w:color w:val="000000" w:themeColor="text1"/>
                <w:kern w:val="0"/>
                <w:sz w:val="21"/>
                <w:szCs w:val="21"/>
                <w:lang w:val="en-US" w:eastAsia="zh-CN" w:bidi="ar"/>
                <w14:textFill>
                  <w14:solidFill>
                    <w14:schemeClr w14:val="tx1"/>
                  </w14:solidFill>
                </w14:textFill>
              </w:rPr>
              <w:t>m</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高1.44</w:t>
            </w:r>
            <w:r>
              <w:rPr>
                <w:rFonts w:hint="eastAsia" w:ascii="宋体" w:hAnsi="宋体" w:cs="宋体"/>
                <w:color w:val="000000" w:themeColor="text1"/>
                <w:kern w:val="0"/>
                <w:sz w:val="21"/>
                <w:szCs w:val="21"/>
                <w:lang w:val="en-US" w:eastAsia="zh-CN" w:bidi="ar"/>
                <w14:textFill>
                  <w14:solidFill>
                    <w14:schemeClr w14:val="tx1"/>
                  </w14:solidFill>
                </w14:textFill>
              </w:rPr>
              <w:t>m</w:t>
            </w:r>
            <w:r>
              <w:rPr>
                <w:rFonts w:hint="eastAsia" w:ascii="宋体" w:hAnsi="宋体" w:eastAsia="宋体" w:cs="宋体"/>
                <w:color w:val="000000" w:themeColor="text1"/>
                <w:kern w:val="0"/>
                <w:sz w:val="21"/>
                <w:szCs w:val="21"/>
                <w:lang w:bidi="ar"/>
                <w14:textFill>
                  <w14:solidFill>
                    <w14:schemeClr w14:val="tx1"/>
                  </w14:solidFill>
                </w14:textFill>
              </w:rPr>
              <w:t>=7.37㎡</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整屏分辨率：4096</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1152=4718592点</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1.像素点间距：≤1.25mm；</w:t>
            </w:r>
          </w:p>
          <w:p>
            <w:pPr>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2.箱体尺寸：</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640mm</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480mm；</w:t>
            </w:r>
          </w:p>
          <w:p>
            <w:pPr>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3.像素密度：≥640000点/平方；</w:t>
            </w:r>
          </w:p>
          <w:p>
            <w:pPr>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4.水平/垂直相对偏差：≤1%；</w:t>
            </w:r>
          </w:p>
          <w:p>
            <w:pPr>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5.屏幕峰值功耗≤550W/㎡；</w:t>
            </w:r>
          </w:p>
          <w:p>
            <w:pPr>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6.白平衡亮度：≥600cd/㎡；</w:t>
            </w:r>
          </w:p>
          <w:p>
            <w:pPr>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7.视角：水平/垂直视角≥160°；</w:t>
            </w:r>
          </w:p>
          <w:p>
            <w:pPr>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8.灰度等级：≥14bit；</w:t>
            </w:r>
          </w:p>
          <w:p>
            <w:pPr>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9.色温：2000K－10000K可调；</w:t>
            </w:r>
          </w:p>
          <w:p>
            <w:pPr>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10.换帧频率：≥60Hz，支持3D显示技术；</w:t>
            </w:r>
          </w:p>
          <w:p>
            <w:pPr>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11.最高对比度：10000：1；</w:t>
            </w:r>
          </w:p>
          <w:p>
            <w:pPr>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12.色域≥120%NTSC；</w:t>
            </w:r>
          </w:p>
          <w:p>
            <w:pPr>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13.平整度：≤0.1mm；</w:t>
            </w:r>
          </w:p>
          <w:p>
            <w:pPr>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14.亮度均匀性：≥99%；</w:t>
            </w:r>
          </w:p>
          <w:p>
            <w:pPr>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15.像素失控率：≤1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10-5，无连续失控点；</w:t>
            </w:r>
          </w:p>
          <w:p>
            <w:pPr>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16.支持单点(逐点)亮度/色度校正,支持出厂校正及现场校正；</w:t>
            </w:r>
          </w:p>
        </w:tc>
        <w:tc>
          <w:tcPr>
            <w:tcW w:w="81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7.37</w:t>
            </w:r>
          </w:p>
        </w:tc>
        <w:tc>
          <w:tcPr>
            <w:tcW w:w="36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平方</w:t>
            </w:r>
          </w:p>
        </w:tc>
        <w:tc>
          <w:tcPr>
            <w:tcW w:w="990" w:type="dxa"/>
            <w:noWrap/>
            <w:vAlign w:val="center"/>
          </w:tcPr>
          <w:p>
            <w:pPr>
              <w:jc w:val="center"/>
              <w:textAlignment w:val="center"/>
              <w:rPr>
                <w:rFonts w:hint="default"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21676.</w:t>
            </w:r>
            <w:r>
              <w:rPr>
                <w:rFonts w:hint="eastAsia" w:ascii="宋体" w:hAnsi="宋体" w:cs="宋体"/>
                <w:color w:val="000000" w:themeColor="text1"/>
                <w:kern w:val="0"/>
                <w:sz w:val="21"/>
                <w:szCs w:val="21"/>
                <w:lang w:val="en-US" w:eastAsia="zh-CN" w:bidi="ar"/>
                <w14:textFill>
                  <w14:solidFill>
                    <w14:schemeClr w14:val="tx1"/>
                  </w14:solidFill>
                </w14:textFill>
              </w:rPr>
              <w:t>00</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15975</w:t>
            </w:r>
            <w:r>
              <w:rPr>
                <w:rFonts w:hint="eastAsia" w:ascii="宋体" w:hAnsi="宋体" w:cs="宋体"/>
                <w:color w:val="000000" w:themeColor="text1"/>
                <w:kern w:val="0"/>
                <w:sz w:val="21"/>
                <w:szCs w:val="21"/>
                <w:lang w:val="en-US" w:eastAsia="zh-CN"/>
                <w14:textFill>
                  <w14:solidFill>
                    <w14:schemeClr w14:val="tx1"/>
                  </w14:solidFill>
                </w14:textFill>
              </w:rPr>
              <w:t>2</w:t>
            </w:r>
            <w:r>
              <w:rPr>
                <w:rFonts w:hint="eastAsia" w:ascii="宋体" w:hAnsi="宋体" w:eastAsia="宋体" w:cs="宋体"/>
                <w:color w:val="000000" w:themeColor="text1"/>
                <w:kern w:val="0"/>
                <w:sz w:val="21"/>
                <w:szCs w:val="21"/>
                <w:lang w:val="en-US" w:eastAsia="zh-CN"/>
                <w14:textFill>
                  <w14:solidFill>
                    <w14:schemeClr w14:val="tx1"/>
                  </w14:solidFill>
                </w14:textFill>
              </w:rPr>
              <w:t>.</w:t>
            </w:r>
            <w:r>
              <w:rPr>
                <w:rFonts w:hint="eastAsia" w:ascii="宋体" w:hAnsi="宋体" w:cs="宋体"/>
                <w:color w:val="000000" w:themeColor="text1"/>
                <w:kern w:val="0"/>
                <w:sz w:val="21"/>
                <w:szCs w:val="21"/>
                <w:lang w:val="en-US" w:eastAsia="zh-CN"/>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w:t>
            </w:r>
            <w:r>
              <w:rPr>
                <w:rFonts w:hint="eastAsia" w:ascii="宋体" w:hAnsi="宋体" w:eastAsia="宋体" w:cs="宋体"/>
                <w:color w:val="000000" w:themeColor="text1"/>
                <w:kern w:val="0"/>
                <w:sz w:val="21"/>
                <w:szCs w:val="21"/>
                <w:lang w:val="en-US" w:eastAsia="zh-CN" w:bidi="ar"/>
                <w14:textFill>
                  <w14:solidFill>
                    <w14:schemeClr w14:val="tx1"/>
                  </w14:solidFill>
                </w14:textFill>
              </w:rPr>
              <w:t>5</w:t>
            </w:r>
          </w:p>
        </w:tc>
        <w:tc>
          <w:tcPr>
            <w:tcW w:w="96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接收卡</w:t>
            </w:r>
          </w:p>
        </w:tc>
        <w:tc>
          <w:tcPr>
            <w:tcW w:w="5309" w:type="dxa"/>
            <w:noWrap/>
            <w:vAlign w:val="center"/>
          </w:tcPr>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支持逐点亮色度校正，配合软件和相机，对每个灯点的亮度和色度进行校正</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支持快速亮暗线调节，用来消除灯板与灯板、箱体与箱体之间的缝隙</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支持3D功能，配合支持3D功能的控制器，,开启3D功能，设置3D参数，使显示屏播放画面显示3D效果</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超大带载：自带12个HUB75接口，最大支持带载512×512；</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支持Mapping功能，启用Mapping功能后，目标箱体上会显示接收卡编号和网口信息，可以清晰获取接收卡的位置和走线方式</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支持接收卡预存画面设置，可以将指定图片设置为显示屏的开机画面、网线断开或无视频源信号时的画面</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支持温度和电压监测，可以监测自身的温度和电压，无需其他外设，在软件端可以查看接收卡的温度和电压</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8</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支持液晶模块，5pin液晶模块用于显示接收卡的温度、电压、单次运行时间和总运行时间</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9</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误码率监测，配合LCT软件，接收卡之间通讯时，监测传输链路上的数据丢包情况</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10</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支持固件程序回读，在LCT软件上可以回读接收卡的固件程序并保存到本地</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支持配置参数回读，在LCT软件上可以回读接收卡配置参数并保存到本地</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通过主备冗余机制增加接收卡串联的可靠性。主备串联线路中，当其中一条线路出现故障时，另一条线路会即时工作，保证显示屏正常工作</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13</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支持通过LCT软件在接收卡上保存两份接收卡配置参数，其中一份作为备份参数</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14</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接收卡支持出厂时保存了两份应用程序，以防程序更新异常导致的升级卡死。</w:t>
            </w:r>
          </w:p>
        </w:tc>
        <w:tc>
          <w:tcPr>
            <w:tcW w:w="81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套</w:t>
            </w:r>
          </w:p>
        </w:tc>
        <w:tc>
          <w:tcPr>
            <w:tcW w:w="990" w:type="dxa"/>
            <w:noWrap/>
            <w:vAlign w:val="center"/>
          </w:tcPr>
          <w:p>
            <w:pPr>
              <w:jc w:val="center"/>
              <w:textAlignment w:val="center"/>
              <w:rPr>
                <w:rFonts w:hint="default"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 w:val="21"/>
                <w:szCs w:val="21"/>
                <w:lang w:val="en-US" w:eastAsia="zh-CN" w:bidi="ar"/>
                <w14:textFill>
                  <w14:solidFill>
                    <w14:schemeClr w14:val="tx1"/>
                  </w14:solidFill>
                </w14:textFill>
              </w:rPr>
              <w:t>6499.47</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bidi="ar"/>
                <w14:textFill>
                  <w14:solidFill>
                    <w14:schemeClr w14:val="tx1"/>
                  </w14:solidFill>
                </w14:textFill>
              </w:rPr>
              <w:t>6499.47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w:t>
            </w:r>
            <w:r>
              <w:rPr>
                <w:rFonts w:hint="eastAsia" w:ascii="宋体" w:hAnsi="宋体" w:eastAsia="宋体" w:cs="宋体"/>
                <w:color w:val="000000" w:themeColor="text1"/>
                <w:kern w:val="0"/>
                <w:sz w:val="21"/>
                <w:szCs w:val="21"/>
                <w:lang w:val="en-US" w:eastAsia="zh-CN" w:bidi="ar"/>
                <w14:textFill>
                  <w14:solidFill>
                    <w14:schemeClr w14:val="tx1"/>
                  </w14:solidFill>
                </w14:textFill>
              </w:rPr>
              <w:t>6</w:t>
            </w:r>
          </w:p>
        </w:tc>
        <w:tc>
          <w:tcPr>
            <w:tcW w:w="96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电源</w:t>
            </w:r>
          </w:p>
        </w:tc>
        <w:tc>
          <w:tcPr>
            <w:tcW w:w="5309" w:type="dxa"/>
            <w:noWrap/>
            <w:vAlign w:val="center"/>
          </w:tcPr>
          <w:p>
            <w:pPr>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额定输入电压：200VAC；带载40A</w:t>
            </w:r>
            <w:r>
              <w:rPr>
                <w:rFonts w:hint="eastAsia" w:ascii="宋体" w:hAnsi="宋体" w:eastAsia="宋体" w:cs="宋体"/>
                <w:color w:val="000000" w:themeColor="text1"/>
                <w:kern w:val="0"/>
                <w:sz w:val="21"/>
                <w:szCs w:val="21"/>
                <w:lang w:eastAsia="zh-CN" w:bidi="ar"/>
                <w14:textFill>
                  <w14:solidFill>
                    <w14:schemeClr w14:val="tx1"/>
                  </w14:solidFill>
                </w14:textFill>
              </w:rPr>
              <w:t>。</w:t>
            </w:r>
          </w:p>
        </w:tc>
        <w:tc>
          <w:tcPr>
            <w:tcW w:w="81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套</w:t>
            </w:r>
          </w:p>
        </w:tc>
        <w:tc>
          <w:tcPr>
            <w:tcW w:w="990" w:type="dxa"/>
            <w:noWrap/>
            <w:vAlign w:val="center"/>
          </w:tcPr>
          <w:p>
            <w:pPr>
              <w:jc w:val="center"/>
              <w:textAlignment w:val="center"/>
              <w:rPr>
                <w:rFonts w:hint="default"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 w:val="21"/>
                <w:szCs w:val="21"/>
                <w:lang w:val="en-US" w:eastAsia="zh-CN" w:bidi="ar"/>
                <w14:textFill>
                  <w14:solidFill>
                    <w14:schemeClr w14:val="tx1"/>
                  </w14:solidFill>
                </w14:textFill>
              </w:rPr>
              <w:t>3257.3</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bidi="ar"/>
                <w14:textFill>
                  <w14:solidFill>
                    <w14:schemeClr w14:val="tx1"/>
                  </w14:solidFill>
                </w14:textFill>
              </w:rPr>
              <w:t>3257.3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37</w:t>
            </w:r>
          </w:p>
        </w:tc>
        <w:tc>
          <w:tcPr>
            <w:tcW w:w="96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视频处理器</w:t>
            </w:r>
          </w:p>
        </w:tc>
        <w:tc>
          <w:tcPr>
            <w:tcW w:w="5309" w:type="dxa"/>
            <w:noWrap/>
            <w:vAlign w:val="center"/>
          </w:tcPr>
          <w:p>
            <w:pPr>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1.支持常见的视频接口，包括2路HDMI1.3，1路DVI。</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2.支持HDMI，DVI输入分辨率自定义调节</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3.视频输出支持</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10个千兆网口输出，最大带载高达650万像素</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4.无需电脑，支持通过设备旋转按钮快捷配屏和高级配屏功能点亮屏体</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5.支持设备备份和网口备份，设备故障或网线故障时保证屏体运行过程正常无问题</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6.无需电脑，可通过旋转按钮一键调节屏体亮度调节</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7.无需电脑，支持一键将优先级最低的窗口全屏自动缩放</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8.支持创建</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10个用户场景作为模板保存，方便快速调用</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9.支持选择HDMI输入源或DVI源作为同步信号，达到输出的场级同步</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10.支持3图层</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11.发送卡和视频处理器二合一，连线更加少，稳定性兼容性大大提升</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12.液晶面板可实时显示，型号，ip地址，窗口及信号源的分辨率以及状态信息，输出网口的状态，屏幕大小及帧频信息，设备同步模式展示，USB连接或网线连接状态，屏体亮度</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13.主界面下，按下旋钮进入菜单操作界面。菜单操作界面下，旋转旋钮选择菜单，按下旋钮选定当前菜单或者进入子菜单。选定带有参数的菜单后</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14.可以通过旋转旋钮调节参数，调节完成后需要再次按下旋钮进行确认</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15.支持</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1路HDMI监视，可设置为预监编辑画面或预监显示屏画面</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16.支持通过中控控制</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17.设备支持逐点亮度校正，可以对每个灯点的亮度和色度进行校正，有效消除色差，使整屏的亮度和色度达到高度均句一致，提高显示屏的画质配合多功能卡，可实现屏体手动控制，自动控制，以及软件控制，灵活简单</w:t>
            </w:r>
            <w:r>
              <w:rPr>
                <w:rFonts w:hint="eastAsia" w:ascii="宋体" w:hAnsi="宋体" w:eastAsia="宋体" w:cs="宋体"/>
                <w:color w:val="000000" w:themeColor="text1"/>
                <w:kern w:val="0"/>
                <w:sz w:val="21"/>
                <w:szCs w:val="21"/>
                <w:lang w:eastAsia="zh-CN" w:bidi="ar"/>
                <w14:textFill>
                  <w14:solidFill>
                    <w14:schemeClr w14:val="tx1"/>
                  </w14:solidFill>
                </w14:textFill>
              </w:rPr>
              <w:t>。</w:t>
            </w:r>
          </w:p>
        </w:tc>
        <w:tc>
          <w:tcPr>
            <w:tcW w:w="81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6813.7</w:t>
            </w:r>
            <w:r>
              <w:rPr>
                <w:rFonts w:hint="eastAsia" w:ascii="宋体" w:hAnsi="宋体" w:eastAsia="宋体" w:cs="宋体"/>
                <w:color w:val="000000" w:themeColor="text1"/>
                <w:kern w:val="0"/>
                <w:sz w:val="21"/>
                <w:szCs w:val="21"/>
                <w:lang w:val="en-US" w:eastAsia="zh-CN" w:bidi="ar"/>
                <w14:textFill>
                  <w14:solidFill>
                    <w14:schemeClr w14:val="tx1"/>
                  </w14:solidFill>
                </w14:textFill>
              </w:rPr>
              <w:t>0</w:t>
            </w:r>
          </w:p>
        </w:tc>
        <w:tc>
          <w:tcPr>
            <w:tcW w:w="1486"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6813.7</w:t>
            </w:r>
            <w:r>
              <w:rPr>
                <w:rFonts w:hint="eastAsia" w:ascii="宋体" w:hAnsi="宋体" w:eastAsia="宋体" w:cs="宋体"/>
                <w:color w:val="000000" w:themeColor="text1"/>
                <w:kern w:val="0"/>
                <w:sz w:val="21"/>
                <w:szCs w:val="21"/>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449" w:type="dxa"/>
            <w:gridSpan w:val="7"/>
            <w:noWrap/>
            <w:vAlign w:val="center"/>
          </w:tcPr>
          <w:p>
            <w:pPr>
              <w:widowControl/>
              <w:jc w:val="left"/>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1.2双色条屏（显示屏净尺寸：4.864m</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0.304m，含边框尺寸：4.955m</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0.394m）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38</w:t>
            </w:r>
          </w:p>
        </w:tc>
        <w:tc>
          <w:tcPr>
            <w:tcW w:w="96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4.75双色LED单元</w:t>
            </w:r>
          </w:p>
        </w:tc>
        <w:tc>
          <w:tcPr>
            <w:tcW w:w="5309" w:type="dxa"/>
            <w:noWrap/>
            <w:vAlign w:val="center"/>
          </w:tcPr>
          <w:p>
            <w:pPr>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点中心距≤4.75mm；</w:t>
            </w:r>
          </w:p>
          <w:p>
            <w:pPr>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像素密度≥44000点/㎡；</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单元板尺寸：152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304</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10mm，包含边框屏尺寸</w:t>
            </w:r>
            <w:r>
              <w:rPr>
                <w:rFonts w:hint="eastAsia" w:ascii="宋体" w:hAnsi="宋体" w:cs="宋体"/>
                <w:color w:val="000000" w:themeColor="text1"/>
                <w:kern w:val="0"/>
                <w:szCs w:val="21"/>
                <w:lang w:bidi="ar"/>
                <w14:textFill>
                  <w14:solidFill>
                    <w14:schemeClr w14:val="tx1"/>
                  </w14:solidFill>
                </w14:textFill>
              </w:rPr>
              <w:t>≥5.62m×0.394m</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可视角度：水平：≥160°垂直：≥160°</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对比度≥10000：1；亮度亮度范围：0-500cd/㎡；无级可调(白平衡亮度：≥400cd/㎡)</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支持通过配套软件0-100%多级调节,设置亮度定时调节,及通过亮度传感器自动调节(手动/自动/软件任意调节)</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模组平整度≤0.05mm</w:t>
            </w:r>
            <w:r>
              <w:rPr>
                <w:rFonts w:hint="eastAsia" w:ascii="宋体" w:hAnsi="宋体" w:eastAsia="宋体" w:cs="宋体"/>
                <w:color w:val="000000" w:themeColor="text1"/>
                <w:kern w:val="0"/>
                <w:sz w:val="21"/>
                <w:szCs w:val="21"/>
                <w:lang w:eastAsia="zh-CN" w:bidi="ar"/>
                <w14:textFill>
                  <w14:solidFill>
                    <w14:schemeClr w14:val="tx1"/>
                  </w14:solidFill>
                </w14:textFill>
              </w:rPr>
              <w:t>。</w:t>
            </w:r>
          </w:p>
        </w:tc>
        <w:tc>
          <w:tcPr>
            <w:tcW w:w="81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2.19</w:t>
            </w:r>
          </w:p>
        </w:tc>
        <w:tc>
          <w:tcPr>
            <w:tcW w:w="36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平方</w:t>
            </w:r>
          </w:p>
        </w:tc>
        <w:tc>
          <w:tcPr>
            <w:tcW w:w="990" w:type="dxa"/>
            <w:noWrap/>
            <w:vAlign w:val="center"/>
          </w:tcPr>
          <w:p>
            <w:pPr>
              <w:jc w:val="center"/>
              <w:textAlignment w:val="center"/>
              <w:rPr>
                <w:rFonts w:hint="default"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1576.</w:t>
            </w:r>
            <w:r>
              <w:rPr>
                <w:rFonts w:hint="eastAsia" w:ascii="宋体" w:hAnsi="宋体" w:cs="宋体"/>
                <w:color w:val="000000" w:themeColor="text1"/>
                <w:kern w:val="0"/>
                <w:sz w:val="21"/>
                <w:szCs w:val="21"/>
                <w:lang w:val="en-US" w:eastAsia="zh-CN" w:bidi="ar"/>
                <w14:textFill>
                  <w14:solidFill>
                    <w14:schemeClr w14:val="tx1"/>
                  </w14:solidFill>
                </w14:textFill>
              </w:rPr>
              <w:t>00</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345</w:t>
            </w:r>
            <w:r>
              <w:rPr>
                <w:rFonts w:hint="eastAsia" w:ascii="宋体" w:hAnsi="宋体" w:cs="宋体"/>
                <w:color w:val="000000" w:themeColor="text1"/>
                <w:kern w:val="0"/>
                <w:sz w:val="21"/>
                <w:szCs w:val="21"/>
                <w:lang w:val="en-US" w:eastAsia="zh-CN"/>
                <w14:textFill>
                  <w14:solidFill>
                    <w14:schemeClr w14:val="tx1"/>
                  </w14:solidFill>
                </w14:textFill>
              </w:rPr>
              <w:t>1</w:t>
            </w:r>
            <w:r>
              <w:rPr>
                <w:rFonts w:hint="eastAsia" w:ascii="宋体" w:hAnsi="宋体" w:eastAsia="宋体" w:cs="宋体"/>
                <w:color w:val="000000" w:themeColor="text1"/>
                <w:kern w:val="0"/>
                <w:sz w:val="21"/>
                <w:szCs w:val="21"/>
                <w:lang w:val="en-US" w:eastAsia="zh-CN"/>
                <w14:textFill>
                  <w14:solidFill>
                    <w14:schemeClr w14:val="tx1"/>
                  </w14:solidFill>
                </w14:textFill>
              </w:rPr>
              <w:t>.</w:t>
            </w:r>
            <w:r>
              <w:rPr>
                <w:rFonts w:hint="eastAsia" w:ascii="宋体" w:hAnsi="宋体" w:cs="宋体"/>
                <w:color w:val="000000" w:themeColor="text1"/>
                <w:kern w:val="0"/>
                <w:sz w:val="21"/>
                <w:szCs w:val="21"/>
                <w:lang w:val="en-US" w:eastAsia="zh-CN"/>
                <w14:textFill>
                  <w14:solidFill>
                    <w14:schemeClr w14:val="tx1"/>
                  </w14:solidFill>
                </w14:textFill>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449" w:type="dxa"/>
            <w:gridSpan w:val="7"/>
            <w:noWrap/>
            <w:vAlign w:val="center"/>
          </w:tcPr>
          <w:p>
            <w:pPr>
              <w:widowControl/>
              <w:jc w:val="left"/>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1.3外接设备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39</w:t>
            </w:r>
          </w:p>
        </w:tc>
        <w:tc>
          <w:tcPr>
            <w:tcW w:w="96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控制终端</w:t>
            </w:r>
          </w:p>
        </w:tc>
        <w:tc>
          <w:tcPr>
            <w:tcW w:w="5309" w:type="dxa"/>
            <w:noWrap/>
            <w:vAlign w:val="center"/>
          </w:tcPr>
          <w:p>
            <w:pPr>
              <w:pStyle w:val="9"/>
              <w:jc w:val="left"/>
              <w:rPr>
                <w:rFonts w:hint="eastAsia" w:ascii="宋体" w:hAnsi="宋体" w:eastAsia="宋体" w:cs="宋体"/>
                <w:b/>
                <w:bCs/>
                <w:szCs w:val="21"/>
              </w:rPr>
            </w:pPr>
            <w:r>
              <w:rPr>
                <w:rFonts w:hint="eastAsia" w:ascii="宋体" w:hAnsi="宋体" w:cs="宋体"/>
                <w:b/>
                <w:bCs/>
                <w:szCs w:val="21"/>
                <w:lang w:val="en-US" w:eastAsia="zh-CN"/>
              </w:rPr>
              <w:t>注：以下指标均为实质性需求</w:t>
            </w:r>
          </w:p>
          <w:p>
            <w:pPr>
              <w:pStyle w:val="9"/>
              <w:jc w:val="left"/>
              <w:rPr>
                <w:rFonts w:hint="eastAsia" w:ascii="宋体" w:hAnsi="宋体" w:eastAsia="宋体" w:cs="宋体"/>
                <w:szCs w:val="21"/>
              </w:rPr>
            </w:pPr>
            <w:r>
              <w:rPr>
                <w:rFonts w:hint="eastAsia" w:ascii="宋体" w:hAnsi="宋体" w:eastAsia="宋体" w:cs="宋体"/>
                <w:b/>
                <w:bCs/>
                <w:szCs w:val="21"/>
              </w:rPr>
              <w:t>1</w:t>
            </w:r>
            <w:r>
              <w:rPr>
                <w:rFonts w:hint="eastAsia" w:ascii="宋体" w:hAnsi="宋体" w:cs="宋体"/>
                <w:b/>
                <w:bCs/>
                <w:szCs w:val="21"/>
                <w:lang w:val="en-US" w:eastAsia="zh-CN"/>
              </w:rPr>
              <w:t>.</w:t>
            </w:r>
            <w:r>
              <w:rPr>
                <w:rFonts w:hint="eastAsia" w:ascii="宋体" w:hAnsi="宋体" w:eastAsia="宋体" w:cs="宋体"/>
                <w:b/>
                <w:bCs/>
                <w:szCs w:val="21"/>
              </w:rPr>
              <w:t>CPU：</w:t>
            </w:r>
            <w:r>
              <w:rPr>
                <w:rFonts w:hint="eastAsia" w:ascii="宋体" w:hAnsi="宋体" w:eastAsia="宋体" w:cs="宋体"/>
                <w:szCs w:val="21"/>
              </w:rPr>
              <w:t>CPU内核≥8核；主频≥2.3GHz；末级缓存容量≥2MB；支持的内存最高速率≥2666MT/s；</w:t>
            </w:r>
            <w:r>
              <w:rPr>
                <w:rFonts w:hint="eastAsia" w:ascii="宋体" w:hAnsi="宋体" w:eastAsia="宋体" w:cs="宋体"/>
                <w:b/>
                <w:bCs/>
                <w:szCs w:val="21"/>
              </w:rPr>
              <w:t>符合安全可靠测评要求，通过政府有关部门指定的中国信息安全测评中心和国家保密科技测评中心网站查看安全可靠测评结果</w:t>
            </w:r>
            <w:r>
              <w:rPr>
                <w:rFonts w:hint="eastAsia" w:ascii="宋体" w:hAnsi="宋体" w:eastAsia="宋体" w:cs="宋体"/>
                <w:szCs w:val="21"/>
              </w:rPr>
              <w:t>；CPU 芯片应符合 GM/T 0008 的相关规定，或芯片密码模块应符合 GB/T 37092或 GM/T 0028 的相关规定，0008 的相关规定，或芯片密码模块应符合 GB/T 37092或 GM/T 0028 的相关规定，通过商用密码检测机构检</w:t>
            </w:r>
          </w:p>
          <w:p>
            <w:pPr>
              <w:pStyle w:val="9"/>
              <w:jc w:val="left"/>
              <w:rPr>
                <w:rFonts w:hint="eastAsia" w:ascii="宋体" w:hAnsi="宋体" w:eastAsia="宋体" w:cs="宋体"/>
                <w:szCs w:val="21"/>
              </w:rPr>
            </w:pPr>
            <w:r>
              <w:rPr>
                <w:rFonts w:hint="eastAsia" w:ascii="宋体" w:hAnsi="宋体" w:eastAsia="宋体" w:cs="宋体"/>
                <w:szCs w:val="21"/>
              </w:rPr>
              <w:t>测并经商用密码认证机构认证合格。</w:t>
            </w:r>
          </w:p>
          <w:p>
            <w:pPr>
              <w:rPr>
                <w:rFonts w:hint="eastAsia" w:ascii="宋体" w:hAnsi="宋体" w:eastAsia="宋体" w:cs="宋体"/>
                <w:szCs w:val="21"/>
              </w:rPr>
            </w:pPr>
            <w:r>
              <w:rPr>
                <w:rFonts w:hint="eastAsia" w:ascii="宋体" w:hAnsi="宋体" w:eastAsia="宋体" w:cs="宋体"/>
                <w:b/>
                <w:bCs/>
                <w:szCs w:val="21"/>
              </w:rPr>
              <w:t>2</w:t>
            </w:r>
            <w:r>
              <w:rPr>
                <w:rFonts w:hint="eastAsia" w:ascii="宋体" w:hAnsi="宋体" w:cs="宋体"/>
                <w:b/>
                <w:bCs/>
                <w:szCs w:val="21"/>
                <w:lang w:val="en-US" w:eastAsia="zh-CN"/>
              </w:rPr>
              <w:t>.</w:t>
            </w:r>
            <w:r>
              <w:rPr>
                <w:rFonts w:hint="eastAsia" w:ascii="宋体" w:hAnsi="宋体" w:eastAsia="宋体" w:cs="宋体"/>
                <w:b/>
                <w:bCs/>
                <w:szCs w:val="21"/>
              </w:rPr>
              <w:t>内存规格：</w:t>
            </w:r>
            <w:r>
              <w:rPr>
                <w:rFonts w:hint="eastAsia" w:ascii="宋体" w:hAnsi="宋体" w:eastAsia="宋体" w:cs="宋体"/>
                <w:szCs w:val="21"/>
              </w:rPr>
              <w:t>内存类型支持 DDR4/LPDDR4/LPDDR4X及以上内存类型；内存条配置数量（板载内存不涉及）≥1；内存读写速率≥2666MT/s；内存总容量≥8GB；单条内存容量≥4GB。</w:t>
            </w:r>
          </w:p>
          <w:p>
            <w:pPr>
              <w:rPr>
                <w:rFonts w:hint="eastAsia" w:ascii="宋体" w:hAnsi="宋体" w:eastAsia="宋体" w:cs="宋体"/>
                <w:szCs w:val="21"/>
              </w:rPr>
            </w:pPr>
            <w:r>
              <w:rPr>
                <w:rFonts w:hint="eastAsia" w:ascii="宋体" w:hAnsi="宋体" w:eastAsia="宋体" w:cs="宋体"/>
                <w:b/>
                <w:bCs/>
                <w:szCs w:val="21"/>
              </w:rPr>
              <w:t>3</w:t>
            </w:r>
            <w:r>
              <w:rPr>
                <w:rFonts w:hint="eastAsia" w:ascii="宋体" w:hAnsi="宋体" w:cs="宋体"/>
                <w:b/>
                <w:bCs/>
                <w:szCs w:val="21"/>
                <w:lang w:val="en-US" w:eastAsia="zh-CN"/>
              </w:rPr>
              <w:t>.</w:t>
            </w:r>
            <w:r>
              <w:rPr>
                <w:rFonts w:hint="eastAsia" w:ascii="宋体" w:hAnsi="宋体" w:eastAsia="宋体" w:cs="宋体"/>
                <w:b/>
                <w:bCs/>
                <w:szCs w:val="21"/>
              </w:rPr>
              <w:t>主板规格：</w:t>
            </w:r>
            <w:r>
              <w:rPr>
                <w:rFonts w:hint="eastAsia" w:ascii="宋体" w:hAnsi="宋体" w:eastAsia="宋体" w:cs="宋体"/>
                <w:szCs w:val="21"/>
              </w:rPr>
              <w:t>主板集成模块集成资源扩展模块、计算处理模块、音频扩展模块等，主板的互联拓扑可通过处理器或交换电路实现；</w:t>
            </w:r>
            <w:r>
              <w:rPr>
                <w:rFonts w:hint="eastAsia" w:ascii="宋体" w:hAnsi="宋体" w:eastAsia="宋体" w:cs="宋体"/>
                <w:b/>
                <w:bCs/>
                <w:szCs w:val="21"/>
              </w:rPr>
              <w:t>主板支持的 CPU和内存情况：供应商给出主板支持的 CPU 和内存型号和数量情况</w:t>
            </w:r>
            <w:r>
              <w:rPr>
                <w:rFonts w:hint="eastAsia" w:ascii="宋体" w:hAnsi="宋体" w:eastAsia="宋体" w:cs="宋体"/>
                <w:szCs w:val="21"/>
              </w:rPr>
              <w:t>；主板内置PCIe 插槽数量≥2；内存扩展接口(板载内存不涉及)≥2 个；主板 USB支持瞬间过流保护功能；支持防静电保护功能；I/O 接口功能：提供基于标准 USB 接口外设连接功能、基于音频输入输出接口的音频扩展功能、基于 PCIe 接口板卡扩展功能、基于 HDMI 或 VGA 或 Type-C 或 DVI 或 DP等接口外接显示器扩展功能、基于存储接口对产品进行增容功能等，产品I/O 接口，应具备外接标准 USB 设备、显示器、音频设备等内外部设备能力；特殊孔位及接口：接口工作电压 5V，最大过电流应不小于 3A，预留多功能导入装置板卡安装孔位，采用内置方式与主机一体化集成，容量不小于 145mm×125mm×16.5mm （长×宽×高）（±5mm）；主板其他内置接口：</w:t>
            </w:r>
            <w:r>
              <w:rPr>
                <w:rFonts w:hint="eastAsia" w:ascii="宋体" w:hAnsi="宋体" w:eastAsia="宋体" w:cs="宋体"/>
                <w:b/>
                <w:bCs/>
                <w:szCs w:val="21"/>
              </w:rPr>
              <w:t>供应商给出相关 SATA、M.2、USB 接口数量及占用状态</w:t>
            </w:r>
            <w:r>
              <w:rPr>
                <w:rFonts w:hint="eastAsia" w:ascii="宋体" w:hAnsi="宋体" w:eastAsia="宋体" w:cs="宋体"/>
                <w:szCs w:val="21"/>
              </w:rPr>
              <w:t>；单内存插槽最大可支持容量（板载内存不涉及）≥8GB；内存插槽满配时提供的最高内存总容量≥16GB。</w:t>
            </w:r>
          </w:p>
          <w:p>
            <w:pPr>
              <w:rPr>
                <w:rFonts w:hint="eastAsia" w:ascii="宋体" w:hAnsi="宋体" w:eastAsia="宋体" w:cs="宋体"/>
              </w:rPr>
            </w:pPr>
            <w:r>
              <w:rPr>
                <w:rFonts w:hint="eastAsia" w:ascii="宋体" w:hAnsi="宋体" w:eastAsia="宋体" w:cs="宋体"/>
                <w:b/>
                <w:bCs/>
              </w:rPr>
              <w:t>4</w:t>
            </w:r>
            <w:r>
              <w:rPr>
                <w:rFonts w:hint="eastAsia" w:ascii="宋体" w:hAnsi="宋体" w:cs="宋体"/>
                <w:b/>
                <w:bCs/>
                <w:lang w:val="en-US" w:eastAsia="zh-CN"/>
              </w:rPr>
              <w:t>.</w:t>
            </w:r>
            <w:r>
              <w:rPr>
                <w:rFonts w:hint="eastAsia" w:ascii="宋体" w:hAnsi="宋体" w:eastAsia="宋体" w:cs="宋体"/>
                <w:b/>
                <w:bCs/>
              </w:rPr>
              <w:t>存储设备规格：</w:t>
            </w:r>
            <w:r>
              <w:rPr>
                <w:rFonts w:hint="eastAsia" w:ascii="宋体" w:hAnsi="宋体" w:eastAsia="宋体" w:cs="宋体"/>
              </w:rPr>
              <w:t>固态盘数量≥</w:t>
            </w:r>
            <w:r>
              <w:rPr>
                <w:rFonts w:hint="eastAsia" w:ascii="宋体" w:hAnsi="宋体" w:eastAsia="宋体" w:cs="宋体"/>
                <w:szCs w:val="21"/>
              </w:rPr>
              <w:t>1 个；固态存储容量≥512GB；固态存储形态：采用插卡或板载等形态，可选用符合M.2 、2.5 寸 SATA 或 mSATA 等标准的插卡形态</w:t>
            </w:r>
            <w:r>
              <w:rPr>
                <w:rFonts w:hint="eastAsia" w:ascii="宋体" w:hAnsi="宋体" w:eastAsia="宋体" w:cs="宋体"/>
              </w:rPr>
              <w:t>；存储功能存：通过 SATA 固态存储/PCIe 固态存储/UFS 固态存储/SATA 硬磁盘等存储部件提供存储功能；固态存储寿命：TBW ≥ 80TB（条件：240GB 硬盘容量）；固态盘应符合 SJ/T 11654 相关规定，侧面固定螺丝孔数量可为 4 孔或 6 孔，工作状态环境温度应满足 5℃~55℃，其它参数应符合 GB/T 12628 相关规定。</w:t>
            </w:r>
          </w:p>
          <w:p>
            <w:pPr>
              <w:rPr>
                <w:rFonts w:hint="eastAsia" w:ascii="宋体" w:hAnsi="宋体" w:eastAsia="宋体" w:cs="宋体"/>
              </w:rPr>
            </w:pPr>
            <w:r>
              <w:rPr>
                <w:rFonts w:hint="eastAsia" w:ascii="宋体" w:hAnsi="宋体" w:eastAsia="宋体" w:cs="宋体"/>
                <w:b/>
                <w:bCs/>
              </w:rPr>
              <w:t>5</w:t>
            </w:r>
            <w:r>
              <w:rPr>
                <w:rFonts w:hint="eastAsia" w:ascii="宋体" w:hAnsi="宋体" w:cs="宋体"/>
                <w:b/>
                <w:bCs/>
                <w:lang w:val="en-US" w:eastAsia="zh-CN"/>
              </w:rPr>
              <w:t>.</w:t>
            </w:r>
            <w:r>
              <w:rPr>
                <w:rFonts w:hint="eastAsia" w:ascii="宋体" w:hAnsi="宋体" w:eastAsia="宋体" w:cs="宋体"/>
                <w:b/>
                <w:bCs/>
              </w:rPr>
              <w:t>显卡规格：</w:t>
            </w:r>
            <w:r>
              <w:rPr>
                <w:rFonts w:hint="eastAsia" w:ascii="宋体" w:hAnsi="宋体" w:eastAsia="宋体" w:cs="宋体"/>
              </w:rPr>
              <w:t>显卡类型：独立显卡；独立显卡显存类</w:t>
            </w:r>
            <w:r>
              <w:rPr>
                <w:rFonts w:hint="eastAsia" w:ascii="宋体" w:hAnsi="宋体" w:eastAsia="宋体" w:cs="宋体"/>
                <w:szCs w:val="21"/>
              </w:rPr>
              <w:t>≥</w:t>
            </w:r>
            <w:r>
              <w:rPr>
                <w:rFonts w:hint="eastAsia" w:ascii="宋体" w:hAnsi="宋体" w:eastAsia="宋体" w:cs="宋体"/>
              </w:rPr>
              <w:t>DDR4型；独立显卡显存位宽≥16 位；独立显卡显存容量≥1GB；独立显卡接口协议支持 PCIe 协议版本大于等于 2.0 或 HT（HyperTransport）协议版本大于等于 3.0 的独立显卡接口协议；显卡显示分辨率≥1920x1080；显卡显示芯片核心频率≥300MHz；显卡显存等效频率≥1000MT/s；显卡可支持多屏同时显示数量≥2块屏且分辨率应不低于 1920×1080；显卡外接显示接口至少支持 VGA、HDMI、DVI、DP、Type-C 中 1 种显示接口，并与显示器接口相匹配。</w:t>
            </w:r>
          </w:p>
          <w:p>
            <w:pPr>
              <w:pStyle w:val="9"/>
              <w:jc w:val="left"/>
              <w:rPr>
                <w:rFonts w:hint="eastAsia" w:ascii="宋体" w:hAnsi="宋体" w:eastAsia="宋体" w:cs="宋体"/>
              </w:rPr>
            </w:pPr>
            <w:r>
              <w:rPr>
                <w:rFonts w:hint="eastAsia" w:ascii="宋体" w:hAnsi="宋体" w:eastAsia="宋体" w:cs="宋体"/>
                <w:b/>
                <w:bCs/>
              </w:rPr>
              <w:t>6</w:t>
            </w:r>
            <w:r>
              <w:rPr>
                <w:rFonts w:hint="eastAsia" w:ascii="宋体" w:hAnsi="宋体" w:cs="宋体"/>
                <w:b/>
                <w:bCs/>
                <w:lang w:val="en-US" w:eastAsia="zh-CN"/>
              </w:rPr>
              <w:t>.</w:t>
            </w:r>
            <w:r>
              <w:rPr>
                <w:rFonts w:hint="eastAsia" w:ascii="宋体" w:hAnsi="宋体" w:eastAsia="宋体" w:cs="宋体"/>
                <w:b/>
                <w:bCs/>
              </w:rPr>
              <w:t>显示设备规格：</w:t>
            </w:r>
            <w:r>
              <w:rPr>
                <w:rFonts w:hint="eastAsia" w:ascii="宋体" w:hAnsi="宋体" w:eastAsia="宋体" w:cs="宋体"/>
              </w:rPr>
              <w:t>显示屏屏占比≥80%；显示屏分辨率≥1920x1080；显示屏尺寸≥23 英寸；显示屏屏幕比例：16:9/16:10 等；显示器外观颜色：黑色/银色等商务色系；显示屏支持防蓝光模式，蓝光加权辐射亮度比应≤0.0012W/（·cd·sr）（瓦每坎特拉每球面度）可参照 SJ/T11841.2.2-2022标准；显示屏应支持低频闪≤-35dB；显示屏镜面反射率≤10%；显示屏刷新率≥75Hz；显示屏位深≥8 位；显示屏色域≥99% sRGB；显示屏色准△E ≤ 4；显示屏响应时间≤8ms；显示屏亮度≥250 尼特；显示屏亮度一致性≥70%；显示屏对比度≥500：1；显示器接口应与显卡外接显示接口匹配；显示器应提供显示器支架；显示器参数调节：提供 OSD 选单按钮用于调节色彩、模式等，支持色温、亮度、对比度调节；；显示屏其他参数应符合 SJ/T 11292 的相关规定。</w:t>
            </w:r>
          </w:p>
          <w:p>
            <w:pPr>
              <w:rPr>
                <w:rFonts w:hint="eastAsia" w:ascii="宋体" w:hAnsi="宋体" w:eastAsia="宋体" w:cs="宋体"/>
              </w:rPr>
            </w:pPr>
            <w:r>
              <w:rPr>
                <w:rFonts w:hint="eastAsia" w:ascii="宋体" w:hAnsi="宋体" w:eastAsia="宋体" w:cs="宋体"/>
                <w:b/>
                <w:bCs/>
              </w:rPr>
              <w:t>7</w:t>
            </w:r>
            <w:r>
              <w:rPr>
                <w:rFonts w:hint="eastAsia" w:ascii="宋体" w:hAnsi="宋体" w:cs="宋体"/>
                <w:b/>
                <w:bCs/>
                <w:lang w:val="en-US" w:eastAsia="zh-CN"/>
              </w:rPr>
              <w:t>.</w:t>
            </w:r>
            <w:r>
              <w:rPr>
                <w:rFonts w:hint="eastAsia" w:ascii="宋体" w:hAnsi="宋体" w:eastAsia="宋体" w:cs="宋体"/>
                <w:b/>
                <w:bCs/>
              </w:rPr>
              <w:t>外设规格：</w:t>
            </w:r>
            <w:r>
              <w:rPr>
                <w:rFonts w:hint="eastAsia" w:ascii="宋体" w:hAnsi="宋体" w:eastAsia="宋体" w:cs="宋体"/>
              </w:rPr>
              <w:t>鼠标数量≥1 个（有线或无线）；键盘数量≥1 个（有线或无线）；键盘按键数目不低于104键；键盘键程：2.3mm ~ 4.0mm；键盘按键压力应在 0.54 N±0.14N；有线键盘连接线≥1.5 米；键盘颜色：黑色/银色等商务色系；鼠标 DPI分辨率≥（800~1600）；鼠标颜色：黑色/银色等商务色系；鼠标其他要求应符合 GB/T 26245 的相关规定；键盘按键寿命≥1000万次；鼠标按键寿命≥500 万次；键盘鼠标线材寿命键盘鼠标所用线材经±60°弯折不低于3000次，功能、外观完好；风扇寿命≥4 万小时。</w:t>
            </w:r>
          </w:p>
          <w:p>
            <w:pPr>
              <w:rPr>
                <w:rFonts w:hint="eastAsia" w:ascii="宋体" w:hAnsi="宋体" w:eastAsia="宋体" w:cs="宋体"/>
              </w:rPr>
            </w:pPr>
            <w:r>
              <w:rPr>
                <w:rFonts w:hint="eastAsia" w:ascii="宋体" w:hAnsi="宋体" w:eastAsia="宋体" w:cs="宋体"/>
                <w:b/>
                <w:bCs/>
              </w:rPr>
              <w:t>8</w:t>
            </w:r>
            <w:r>
              <w:rPr>
                <w:rFonts w:hint="eastAsia" w:ascii="宋体" w:hAnsi="宋体" w:cs="宋体"/>
                <w:b/>
                <w:bCs/>
                <w:lang w:val="en-US" w:eastAsia="zh-CN"/>
              </w:rPr>
              <w:t>.</w:t>
            </w:r>
            <w:r>
              <w:rPr>
                <w:rFonts w:hint="eastAsia" w:ascii="宋体" w:hAnsi="宋体" w:eastAsia="宋体" w:cs="宋体"/>
                <w:b/>
                <w:bCs/>
              </w:rPr>
              <w:t>网络设备规格：</w:t>
            </w:r>
            <w:r>
              <w:rPr>
                <w:rFonts w:hint="eastAsia" w:ascii="宋体" w:hAnsi="宋体" w:eastAsia="宋体" w:cs="宋体"/>
              </w:rPr>
              <w:t>有线网卡数量≥1；有线网卡速率：最高速率应不低于 1000Mbps，应支持10Mbps、100Mbps、1000Mbps 速率自适应；支持网络连接、网络开启/关闭功能；支持访问网络和数据交换功能；支持数据传输能力，并提供数据流量和异常日志记录功能；支持 RJ45 接口≥1；支持物理拆装，包括无线网卡和蓝牙模块等。</w:t>
            </w:r>
          </w:p>
          <w:p>
            <w:pPr>
              <w:rPr>
                <w:rFonts w:hint="eastAsia" w:ascii="宋体" w:hAnsi="宋体" w:eastAsia="宋体" w:cs="宋体"/>
              </w:rPr>
            </w:pPr>
            <w:r>
              <w:rPr>
                <w:rFonts w:hint="eastAsia" w:ascii="宋体" w:hAnsi="宋体" w:eastAsia="宋体" w:cs="宋体"/>
                <w:b/>
                <w:bCs/>
              </w:rPr>
              <w:t>9</w:t>
            </w:r>
            <w:r>
              <w:rPr>
                <w:rFonts w:hint="eastAsia" w:ascii="宋体" w:hAnsi="宋体" w:cs="宋体"/>
                <w:b/>
                <w:bCs/>
                <w:lang w:val="en-US" w:eastAsia="zh-CN"/>
              </w:rPr>
              <w:t>.</w:t>
            </w:r>
            <w:r>
              <w:rPr>
                <w:rFonts w:hint="eastAsia" w:ascii="宋体" w:hAnsi="宋体" w:eastAsia="宋体" w:cs="宋体"/>
                <w:b/>
                <w:bCs/>
              </w:rPr>
              <w:t>外部接口规格：</w:t>
            </w:r>
            <w:r>
              <w:rPr>
                <w:rFonts w:hint="eastAsia" w:ascii="宋体" w:hAnsi="宋体" w:eastAsia="宋体" w:cs="宋体"/>
              </w:rPr>
              <w:t>USB 接口数量机箱前面板应提供不少于3个USB 接口（含2个USB3.0 及以上接口）；视频接口数量≥1，视频接口类型至少支持 VGA、HDMI、DVI、DP、Type-C中 1 种显示接口，若提供 HDMI 或 DP或 Type-C作为显示接口，应支持音频和视频同步输出；音频接口数量≥1，音频接口类型支持 3.5mm孔径3段式或4段式接口。</w:t>
            </w:r>
          </w:p>
          <w:p>
            <w:pPr>
              <w:rPr>
                <w:rFonts w:hint="eastAsia" w:ascii="宋体" w:hAnsi="宋体" w:eastAsia="宋体" w:cs="宋体"/>
              </w:rPr>
            </w:pPr>
            <w:r>
              <w:rPr>
                <w:rFonts w:hint="eastAsia" w:ascii="宋体" w:hAnsi="宋体" w:eastAsia="宋体" w:cs="宋体"/>
                <w:b/>
                <w:bCs/>
              </w:rPr>
              <w:t>10</w:t>
            </w:r>
            <w:r>
              <w:rPr>
                <w:rFonts w:hint="eastAsia" w:ascii="宋体" w:hAnsi="宋体" w:cs="宋体"/>
                <w:b/>
                <w:bCs/>
                <w:lang w:val="en-US" w:eastAsia="zh-CN"/>
              </w:rPr>
              <w:t>.</w:t>
            </w:r>
            <w:r>
              <w:rPr>
                <w:rFonts w:hint="eastAsia" w:ascii="宋体" w:hAnsi="宋体" w:eastAsia="宋体" w:cs="宋体"/>
                <w:b/>
                <w:bCs/>
              </w:rPr>
              <w:t>整机基础规格：整机外观：</w:t>
            </w:r>
            <w:r>
              <w:rPr>
                <w:rFonts w:hint="eastAsia" w:ascii="宋体" w:hAnsi="宋体" w:eastAsia="宋体" w:cs="宋体"/>
              </w:rPr>
              <w:t>产品表面不应有凹痕、划伤、裂缝、变形和污染等。表面涂层均匀，不应起泡、龟裂、脱落和磨损，金属零部件无锈蚀及其它机械损伤；产品表面说明功能的文字、符号、标志，应清晰、端正、牢固；</w:t>
            </w:r>
            <w:r>
              <w:rPr>
                <w:rFonts w:hint="eastAsia" w:ascii="宋体" w:hAnsi="宋体" w:eastAsia="宋体" w:cs="宋体"/>
                <w:b/>
                <w:bCs/>
              </w:rPr>
              <w:t>状态指示灯：</w:t>
            </w:r>
            <w:r>
              <w:rPr>
                <w:rFonts w:hint="eastAsia" w:ascii="宋体" w:hAnsi="宋体" w:eastAsia="宋体" w:cs="宋体"/>
              </w:rPr>
              <w:t>在产品显著位置提供状态指示功能，如运行状态，并由供应商提供详细参数；</w:t>
            </w:r>
            <w:r>
              <w:rPr>
                <w:rFonts w:hint="eastAsia" w:ascii="宋体" w:hAnsi="宋体" w:eastAsia="宋体" w:cs="宋体"/>
                <w:b/>
                <w:bCs/>
              </w:rPr>
              <w:t>整机结构：</w:t>
            </w:r>
            <w:r>
              <w:rPr>
                <w:rFonts w:hint="eastAsia" w:ascii="宋体" w:hAnsi="宋体" w:eastAsia="宋体" w:cs="宋体"/>
              </w:rPr>
              <w:t>a) 机箱应符合 GB/T 4208、GB/T 26246标准的相关规定；b) 产品内部结构应符合通用部件的安装需求；c) 所有输入输出接口应符合相关国家或行业标准；d) 产品零部件应紧固无松动，可插拔部件应可靠连接，开关、按钮和其它控制部件应灵活可靠，布局应方便使用；e) 所有 I/O 连接器及需插接线缆的部位应预留采购人操作空间，方便插拔解锁与插拔线缆；f) 可插拔板卡插槽部位应预留安装、拆卸或更换板卡空间；g) 拆装可能接触到的金属剪口或金属尖角部位应做防划伤处理，以保证安全；h) 整机内部走线应规整，固线结构和位置要合理可靠并做防割线处理，需便于理线和插拔操作，走线应不影响系统各主要部件组装和拆卸；i) 如需通过孔走线，过线孔应做防割线处理；j) 各插头位置和插拔方向应合理，应做到插拔无障碍设计，具备防呆设计，有效避免误操作；k) 各主要部件拆装无障碍，使用常规工具拆装，无特殊拆装工具需求；l) 各主要部件拆装步骤要少，各自拆装需避免相互干扰；m) 对于整机或零部件外表面为高亮面的，应粘贴保护膜，保护膜需粘贴牢固，运输、组装等过程不易脱落，撕下无残留；机箱应符合 GB/T 4208 中 IP20 防护要求；产品工作在空闲状态下，产品的声功率级应不超过 4.5 Bel；</w:t>
            </w:r>
            <w:r>
              <w:rPr>
                <w:rFonts w:hint="eastAsia" w:ascii="宋体" w:hAnsi="宋体" w:eastAsia="宋体" w:cs="宋体"/>
                <w:b/>
                <w:bCs/>
              </w:rPr>
              <w:t>整机散热在环境温度 25℃及处理器满载情况下，产品表面温度应符合如下要求：</w:t>
            </w:r>
            <w:r>
              <w:rPr>
                <w:rFonts w:hint="eastAsia" w:ascii="宋体" w:hAnsi="宋体" w:eastAsia="宋体" w:cs="宋体"/>
              </w:rPr>
              <w:t>a) 出风口在机箱后面板情况下，出风口温度不高于55℃；b) 可触及面温度不高于45℃；c) 显示器表面温度：显示屏不高于38℃，显示屏上下灯带位置温度（如涉及）不高于40℃，出风口温度不高于45℃；产品能效限定值应达到GB 28380-2012标准中能效等级 2 级及以上；机身材质：塑料/金属等；机身颜色：灰色/黑色等商务色系；机箱尺寸容量：机箱体积应不大于 30L；</w:t>
            </w:r>
          </w:p>
          <w:p>
            <w:pPr>
              <w:rPr>
                <w:rFonts w:hint="eastAsia" w:ascii="宋体" w:hAnsi="宋体" w:eastAsia="宋体" w:cs="宋体"/>
              </w:rPr>
            </w:pPr>
            <w:r>
              <w:rPr>
                <w:rFonts w:hint="eastAsia" w:ascii="宋体" w:hAnsi="宋体" w:eastAsia="宋体" w:cs="宋体"/>
                <w:b/>
                <w:bCs/>
              </w:rPr>
              <w:t>11</w:t>
            </w:r>
            <w:r>
              <w:rPr>
                <w:rFonts w:hint="eastAsia" w:ascii="宋体" w:hAnsi="宋体" w:cs="宋体"/>
                <w:b/>
                <w:bCs/>
                <w:lang w:val="en-US" w:eastAsia="zh-CN"/>
              </w:rPr>
              <w:t>.</w:t>
            </w:r>
            <w:r>
              <w:rPr>
                <w:rFonts w:hint="eastAsia" w:ascii="宋体" w:hAnsi="宋体" w:eastAsia="宋体" w:cs="宋体"/>
                <w:b/>
                <w:bCs/>
              </w:rPr>
              <w:t>电源：</w:t>
            </w:r>
            <w:r>
              <w:rPr>
                <w:rFonts w:hint="eastAsia" w:ascii="宋体" w:hAnsi="宋体" w:eastAsia="宋体" w:cs="宋体"/>
              </w:rPr>
              <w:t>功率≥200W；电源适配器电线组件应符合GB/T15934的要求，可拆线的插头和连接器可以不做要求。</w:t>
            </w:r>
          </w:p>
          <w:p>
            <w:pPr>
              <w:rPr>
                <w:rFonts w:hint="eastAsia" w:ascii="宋体" w:hAnsi="宋体" w:eastAsia="宋体" w:cs="宋体"/>
              </w:rPr>
            </w:pPr>
            <w:r>
              <w:rPr>
                <w:rFonts w:hint="eastAsia" w:ascii="宋体" w:hAnsi="宋体" w:eastAsia="宋体" w:cs="宋体"/>
              </w:rPr>
              <w:t>12、</w:t>
            </w:r>
            <w:r>
              <w:rPr>
                <w:rFonts w:hint="eastAsia" w:ascii="宋体" w:hAnsi="宋体" w:eastAsia="宋体" w:cs="宋体"/>
                <w:b/>
                <w:bCs/>
              </w:rPr>
              <w:t>操作系统及软件功能：提供的操作系统应符合安全可靠测评要求，通过政府有关部门指定的中国信息安全测评中心和国家保密科技测评中心网站查看安全可靠测评结果；预装的操作系统符合《操作系统政府采购需求标准》中加*指标要求。</w:t>
            </w:r>
            <w:r>
              <w:rPr>
                <w:rFonts w:hint="eastAsia" w:ascii="宋体" w:hAnsi="宋体" w:eastAsia="宋体" w:cs="宋体"/>
              </w:rPr>
              <w:t>中文信息处理要求符合 GB 18030 的相关规定；支持操作系统备份及还原功能；支持备份及还原固件的功能；操作系统及驱动升级支持通过网络、闪存盘等方式对操作系统、驱动进行升级；固件升级支持通过网络、闪存盘等方式对固件进行升级；支持 BIOS 关闭以太网及 USB 接口；支持查看固件版本、内存信息、主板信息、处理器信息和系统时间信息等功能；支持设置启动顺序功能，并按照设置的启动顺序启动；支持设置口令、修改口令、验证口令功能；支持网络引导启动和关闭功能。</w:t>
            </w:r>
          </w:p>
          <w:p>
            <w:pPr>
              <w:rPr>
                <w:rFonts w:hint="eastAsia" w:ascii="宋体" w:hAnsi="宋体" w:eastAsia="宋体" w:cs="宋体"/>
              </w:rPr>
            </w:pPr>
            <w:r>
              <w:rPr>
                <w:rFonts w:hint="eastAsia" w:ascii="宋体" w:hAnsi="宋体" w:eastAsia="宋体" w:cs="宋体"/>
                <w:b/>
                <w:bCs/>
              </w:rPr>
              <w:t>13</w:t>
            </w:r>
            <w:r>
              <w:rPr>
                <w:rFonts w:hint="eastAsia" w:ascii="宋体" w:hAnsi="宋体" w:cs="宋体"/>
                <w:b/>
                <w:bCs/>
                <w:lang w:val="en-US" w:eastAsia="zh-CN"/>
              </w:rPr>
              <w:t>.</w:t>
            </w:r>
            <w:r>
              <w:rPr>
                <w:rFonts w:hint="eastAsia" w:ascii="宋体" w:hAnsi="宋体" w:eastAsia="宋体" w:cs="宋体"/>
                <w:b/>
                <w:bCs/>
              </w:rPr>
              <w:t>服务要求：</w:t>
            </w:r>
            <w:r>
              <w:rPr>
                <w:rFonts w:hint="eastAsia" w:ascii="宋体" w:hAnsi="宋体" w:eastAsia="宋体" w:cs="宋体"/>
              </w:rPr>
              <w:t>配置检查工具：供应商提供自检测试工具；</w:t>
            </w:r>
            <w:r>
              <w:rPr>
                <w:rFonts w:hint="eastAsia" w:ascii="宋体" w:hAnsi="宋体" w:eastAsia="宋体" w:cs="宋体"/>
                <w:b/>
                <w:bCs/>
              </w:rPr>
              <w:t>服务响应：</w:t>
            </w:r>
            <w:r>
              <w:rPr>
                <w:rFonts w:hint="eastAsia" w:ascii="宋体" w:hAnsi="宋体" w:eastAsia="宋体" w:cs="宋体"/>
              </w:rPr>
              <w:t>a)供应商提供电话、电子邮件、远程连接等多种形式服务；b)供应商提供同城 4h、异地 12h 技术响应服务，2 个工作日解决问题，对于未能解决的问题和故障应提供可行的升级方案，并提供周转设备或更换设备；c)建立全国技术服务体系和服务团体，符合专业服务体系标准要求，提供原厂中文服务；</w:t>
            </w:r>
            <w:r>
              <w:rPr>
                <w:rFonts w:hint="eastAsia" w:ascii="宋体" w:hAnsi="宋体" w:eastAsia="宋体" w:cs="宋体"/>
                <w:b/>
                <w:bCs/>
              </w:rPr>
              <w:t>服务周期：</w:t>
            </w:r>
            <w:r>
              <w:rPr>
                <w:rFonts w:hint="eastAsia" w:ascii="宋体" w:hAnsi="宋体" w:eastAsia="宋体" w:cs="宋体"/>
              </w:rPr>
              <w:t>a) 设备停产后应继续提供质量保障服务（含备品备件），服务终止时间与最后一批设备交付时间间隔不低于6 年；b) 产品停止服务时间应提前 1 年告知；c) 应明确产品发布日期；d)服务周期内提供产品的维修、换件和升级服务；培训服务：供应商提供培训材料、产品手册、培训视频等培训相关内容；典型问题解决手册：供应商提供典型问题解决说明文档或视频；厂家升级软件与扩容服务：供应商提供上门升级部件/软件与扩容的增值服务；厂家升级软件与扩容服务：供应商提供上门升级部件/软件与扩容的增值服务；整机质量服务要求：</w:t>
            </w:r>
            <w:r>
              <w:rPr>
                <w:rFonts w:hint="eastAsia" w:ascii="宋体" w:hAnsi="宋体" w:eastAsia="宋体" w:cs="宋体"/>
                <w:b/>
                <w:bCs/>
              </w:rPr>
              <w:t>免费服务周期（含换件和维修）≥3年</w:t>
            </w:r>
            <w:r>
              <w:rPr>
                <w:rFonts w:hint="eastAsia" w:ascii="宋体" w:hAnsi="宋体" w:eastAsia="宋体" w:cs="宋体"/>
              </w:rPr>
              <w:t>；供应商提供产品合格证；供应商提供开箱组装/使用指导；供应商提供驱动光盘或下载方式；供应商提供兼容适配软件下载渠道（光盘、网站）；供应商保障产品主要部件，提供</w:t>
            </w:r>
            <w:r>
              <w:rPr>
                <w:rFonts w:hint="eastAsia" w:ascii="宋体" w:hAnsi="宋体" w:eastAsia="宋体" w:cs="宋体"/>
                <w:b/>
                <w:bCs/>
              </w:rPr>
              <w:t>≥</w:t>
            </w:r>
            <w:r>
              <w:rPr>
                <w:rFonts w:hint="eastAsia" w:ascii="宋体" w:hAnsi="宋体" w:eastAsia="宋体" w:cs="宋体"/>
              </w:rPr>
              <w:t>6年的备件服务能力（自购买之日起），或提供可兼容原设备的升级换代产品；当产品部件出现供应风险时，供应商应通知采购人并提供风险应对方案确保产品的服务保障；供应商提供供应链稳定承诺书，确保产品的部件在产品服务周期内稳定供货。</w:t>
            </w:r>
          </w:p>
          <w:p>
            <w:pPr>
              <w:rPr>
                <w:rFonts w:hint="eastAsia" w:ascii="宋体" w:hAnsi="宋体" w:eastAsia="宋体" w:cs="宋体"/>
              </w:rPr>
            </w:pPr>
            <w:r>
              <w:rPr>
                <w:rFonts w:hint="eastAsia" w:ascii="宋体" w:hAnsi="宋体" w:eastAsia="宋体" w:cs="宋体"/>
              </w:rPr>
              <w:t>14</w:t>
            </w:r>
            <w:r>
              <w:rPr>
                <w:rFonts w:hint="eastAsia" w:ascii="宋体" w:hAnsi="宋体" w:cs="宋体"/>
                <w:lang w:val="en-US" w:eastAsia="zh-CN"/>
              </w:rPr>
              <w:t>.</w:t>
            </w:r>
            <w:r>
              <w:rPr>
                <w:rFonts w:hint="eastAsia" w:ascii="宋体" w:hAnsi="宋体" w:eastAsia="宋体" w:cs="宋体"/>
                <w:b/>
                <w:bCs/>
              </w:rPr>
              <w:t>安全要求：</w:t>
            </w:r>
            <w:r>
              <w:rPr>
                <w:rFonts w:hint="eastAsia" w:ascii="宋体" w:hAnsi="宋体" w:eastAsia="宋体" w:cs="宋体"/>
              </w:rPr>
              <w:t>信息安全基本要求：a) 产品应符合GB/T 39276的5.2的规定；b) 生产厂商应建立漏洞跟踪表，保证产品版本涉及到的漏洞(如驱动程序等)可查看；c) 产品不得包含已知的恶意代码或漏洞，不存在未声明的指令、功能、接口；支持固件安全启动功能，固件启动过程中只有通过启动校验才能正常启动；限用物质的限量要求符合 GB/T 26572 中规定。</w:t>
            </w:r>
          </w:p>
          <w:p>
            <w:pP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rPr>
              <w:t>15</w:t>
            </w:r>
            <w:r>
              <w:rPr>
                <w:rFonts w:hint="eastAsia" w:ascii="宋体" w:hAnsi="宋体" w:cs="宋体"/>
                <w:lang w:val="en-US" w:eastAsia="zh-CN"/>
              </w:rPr>
              <w:t>.</w:t>
            </w:r>
            <w:r>
              <w:rPr>
                <w:rFonts w:hint="eastAsia" w:ascii="宋体" w:hAnsi="宋体" w:eastAsia="宋体" w:cs="宋体"/>
                <w:b/>
                <w:bCs/>
              </w:rPr>
              <w:t>其他要求：</w:t>
            </w:r>
            <w:r>
              <w:rPr>
                <w:rFonts w:hint="eastAsia" w:ascii="宋体" w:hAnsi="宋体" w:eastAsia="宋体" w:cs="宋体"/>
              </w:rPr>
              <w:t>环境条件要求的气候环境适应性、电磁兼容性要求的抗扰度、环境条件要求的振动适、环境条件要求的冲击适应性、环境条件要求的碰撞适应性、环境条件要求的运输包装件跌落适应性应性符合 GB/T 9813.1 中规定；MTBF测试：MTBF(m1)≥3 万小时；常用软件兼容：支持流式软件、版式软件、浏览器、邮件采购人端、解压软件、多媒体、图形图像处理等常用软件；数据库兼容：兼容3个及以上厂商的数据库产品（</w:t>
            </w:r>
            <w:r>
              <w:rPr>
                <w:rFonts w:hint="eastAsia" w:ascii="宋体" w:hAnsi="宋体" w:eastAsia="宋体" w:cs="宋体"/>
                <w:b/>
                <w:bCs/>
              </w:rPr>
              <w:t>供应商出具说明</w:t>
            </w:r>
            <w:r>
              <w:rPr>
                <w:rFonts w:hint="eastAsia" w:ascii="宋体" w:hAnsi="宋体" w:eastAsia="宋体" w:cs="宋体"/>
              </w:rPr>
              <w:t>）；中间件兼容：兼容3个及以上厂商中间件产品（</w:t>
            </w:r>
            <w:r>
              <w:rPr>
                <w:rFonts w:hint="eastAsia" w:ascii="宋体" w:hAnsi="宋体" w:eastAsia="宋体" w:cs="宋体"/>
                <w:b/>
                <w:bCs/>
              </w:rPr>
              <w:t>供应商出具说明</w:t>
            </w:r>
            <w:r>
              <w:rPr>
                <w:rFonts w:hint="eastAsia" w:ascii="宋体" w:hAnsi="宋体" w:eastAsia="宋体" w:cs="宋体"/>
              </w:rPr>
              <w:t>）；平台软件兼容：兼容3个及以上厂商云计算及大数据平台（</w:t>
            </w:r>
            <w:r>
              <w:rPr>
                <w:rFonts w:hint="eastAsia" w:ascii="宋体" w:hAnsi="宋体" w:eastAsia="宋体" w:cs="宋体"/>
                <w:b/>
                <w:bCs/>
              </w:rPr>
              <w:t>供应商出具说明</w:t>
            </w:r>
            <w:r>
              <w:rPr>
                <w:rFonts w:hint="eastAsia" w:ascii="宋体" w:hAnsi="宋体" w:eastAsia="宋体" w:cs="宋体"/>
              </w:rPr>
              <w:t>）；标志、包装、运输和贮存：符合 GB/T 9813.1 和商品包装政府采购需求标准的相关规定。</w:t>
            </w:r>
          </w:p>
        </w:tc>
        <w:tc>
          <w:tcPr>
            <w:tcW w:w="81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jc w:val="center"/>
              <w:textAlignment w:val="center"/>
              <w:rPr>
                <w:rFonts w:hint="default"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w:t>
            </w:r>
            <w:r>
              <w:rPr>
                <w:rFonts w:hint="eastAsia" w:ascii="宋体" w:hAnsi="宋体" w:cs="宋体"/>
                <w:color w:val="000000" w:themeColor="text1"/>
                <w:kern w:val="0"/>
                <w:sz w:val="21"/>
                <w:szCs w:val="21"/>
                <w:lang w:val="en-US" w:eastAsia="zh-CN" w:bidi="ar"/>
                <w14:textFill>
                  <w14:solidFill>
                    <w14:schemeClr w14:val="tx1"/>
                  </w14:solidFill>
                </w14:textFill>
              </w:rPr>
              <w:t>331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cs="宋体"/>
                <w:color w:val="000000" w:themeColor="text1"/>
                <w:kern w:val="0"/>
                <w:sz w:val="21"/>
                <w:szCs w:val="21"/>
                <w:lang w:val="en-US" w:eastAsia="zh-CN" w:bidi="ar"/>
                <w14:textFill>
                  <w14:solidFill>
                    <w14:schemeClr w14:val="tx1"/>
                  </w14:solidFill>
                </w14:textFill>
              </w:rPr>
              <w:t>94</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bidi="ar"/>
                <w14:textFill>
                  <w14:solidFill>
                    <w14:schemeClr w14:val="tx1"/>
                  </w14:solidFill>
                </w14:textFill>
              </w:rPr>
              <w:t>4331.94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534"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40</w:t>
            </w:r>
          </w:p>
        </w:tc>
        <w:tc>
          <w:tcPr>
            <w:tcW w:w="96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无线投屏器</w:t>
            </w:r>
          </w:p>
        </w:tc>
        <w:tc>
          <w:tcPr>
            <w:tcW w:w="5309" w:type="dxa"/>
            <w:noWrap/>
            <w:vAlign w:val="center"/>
          </w:tcPr>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发射端：HDMI</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接收端：HDMI</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1,VGZ</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1,3.5mm音频</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分辨率：</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1080P/60Hz</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频率范围：5150-5250MHz</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5725-5850MHz</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数字音频采样率：24bit48kHz</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传输距离：</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50米（空旷无遮挡）</w:t>
            </w:r>
            <w:r>
              <w:rPr>
                <w:rFonts w:hint="eastAsia" w:ascii="宋体" w:hAnsi="宋体" w:eastAsia="宋体" w:cs="宋体"/>
                <w:color w:val="000000" w:themeColor="text1"/>
                <w:kern w:val="0"/>
                <w:sz w:val="21"/>
                <w:szCs w:val="21"/>
                <w:lang w:eastAsia="zh-CN" w:bidi="ar"/>
                <w14:textFill>
                  <w14:solidFill>
                    <w14:schemeClr w14:val="tx1"/>
                  </w14:solidFill>
                </w14:textFill>
              </w:rPr>
              <w:t>。</w:t>
            </w:r>
          </w:p>
        </w:tc>
        <w:tc>
          <w:tcPr>
            <w:tcW w:w="81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套</w:t>
            </w:r>
          </w:p>
        </w:tc>
        <w:tc>
          <w:tcPr>
            <w:tcW w:w="99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573.1</w:t>
            </w:r>
            <w:r>
              <w:rPr>
                <w:rFonts w:hint="eastAsia" w:ascii="宋体" w:hAnsi="宋体" w:eastAsia="宋体" w:cs="宋体"/>
                <w:color w:val="000000" w:themeColor="text1"/>
                <w:kern w:val="0"/>
                <w:sz w:val="21"/>
                <w:szCs w:val="21"/>
                <w:lang w:val="en-US" w:eastAsia="zh-CN" w:bidi="ar"/>
                <w14:textFill>
                  <w14:solidFill>
                    <w14:schemeClr w14:val="tx1"/>
                  </w14:solidFill>
                </w14:textFill>
              </w:rPr>
              <w:t>0</w:t>
            </w:r>
          </w:p>
        </w:tc>
        <w:tc>
          <w:tcPr>
            <w:tcW w:w="1486"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573.1</w:t>
            </w:r>
            <w:r>
              <w:rPr>
                <w:rFonts w:hint="eastAsia" w:ascii="宋体" w:hAnsi="宋体" w:eastAsia="宋体" w:cs="宋体"/>
                <w:color w:val="000000" w:themeColor="text1"/>
                <w:kern w:val="0"/>
                <w:sz w:val="21"/>
                <w:szCs w:val="21"/>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0449" w:type="dxa"/>
            <w:gridSpan w:val="7"/>
            <w:noWrap/>
            <w:vAlign w:val="center"/>
          </w:tcPr>
          <w:p>
            <w:pPr>
              <w:widowControl/>
              <w:jc w:val="left"/>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1.4配套及其它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534"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w:t>
            </w:r>
            <w:r>
              <w:rPr>
                <w:rFonts w:hint="eastAsia" w:ascii="宋体" w:hAnsi="宋体" w:eastAsia="宋体" w:cs="宋体"/>
                <w:color w:val="000000" w:themeColor="text1"/>
                <w:kern w:val="0"/>
                <w:sz w:val="21"/>
                <w:szCs w:val="21"/>
                <w:lang w:val="en-US" w:eastAsia="zh-CN" w:bidi="ar"/>
                <w14:textFill>
                  <w14:solidFill>
                    <w14:schemeClr w14:val="tx1"/>
                  </w14:solidFill>
                </w14:textFill>
              </w:rPr>
              <w:t>1</w:t>
            </w:r>
          </w:p>
        </w:tc>
        <w:tc>
          <w:tcPr>
            <w:tcW w:w="96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配电箱</w:t>
            </w:r>
          </w:p>
        </w:tc>
        <w:tc>
          <w:tcPr>
            <w:tcW w:w="5309" w:type="dxa"/>
            <w:noWrap/>
            <w:vAlign w:val="center"/>
          </w:tcPr>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定制,功率不低于20KW</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采用远程控制设计，智能控制系统，具有手动，自动，定时控制功能；</w:t>
            </w:r>
          </w:p>
          <w:p>
            <w:pPr>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具备过流欠压等现场异常报警功能，远程监控确保显示屏供电安全</w:t>
            </w:r>
            <w:r>
              <w:rPr>
                <w:rFonts w:hint="eastAsia" w:ascii="宋体" w:hAnsi="宋体" w:eastAsia="宋体" w:cs="宋体"/>
                <w:color w:val="000000" w:themeColor="text1"/>
                <w:kern w:val="0"/>
                <w:sz w:val="21"/>
                <w:szCs w:val="21"/>
                <w:lang w:eastAsia="zh-CN" w:bidi="ar"/>
                <w14:textFill>
                  <w14:solidFill>
                    <w14:schemeClr w14:val="tx1"/>
                  </w14:solidFill>
                </w14:textFill>
              </w:rPr>
              <w:t>。</w:t>
            </w:r>
          </w:p>
        </w:tc>
        <w:tc>
          <w:tcPr>
            <w:tcW w:w="81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个</w:t>
            </w:r>
          </w:p>
        </w:tc>
        <w:tc>
          <w:tcPr>
            <w:tcW w:w="990" w:type="dxa"/>
            <w:noWrap/>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w:t>
            </w:r>
            <w:r>
              <w:rPr>
                <w:rFonts w:hint="eastAsia" w:ascii="宋体" w:hAnsi="宋体" w:cs="宋体"/>
                <w:color w:val="000000" w:themeColor="text1"/>
                <w:kern w:val="0"/>
                <w:sz w:val="21"/>
                <w:szCs w:val="21"/>
                <w:lang w:val="en-US" w:eastAsia="zh-CN" w:bidi="ar"/>
                <w14:textFill>
                  <w14:solidFill>
                    <w14:schemeClr w14:val="tx1"/>
                  </w14:solidFill>
                </w14:textFill>
              </w:rPr>
              <w:t>644.92</w:t>
            </w:r>
          </w:p>
        </w:tc>
        <w:tc>
          <w:tcPr>
            <w:tcW w:w="1486"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w:t>
            </w:r>
            <w:r>
              <w:rPr>
                <w:rFonts w:hint="eastAsia" w:ascii="宋体" w:hAnsi="宋体" w:cs="宋体"/>
                <w:color w:val="000000" w:themeColor="text1"/>
                <w:kern w:val="0"/>
                <w:sz w:val="21"/>
                <w:szCs w:val="21"/>
                <w:lang w:val="en-US" w:eastAsia="zh-CN" w:bidi="ar"/>
                <w14:textFill>
                  <w14:solidFill>
                    <w14:schemeClr w14:val="tx1"/>
                  </w14:solidFill>
                </w14:textFill>
              </w:rPr>
              <w:t>644.92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0449" w:type="dxa"/>
            <w:gridSpan w:val="7"/>
            <w:noWrap/>
            <w:vAlign w:val="center"/>
          </w:tcPr>
          <w:p>
            <w:pPr>
              <w:widowControl/>
              <w:jc w:val="left"/>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b/>
                <w:bCs/>
                <w:color w:val="000000" w:themeColor="text1"/>
                <w:kern w:val="0"/>
                <w:sz w:val="21"/>
                <w:szCs w:val="21"/>
                <w:lang w:bidi="ar"/>
                <w14:textFill>
                  <w14:solidFill>
                    <w14:schemeClr w14:val="tx1"/>
                  </w14:solidFill>
                </w14:textFill>
              </w:rPr>
              <w:t>2、开放式办公区LED显示系统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0449" w:type="dxa"/>
            <w:gridSpan w:val="7"/>
            <w:noWrap/>
            <w:vAlign w:val="center"/>
          </w:tcPr>
          <w:p>
            <w:pPr>
              <w:widowControl/>
              <w:jc w:val="left"/>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1.1 主屏体部分（显示屏尺寸：3.84m</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1.92m=7.37m²）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534"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42</w:t>
            </w:r>
          </w:p>
        </w:tc>
        <w:tc>
          <w:tcPr>
            <w:tcW w:w="96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LED显示单元</w:t>
            </w:r>
          </w:p>
        </w:tc>
        <w:tc>
          <w:tcPr>
            <w:tcW w:w="5309" w:type="dxa"/>
            <w:noWrap/>
            <w:vAlign w:val="center"/>
          </w:tcPr>
          <w:p>
            <w:pPr>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显示屏面积：宽3.84</w:t>
            </w:r>
            <w:r>
              <w:rPr>
                <w:rFonts w:hint="eastAsia" w:ascii="宋体" w:hAnsi="宋体" w:cs="宋体"/>
                <w:color w:val="000000" w:themeColor="text1"/>
                <w:kern w:val="0"/>
                <w:sz w:val="21"/>
                <w:szCs w:val="21"/>
                <w:lang w:val="en-US" w:eastAsia="zh-CN" w:bidi="ar"/>
                <w14:textFill>
                  <w14:solidFill>
                    <w14:schemeClr w14:val="tx1"/>
                  </w14:solidFill>
                </w14:textFill>
              </w:rPr>
              <w:t>m</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高1.92</w:t>
            </w:r>
            <w:r>
              <w:rPr>
                <w:rFonts w:hint="eastAsia" w:ascii="宋体" w:hAnsi="宋体" w:cs="宋体"/>
                <w:color w:val="000000" w:themeColor="text1"/>
                <w:kern w:val="0"/>
                <w:sz w:val="21"/>
                <w:szCs w:val="21"/>
                <w:lang w:val="en-US" w:eastAsia="zh-CN" w:bidi="ar"/>
                <w14:textFill>
                  <w14:solidFill>
                    <w14:schemeClr w14:val="tx1"/>
                  </w14:solidFill>
                </w14:textFill>
              </w:rPr>
              <w:t>m</w:t>
            </w:r>
            <w:r>
              <w:rPr>
                <w:rFonts w:hint="eastAsia" w:ascii="宋体" w:hAnsi="宋体" w:eastAsia="宋体" w:cs="宋体"/>
                <w:color w:val="000000" w:themeColor="text1"/>
                <w:kern w:val="0"/>
                <w:sz w:val="21"/>
                <w:szCs w:val="21"/>
                <w:lang w:bidi="ar"/>
                <w14:textFill>
                  <w14:solidFill>
                    <w14:schemeClr w14:val="tx1"/>
                  </w14:solidFill>
                </w14:textFill>
              </w:rPr>
              <w:t>=7.37㎡;</w:t>
            </w:r>
          </w:p>
          <w:p>
            <w:pPr>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整屏分辨率：2064</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1032=2130048点</w:t>
            </w:r>
          </w:p>
          <w:p>
            <w:pPr>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1.像素点间距：≤1.86mm；</w:t>
            </w:r>
          </w:p>
          <w:p>
            <w:pPr>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2.模组尺寸：320mm</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160mm</w:t>
            </w:r>
            <w:r>
              <w:rPr>
                <w:rFonts w:hint="eastAsia" w:ascii="宋体" w:hAnsi="宋体" w:cs="宋体"/>
                <w:color w:val="000000" w:themeColor="text1"/>
                <w:kern w:val="0"/>
                <w:szCs w:val="21"/>
                <w:lang w:bidi="ar"/>
                <w14:textFill>
                  <w14:solidFill>
                    <w14:schemeClr w14:val="tx1"/>
                  </w14:solidFill>
                </w14:textFill>
              </w:rPr>
              <w:t>（±</w:t>
            </w:r>
            <w:r>
              <w:rPr>
                <w:rFonts w:ascii="宋体" w:hAnsi="宋体" w:cs="宋体"/>
                <w:color w:val="000000" w:themeColor="text1"/>
                <w:kern w:val="0"/>
                <w:szCs w:val="21"/>
                <w:lang w:bidi="ar"/>
                <w14:textFill>
                  <w14:solidFill>
                    <w14:schemeClr w14:val="tx1"/>
                  </w14:solidFill>
                </w14:textFill>
              </w:rPr>
              <w:t>2mm</w:t>
            </w:r>
            <w:r>
              <w:rPr>
                <w:rFonts w:hint="eastAsia" w:ascii="宋体" w:hAnsi="宋体" w:cs="宋体"/>
                <w:color w:val="000000" w:themeColor="text1"/>
                <w:kern w:val="0"/>
                <w:szCs w:val="21"/>
                <w:lang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3.像素密度：≥289000点/平方,；</w:t>
            </w:r>
          </w:p>
          <w:p>
            <w:pPr>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4.水平/垂直相对偏差：≤1%；</w:t>
            </w:r>
          </w:p>
          <w:p>
            <w:pPr>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5.屏幕峰值功耗≤550W/㎡；</w:t>
            </w:r>
          </w:p>
          <w:p>
            <w:pPr>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6.白平衡亮度：≥600cd/㎡；</w:t>
            </w:r>
          </w:p>
          <w:p>
            <w:pPr>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7.视角：水平/垂直视角≥160°；</w:t>
            </w:r>
          </w:p>
          <w:p>
            <w:pPr>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8.灰度等级：≥14bit；</w:t>
            </w:r>
          </w:p>
          <w:p>
            <w:pPr>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9.色温：2000K－10000K可调；</w:t>
            </w:r>
          </w:p>
          <w:p>
            <w:pPr>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10.换帧频率：≥60Hz，支持3D显示技术；</w:t>
            </w:r>
          </w:p>
          <w:p>
            <w:pPr>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11.最高对比度：10000：1；</w:t>
            </w:r>
          </w:p>
          <w:p>
            <w:pPr>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12.色域≥120%NTSC；</w:t>
            </w:r>
          </w:p>
          <w:p>
            <w:pPr>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13.平整度：≤0.1mm；</w:t>
            </w:r>
          </w:p>
          <w:p>
            <w:pPr>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14.亮度均匀性：≥99%；</w:t>
            </w:r>
          </w:p>
          <w:p>
            <w:pPr>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15.像素失控率：≤1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10-5，无连续失控点；</w:t>
            </w:r>
          </w:p>
          <w:p>
            <w:pPr>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16.支持单点(逐点)亮度/色度校正,支持出厂校正及现场校正；</w:t>
            </w:r>
          </w:p>
        </w:tc>
        <w:tc>
          <w:tcPr>
            <w:tcW w:w="81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7.37</w:t>
            </w:r>
          </w:p>
        </w:tc>
        <w:tc>
          <w:tcPr>
            <w:tcW w:w="36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平方</w:t>
            </w:r>
          </w:p>
        </w:tc>
        <w:tc>
          <w:tcPr>
            <w:tcW w:w="990" w:type="dxa"/>
            <w:noWrap/>
            <w:vAlign w:val="center"/>
          </w:tcPr>
          <w:p>
            <w:pPr>
              <w:jc w:val="center"/>
              <w:textAlignment w:val="center"/>
              <w:rPr>
                <w:rFonts w:hint="default"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5276.</w:t>
            </w:r>
            <w:r>
              <w:rPr>
                <w:rFonts w:hint="eastAsia" w:ascii="宋体" w:hAnsi="宋体" w:cs="宋体"/>
                <w:color w:val="000000" w:themeColor="text1"/>
                <w:kern w:val="0"/>
                <w:sz w:val="21"/>
                <w:szCs w:val="21"/>
                <w:lang w:val="en-US" w:eastAsia="zh-CN" w:bidi="ar"/>
                <w14:textFill>
                  <w14:solidFill>
                    <w14:schemeClr w14:val="tx1"/>
                  </w14:solidFill>
                </w14:textFill>
              </w:rPr>
              <w:t>00</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3888</w:t>
            </w:r>
            <w:r>
              <w:rPr>
                <w:rFonts w:hint="eastAsia" w:ascii="宋体" w:hAnsi="宋体" w:cs="宋体"/>
                <w:color w:val="000000" w:themeColor="text1"/>
                <w:kern w:val="0"/>
                <w:sz w:val="21"/>
                <w:szCs w:val="21"/>
                <w:lang w:val="en-US" w:eastAsia="zh-CN"/>
                <w14:textFill>
                  <w14:solidFill>
                    <w14:schemeClr w14:val="tx1"/>
                  </w14:solidFill>
                </w14:textFill>
              </w:rPr>
              <w:t>4</w:t>
            </w:r>
            <w:r>
              <w:rPr>
                <w:rFonts w:hint="eastAsia" w:ascii="宋体" w:hAnsi="宋体" w:eastAsia="宋体" w:cs="宋体"/>
                <w:color w:val="000000" w:themeColor="text1"/>
                <w:kern w:val="0"/>
                <w:sz w:val="21"/>
                <w:szCs w:val="21"/>
                <w:lang w:val="en-US" w:eastAsia="zh-CN"/>
                <w14:textFill>
                  <w14:solidFill>
                    <w14:schemeClr w14:val="tx1"/>
                  </w14:solidFill>
                </w14:textFill>
              </w:rPr>
              <w:t>.</w:t>
            </w:r>
            <w:r>
              <w:rPr>
                <w:rFonts w:hint="eastAsia" w:ascii="宋体" w:hAnsi="宋体" w:cs="宋体"/>
                <w:color w:val="000000" w:themeColor="text1"/>
                <w:kern w:val="0"/>
                <w:sz w:val="21"/>
                <w:szCs w:val="21"/>
                <w:lang w:val="en-US" w:eastAsia="zh-CN"/>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534"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w:t>
            </w:r>
            <w:r>
              <w:rPr>
                <w:rFonts w:hint="eastAsia" w:ascii="宋体" w:hAnsi="宋体" w:eastAsia="宋体" w:cs="宋体"/>
                <w:color w:val="000000" w:themeColor="text1"/>
                <w:kern w:val="0"/>
                <w:sz w:val="21"/>
                <w:szCs w:val="21"/>
                <w:lang w:val="en-US" w:eastAsia="zh-CN" w:bidi="ar"/>
                <w14:textFill>
                  <w14:solidFill>
                    <w14:schemeClr w14:val="tx1"/>
                  </w14:solidFill>
                </w14:textFill>
              </w:rPr>
              <w:t>3</w:t>
            </w:r>
          </w:p>
        </w:tc>
        <w:tc>
          <w:tcPr>
            <w:tcW w:w="96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接收卡</w:t>
            </w:r>
          </w:p>
        </w:tc>
        <w:tc>
          <w:tcPr>
            <w:tcW w:w="5309" w:type="dxa"/>
            <w:noWrap/>
            <w:vAlign w:val="center"/>
          </w:tcPr>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支持逐点亮色度校正，配合软件和相机，对每个灯点的亮度和色度进行校正</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支持快速亮暗线调节，用来消除灯板与灯板、箱体与箱体之间的缝隙</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支持3D功能，配合支持3D功能的控制器，,开启3D功能，设置3D参数，使显示屏播放画面显示3D效果</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超大带载：</w:t>
            </w:r>
            <w:r>
              <w:rPr>
                <w:rFonts w:hint="eastAsia" w:ascii="宋体" w:hAnsi="宋体" w:cs="宋体"/>
                <w:color w:val="000000" w:themeColor="text1"/>
                <w:kern w:val="0"/>
                <w:szCs w:val="21"/>
                <w:lang w:bidi="ar"/>
                <w14:textFill>
                  <w14:solidFill>
                    <w14:schemeClr w14:val="tx1"/>
                  </w14:solidFill>
                </w14:textFill>
              </w:rPr>
              <w:t>自带</w:t>
            </w:r>
            <w:r>
              <w:rPr>
                <w:rFonts w:hint="eastAsia"/>
              </w:rPr>
              <w:t>至少</w:t>
            </w:r>
            <w:r>
              <w:rPr>
                <w:rFonts w:hint="eastAsia" w:ascii="宋体" w:hAnsi="宋体" w:eastAsia="宋体" w:cs="宋体"/>
              </w:rPr>
              <w:t>12个</w:t>
            </w:r>
            <w:r>
              <w:rPr>
                <w:rFonts w:hint="eastAsia"/>
              </w:rPr>
              <w:t>以上</w:t>
            </w:r>
            <w:r>
              <w:rPr>
                <w:rFonts w:hint="eastAsia" w:ascii="宋体" w:hAnsi="宋体" w:cs="宋体"/>
                <w:color w:val="000000" w:themeColor="text1"/>
                <w:kern w:val="0"/>
                <w:szCs w:val="21"/>
                <w:lang w:bidi="ar"/>
                <w14:textFill>
                  <w14:solidFill>
                    <w14:schemeClr w14:val="tx1"/>
                  </w14:solidFill>
                </w14:textFill>
              </w:rPr>
              <w:t>HUB75接口</w:t>
            </w:r>
            <w:r>
              <w:rPr>
                <w:rFonts w:hint="eastAsia" w:ascii="宋体" w:hAnsi="宋体" w:eastAsia="宋体" w:cs="宋体"/>
                <w:color w:val="000000" w:themeColor="text1"/>
                <w:kern w:val="0"/>
                <w:sz w:val="21"/>
                <w:szCs w:val="21"/>
                <w:lang w:bidi="ar"/>
                <w14:textFill>
                  <w14:solidFill>
                    <w14:schemeClr w14:val="tx1"/>
                  </w14:solidFill>
                </w14:textFill>
              </w:rPr>
              <w:t>，最大支持带载512×512；</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支持Mapping功能，启用Mapping功能后，目标箱体上会显示接收卡编号和网口信息，可以清晰获取接收卡的位置和走线方式</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支持接收卡预存画面设置，可以将指定图片设置为显示屏的开机画面、网线断开或无视频源信号时的画面</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支持温度和电压监测，可以监测自身的温度和电压，无需其他外设，在软件端可以查看接收卡的温度和电压</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8</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支持液晶模块，5pin液晶模块用于显示接收卡的温度、电压、单次运行时间和总运行时间</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9</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误码率监测，配合LCT软件，接收卡之间通讯时，监测传输链路上的数据丢包情况</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10</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支持固件程序回读，在LCT软件上可以回读接收卡的固件程序并保存到本地</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支持配置参数回读，在LCT软件上可以回读接收卡配置参数并保存到本地</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通过主备冗余机制增加接收卡串联的可靠性。主备串联线路中，当其中一条线路出现故障时，另一条线路会即时工作，保证显示屏正常工作</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13</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支持通过LCT软件在接收卡上保存两份接收卡配置参数，其中一份作为备份参数</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14</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接收卡支持出厂时保存了两份应用程序，以防程序更新异常导致的升级卡死。</w:t>
            </w:r>
          </w:p>
        </w:tc>
        <w:tc>
          <w:tcPr>
            <w:tcW w:w="81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套</w:t>
            </w:r>
          </w:p>
        </w:tc>
        <w:tc>
          <w:tcPr>
            <w:tcW w:w="990" w:type="dxa"/>
            <w:noWrap/>
            <w:vAlign w:val="center"/>
          </w:tcPr>
          <w:p>
            <w:pPr>
              <w:jc w:val="center"/>
              <w:textAlignment w:val="center"/>
              <w:rPr>
                <w:rFonts w:hint="default"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 w:val="21"/>
                <w:szCs w:val="21"/>
                <w:lang w:val="en-US" w:eastAsia="zh-CN" w:bidi="ar"/>
                <w14:textFill>
                  <w14:solidFill>
                    <w14:schemeClr w14:val="tx1"/>
                  </w14:solidFill>
                </w14:textFill>
              </w:rPr>
              <w:t>6499.47</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bidi="ar"/>
                <w14:textFill>
                  <w14:solidFill>
                    <w14:schemeClr w14:val="tx1"/>
                  </w14:solidFill>
                </w14:textFill>
              </w:rPr>
              <w:t>6499.47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534"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w:t>
            </w:r>
            <w:r>
              <w:rPr>
                <w:rFonts w:hint="eastAsia" w:ascii="宋体" w:hAnsi="宋体" w:eastAsia="宋体" w:cs="宋体"/>
                <w:color w:val="000000" w:themeColor="text1"/>
                <w:kern w:val="0"/>
                <w:sz w:val="21"/>
                <w:szCs w:val="21"/>
                <w:lang w:val="en-US" w:eastAsia="zh-CN" w:bidi="ar"/>
                <w14:textFill>
                  <w14:solidFill>
                    <w14:schemeClr w14:val="tx1"/>
                  </w14:solidFill>
                </w14:textFill>
              </w:rPr>
              <w:t>4</w:t>
            </w:r>
          </w:p>
        </w:tc>
        <w:tc>
          <w:tcPr>
            <w:tcW w:w="96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电源</w:t>
            </w:r>
          </w:p>
        </w:tc>
        <w:tc>
          <w:tcPr>
            <w:tcW w:w="5309" w:type="dxa"/>
            <w:noWrap/>
            <w:vAlign w:val="center"/>
          </w:tcPr>
          <w:p>
            <w:pPr>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额定输入电压：200VAC；带载40A</w:t>
            </w:r>
            <w:r>
              <w:rPr>
                <w:rFonts w:hint="eastAsia" w:ascii="宋体" w:hAnsi="宋体" w:eastAsia="宋体" w:cs="宋体"/>
                <w:color w:val="000000" w:themeColor="text1"/>
                <w:kern w:val="0"/>
                <w:sz w:val="21"/>
                <w:szCs w:val="21"/>
                <w:lang w:eastAsia="zh-CN" w:bidi="ar"/>
                <w14:textFill>
                  <w14:solidFill>
                    <w14:schemeClr w14:val="tx1"/>
                  </w14:solidFill>
                </w14:textFill>
              </w:rPr>
              <w:t>。</w:t>
            </w:r>
          </w:p>
        </w:tc>
        <w:tc>
          <w:tcPr>
            <w:tcW w:w="81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套</w:t>
            </w:r>
          </w:p>
        </w:tc>
        <w:tc>
          <w:tcPr>
            <w:tcW w:w="990" w:type="dxa"/>
            <w:noWrap/>
            <w:vAlign w:val="center"/>
          </w:tcPr>
          <w:p>
            <w:pPr>
              <w:jc w:val="center"/>
              <w:textAlignment w:val="center"/>
              <w:rPr>
                <w:rFonts w:hint="default"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 w:val="21"/>
                <w:szCs w:val="21"/>
                <w:lang w:val="en-US" w:eastAsia="zh-CN" w:bidi="ar"/>
                <w14:textFill>
                  <w14:solidFill>
                    <w14:schemeClr w14:val="tx1"/>
                  </w14:solidFill>
                </w14:textFill>
              </w:rPr>
              <w:t>3257.3</w:t>
            </w:r>
          </w:p>
        </w:tc>
        <w:tc>
          <w:tcPr>
            <w:tcW w:w="1486"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bidi="ar"/>
                <w14:textFill>
                  <w14:solidFill>
                    <w14:schemeClr w14:val="tx1"/>
                  </w14:solidFill>
                </w14:textFill>
              </w:rPr>
              <w:t>3257.3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w:t>
            </w:r>
            <w:r>
              <w:rPr>
                <w:rFonts w:hint="eastAsia" w:ascii="宋体" w:hAnsi="宋体" w:eastAsia="宋体" w:cs="宋体"/>
                <w:color w:val="000000" w:themeColor="text1"/>
                <w:kern w:val="0"/>
                <w:sz w:val="21"/>
                <w:szCs w:val="21"/>
                <w:lang w:val="en-US" w:eastAsia="zh-CN" w:bidi="ar"/>
                <w14:textFill>
                  <w14:solidFill>
                    <w14:schemeClr w14:val="tx1"/>
                  </w14:solidFill>
                </w14:textFill>
              </w:rPr>
              <w:t>5</w:t>
            </w:r>
          </w:p>
        </w:tc>
        <w:tc>
          <w:tcPr>
            <w:tcW w:w="96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视频处理器</w:t>
            </w:r>
          </w:p>
        </w:tc>
        <w:tc>
          <w:tcPr>
            <w:tcW w:w="5309" w:type="dxa"/>
            <w:noWrap/>
            <w:vAlign w:val="center"/>
          </w:tcPr>
          <w:p>
            <w:pPr>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1.支持常见的视频接口，HDMI1.3≥2路，DVI≥1路；</w:t>
            </w:r>
          </w:p>
          <w:p>
            <w:pPr>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2.支持HDMI，DVI输入分辨率自定义调节；</w:t>
            </w:r>
          </w:p>
          <w:p>
            <w:pPr>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3.视频输出支持至少6个以上千兆网口输出，最大带载高达390万像素；</w:t>
            </w:r>
          </w:p>
          <w:p>
            <w:pPr>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4.无需电脑，支持通过设备旋转按钮快捷配屏和高级配屏功能点亮屏体；</w:t>
            </w:r>
          </w:p>
          <w:p>
            <w:pPr>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5.支持设备备份和网口备份，设备故障或网线故障时保证屏体运行过程正常无问题；</w:t>
            </w:r>
          </w:p>
          <w:p>
            <w:pPr>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6.无需电脑，可通过旋转按钮一键调节屏体亮度调节；</w:t>
            </w:r>
          </w:p>
          <w:p>
            <w:pPr>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7.无需电脑，支持一键将优先级最低的窗口全屏自动缩放；</w:t>
            </w:r>
          </w:p>
          <w:p>
            <w:pPr>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8.支持创建至少10个</w:t>
            </w:r>
            <w:r>
              <w:rPr>
                <w:rFonts w:hint="eastAsia"/>
              </w:rPr>
              <w:t>以上</w:t>
            </w:r>
            <w:r>
              <w:rPr>
                <w:rFonts w:hint="eastAsia" w:ascii="宋体" w:hAnsi="宋体" w:cs="宋体"/>
                <w:color w:val="000000" w:themeColor="text1"/>
                <w:kern w:val="0"/>
                <w:szCs w:val="21"/>
                <w:lang w:bidi="ar"/>
                <w14:textFill>
                  <w14:solidFill>
                    <w14:schemeClr w14:val="tx1"/>
                  </w14:solidFill>
                </w14:textFill>
              </w:rPr>
              <w:t>用户场景作为模板保存，方便快速调用；</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9.支持选择HDMI输入源或DVI源作为同步信号，达到输出的场级同步</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10.支持3图层+1路OSD</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11.发送卡和视频处理器二合一，连线更加少，稳定性兼容性大大提升</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12.液晶面板可实时显示，型号，ip地址，窗口及信号源的分辨率以及状态信息，输出网口的状态，屏幕大小及帧频信息，设备同步模式展示，USB连接或网线连接状态，屏体亮度</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13.主界面下，按下旋钮进入菜单操作界面。菜单操作界面下，旋转旋钮选择菜单，按下旋钮选定当前菜单或者进入子菜单。选定带有参数的菜单后</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14.可以通过旋转旋钮调节参数，调节完成后需要再次按下旋钮进行确认</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15.支持通过中控控制</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16.设备支持逐点亮度校正，可以对每个灯点的亮度和色度进行校正，有效消除色差，使整屏的亮度和色度达到高度均句一致，提高显示屏的画质配合多功能卡，可实现屏体手动控制，自动控制，以及软件控制，灵活简单</w:t>
            </w:r>
            <w:r>
              <w:rPr>
                <w:rFonts w:hint="eastAsia" w:ascii="宋体" w:hAnsi="宋体" w:eastAsia="宋体" w:cs="宋体"/>
                <w:color w:val="000000" w:themeColor="text1"/>
                <w:kern w:val="0"/>
                <w:sz w:val="21"/>
                <w:szCs w:val="21"/>
                <w:lang w:eastAsia="zh-CN" w:bidi="ar"/>
                <w14:textFill>
                  <w14:solidFill>
                    <w14:schemeClr w14:val="tx1"/>
                  </w14:solidFill>
                </w14:textFill>
              </w:rPr>
              <w:t>。</w:t>
            </w:r>
          </w:p>
        </w:tc>
        <w:tc>
          <w:tcPr>
            <w:tcW w:w="81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4013</w:t>
            </w:r>
            <w:r>
              <w:rPr>
                <w:rFonts w:hint="eastAsia" w:ascii="宋体" w:hAnsi="宋体" w:eastAsia="宋体" w:cs="宋体"/>
                <w:color w:val="000000" w:themeColor="text1"/>
                <w:kern w:val="0"/>
                <w:sz w:val="21"/>
                <w:szCs w:val="21"/>
                <w:lang w:val="en-US" w:eastAsia="zh-CN" w:bidi="ar"/>
                <w14:textFill>
                  <w14:solidFill>
                    <w14:schemeClr w14:val="tx1"/>
                  </w14:solidFill>
                </w14:textFill>
              </w:rPr>
              <w:t>.00</w:t>
            </w:r>
          </w:p>
        </w:tc>
        <w:tc>
          <w:tcPr>
            <w:tcW w:w="1486"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4013</w:t>
            </w:r>
            <w:r>
              <w:rPr>
                <w:rFonts w:hint="eastAsia" w:ascii="宋体" w:hAnsi="宋体" w:eastAsia="宋体" w:cs="宋体"/>
                <w:color w:val="000000" w:themeColor="text1"/>
                <w:kern w:val="0"/>
                <w:sz w:val="21"/>
                <w:szCs w:val="21"/>
                <w:lang w:val="en-US" w:eastAsia="zh-CN" w:bidi="ar"/>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449" w:type="dxa"/>
            <w:gridSpan w:val="7"/>
            <w:noWrap/>
            <w:vAlign w:val="center"/>
          </w:tcPr>
          <w:p>
            <w:pPr>
              <w:widowControl/>
              <w:jc w:val="left"/>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1.2外接设备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46</w:t>
            </w:r>
          </w:p>
        </w:tc>
        <w:tc>
          <w:tcPr>
            <w:tcW w:w="96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控制终端</w:t>
            </w:r>
          </w:p>
        </w:tc>
        <w:tc>
          <w:tcPr>
            <w:tcW w:w="5309" w:type="dxa"/>
            <w:noWrap/>
            <w:vAlign w:val="center"/>
          </w:tcPr>
          <w:p>
            <w:pPr>
              <w:pStyle w:val="9"/>
              <w:jc w:val="left"/>
              <w:rPr>
                <w:rFonts w:hint="eastAsia" w:ascii="宋体" w:hAnsi="宋体" w:eastAsia="宋体" w:cs="宋体"/>
                <w:b/>
                <w:bCs/>
                <w:szCs w:val="21"/>
              </w:rPr>
            </w:pPr>
            <w:r>
              <w:rPr>
                <w:rFonts w:hint="eastAsia" w:ascii="宋体" w:hAnsi="宋体" w:cs="宋体"/>
                <w:b/>
                <w:bCs/>
                <w:szCs w:val="21"/>
                <w:lang w:val="en-US" w:eastAsia="zh-CN"/>
              </w:rPr>
              <w:t>注：以下指标均为实质性需求</w:t>
            </w:r>
          </w:p>
          <w:p>
            <w:pPr>
              <w:pStyle w:val="9"/>
              <w:jc w:val="left"/>
              <w:rPr>
                <w:rFonts w:hint="eastAsia" w:ascii="宋体" w:hAnsi="宋体" w:eastAsia="宋体" w:cs="宋体"/>
                <w:szCs w:val="21"/>
              </w:rPr>
            </w:pPr>
            <w:r>
              <w:rPr>
                <w:rFonts w:hint="eastAsia" w:ascii="宋体" w:hAnsi="宋体" w:eastAsia="宋体" w:cs="宋体"/>
                <w:b/>
                <w:bCs/>
                <w:szCs w:val="21"/>
              </w:rPr>
              <w:t>1</w:t>
            </w:r>
            <w:r>
              <w:rPr>
                <w:rFonts w:hint="eastAsia" w:ascii="宋体" w:hAnsi="宋体" w:cs="宋体"/>
                <w:b/>
                <w:bCs/>
                <w:szCs w:val="21"/>
                <w:lang w:val="en-US" w:eastAsia="zh-CN"/>
              </w:rPr>
              <w:t>.</w:t>
            </w:r>
            <w:r>
              <w:rPr>
                <w:rFonts w:hint="eastAsia" w:ascii="宋体" w:hAnsi="宋体" w:eastAsia="宋体" w:cs="宋体"/>
                <w:b/>
                <w:bCs/>
                <w:szCs w:val="21"/>
              </w:rPr>
              <w:t>CPU：</w:t>
            </w:r>
            <w:r>
              <w:rPr>
                <w:rFonts w:hint="eastAsia" w:ascii="宋体" w:hAnsi="宋体" w:eastAsia="宋体" w:cs="宋体"/>
                <w:szCs w:val="21"/>
              </w:rPr>
              <w:t>CPU内核≥8核；主频≥2.3GHz；末级缓存容量≥2MB；支持的内存最高速率≥2666MT/s；</w:t>
            </w:r>
            <w:r>
              <w:rPr>
                <w:rFonts w:hint="eastAsia" w:ascii="宋体" w:hAnsi="宋体" w:eastAsia="宋体" w:cs="宋体"/>
                <w:b/>
                <w:bCs/>
                <w:szCs w:val="21"/>
              </w:rPr>
              <w:t>符合安全可靠测评要求，通过政府有关部门指定的中国信息安全测评中心和国家保密科技测评中心网站查看安全可靠测评结果</w:t>
            </w:r>
            <w:r>
              <w:rPr>
                <w:rFonts w:hint="eastAsia" w:ascii="宋体" w:hAnsi="宋体" w:eastAsia="宋体" w:cs="宋体"/>
                <w:szCs w:val="21"/>
              </w:rPr>
              <w:t>；CPU 芯片应符合 GM/T 0008 的相关规定，或芯片密码模块应符合 GB/T 37092或 GM/T 0028 的相关规定，0008 的相关规定，或芯片密码模块应符合 GB/T 37092或 GM/T 0028 的相关规定，通过商用密码检测机构检</w:t>
            </w:r>
          </w:p>
          <w:p>
            <w:pPr>
              <w:pStyle w:val="9"/>
              <w:jc w:val="left"/>
              <w:rPr>
                <w:rFonts w:hint="eastAsia" w:ascii="宋体" w:hAnsi="宋体" w:eastAsia="宋体" w:cs="宋体"/>
                <w:szCs w:val="21"/>
              </w:rPr>
            </w:pPr>
            <w:r>
              <w:rPr>
                <w:rFonts w:hint="eastAsia" w:ascii="宋体" w:hAnsi="宋体" w:eastAsia="宋体" w:cs="宋体"/>
                <w:szCs w:val="21"/>
              </w:rPr>
              <w:t>测并经商用密码认证机构认证合格。</w:t>
            </w:r>
          </w:p>
          <w:p>
            <w:pPr>
              <w:rPr>
                <w:rFonts w:hint="eastAsia" w:ascii="宋体" w:hAnsi="宋体" w:eastAsia="宋体" w:cs="宋体"/>
                <w:szCs w:val="21"/>
              </w:rPr>
            </w:pPr>
            <w:r>
              <w:rPr>
                <w:rFonts w:hint="eastAsia" w:ascii="宋体" w:hAnsi="宋体" w:eastAsia="宋体" w:cs="宋体"/>
                <w:b/>
                <w:bCs/>
                <w:szCs w:val="21"/>
              </w:rPr>
              <w:t>2</w:t>
            </w:r>
            <w:r>
              <w:rPr>
                <w:rFonts w:hint="eastAsia" w:ascii="宋体" w:hAnsi="宋体" w:cs="宋体"/>
                <w:b/>
                <w:bCs/>
                <w:szCs w:val="21"/>
                <w:lang w:val="en-US" w:eastAsia="zh-CN"/>
              </w:rPr>
              <w:t>.</w:t>
            </w:r>
            <w:r>
              <w:rPr>
                <w:rFonts w:hint="eastAsia" w:ascii="宋体" w:hAnsi="宋体" w:eastAsia="宋体" w:cs="宋体"/>
                <w:b/>
                <w:bCs/>
                <w:szCs w:val="21"/>
              </w:rPr>
              <w:t>内存规格：</w:t>
            </w:r>
            <w:r>
              <w:rPr>
                <w:rFonts w:hint="eastAsia" w:ascii="宋体" w:hAnsi="宋体" w:eastAsia="宋体" w:cs="宋体"/>
                <w:szCs w:val="21"/>
              </w:rPr>
              <w:t>内存类型支持 DDR4/LPDDR4/LPDDR4X及以上内存类型；内存条配置数量（板载内存不涉及）≥1；内存读写速率≥2666MT/s；内存总容量≥8GB；单条内存容量≥4GB。</w:t>
            </w:r>
          </w:p>
          <w:p>
            <w:pPr>
              <w:rPr>
                <w:rFonts w:hint="eastAsia" w:ascii="宋体" w:hAnsi="宋体" w:eastAsia="宋体" w:cs="宋体"/>
                <w:szCs w:val="21"/>
              </w:rPr>
            </w:pPr>
            <w:r>
              <w:rPr>
                <w:rFonts w:hint="eastAsia" w:ascii="宋体" w:hAnsi="宋体" w:eastAsia="宋体" w:cs="宋体"/>
                <w:b/>
                <w:bCs/>
                <w:szCs w:val="21"/>
              </w:rPr>
              <w:t>3</w:t>
            </w:r>
            <w:r>
              <w:rPr>
                <w:rFonts w:hint="eastAsia" w:ascii="宋体" w:hAnsi="宋体" w:cs="宋体"/>
                <w:b/>
                <w:bCs/>
                <w:szCs w:val="21"/>
                <w:lang w:val="en-US" w:eastAsia="zh-CN"/>
              </w:rPr>
              <w:t>.</w:t>
            </w:r>
            <w:r>
              <w:rPr>
                <w:rFonts w:hint="eastAsia" w:ascii="宋体" w:hAnsi="宋体" w:eastAsia="宋体" w:cs="宋体"/>
                <w:b/>
                <w:bCs/>
                <w:szCs w:val="21"/>
              </w:rPr>
              <w:t>主板规格：</w:t>
            </w:r>
            <w:r>
              <w:rPr>
                <w:rFonts w:hint="eastAsia" w:ascii="宋体" w:hAnsi="宋体" w:eastAsia="宋体" w:cs="宋体"/>
                <w:szCs w:val="21"/>
              </w:rPr>
              <w:t>主板集成模块集成资源扩展模块、计算处理模块、音频扩展模块等，主板的互联拓扑可通过处理器或交换电路实现；</w:t>
            </w:r>
            <w:r>
              <w:rPr>
                <w:rFonts w:hint="eastAsia" w:ascii="宋体" w:hAnsi="宋体" w:eastAsia="宋体" w:cs="宋体"/>
                <w:b/>
                <w:bCs/>
                <w:szCs w:val="21"/>
              </w:rPr>
              <w:t>主板支持的 CPU和内存情况：供应商给出主板支持的 CPU 和内存型号和数量况</w:t>
            </w:r>
            <w:r>
              <w:rPr>
                <w:rFonts w:hint="eastAsia" w:ascii="宋体" w:hAnsi="宋体" w:eastAsia="宋体" w:cs="宋体"/>
                <w:szCs w:val="21"/>
              </w:rPr>
              <w:t>；主板内置PCIe 插槽数量≥2；内存扩展接口(板载内存不涉及)≥2 个；主板 USB支持瞬间过流保护功能；支持防静电保护功能；I/O 接口功能：提供基于标准 USB 接口外设连接功能、基于音频输入输出接口的音频扩展功能、基于 PCIe 接口板卡扩展功能、基于 HDMI 或 VGA 或 Type-C 或 DVI 或 DP等接口外接显示器扩展功能、基于存储接口对产品进行增容功能等，产品I/O 接口，应具备外接标准 USB 设备、显示器、音频设备等内外部设备能力；特殊孔位及接口：接口工作电压 5V，最大过电流应不小于 3A，预留多功能导入装置板卡安装孔位，采用内置方式与主机一体化集成，容量不小于 145mm×125mm×16.5mm （长×宽×高）（±5mm）；主板其他内置接口：</w:t>
            </w:r>
            <w:r>
              <w:rPr>
                <w:rFonts w:hint="eastAsia" w:ascii="宋体" w:hAnsi="宋体" w:eastAsia="宋体" w:cs="宋体"/>
                <w:b/>
                <w:bCs/>
                <w:szCs w:val="21"/>
              </w:rPr>
              <w:t>供应商给出相关 SATA、M.2、USB 接口数量及占用状态</w:t>
            </w:r>
            <w:r>
              <w:rPr>
                <w:rFonts w:hint="eastAsia" w:ascii="宋体" w:hAnsi="宋体" w:eastAsia="宋体" w:cs="宋体"/>
                <w:szCs w:val="21"/>
              </w:rPr>
              <w:t>；单内存插槽最大可支持容量（板载内存不涉及）≥8GB；内存插槽满配时提供的最高内存总容量≥16GB。</w:t>
            </w:r>
          </w:p>
          <w:p>
            <w:pPr>
              <w:rPr>
                <w:rFonts w:hint="eastAsia" w:ascii="宋体" w:hAnsi="宋体" w:eastAsia="宋体" w:cs="宋体"/>
              </w:rPr>
            </w:pPr>
            <w:r>
              <w:rPr>
                <w:rFonts w:hint="eastAsia" w:ascii="宋体" w:hAnsi="宋体" w:eastAsia="宋体" w:cs="宋体"/>
                <w:b/>
                <w:bCs/>
              </w:rPr>
              <w:t>4</w:t>
            </w:r>
            <w:r>
              <w:rPr>
                <w:rFonts w:hint="eastAsia" w:ascii="宋体" w:hAnsi="宋体" w:cs="宋体"/>
                <w:b/>
                <w:bCs/>
                <w:lang w:val="en-US" w:eastAsia="zh-CN"/>
              </w:rPr>
              <w:t>.</w:t>
            </w:r>
            <w:r>
              <w:rPr>
                <w:rFonts w:hint="eastAsia" w:ascii="宋体" w:hAnsi="宋体" w:eastAsia="宋体" w:cs="宋体"/>
                <w:b/>
                <w:bCs/>
              </w:rPr>
              <w:t>存储设备规格：</w:t>
            </w:r>
            <w:r>
              <w:rPr>
                <w:rFonts w:hint="eastAsia" w:ascii="宋体" w:hAnsi="宋体" w:eastAsia="宋体" w:cs="宋体"/>
              </w:rPr>
              <w:t>固态盘数量≥</w:t>
            </w:r>
            <w:r>
              <w:rPr>
                <w:rFonts w:hint="eastAsia" w:ascii="宋体" w:hAnsi="宋体" w:eastAsia="宋体" w:cs="宋体"/>
                <w:szCs w:val="21"/>
              </w:rPr>
              <w:t>1 个；固态存储容量≥512GB；固态存储形态：采用插卡或板载等形态，可选用符合M.2 、2.5 寸 SATA 或 mSATA 等标准的插卡形态</w:t>
            </w:r>
            <w:r>
              <w:rPr>
                <w:rFonts w:hint="eastAsia" w:ascii="宋体" w:hAnsi="宋体" w:eastAsia="宋体" w:cs="宋体"/>
              </w:rPr>
              <w:t>；存储功能存：通过 SATA 固态存储/PCIe 固态存储/UFS 固态存储/SATA 硬磁盘等存储部件提供存储功能；固态存储寿命：TBW ≥ 80TB（条件：240GB 硬盘容量）；固态盘应符合 SJ/T 11654 相关规定，侧面固定螺丝孔数量可为 4 孔或 6 孔，工作状态环境温度应满足 5℃~55℃，其它参数应符合 GB/T 12628 相关规定。</w:t>
            </w:r>
          </w:p>
          <w:p>
            <w:pPr>
              <w:rPr>
                <w:rFonts w:hint="eastAsia" w:ascii="宋体" w:hAnsi="宋体" w:eastAsia="宋体" w:cs="宋体"/>
              </w:rPr>
            </w:pPr>
            <w:r>
              <w:rPr>
                <w:rFonts w:hint="eastAsia" w:ascii="宋体" w:hAnsi="宋体" w:eastAsia="宋体" w:cs="宋体"/>
                <w:b/>
                <w:bCs/>
              </w:rPr>
              <w:t>5</w:t>
            </w:r>
            <w:r>
              <w:rPr>
                <w:rFonts w:hint="eastAsia" w:ascii="宋体" w:hAnsi="宋体" w:cs="宋体"/>
                <w:b/>
                <w:bCs/>
                <w:lang w:val="en-US" w:eastAsia="zh-CN"/>
              </w:rPr>
              <w:t>.</w:t>
            </w:r>
            <w:r>
              <w:rPr>
                <w:rFonts w:hint="eastAsia" w:ascii="宋体" w:hAnsi="宋体" w:eastAsia="宋体" w:cs="宋体"/>
                <w:b/>
                <w:bCs/>
              </w:rPr>
              <w:t>显卡规格：</w:t>
            </w:r>
            <w:r>
              <w:rPr>
                <w:rFonts w:hint="eastAsia" w:ascii="宋体" w:hAnsi="宋体" w:eastAsia="宋体" w:cs="宋体"/>
              </w:rPr>
              <w:t>显卡类型：独立显卡；独立显卡显存类</w:t>
            </w:r>
            <w:r>
              <w:rPr>
                <w:rFonts w:hint="eastAsia" w:ascii="宋体" w:hAnsi="宋体" w:eastAsia="宋体" w:cs="宋体"/>
                <w:szCs w:val="21"/>
              </w:rPr>
              <w:t>≥</w:t>
            </w:r>
            <w:r>
              <w:rPr>
                <w:rFonts w:hint="eastAsia" w:ascii="宋体" w:hAnsi="宋体" w:eastAsia="宋体" w:cs="宋体"/>
              </w:rPr>
              <w:t>DDR4型；独立显卡显存位宽≥16 位；独立显卡显存容量≥1GB；独立显卡接口协议支持 PCIe 协议版本大于等于 2.0 或 HT（HyperTransport）协议版本大于等于 3.0 的独立显卡接口协议；显卡显示分辨率≥1920x1080；显卡显示芯片核心频率≥300MHz；显卡显存等效频率≥1000MT/s；显卡可支持多屏同时显示数量≥2块屏且分辨率应不低于 1920×1080；显卡外接显示接口至少支持 VGA、HDMI、DVI、DP、Type-C 中 1 种显示接口，并与显示器接口相匹配。</w:t>
            </w:r>
          </w:p>
          <w:p>
            <w:pPr>
              <w:pStyle w:val="9"/>
              <w:jc w:val="left"/>
              <w:rPr>
                <w:rFonts w:hint="eastAsia" w:ascii="宋体" w:hAnsi="宋体" w:eastAsia="宋体" w:cs="宋体"/>
              </w:rPr>
            </w:pPr>
            <w:r>
              <w:rPr>
                <w:rFonts w:hint="eastAsia" w:ascii="宋体" w:hAnsi="宋体" w:eastAsia="宋体" w:cs="宋体"/>
                <w:b/>
                <w:bCs/>
              </w:rPr>
              <w:t>6</w:t>
            </w:r>
            <w:r>
              <w:rPr>
                <w:rFonts w:hint="eastAsia" w:ascii="宋体" w:hAnsi="宋体" w:cs="宋体"/>
                <w:b/>
                <w:bCs/>
                <w:lang w:val="en-US" w:eastAsia="zh-CN"/>
              </w:rPr>
              <w:t>.</w:t>
            </w:r>
            <w:r>
              <w:rPr>
                <w:rFonts w:hint="eastAsia" w:ascii="宋体" w:hAnsi="宋体" w:eastAsia="宋体" w:cs="宋体"/>
                <w:b/>
                <w:bCs/>
              </w:rPr>
              <w:t>显示设备规格：</w:t>
            </w:r>
            <w:r>
              <w:rPr>
                <w:rFonts w:hint="eastAsia" w:ascii="宋体" w:hAnsi="宋体" w:eastAsia="宋体" w:cs="宋体"/>
              </w:rPr>
              <w:t>显示屏屏占比≥80%；显示屏分辨率≥1920x1080；显示屏尺寸≥23 英寸；显示屏屏幕比例：16:9/16:10 等；显示器外观颜色：黑色/银色等商务色系；显示屏支持防蓝光模式，蓝光加权辐射亮度比应≤0.0012W/（·cd·sr）（瓦每坎特拉每球面度）可参照 SJ/T11841.2.2-2022标准；显示屏应支持低频闪≤-35dB；显示屏镜面反射率≤10%；显示屏刷新率≥75Hz；显示屏位深≥8 位；显示屏色域≥99% sRGB；显示屏色准△E ≤ 4；显示屏响应时间≤8ms；显示屏亮度≥250 尼特；显示屏亮度一致性≥70%；显示屏对比度≥500：1；显示器接口应与显卡外接显示接口匹配；显示器应提供显示器支架；显示器参数调节：提供 OSD 选单按钮用于调节色彩、模式等，支持色温、亮度、对比度调节；；显示屏其他参数应符合 SJ/T 11292 的相关规定。</w:t>
            </w:r>
          </w:p>
          <w:p>
            <w:pPr>
              <w:rPr>
                <w:rFonts w:hint="eastAsia" w:ascii="宋体" w:hAnsi="宋体" w:eastAsia="宋体" w:cs="宋体"/>
              </w:rPr>
            </w:pPr>
            <w:r>
              <w:rPr>
                <w:rFonts w:hint="eastAsia" w:ascii="宋体" w:hAnsi="宋体" w:eastAsia="宋体" w:cs="宋体"/>
                <w:b/>
                <w:bCs/>
              </w:rPr>
              <w:t>7</w:t>
            </w:r>
            <w:r>
              <w:rPr>
                <w:rFonts w:hint="eastAsia" w:ascii="宋体" w:hAnsi="宋体" w:cs="宋体"/>
                <w:b/>
                <w:bCs/>
                <w:lang w:val="en-US" w:eastAsia="zh-CN"/>
              </w:rPr>
              <w:t>.</w:t>
            </w:r>
            <w:r>
              <w:rPr>
                <w:rFonts w:hint="eastAsia" w:ascii="宋体" w:hAnsi="宋体" w:eastAsia="宋体" w:cs="宋体"/>
                <w:b/>
                <w:bCs/>
              </w:rPr>
              <w:t>外设规格：</w:t>
            </w:r>
            <w:r>
              <w:rPr>
                <w:rFonts w:hint="eastAsia" w:ascii="宋体" w:hAnsi="宋体" w:eastAsia="宋体" w:cs="宋体"/>
              </w:rPr>
              <w:t>鼠标数量≥1 个（有线或无线）；键盘数量≥1 个（有线或无线）；键盘按键数目不低于104键；键盘键程：2.3mm ~ 4.0mm；键盘按键压力应在 0.54 N±0.14N；有线键盘连接线≥1.5 米；键盘颜色：黑色/银色等商务色系；鼠标 DPI分辨率≥（800~1600）；鼠标颜色：黑色/银色等商务色系；鼠标其他要求应符合 GB/T 26245 的相关规定；键盘按键寿命≥1000万次；鼠标按键寿命≥500 万次；键盘鼠标线材寿命键盘鼠标所用线材经±60°弯折不低于3000次，功能、外观完好；风扇寿命≥4 万小时。</w:t>
            </w:r>
          </w:p>
          <w:p>
            <w:pPr>
              <w:rPr>
                <w:rFonts w:hint="eastAsia" w:ascii="宋体" w:hAnsi="宋体" w:eastAsia="宋体" w:cs="宋体"/>
              </w:rPr>
            </w:pPr>
            <w:r>
              <w:rPr>
                <w:rFonts w:hint="eastAsia" w:ascii="宋体" w:hAnsi="宋体" w:eastAsia="宋体" w:cs="宋体"/>
                <w:b/>
                <w:bCs/>
              </w:rPr>
              <w:t>8</w:t>
            </w:r>
            <w:r>
              <w:rPr>
                <w:rFonts w:hint="eastAsia" w:ascii="宋体" w:hAnsi="宋体" w:cs="宋体"/>
                <w:b/>
                <w:bCs/>
                <w:lang w:val="en-US" w:eastAsia="zh-CN"/>
              </w:rPr>
              <w:t>.</w:t>
            </w:r>
            <w:r>
              <w:rPr>
                <w:rFonts w:hint="eastAsia" w:ascii="宋体" w:hAnsi="宋体" w:eastAsia="宋体" w:cs="宋体"/>
                <w:b/>
                <w:bCs/>
              </w:rPr>
              <w:t>网络设备规格：</w:t>
            </w:r>
            <w:r>
              <w:rPr>
                <w:rFonts w:hint="eastAsia" w:ascii="宋体" w:hAnsi="宋体" w:eastAsia="宋体" w:cs="宋体"/>
              </w:rPr>
              <w:t>有线网卡数量≥1；有线网卡速率：最高速率应不低于 1000Mbps，应支持10Mbps、100Mbps、1000Mbps 速率自适应；支持网络连接、网络开启/关闭功能；支持访问网络和数据交换功能；支持数据传输能力，并提供数据流量和异常日志记录功能；支持 RJ45 接口≥1；支持物理拆装，包括无线网卡和蓝牙模块等。</w:t>
            </w:r>
          </w:p>
          <w:p>
            <w:pPr>
              <w:rPr>
                <w:rFonts w:hint="eastAsia" w:ascii="宋体" w:hAnsi="宋体" w:eastAsia="宋体" w:cs="宋体"/>
              </w:rPr>
            </w:pPr>
            <w:r>
              <w:rPr>
                <w:rFonts w:hint="eastAsia" w:ascii="宋体" w:hAnsi="宋体" w:eastAsia="宋体" w:cs="宋体"/>
                <w:b/>
                <w:bCs/>
              </w:rPr>
              <w:t>9</w:t>
            </w:r>
            <w:r>
              <w:rPr>
                <w:rFonts w:hint="eastAsia" w:ascii="宋体" w:hAnsi="宋体" w:cs="宋体"/>
                <w:b/>
                <w:bCs/>
                <w:lang w:val="en-US" w:eastAsia="zh-CN"/>
              </w:rPr>
              <w:t>.</w:t>
            </w:r>
            <w:r>
              <w:rPr>
                <w:rFonts w:hint="eastAsia" w:ascii="宋体" w:hAnsi="宋体" w:eastAsia="宋体" w:cs="宋体"/>
                <w:b/>
                <w:bCs/>
              </w:rPr>
              <w:t>外部接口规格：</w:t>
            </w:r>
            <w:r>
              <w:rPr>
                <w:rFonts w:hint="eastAsia" w:ascii="宋体" w:hAnsi="宋体" w:eastAsia="宋体" w:cs="宋体"/>
              </w:rPr>
              <w:t>USB 接口数量机箱前面板应提供不少于3个USB 接口（含2个USB3.0 及以上接口）；视频接口数量≥1，视频接口类型至少支持 VGA、HDMI、DVI、DP、Type-C中 1 种显示接口，若提供 HDMI 或 DP或 Type-C作为显示接口，应支持音频和视频同步输出；音频接口数量≥1，音频接口类型支持 3.5mm孔径3段式或4段式接口。</w:t>
            </w:r>
          </w:p>
          <w:p>
            <w:pPr>
              <w:rPr>
                <w:rFonts w:hint="eastAsia" w:ascii="宋体" w:hAnsi="宋体" w:eastAsia="宋体" w:cs="宋体"/>
              </w:rPr>
            </w:pPr>
            <w:r>
              <w:rPr>
                <w:rFonts w:hint="eastAsia" w:ascii="宋体" w:hAnsi="宋体" w:eastAsia="宋体" w:cs="宋体"/>
                <w:b/>
                <w:bCs/>
              </w:rPr>
              <w:t>10</w:t>
            </w:r>
            <w:r>
              <w:rPr>
                <w:rFonts w:hint="eastAsia" w:ascii="宋体" w:hAnsi="宋体" w:cs="宋体"/>
                <w:b/>
                <w:bCs/>
                <w:lang w:val="en-US" w:eastAsia="zh-CN"/>
              </w:rPr>
              <w:t>.</w:t>
            </w:r>
            <w:r>
              <w:rPr>
                <w:rFonts w:hint="eastAsia" w:ascii="宋体" w:hAnsi="宋体" w:eastAsia="宋体" w:cs="宋体"/>
                <w:b/>
                <w:bCs/>
              </w:rPr>
              <w:t>整机基础规格：整机外观：</w:t>
            </w:r>
            <w:r>
              <w:rPr>
                <w:rFonts w:hint="eastAsia" w:ascii="宋体" w:hAnsi="宋体" w:eastAsia="宋体" w:cs="宋体"/>
              </w:rPr>
              <w:t>产品表面不应有凹痕、划伤、裂缝、变形和污染等。表面涂层均匀，不应起泡、龟裂、脱落和磨损，金属零部件无锈蚀及其它机械损伤；产品表面说明功能的文字、符号、标志，应清晰、端正、牢固；</w:t>
            </w:r>
            <w:r>
              <w:rPr>
                <w:rFonts w:hint="eastAsia" w:ascii="宋体" w:hAnsi="宋体" w:eastAsia="宋体" w:cs="宋体"/>
                <w:b/>
                <w:bCs/>
              </w:rPr>
              <w:t>状态指示灯：</w:t>
            </w:r>
            <w:r>
              <w:rPr>
                <w:rFonts w:hint="eastAsia" w:ascii="宋体" w:hAnsi="宋体" w:eastAsia="宋体" w:cs="宋体"/>
              </w:rPr>
              <w:t>在产品显著位置提供状态指示功能，如运行状态，并由供应商提供详细参数；</w:t>
            </w:r>
            <w:r>
              <w:rPr>
                <w:rFonts w:hint="eastAsia" w:ascii="宋体" w:hAnsi="宋体" w:eastAsia="宋体" w:cs="宋体"/>
                <w:b/>
                <w:bCs/>
              </w:rPr>
              <w:t>整机结构：</w:t>
            </w:r>
            <w:r>
              <w:rPr>
                <w:rFonts w:hint="eastAsia" w:ascii="宋体" w:hAnsi="宋体" w:eastAsia="宋体" w:cs="宋体"/>
              </w:rPr>
              <w:t>a) 机箱应符合 GB/T 4208、GB/T 26246标准的相关规定；b) 产品内部结构应符合通用部件的安装需求；c) 所有输入输出接口应符合相关国家或行业标准；d) 产品零部件应紧固无松动，可插拔部件应可靠连接，开关、按钮和其它控制部件应灵活可靠，布局应方便使用；e) 所有 I/O 连接器及需插接线缆的部位应预留操作空间，方便插拔解锁与插拔线缆；f) 可插拔板卡插槽部位应预留安装、拆卸或更换板卡空间；g) 拆装可能接触到的金属剪口或金属尖角部位应做防划伤处理，以保证安全；h) 整机内部走线应规整，固线结构和位置要合理可靠并做防割线处理，需便于理线和插拔操作，走线应不影响系统各主要部件组装和拆卸；i) 如需通过孔走线，过线孔应做防割线处理；j) 各插头位置和插拔方向应合理，应做到插拔无障碍设计，具备防呆设计，有效避免误操作；k) 各主要部件拆装无障碍，使用常规工具拆装，无特殊拆装工具需求；l) 各主要部件拆装步骤要少，各自拆装需避免相互干扰；m) 对于整机或零部件外表面为高亮面的，应粘贴保护膜，保护膜需粘贴牢固，运输、组装等过程不易脱落，撕下无残留；机箱应符合 GB/T 4208 中 IP20 防护要求；产品工作在空闲状态下，产品的声功率级应不超过 4.5 Bel；</w:t>
            </w:r>
            <w:r>
              <w:rPr>
                <w:rFonts w:hint="eastAsia" w:ascii="宋体" w:hAnsi="宋体" w:eastAsia="宋体" w:cs="宋体"/>
                <w:b/>
                <w:bCs/>
              </w:rPr>
              <w:t>整机散热在环境温度 25℃及处理器满载情况下，产品表面温度应符合如下要求：</w:t>
            </w:r>
            <w:r>
              <w:rPr>
                <w:rFonts w:hint="eastAsia" w:ascii="宋体" w:hAnsi="宋体" w:eastAsia="宋体" w:cs="宋体"/>
              </w:rPr>
              <w:t>a) 出风口在机箱后面板情况下，出风口温度不高于55℃；b) 可触及面温度不高于45℃；c) 显示器表面温度：显示屏不高于38℃，显示屏上下灯带位置温度（如涉及）不高于40℃，出风口温度不高于45℃；产品能效限定值应达到GB 28380-2012标准中能效等级 2 级及以上；机身材质：塑料/金属等；机身颜色：灰色/黑色等商务色系；机箱尺寸容量：机箱体积应不大于 30L；</w:t>
            </w:r>
          </w:p>
          <w:p>
            <w:pPr>
              <w:rPr>
                <w:rFonts w:hint="eastAsia" w:ascii="宋体" w:hAnsi="宋体" w:eastAsia="宋体" w:cs="宋体"/>
              </w:rPr>
            </w:pPr>
            <w:r>
              <w:rPr>
                <w:rFonts w:hint="eastAsia" w:ascii="宋体" w:hAnsi="宋体" w:eastAsia="宋体" w:cs="宋体"/>
                <w:b/>
                <w:bCs/>
              </w:rPr>
              <w:t>11</w:t>
            </w:r>
            <w:r>
              <w:rPr>
                <w:rFonts w:hint="eastAsia" w:ascii="宋体" w:hAnsi="宋体" w:cs="宋体"/>
                <w:b/>
                <w:bCs/>
                <w:lang w:val="en-US" w:eastAsia="zh-CN"/>
              </w:rPr>
              <w:t>.</w:t>
            </w:r>
            <w:r>
              <w:rPr>
                <w:rFonts w:hint="eastAsia" w:ascii="宋体" w:hAnsi="宋体" w:eastAsia="宋体" w:cs="宋体"/>
                <w:b/>
                <w:bCs/>
              </w:rPr>
              <w:t>电源：</w:t>
            </w:r>
            <w:r>
              <w:rPr>
                <w:rFonts w:hint="eastAsia" w:ascii="宋体" w:hAnsi="宋体" w:eastAsia="宋体" w:cs="宋体"/>
              </w:rPr>
              <w:t>功率≥200W；电源适配器电线组件应符合GB/T15934的要求，可拆线的插头和连接器可以不做要求。</w:t>
            </w:r>
          </w:p>
          <w:p>
            <w:pPr>
              <w:rPr>
                <w:rFonts w:hint="eastAsia" w:ascii="宋体" w:hAnsi="宋体" w:eastAsia="宋体" w:cs="宋体"/>
              </w:rPr>
            </w:pPr>
            <w:r>
              <w:rPr>
                <w:rFonts w:hint="eastAsia" w:ascii="宋体" w:hAnsi="宋体" w:eastAsia="宋体" w:cs="宋体"/>
              </w:rPr>
              <w:t>12</w:t>
            </w:r>
            <w:r>
              <w:rPr>
                <w:rFonts w:hint="eastAsia" w:ascii="宋体" w:hAnsi="宋体" w:cs="宋体"/>
                <w:lang w:val="en-US" w:eastAsia="zh-CN"/>
              </w:rPr>
              <w:t>.</w:t>
            </w:r>
            <w:r>
              <w:rPr>
                <w:rFonts w:hint="eastAsia" w:ascii="宋体" w:hAnsi="宋体" w:eastAsia="宋体" w:cs="宋体"/>
                <w:b/>
                <w:bCs/>
              </w:rPr>
              <w:t>操作系统及软件功能：提供的操作系统应符合安全可靠测评要求，通过政府有关部门指定的中国信息安全测评中心和国家保密科技测评中心网站查看安全可靠测评结果；预装的操作系统符合《操作系统政府采购需求标准》中加*指标要求。</w:t>
            </w:r>
            <w:r>
              <w:rPr>
                <w:rFonts w:hint="eastAsia" w:ascii="宋体" w:hAnsi="宋体" w:eastAsia="宋体" w:cs="宋体"/>
              </w:rPr>
              <w:t>中文信息处理要求符合 GB 18030 的相关规定；支持操作系统备份及还原功能；支持备份及还原固件的功能；操作系统及驱动升级支持通过网络、闪存盘等方式对操作系统、驱动进行升级；固件升级支持通过网络、闪存盘等方式对固件进行升级；支持 BIOS 关闭以太网及 USB 接口；支持查看固件版本、内存信息、主板信息、处理器信息和系统时间信息等功能；支持设置启动顺序功能，并按照设置的启动顺序启动；支持设置口令、修改口令、验证口令功能；支持网络引导启动和关闭功能。</w:t>
            </w:r>
          </w:p>
          <w:p>
            <w:pPr>
              <w:rPr>
                <w:rFonts w:hint="eastAsia" w:ascii="宋体" w:hAnsi="宋体" w:eastAsia="宋体" w:cs="宋体"/>
              </w:rPr>
            </w:pPr>
            <w:r>
              <w:rPr>
                <w:rFonts w:hint="eastAsia" w:ascii="宋体" w:hAnsi="宋体" w:eastAsia="宋体" w:cs="宋体"/>
                <w:b/>
                <w:bCs/>
              </w:rPr>
              <w:t>13</w:t>
            </w:r>
            <w:r>
              <w:rPr>
                <w:rFonts w:hint="eastAsia" w:ascii="宋体" w:hAnsi="宋体" w:cs="宋体"/>
                <w:b/>
                <w:bCs/>
                <w:lang w:val="en-US" w:eastAsia="zh-CN"/>
              </w:rPr>
              <w:t>.</w:t>
            </w:r>
            <w:r>
              <w:rPr>
                <w:rFonts w:hint="eastAsia" w:ascii="宋体" w:hAnsi="宋体" w:eastAsia="宋体" w:cs="宋体"/>
                <w:b/>
                <w:bCs/>
              </w:rPr>
              <w:t>服务要求：</w:t>
            </w:r>
            <w:r>
              <w:rPr>
                <w:rFonts w:hint="eastAsia" w:ascii="宋体" w:hAnsi="宋体" w:eastAsia="宋体" w:cs="宋体"/>
              </w:rPr>
              <w:t>配置检查工具：供应商提供自检测试工具；</w:t>
            </w:r>
            <w:r>
              <w:rPr>
                <w:rFonts w:hint="eastAsia" w:ascii="宋体" w:hAnsi="宋体" w:eastAsia="宋体" w:cs="宋体"/>
                <w:b/>
                <w:bCs/>
              </w:rPr>
              <w:t>服务响应：</w:t>
            </w:r>
            <w:r>
              <w:rPr>
                <w:rFonts w:hint="eastAsia" w:ascii="宋体" w:hAnsi="宋体" w:eastAsia="宋体" w:cs="宋体"/>
              </w:rPr>
              <w:t>a)供应商提供电话、电子邮件、远程连接等多种形式服务；b)供应商提供同城 4h、异地 12h 技术响应服务，2 个工作日解决问题，对于未能解决的问题和故障应提供可行的升级方案，并提供周转设备或更换设备；c)建立全国技术服务体系和服务团体，符合专业服务体系标准要求，提供原厂中文服务；</w:t>
            </w:r>
            <w:r>
              <w:rPr>
                <w:rFonts w:hint="eastAsia" w:ascii="宋体" w:hAnsi="宋体" w:eastAsia="宋体" w:cs="宋体"/>
                <w:b/>
                <w:bCs/>
              </w:rPr>
              <w:t>服务周期：</w:t>
            </w:r>
            <w:r>
              <w:rPr>
                <w:rFonts w:hint="eastAsia" w:ascii="宋体" w:hAnsi="宋体" w:eastAsia="宋体" w:cs="宋体"/>
              </w:rPr>
              <w:t>a) 设备停产后应继续提供质量保障服务（含备品备件），服务终止时间与最后一批设备交付时间间隔不低于6 年；b) 产品停止服务时间应提前 1 年告知；c) 应明确产品发布日期；d)服务周期内提供产品的维修、换件和升级服务；培训服务：供应商提供培训材料、产品手册、培训视频等培训相关内容；典型问题解决手册：供应商提供典型问题解决说明文档或视频；厂家升级软件与扩容服务：供应商提供上门升级部件/软件与扩容的增值服务；厂家升级软件与扩容服务：供应商提供上门升级部件/软件与扩容的增值服务；整机质量服务要求：</w:t>
            </w:r>
            <w:r>
              <w:rPr>
                <w:rFonts w:hint="eastAsia" w:ascii="宋体" w:hAnsi="宋体" w:eastAsia="宋体" w:cs="宋体"/>
                <w:b/>
                <w:bCs/>
              </w:rPr>
              <w:t>免费服务周期（含换件和维修）≥3年</w:t>
            </w:r>
            <w:r>
              <w:rPr>
                <w:rFonts w:hint="eastAsia" w:ascii="宋体" w:hAnsi="宋体" w:eastAsia="宋体" w:cs="宋体"/>
              </w:rPr>
              <w:t>；供应商提供产品合格证；供应商提供开箱组装/使用指导；供应商提供驱动光盘或下载方式；供应商提供兼容适配软件下载渠道（光盘、网站）；供应商保障产品主要部件，提供</w:t>
            </w:r>
            <w:r>
              <w:rPr>
                <w:rFonts w:hint="eastAsia" w:ascii="宋体" w:hAnsi="宋体" w:eastAsia="宋体" w:cs="宋体"/>
                <w:b/>
                <w:bCs/>
              </w:rPr>
              <w:t>≥</w:t>
            </w:r>
            <w:r>
              <w:rPr>
                <w:rFonts w:hint="eastAsia" w:ascii="宋体" w:hAnsi="宋体" w:eastAsia="宋体" w:cs="宋体"/>
              </w:rPr>
              <w:t>6年的备件服务能力（自购买之日起），或提供可兼容原设备的升级换代产品；当产品部件出现供应风险时，供应商应通知采购人并提供风险应对方案确保产品的服务保障；供应商提供供应链稳定承诺书，确保产品的部件在产品服务周期内稳定供货。</w:t>
            </w:r>
          </w:p>
          <w:p>
            <w:pPr>
              <w:rPr>
                <w:rFonts w:hint="eastAsia" w:ascii="宋体" w:hAnsi="宋体" w:eastAsia="宋体" w:cs="宋体"/>
              </w:rPr>
            </w:pPr>
            <w:r>
              <w:rPr>
                <w:rFonts w:hint="eastAsia" w:ascii="宋体" w:hAnsi="宋体" w:eastAsia="宋体" w:cs="宋体"/>
              </w:rPr>
              <w:t>14</w:t>
            </w:r>
            <w:r>
              <w:rPr>
                <w:rFonts w:hint="eastAsia" w:ascii="宋体" w:hAnsi="宋体" w:cs="宋体"/>
                <w:lang w:val="en-US" w:eastAsia="zh-CN"/>
              </w:rPr>
              <w:t>.</w:t>
            </w:r>
            <w:r>
              <w:rPr>
                <w:rFonts w:hint="eastAsia" w:ascii="宋体" w:hAnsi="宋体" w:eastAsia="宋体" w:cs="宋体"/>
                <w:b/>
                <w:bCs/>
              </w:rPr>
              <w:t>安全要求：</w:t>
            </w:r>
            <w:r>
              <w:rPr>
                <w:rFonts w:hint="eastAsia" w:ascii="宋体" w:hAnsi="宋体" w:eastAsia="宋体" w:cs="宋体"/>
              </w:rPr>
              <w:t>信息安全基本要求：a) 产品应符合GB/T 39276的5.2的规定；b) 生产厂商应建立漏洞跟踪表，保证产品版本涉及到的漏洞(如驱动程序等)可查看；c) 产品不得包含已知的恶意代码或漏洞，不存在未声明的指令、功能、接口；支持固件安全启动功能，固件启动过程中只有通过启动校验才能正常启动；限用物质的限量要求符合 GB/T 26572 中规定。</w:t>
            </w:r>
          </w:p>
          <w:p>
            <w:pPr>
              <w:rPr>
                <w:rFonts w:hint="eastAsia" w:ascii="宋体" w:hAnsi="宋体" w:eastAsia="宋体" w:cs="宋体"/>
                <w:color w:val="000000" w:themeColor="text1"/>
                <w:kern w:val="2"/>
                <w:sz w:val="21"/>
                <w:szCs w:val="21"/>
                <w:lang w:val="en-US" w:eastAsia="zh-CN" w:bidi="ar"/>
                <w14:textFill>
                  <w14:solidFill>
                    <w14:schemeClr w14:val="tx1"/>
                  </w14:solidFill>
                </w14:textFill>
              </w:rPr>
            </w:pPr>
            <w:r>
              <w:rPr>
                <w:rFonts w:hint="eastAsia" w:ascii="宋体" w:hAnsi="宋体" w:eastAsia="宋体" w:cs="宋体"/>
              </w:rPr>
              <w:t>15</w:t>
            </w:r>
            <w:r>
              <w:rPr>
                <w:rFonts w:hint="eastAsia" w:ascii="宋体" w:hAnsi="宋体" w:cs="宋体"/>
                <w:lang w:val="en-US" w:eastAsia="zh-CN"/>
              </w:rPr>
              <w:t>.</w:t>
            </w:r>
            <w:r>
              <w:rPr>
                <w:rFonts w:hint="eastAsia" w:ascii="宋体" w:hAnsi="宋体" w:eastAsia="宋体" w:cs="宋体"/>
                <w:b/>
                <w:bCs/>
              </w:rPr>
              <w:t>其他要求：</w:t>
            </w:r>
            <w:r>
              <w:rPr>
                <w:rFonts w:hint="eastAsia" w:ascii="宋体" w:hAnsi="宋体" w:eastAsia="宋体" w:cs="宋体"/>
              </w:rPr>
              <w:t>环境条件要求的气候环境适应性、电磁兼容性要求的抗扰度、环境条件要求的振动适、环境条件要求的冲击适应性、环境条件要求的碰撞适应性、环境条件要求的运输包装件跌落适应性应性符合 GB/T 9813.1 中规定；MTBF测试：MTBF(m1)≥3 万小时；常用软件兼容：支持流式软件、版式软件、浏览器、邮件采购人端、解压软件、多媒体、图形图像处理等常用软件；数据库兼容：兼容3个及以上厂商的数据库产品（</w:t>
            </w:r>
            <w:r>
              <w:rPr>
                <w:rFonts w:hint="eastAsia" w:ascii="宋体" w:hAnsi="宋体" w:eastAsia="宋体" w:cs="宋体"/>
                <w:b/>
                <w:bCs/>
              </w:rPr>
              <w:t>供应商出具说明</w:t>
            </w:r>
            <w:r>
              <w:rPr>
                <w:rFonts w:hint="eastAsia" w:ascii="宋体" w:hAnsi="宋体" w:eastAsia="宋体" w:cs="宋体"/>
              </w:rPr>
              <w:t>）；中间件兼容：兼容3个及以上厂商中间件产品（</w:t>
            </w:r>
            <w:r>
              <w:rPr>
                <w:rFonts w:hint="eastAsia" w:ascii="宋体" w:hAnsi="宋体" w:eastAsia="宋体" w:cs="宋体"/>
                <w:b/>
                <w:bCs/>
              </w:rPr>
              <w:t>供应商出具说明</w:t>
            </w:r>
            <w:r>
              <w:rPr>
                <w:rFonts w:hint="eastAsia" w:ascii="宋体" w:hAnsi="宋体" w:eastAsia="宋体" w:cs="宋体"/>
              </w:rPr>
              <w:t>）；平台软件兼容：兼容3个及以上厂商云计算及大数据平台（</w:t>
            </w:r>
            <w:r>
              <w:rPr>
                <w:rFonts w:hint="eastAsia" w:ascii="宋体" w:hAnsi="宋体" w:eastAsia="宋体" w:cs="宋体"/>
                <w:b/>
                <w:bCs/>
              </w:rPr>
              <w:t>供应商出具说明</w:t>
            </w:r>
            <w:r>
              <w:rPr>
                <w:rFonts w:hint="eastAsia" w:ascii="宋体" w:hAnsi="宋体" w:eastAsia="宋体" w:cs="宋体"/>
              </w:rPr>
              <w:t>）；标志、包装、运输和贮存：符合 GB/T 9813.1 和商品包装政府采购需求标准的相关规定。</w:t>
            </w:r>
          </w:p>
        </w:tc>
        <w:tc>
          <w:tcPr>
            <w:tcW w:w="81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jc w:val="center"/>
              <w:textAlignment w:val="center"/>
              <w:rPr>
                <w:rFonts w:hint="default"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 w:val="21"/>
                <w:szCs w:val="21"/>
                <w:lang w:val="en-US" w:eastAsia="zh-CN" w:bidi="ar"/>
                <w14:textFill>
                  <w14:solidFill>
                    <w14:schemeClr w14:val="tx1"/>
                  </w14:solidFill>
                </w14:textFill>
              </w:rPr>
              <w:t>4331.94</w:t>
            </w:r>
          </w:p>
        </w:tc>
        <w:tc>
          <w:tcPr>
            <w:tcW w:w="1486"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bidi="ar"/>
                <w14:textFill>
                  <w14:solidFill>
                    <w14:schemeClr w14:val="tx1"/>
                  </w14:solidFill>
                </w14:textFill>
              </w:rPr>
              <w:t>4331.94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47</w:t>
            </w:r>
          </w:p>
        </w:tc>
        <w:tc>
          <w:tcPr>
            <w:tcW w:w="96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无线投屏器</w:t>
            </w:r>
          </w:p>
        </w:tc>
        <w:tc>
          <w:tcPr>
            <w:tcW w:w="5309" w:type="dxa"/>
            <w:noWrap/>
            <w:vAlign w:val="center"/>
          </w:tcPr>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w:t>
            </w:r>
            <w:r>
              <w:rPr>
                <w:rFonts w:hint="eastAsia" w:ascii="宋体" w:hAnsi="宋体" w:eastAsia="宋体" w:cs="宋体"/>
                <w:color w:val="000000" w:themeColor="text1"/>
                <w:kern w:val="0"/>
                <w:sz w:val="21"/>
                <w:szCs w:val="21"/>
                <w:lang w:bidi="ar"/>
                <w14:textFill>
                  <w14:solidFill>
                    <w14:schemeClr w14:val="tx1"/>
                  </w14:solidFill>
                </w14:textFill>
              </w:rPr>
              <w:t>发射端：HDMI</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w:t>
            </w:r>
            <w:r>
              <w:rPr>
                <w:rFonts w:hint="eastAsia" w:ascii="宋体" w:hAnsi="宋体" w:eastAsia="宋体" w:cs="宋体"/>
                <w:color w:val="000000" w:themeColor="text1"/>
                <w:kern w:val="0"/>
                <w:sz w:val="21"/>
                <w:szCs w:val="21"/>
                <w:lang w:bidi="ar"/>
                <w14:textFill>
                  <w14:solidFill>
                    <w14:schemeClr w14:val="tx1"/>
                  </w14:solidFill>
                </w14:textFill>
              </w:rPr>
              <w:t>接收端：HDMI</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1,VGZ</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1,3.5mm音频</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3.</w:t>
            </w:r>
            <w:r>
              <w:rPr>
                <w:rFonts w:hint="eastAsia" w:ascii="宋体" w:hAnsi="宋体" w:eastAsia="宋体" w:cs="宋体"/>
                <w:color w:val="000000" w:themeColor="text1"/>
                <w:kern w:val="0"/>
                <w:sz w:val="21"/>
                <w:szCs w:val="21"/>
                <w:lang w:bidi="ar"/>
                <w14:textFill>
                  <w14:solidFill>
                    <w14:schemeClr w14:val="tx1"/>
                  </w14:solidFill>
                </w14:textFill>
              </w:rPr>
              <w:t>分辨率：</w:t>
            </w:r>
            <w:r>
              <w:rPr>
                <w:rFonts w:hint="eastAsia" w:ascii="宋体" w:hAnsi="宋体" w:cs="宋体"/>
                <w:color w:val="000000" w:themeColor="text1"/>
                <w:kern w:val="0"/>
                <w:sz w:val="21"/>
                <w:szCs w:val="21"/>
                <w:lang w:val="en-US" w:eastAsia="zh-CN" w:bidi="ar"/>
                <w14:textFill>
                  <w14:solidFill>
                    <w14:schemeClr w14:val="tx1"/>
                  </w14:solidFill>
                </w14:textFill>
              </w:rPr>
              <w:t>不低于</w:t>
            </w:r>
            <w:r>
              <w:rPr>
                <w:rFonts w:hint="eastAsia" w:ascii="宋体" w:hAnsi="宋体" w:eastAsia="宋体" w:cs="宋体"/>
                <w:color w:val="000000" w:themeColor="text1"/>
                <w:kern w:val="0"/>
                <w:sz w:val="21"/>
                <w:szCs w:val="21"/>
                <w:lang w:bidi="ar"/>
                <w14:textFill>
                  <w14:solidFill>
                    <w14:schemeClr w14:val="tx1"/>
                  </w14:solidFill>
                </w14:textFill>
              </w:rPr>
              <w:t>1080P/60Hz</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4.</w:t>
            </w:r>
            <w:r>
              <w:rPr>
                <w:rFonts w:hint="eastAsia" w:ascii="宋体" w:hAnsi="宋体" w:eastAsia="宋体" w:cs="宋体"/>
                <w:color w:val="000000" w:themeColor="text1"/>
                <w:kern w:val="0"/>
                <w:sz w:val="21"/>
                <w:szCs w:val="21"/>
                <w:lang w:bidi="ar"/>
                <w14:textFill>
                  <w14:solidFill>
                    <w14:schemeClr w14:val="tx1"/>
                  </w14:solidFill>
                </w14:textFill>
              </w:rPr>
              <w:t>频率范围：5150-5250MHz</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5725-5850MHz</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5.</w:t>
            </w:r>
            <w:r>
              <w:rPr>
                <w:rFonts w:hint="eastAsia" w:ascii="宋体" w:hAnsi="宋体" w:eastAsia="宋体" w:cs="宋体"/>
                <w:color w:val="000000" w:themeColor="text1"/>
                <w:kern w:val="0"/>
                <w:sz w:val="21"/>
                <w:szCs w:val="21"/>
                <w:lang w:bidi="ar"/>
                <w14:textFill>
                  <w14:solidFill>
                    <w14:schemeClr w14:val="tx1"/>
                  </w14:solidFill>
                </w14:textFill>
              </w:rPr>
              <w:t>数字音频采样率：24bit48kHz</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6.</w:t>
            </w:r>
            <w:r>
              <w:rPr>
                <w:rFonts w:hint="eastAsia" w:ascii="宋体" w:hAnsi="宋体" w:eastAsia="宋体" w:cs="宋体"/>
                <w:color w:val="000000" w:themeColor="text1"/>
                <w:kern w:val="0"/>
                <w:sz w:val="21"/>
                <w:szCs w:val="21"/>
                <w:lang w:bidi="ar"/>
                <w14:textFill>
                  <w14:solidFill>
                    <w14:schemeClr w14:val="tx1"/>
                  </w14:solidFill>
                </w14:textFill>
              </w:rPr>
              <w:t>传输距离：</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50米（空旷无遮挡）</w:t>
            </w:r>
            <w:r>
              <w:rPr>
                <w:rFonts w:hint="eastAsia" w:ascii="宋体" w:hAnsi="宋体" w:eastAsia="宋体" w:cs="宋体"/>
                <w:color w:val="000000" w:themeColor="text1"/>
                <w:kern w:val="0"/>
                <w:sz w:val="21"/>
                <w:szCs w:val="21"/>
                <w:lang w:eastAsia="zh-CN" w:bidi="ar"/>
                <w14:textFill>
                  <w14:solidFill>
                    <w14:schemeClr w14:val="tx1"/>
                  </w14:solidFill>
                </w14:textFill>
              </w:rPr>
              <w:t>。</w:t>
            </w:r>
          </w:p>
        </w:tc>
        <w:tc>
          <w:tcPr>
            <w:tcW w:w="81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套</w:t>
            </w:r>
          </w:p>
        </w:tc>
        <w:tc>
          <w:tcPr>
            <w:tcW w:w="99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573.1</w:t>
            </w:r>
            <w:r>
              <w:rPr>
                <w:rFonts w:hint="eastAsia" w:ascii="宋体" w:hAnsi="宋体" w:eastAsia="宋体" w:cs="宋体"/>
                <w:color w:val="000000" w:themeColor="text1"/>
                <w:kern w:val="0"/>
                <w:sz w:val="21"/>
                <w:szCs w:val="21"/>
                <w:lang w:val="en-US" w:eastAsia="zh-CN" w:bidi="ar"/>
                <w14:textFill>
                  <w14:solidFill>
                    <w14:schemeClr w14:val="tx1"/>
                  </w14:solidFill>
                </w14:textFill>
              </w:rPr>
              <w:t>0</w:t>
            </w:r>
          </w:p>
        </w:tc>
        <w:tc>
          <w:tcPr>
            <w:tcW w:w="1486"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573.1</w:t>
            </w:r>
            <w:r>
              <w:rPr>
                <w:rFonts w:hint="eastAsia" w:ascii="宋体" w:hAnsi="宋体" w:eastAsia="宋体" w:cs="宋体"/>
                <w:color w:val="000000" w:themeColor="text1"/>
                <w:kern w:val="0"/>
                <w:sz w:val="21"/>
                <w:szCs w:val="21"/>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449" w:type="dxa"/>
            <w:gridSpan w:val="7"/>
            <w:noWrap/>
            <w:vAlign w:val="center"/>
          </w:tcPr>
          <w:p>
            <w:pPr>
              <w:widowControl/>
              <w:jc w:val="left"/>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1.3配套及其它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48</w:t>
            </w:r>
          </w:p>
        </w:tc>
        <w:tc>
          <w:tcPr>
            <w:tcW w:w="96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配电箱</w:t>
            </w:r>
          </w:p>
        </w:tc>
        <w:tc>
          <w:tcPr>
            <w:tcW w:w="5309" w:type="dxa"/>
            <w:noWrap/>
            <w:vAlign w:val="center"/>
          </w:tcPr>
          <w:p>
            <w:pPr>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定制，功率不低于20KW</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采用远程控制设计，智能控制系统，具有手动，自动，定时控制功能；</w:t>
            </w:r>
          </w:p>
          <w:p>
            <w:pPr>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具备过流欠压等现场异常报警功能，远程监控确保显示屏供电安全。</w:t>
            </w:r>
          </w:p>
        </w:tc>
        <w:tc>
          <w:tcPr>
            <w:tcW w:w="81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个</w:t>
            </w:r>
          </w:p>
        </w:tc>
        <w:tc>
          <w:tcPr>
            <w:tcW w:w="990" w:type="dxa"/>
            <w:noWrap/>
            <w:vAlign w:val="center"/>
          </w:tcPr>
          <w:p>
            <w:pPr>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3644.92</w:t>
            </w:r>
          </w:p>
        </w:tc>
        <w:tc>
          <w:tcPr>
            <w:tcW w:w="1486"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3644.92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449" w:type="dxa"/>
            <w:gridSpan w:val="7"/>
            <w:noWrap/>
            <w:vAlign w:val="center"/>
          </w:tcPr>
          <w:p>
            <w:pPr>
              <w:widowControl/>
              <w:jc w:val="left"/>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b/>
                <w:bCs/>
                <w:color w:val="000000" w:themeColor="text1"/>
                <w:kern w:val="0"/>
                <w:sz w:val="21"/>
                <w:szCs w:val="21"/>
                <w:lang w:bidi="ar"/>
                <w14:textFill>
                  <w14:solidFill>
                    <w14:schemeClr w14:val="tx1"/>
                  </w14:solidFill>
                </w14:textFill>
              </w:rPr>
              <w:t>五、会议扩声系统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449" w:type="dxa"/>
            <w:gridSpan w:val="7"/>
            <w:noWrap/>
            <w:vAlign w:val="center"/>
          </w:tcPr>
          <w:p>
            <w:pPr>
              <w:widowControl/>
              <w:jc w:val="left"/>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b/>
                <w:bCs/>
                <w:color w:val="000000" w:themeColor="text1"/>
                <w:kern w:val="0"/>
                <w:sz w:val="21"/>
                <w:szCs w:val="21"/>
                <w:lang w:bidi="ar"/>
                <w14:textFill>
                  <w14:solidFill>
                    <w14:schemeClr w14:val="tx1"/>
                  </w14:solidFill>
                </w14:textFill>
              </w:rPr>
              <w:t>（一）多功能会议室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449" w:type="dxa"/>
            <w:gridSpan w:val="7"/>
            <w:noWrap/>
            <w:vAlign w:val="center"/>
          </w:tcPr>
          <w:p>
            <w:pPr>
              <w:widowControl/>
              <w:jc w:val="left"/>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1.音响扩声系统（主要用于会场的扩声、声音的混音、均衡、消噪等处理）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49</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音柱</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1.单元配置：3寸同轴喇叭单元×6只；</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2.额定功率：≥120W（AES）；</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3.峰值功率</w:t>
            </w:r>
            <w:r>
              <w:rPr>
                <w:rFonts w:hint="eastAsia" w:ascii="宋体" w:hAnsi="宋体" w:cs="宋体"/>
                <w:color w:val="000000" w:themeColor="text1"/>
                <w:kern w:val="0"/>
                <w:szCs w:val="21"/>
                <w:lang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480W（Peak）；</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4.标称阻抗：</w:t>
            </w:r>
            <w:r>
              <w:rPr>
                <w:rFonts w:hint="eastAsia" w:ascii="宋体" w:hAnsi="宋体" w:cs="宋体"/>
                <w:color w:val="000000" w:themeColor="text1"/>
                <w:kern w:val="0"/>
                <w:szCs w:val="21"/>
                <w:lang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6Ω；</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5.最大声压级：</w:t>
            </w:r>
            <w:r>
              <w:rPr>
                <w:rFonts w:hint="eastAsia" w:ascii="宋体" w:hAnsi="宋体" w:cs="宋体"/>
                <w:color w:val="000000" w:themeColor="text1"/>
                <w:kern w:val="0"/>
                <w:szCs w:val="21"/>
                <w:lang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106dB；</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6.灵敏度：</w:t>
            </w:r>
            <w:r>
              <w:rPr>
                <w:rFonts w:hint="eastAsia" w:ascii="宋体" w:hAnsi="宋体" w:cs="宋体"/>
                <w:color w:val="000000" w:themeColor="text1"/>
                <w:kern w:val="0"/>
                <w:szCs w:val="21"/>
                <w:lang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88dB/W(lm)；</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7.频率响应：110Hz-20KHz(±3dB)1watt@1m；</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8.材质：高强度铝型材；</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9.表面处理：高强度喷漆；</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10.吊挂硬件：M8吊点，底托Ø20牙；</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ascii="宋体" w:hAnsi="宋体" w:cs="宋体"/>
                <w:color w:val="000000" w:themeColor="text1"/>
                <w:kern w:val="0"/>
                <w:sz w:val="21"/>
                <w:szCs w:val="21"/>
                <w:lang w:val="en-US" w:eastAsia="zh-CN" w:bidi="ar"/>
                <w14:textFill>
                  <w14:solidFill>
                    <w14:schemeClr w14:val="tx1"/>
                  </w14:solidFill>
                </w14:textFill>
              </w:rPr>
              <w:t>1</w:t>
            </w:r>
            <w:r>
              <w:rPr>
                <w:rFonts w:hint="eastAsia" w:ascii="宋体" w:hAnsi="宋体" w:eastAsia="宋体" w:cs="宋体"/>
                <w:color w:val="000000" w:themeColor="text1"/>
                <w:kern w:val="0"/>
                <w:sz w:val="21"/>
                <w:szCs w:val="21"/>
                <w:lang w:bidi="ar"/>
                <w14:textFill>
                  <w14:solidFill>
                    <w14:schemeClr w14:val="tx1"/>
                  </w14:solidFill>
                </w14:textFill>
              </w:rPr>
              <w:t>.颜色：黑色。</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只</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3059.31</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12237.24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w:t>
            </w:r>
            <w:r>
              <w:rPr>
                <w:rFonts w:hint="eastAsia" w:ascii="宋体" w:hAnsi="宋体" w:eastAsia="宋体" w:cs="宋体"/>
                <w:color w:val="000000" w:themeColor="text1"/>
                <w:kern w:val="0"/>
                <w:sz w:val="21"/>
                <w:szCs w:val="21"/>
                <w:lang w:val="en-US" w:eastAsia="zh-CN" w:bidi="ar"/>
                <w14:textFill>
                  <w14:solidFill>
                    <w14:schemeClr w14:val="tx1"/>
                  </w14:solidFill>
                </w14:textFill>
              </w:rPr>
              <w:t>0</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功率放大器</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ascii="宋体" w:hAnsi="宋体" w:eastAsia="宋体" w:cs="宋体"/>
                <w:color w:val="000000" w:themeColor="text1"/>
                <w:kern w:val="0"/>
                <w:sz w:val="21"/>
                <w:szCs w:val="21"/>
                <w:lang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立体声功率（THD=1%）：8Ω≥250W*2）,4Ω≥400W*2）；</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桥接功率：8Ω≥800W）；</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频率响应：20Hz-20KHz（±1dB)；</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输入灵敏度：0.775V/1.2V；</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总谐波失真（1KHZ，正常工作条件）：</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0.02%；</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输入阻抗：</w:t>
            </w:r>
            <w:r>
              <w:rPr>
                <w:rFonts w:hint="eastAsia" w:ascii="宋体" w:hAnsi="宋体" w:cs="宋体"/>
                <w:color w:val="000000" w:themeColor="text1"/>
                <w:kern w:val="0"/>
                <w:szCs w:val="21"/>
                <w:lang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20KΩ；</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信号信噪比（A计权）：≥100dB；</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8</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信道分离度：</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70dB；</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9</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阻尼系数：</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350；</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10</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转换速率：</w:t>
            </w:r>
            <w:r>
              <w:rPr>
                <w:rFonts w:hint="eastAsia" w:ascii="宋体" w:hAnsi="宋体" w:cs="宋体"/>
                <w:color w:val="000000" w:themeColor="text1"/>
                <w:kern w:val="0"/>
                <w:szCs w:val="21"/>
                <w:lang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40V/μS；</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保护：短路、过载、过流、低阻、直流失调、过热、开机防浪涌冲击；</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冷却：根据机器内部温升自动调节风扇转速（无极调速）；</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13.功能面板可实时显示当前工作状态，即时温度/故障</w:t>
            </w:r>
            <w:bookmarkStart w:id="331" w:name="_GoBack"/>
            <w:bookmarkEnd w:id="331"/>
            <w:r>
              <w:rPr>
                <w:rFonts w:hint="eastAsia" w:ascii="宋体" w:hAnsi="宋体" w:eastAsia="宋体" w:cs="宋体"/>
                <w:color w:val="000000" w:themeColor="text1"/>
                <w:kern w:val="0"/>
                <w:sz w:val="21"/>
                <w:szCs w:val="21"/>
                <w:lang w:bidi="ar"/>
                <w14:textFill>
                  <w14:solidFill>
                    <w14:schemeClr w14:val="tx1"/>
                  </w14:solidFill>
                </w14:textFill>
              </w:rPr>
              <w:t>点，工作模式（桥接/立体声音），具备8Ω/4Ω一键切换功能。</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2621.67</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5243.34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w:t>
            </w:r>
            <w:r>
              <w:rPr>
                <w:rFonts w:hint="eastAsia" w:ascii="宋体" w:hAnsi="宋体" w:eastAsia="宋体" w:cs="宋体"/>
                <w:color w:val="000000" w:themeColor="text1"/>
                <w:kern w:val="0"/>
                <w:sz w:val="21"/>
                <w:szCs w:val="21"/>
                <w:lang w:val="en-US" w:eastAsia="zh-CN" w:bidi="ar"/>
                <w14:textFill>
                  <w14:solidFill>
                    <w14:schemeClr w14:val="tx1"/>
                  </w14:solidFill>
                </w14:textFill>
              </w:rPr>
              <w:t>1</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调音台</w:t>
            </w:r>
          </w:p>
        </w:tc>
        <w:tc>
          <w:tcPr>
            <w:tcW w:w="5309" w:type="dxa"/>
            <w:noWrap/>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1.至少八路以上话筒输入，至少4路以上（两组）立体声输入；</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2.单声道输入通道每路带独立的48V幻像供电开关，单声道输入每路带100Hz低切功能；</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3.话筒输入高中低三段均衡，9-12路立体声高低两段均衡，输入推子60mm，手感平滑；</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4.至少两个以上辅助输出，至少一个以上AUX发送，至少一个以上FX发送，AUX发送为推子前信号，FX发送为推子后信号，信号发送量都由旋钮控制</w:t>
            </w:r>
            <w:r>
              <w:rPr>
                <w:rFonts w:hint="eastAsia" w:ascii="宋体" w:hAnsi="宋体" w:eastAsia="宋体" w:cs="宋体"/>
                <w:color w:val="000000" w:themeColor="text1"/>
                <w:kern w:val="0"/>
                <w:sz w:val="21"/>
                <w:szCs w:val="21"/>
                <w:lang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5.输入每路带PFL按键，方便监听推子前信号；</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6.每路输入带L-R开关(主输出开关）和G1-G2开关（两编组开关）；</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7.USB播放功能，带液晶显示屏，可以显示歌曲名字和歌词，支持MP3,WAV等多种格式，中英文界面可选，循环模式可选；</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8.带蓝牙功能，可以直接蓝牙输入音频；带U盘录音功能；</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9.可以连接电脑，通过声卡输入输出音频到电脑；</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10.内置效果器，效果器延时时间和重复比例连续可调，效果可以加入主输入，也可以加入辅助AUX输出；</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11.左右主输出，单独一个推子控制，60mm推子；两编组输出，两个推子独立控制，60mm推子；</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12.立体声监听输出，可以耳机监听，也可以输出到监听音箱旋钮控制音量大小；</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13.左右立体声辅助返回，旋钮控制返回音量大小，有选择开关选择加入主输出还是编组输出；带莲花接口的录音输出和输入，录音输入有独立开关控制，便于录音和回放操作；</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14.标准双12段电平指示标，准确显示电平大小；</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15.话筒输入可以选择</w:t>
            </w:r>
            <w:r>
              <w:rPr>
                <w:rFonts w:hint="eastAsia" w:ascii="宋体" w:hAnsi="宋体" w:cs="宋体"/>
                <w:color w:val="000000" w:themeColor="text1"/>
                <w:kern w:val="0"/>
                <w:szCs w:val="21"/>
                <w:lang w:bidi="ar"/>
                <w14:textFill>
                  <w14:solidFill>
                    <w14:schemeClr w14:val="tx1"/>
                  </w14:solidFill>
                </w14:textFill>
              </w:rPr>
              <w:t>卡侬</w:t>
            </w:r>
            <w:r>
              <w:rPr>
                <w:rFonts w:hint="eastAsia" w:ascii="宋体" w:hAnsi="宋体" w:eastAsia="宋体" w:cs="宋体"/>
                <w:color w:val="000000" w:themeColor="text1"/>
                <w:kern w:val="0"/>
                <w:sz w:val="21"/>
                <w:szCs w:val="21"/>
                <w:lang w:bidi="ar"/>
                <w14:textFill>
                  <w14:solidFill>
                    <w14:schemeClr w14:val="tx1"/>
                  </w14:solidFill>
                </w14:textFill>
              </w:rPr>
              <w:t>或6.35接口，立体声输入可以选择RCA或6.35接口；</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16.大功率外置电源，有效提升调音台性能</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17.频率响应：20Hz20KHz(+/-0.5dB)；</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18.总谐波失真：&lt;%1(额定条件：20HZ-20KHZ)；</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19.等效输入噪音：≤-110dBm。</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1926.66</w:t>
            </w:r>
          </w:p>
        </w:tc>
        <w:tc>
          <w:tcPr>
            <w:tcW w:w="1486"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1926.66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w:t>
            </w:r>
            <w:r>
              <w:rPr>
                <w:rFonts w:hint="eastAsia" w:ascii="宋体" w:hAnsi="宋体" w:eastAsia="宋体" w:cs="宋体"/>
                <w:color w:val="000000" w:themeColor="text1"/>
                <w:kern w:val="0"/>
                <w:sz w:val="21"/>
                <w:szCs w:val="21"/>
                <w:lang w:val="en-US" w:eastAsia="zh-CN" w:bidi="ar"/>
                <w14:textFill>
                  <w14:solidFill>
                    <w14:schemeClr w14:val="tx1"/>
                  </w14:solidFill>
                </w14:textFill>
              </w:rPr>
              <w:t>2</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数字音频矩阵处理器</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1.8路独立模拟音频平衡输入，8路独立模拟音频平衡输出，支持各类麦克风信号输入和音乐信号输入；</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2.带AEC自适应声学回声消除功能，6级尾长效果调节，带ANC自适应主动噪声消除功能，4级强度调节；</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3.每路麦克风输入带9级灵敏度调节0-35dB增益，48V幻相电源开关，可以匹配不同灵敏度的各类麦克风；</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4.内置白噪声.粉红噪声.正弦波三种不同测试信号音源，可以作为各类系统检测音源；</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5.每路输入带主动反馈抑制功能，两档调节；</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6.带AUTOMIX共享增益型自动混音器，每通道独立调节，有10级优先档位，可调节斜率和响应时间；</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7.内置强大的矩阵混音功能，全开放架构，自由设置，每路混音还可以独立调节混音量，匹配增益更方便，直观查看和调试信号路由情况；</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8.输入通道：前级放大、信号发生器、扩展器、压缩器、31段参量均衡、AM自动混音功能、AFC自适应反馈消除、AEC回声消除、ANC噪声消除；</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9.输出通道：10段参量均衡器、延时器、分频器、高低通滤波器、限幅器；</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10.带视像跟踪控制功能，RS232/485接口，支持摄像头控制PELCO-D/PELCO-P/VISCA等协议；配置8通道可编程GPIO控制接口（可自定义输入输出）；</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11.标配USB（TYPE-B）口：支持免驱自动连接软件调试；内置U盘功能，存放软件和说明书；</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12.支持手机APPTCON软件网络控制，支持4寸触控屏线控控制；</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13.Mconsole统一管理，可通过USB/RS232/RS485/TCPIP多个接口连接控制设备，TCPIP控制口还可以实现局域网远程.多台设备控制，多台设备同步参数，联调参数等强大功能；</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14.支持中控指令，软件自带中控协议，可通过RS232/RS485/TCPIP实现中控控制功能；</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15.最大输入电平12dBu/Line,-7dBu/Mic。</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6485.41</w:t>
            </w:r>
          </w:p>
        </w:tc>
        <w:tc>
          <w:tcPr>
            <w:tcW w:w="1486"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6485.41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w:t>
            </w:r>
            <w:r>
              <w:rPr>
                <w:rFonts w:hint="eastAsia" w:ascii="宋体" w:hAnsi="宋体" w:eastAsia="宋体" w:cs="宋体"/>
                <w:color w:val="000000" w:themeColor="text1"/>
                <w:kern w:val="0"/>
                <w:sz w:val="21"/>
                <w:szCs w:val="21"/>
                <w:lang w:val="en-US" w:eastAsia="zh-CN" w:bidi="ar"/>
                <w14:textFill>
                  <w14:solidFill>
                    <w14:schemeClr w14:val="tx1"/>
                  </w14:solidFill>
                </w14:textFill>
              </w:rPr>
              <w:t>3</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天线放大器</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主机</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1.頻率范围：450～970MHZ；</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2.阻抗：</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50Ω；</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3.输入电压：DC12V5A；</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4.输出直流电压：12V四组DC輸出端子；</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5.天线增幅电压：12V150mA；</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有源天线</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1.接收角度：</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360°；</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2.增益：</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12dB；</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3.接口：BNC；</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4.阻抗：</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50Ω；</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5.电压：9~12V；</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套</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2768.6</w:t>
            </w:r>
            <w:r>
              <w:rPr>
                <w:rFonts w:hint="eastAsia" w:ascii="宋体" w:hAnsi="宋体" w:eastAsia="宋体" w:cs="宋体"/>
                <w:color w:val="000000" w:themeColor="text1"/>
                <w:kern w:val="0"/>
                <w:sz w:val="21"/>
                <w:szCs w:val="21"/>
                <w:lang w:val="en-US" w:eastAsia="zh-CN" w:bidi="ar"/>
                <w14:textFill>
                  <w14:solidFill>
                    <w14:schemeClr w14:val="tx1"/>
                  </w14:solidFill>
                </w14:textFill>
              </w:rPr>
              <w:t>0</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5537.20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449" w:type="dxa"/>
            <w:gridSpan w:val="7"/>
            <w:noWrap/>
            <w:vAlign w:val="center"/>
          </w:tcPr>
          <w:p>
            <w:pPr>
              <w:widowControl/>
              <w:jc w:val="left"/>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2.数字会议发言系统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w:t>
            </w:r>
            <w:r>
              <w:rPr>
                <w:rFonts w:hint="eastAsia" w:ascii="宋体" w:hAnsi="宋体" w:eastAsia="宋体" w:cs="宋体"/>
                <w:color w:val="000000" w:themeColor="text1"/>
                <w:kern w:val="0"/>
                <w:sz w:val="21"/>
                <w:szCs w:val="21"/>
                <w:lang w:val="en-US" w:eastAsia="zh-CN" w:bidi="ar"/>
                <w14:textFill>
                  <w14:solidFill>
                    <w14:schemeClr w14:val="tx1"/>
                  </w14:solidFill>
                </w14:textFill>
              </w:rPr>
              <w:t>4</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AI智能增益器</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1.采用的是AI智能动态反馈滤波器，通过最新一代高速浮点运算技术的反馈滤除功能，轻松提升系统12dB传输增益，是传统设备的2～3倍，且不改变音质；</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2.内置：AEC：自适应全双工回声消除技术；AFC：自适应反馈抑制技术；ANC：自适应降噪技术；AGC：自动电平增益技术；AEQ：自动均衡消除技术；</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▲3.提升话筒有效拾音距离——扩声系统有效声压不变，话筒拾音距离增加3倍；（有效声压：系统最大不啸叫声压）；</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▲4.提升扩声系统传声增益——相同拾音距离，扩声系统有效声压提升≥11dB；（有效声压：系统最大不啸叫声压）</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w:t>
            </w:r>
            <w:r>
              <w:rPr>
                <w:rFonts w:hint="eastAsia" w:ascii="宋体" w:hAnsi="宋体" w:cs="宋体"/>
                <w:color w:val="000000" w:themeColor="text1"/>
                <w:kern w:val="0"/>
                <w:sz w:val="21"/>
                <w:szCs w:val="21"/>
                <w:lang w:val="en-US" w:eastAsia="zh-CN" w:bidi="ar"/>
                <w14:textFill>
                  <w14:solidFill>
                    <w14:schemeClr w14:val="tx1"/>
                  </w14:solidFill>
                </w14:textFill>
              </w:rPr>
              <w:t>全</w:t>
            </w:r>
            <w:r>
              <w:rPr>
                <w:rFonts w:hint="eastAsia" w:ascii="宋体" w:hAnsi="宋体" w:eastAsia="宋体" w:cs="宋体"/>
                <w:color w:val="000000" w:themeColor="text1"/>
                <w:kern w:val="0"/>
                <w:sz w:val="21"/>
                <w:szCs w:val="21"/>
                <w:lang w:bidi="ar"/>
                <w14:textFill>
                  <w14:solidFill>
                    <w14:schemeClr w14:val="tx1"/>
                  </w14:solidFill>
                </w14:textFill>
              </w:rPr>
              <w:t>智能化，免调试：自适应高速浮点算法，设备接驳后30秒内自动运算且锁定达到稳态；</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6.采样率：</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48K；</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7.通道噪声：</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-90dBu；</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8.频率响应：20HZ-20kHz；</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9.动态范围：99dBU；</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▲10.总谐波失真：≤0.1%；</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▲11.信噪比（A计权）：≥86dB；</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▲12.输出最大电平：≥10dB；</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13.输出接口：</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2路平衡输出；</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14.输入接口：</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2路线路（平衡）输入；</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▲15.超宽伏工作电压：60-306V</w:t>
            </w:r>
            <w:r>
              <w:rPr>
                <w:rFonts w:hint="eastAsia" w:ascii="宋体" w:hAnsi="宋体" w:eastAsia="宋体" w:cs="宋体"/>
                <w:color w:val="000000" w:themeColor="text1"/>
                <w:kern w:val="0"/>
                <w:sz w:val="21"/>
                <w:szCs w:val="21"/>
                <w:lang w:eastAsia="zh-CN" w:bidi="ar"/>
                <w14:textFill>
                  <w14:solidFill>
                    <w14:schemeClr w14:val="tx1"/>
                  </w14:solidFill>
                </w14:textFill>
              </w:rPr>
              <w:t>。</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10410.08</w:t>
            </w:r>
          </w:p>
        </w:tc>
        <w:tc>
          <w:tcPr>
            <w:tcW w:w="1486"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10410.08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55</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无线会议麦克风</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1.内置2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20组预设频率模组，PLL锁相环回路设计，纯自动选讯接收方式；</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2.一键修改四通道频率组，四通道同时修改频率组，同时亦支持手动修改每个通道的频率，方便调试安装；</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3.配合LCD液晶显示屏，显示音量.模组.频率和AF/RF讯号强度以及设置操作；</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4.使用电子音量控制，每个通道音量增益通过前置旋钮可调0dB至20dB；</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5.红外数据自动同步功能（SYNC）：2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4个独立的红外对频按键，一键自动对频；</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6.采用UHF530-670MHz频段载波，频率响应：20Hz～20KHz±3dB，S/N&gt;60dB@25KHz,6dBv，最大偏移度：±45KHz；</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7.标配</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8条BNC天线，并可配备外置延长的抗干扰天线，可绕开金属机柜对无线信号的屏蔽，有效工作距离</w:t>
            </w:r>
            <w:r>
              <w:rPr>
                <w:rFonts w:hint="eastAsia" w:ascii="宋体" w:hAnsi="宋体" w:cs="宋体"/>
                <w:color w:val="000000" w:themeColor="text1"/>
                <w:kern w:val="0"/>
                <w:sz w:val="21"/>
                <w:szCs w:val="21"/>
                <w:lang w:val="en-US" w:eastAsia="zh-CN" w:bidi="ar"/>
                <w14:textFill>
                  <w14:solidFill>
                    <w14:schemeClr w14:val="tx1"/>
                  </w14:solidFill>
                </w14:textFill>
              </w:rPr>
              <w:t>≥50m</w:t>
            </w:r>
            <w:r>
              <w:rPr>
                <w:rFonts w:hint="eastAsia" w:ascii="宋体" w:hAnsi="宋体" w:eastAsia="宋体" w:cs="宋体"/>
                <w:color w:val="000000" w:themeColor="text1"/>
                <w:kern w:val="0"/>
                <w:sz w:val="21"/>
                <w:szCs w:val="21"/>
                <w:lang w:bidi="ar"/>
                <w14:textFill>
                  <w14:solidFill>
                    <w14:schemeClr w14:val="tx1"/>
                  </w14:solidFill>
                </w14:textFill>
              </w:rPr>
              <w:t>(可视距离)；</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8.不平衡混合输出插座：6.3mm插座,ABCD组信道混合输出。平衡输出插座：XLR插座ABCD组。</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7802.89</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15605.78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449" w:type="dxa"/>
            <w:gridSpan w:val="7"/>
            <w:noWrap/>
            <w:vAlign w:val="center"/>
          </w:tcPr>
          <w:p>
            <w:pPr>
              <w:widowControl/>
              <w:jc w:val="left"/>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3.周边设备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56</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电源时序器</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▲1.配备≥3</w:t>
            </w:r>
            <w:r>
              <w:rPr>
                <w:rFonts w:hint="eastAsia" w:ascii="宋体" w:hAnsi="宋体" w:cs="宋体"/>
                <w:color w:val="000000" w:themeColor="text1"/>
                <w:kern w:val="0"/>
                <w:sz w:val="21"/>
                <w:szCs w:val="21"/>
                <w:lang w:val="en-US" w:eastAsia="zh-CN" w:bidi="ar"/>
                <w14:textFill>
                  <w14:solidFill>
                    <w14:schemeClr w14:val="tx1"/>
                  </w14:solidFill>
                </w14:textFill>
              </w:rPr>
              <w:t>.5</w:t>
            </w:r>
            <w:r>
              <w:rPr>
                <w:rFonts w:hint="eastAsia" w:ascii="宋体" w:hAnsi="宋体" w:eastAsia="宋体" w:cs="宋体"/>
                <w:color w:val="000000" w:themeColor="text1"/>
                <w:kern w:val="0"/>
                <w:sz w:val="21"/>
                <w:szCs w:val="21"/>
                <w:lang w:bidi="ar"/>
                <w14:textFill>
                  <w14:solidFill>
                    <w14:schemeClr w14:val="tx1"/>
                  </w14:solidFill>
                </w14:textFill>
              </w:rPr>
              <w:t>寸彩色TFT-LCD可触控显示屏，可实时显示当前电压，日期时间，信道开关状态；</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8路开关通道输出，每路延时开启和关闭时间可自由设置（范围0～999秒）；</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3.每通道可以独立设置开启/关闭，方便设备灵活使用；</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4.每通道独立滤波器消除电磁干扰，为每路提供稳定的电流；</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5.内置时钟芯片，可根据日期时间定时设置自动开启/关闭每一通道；</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▲6.欠压、过压保护，可自定义设置保护值；</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▲7.配置RS232和RS485接口，支持级联、中央设备控制；</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8.额定输出总电流：40A，单路输出电流：20A</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▲9.输入电源：AC100～240V 50～60Hz；</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▲10.单路额定输出电流：</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20A；</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▲11.额定输出总电流：</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40A；</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▲12.时序控制每步时间</w:t>
            </w:r>
            <w:r>
              <w:rPr>
                <w:rFonts w:hint="eastAsia" w:ascii="宋体" w:hAnsi="宋体" w:cs="宋体"/>
                <w:color w:val="000000" w:themeColor="text1"/>
                <w:kern w:val="0"/>
                <w:sz w:val="21"/>
                <w:szCs w:val="21"/>
                <w:lang w:val="en-US" w:eastAsia="zh-CN" w:bidi="ar"/>
                <w14:textFill>
                  <w14:solidFill>
                    <w14:schemeClr w14:val="tx1"/>
                  </w14:solidFill>
                </w14:textFill>
              </w:rPr>
              <w:t>音</w:t>
            </w:r>
            <w:r>
              <w:rPr>
                <w:rFonts w:hint="eastAsia" w:ascii="宋体" w:hAnsi="宋体" w:eastAsia="宋体" w:cs="宋体"/>
                <w:color w:val="000000" w:themeColor="text1"/>
                <w:kern w:val="0"/>
                <w:sz w:val="21"/>
                <w:szCs w:val="21"/>
                <w:lang w:bidi="ar"/>
                <w14:textFill>
                  <w14:solidFill>
                    <w14:schemeClr w14:val="tx1"/>
                  </w14:solidFill>
                </w14:textFill>
              </w:rPr>
              <w:t>隔：0.1～999s；</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▲13.USB界面：DC 5V/500mA；</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14.电源输出接口：8路智慧控制，1路直通输出。</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2448.7</w:t>
            </w:r>
            <w:r>
              <w:rPr>
                <w:rFonts w:hint="eastAsia" w:ascii="宋体" w:hAnsi="宋体" w:eastAsia="宋体" w:cs="宋体"/>
                <w:color w:val="000000" w:themeColor="text1"/>
                <w:kern w:val="0"/>
                <w:sz w:val="21"/>
                <w:szCs w:val="21"/>
                <w:lang w:val="en-US" w:eastAsia="zh-CN" w:bidi="ar"/>
                <w14:textFill>
                  <w14:solidFill>
                    <w14:schemeClr w14:val="tx1"/>
                  </w14:solidFill>
                </w14:textFill>
              </w:rPr>
              <w:t>0</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4897.40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449" w:type="dxa"/>
            <w:gridSpan w:val="7"/>
            <w:noWrap/>
            <w:vAlign w:val="center"/>
          </w:tcPr>
          <w:p>
            <w:pPr>
              <w:widowControl/>
              <w:jc w:val="left"/>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4.线材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57</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卡侬公对卡侬母信号线</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1.长度：</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1.5米；</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2.材质：PVC+ABS+锌合金；</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3.三体针头：黄铜镀银。</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12</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根</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23.34</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280.08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58</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3.5转双6.5单声道直插信号线</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1.长度：</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1.5米；</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2.线芯数量：2芯；</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3.线芯材质：裸铜线</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根</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32.00</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59</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音箱线</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1.双铝箔屏蔽，抗氧化防干扰，增强音质；</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2.精炼铜导体，低电阻损耗小，具备更强的导音效果；</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3.长度：100米；</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4.导体：金炼铜；</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5.屏蔽：金银铝箔；</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6.芯线规格：0.39㎡</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2</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7.线型尺寸：Ф3.0</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6.0mm</w:t>
            </w:r>
            <w:r>
              <w:rPr>
                <w:rFonts w:hint="eastAsia" w:ascii="宋体" w:hAnsi="宋体" w:eastAsia="宋体" w:cs="宋体"/>
                <w:color w:val="000000" w:themeColor="text1"/>
                <w:kern w:val="0"/>
                <w:sz w:val="21"/>
                <w:szCs w:val="21"/>
                <w:lang w:eastAsia="zh-CN" w:bidi="ar"/>
                <w14:textFill>
                  <w14:solidFill>
                    <w14:schemeClr w14:val="tx1"/>
                  </w14:solidFill>
                </w14:textFill>
              </w:rPr>
              <w:t>。</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卷</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500.00</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449" w:type="dxa"/>
            <w:gridSpan w:val="7"/>
            <w:noWrap/>
            <w:vAlign w:val="center"/>
          </w:tcPr>
          <w:p>
            <w:pPr>
              <w:widowControl/>
              <w:jc w:val="left"/>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b/>
                <w:bCs/>
                <w:color w:val="000000" w:themeColor="text1"/>
                <w:kern w:val="0"/>
                <w:sz w:val="21"/>
                <w:szCs w:val="21"/>
                <w:lang w:bidi="ar"/>
                <w14:textFill>
                  <w14:solidFill>
                    <w14:schemeClr w14:val="tx1"/>
                  </w14:solidFill>
                </w14:textFill>
              </w:rPr>
              <w:t>（二）会议室一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449" w:type="dxa"/>
            <w:gridSpan w:val="7"/>
            <w:noWrap/>
            <w:vAlign w:val="center"/>
          </w:tcPr>
          <w:p>
            <w:pPr>
              <w:widowControl/>
              <w:jc w:val="left"/>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1.音响扩声系统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60</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音柱</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1.单元配置：3寸同轴喇叭单元×6只；</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2.额定功率：≥120W（AES）；</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3.峰值功率</w:t>
            </w:r>
            <w:r>
              <w:rPr>
                <w:rFonts w:hint="eastAsia" w:ascii="宋体" w:hAnsi="宋体" w:cs="宋体"/>
                <w:color w:val="000000" w:themeColor="text1"/>
                <w:kern w:val="0"/>
                <w:sz w:val="21"/>
                <w:szCs w:val="21"/>
                <w:lang w:eastAsia="zh-CN" w:bidi="ar"/>
                <w14:textFill>
                  <w14:solidFill>
                    <w14:schemeClr w14:val="tx1"/>
                  </w14:solidFill>
                </w14:textFill>
              </w:rPr>
              <w:t>：</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480W（Peak）；</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4.标称阻抗：</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6Ω；</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5.最大声压级：</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106dB；</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6.灵敏度：</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88dB/W(lm)；</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7.频率响应：110Hz-20KHz(±3dB)1watt@1m；</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8.材质：高强度铝型材；</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9.表面处理：高强度喷漆；</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10.吊挂硬件：M8吊点，底托Ø20牙；</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12.颜色：黑色。</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只</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3059.31</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12237.24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w:t>
            </w:r>
            <w:r>
              <w:rPr>
                <w:rFonts w:hint="eastAsia" w:ascii="宋体" w:hAnsi="宋体" w:eastAsia="宋体" w:cs="宋体"/>
                <w:color w:val="000000" w:themeColor="text1"/>
                <w:kern w:val="0"/>
                <w:sz w:val="21"/>
                <w:szCs w:val="21"/>
                <w:lang w:val="en-US" w:eastAsia="zh-CN" w:bidi="ar"/>
                <w14:textFill>
                  <w14:solidFill>
                    <w14:schemeClr w14:val="tx1"/>
                  </w14:solidFill>
                </w14:textFill>
              </w:rPr>
              <w:t>1</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功率放大器</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LED显示功放工作状态（音量增益/过载/保护/故障显示等）；全MOSFET信号处理，声音更加清晰准确</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信号输入设计两种不同的模式，可切换为独立工作模式和菊链工作模式.（信号可一进四出，二进四出，四进四出），XLR平衡输入和Speakon输出连接</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内置自动限幅压限器，无极调速风扇散热系统，电源开机浪涌电流限位器，可恢复电源过载保护器</w:t>
            </w:r>
            <w:r>
              <w:rPr>
                <w:rFonts w:hint="eastAsia" w:ascii="宋体" w:hAnsi="宋体" w:eastAsia="宋体" w:cs="宋体"/>
                <w:color w:val="000000" w:themeColor="text1"/>
                <w:kern w:val="0"/>
                <w:sz w:val="21"/>
                <w:szCs w:val="21"/>
                <w:lang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（内置视、射频滤波，超声滤波.防止其它设备对本机的干扰）</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立体声功率（THD=0.5%）：8Ω（300W</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4）,4Ω（450W</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4）；</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频率响应：20Hz-20KHz（-0.5dB)；</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输入灵敏度：0.775V/1.2V；</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总谐波失真（1KHZ，正常工作条件）：≤0.025%；</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8</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输入阻抗：</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20KΩ；</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9</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信号信噪比（A计权）：≥110dB；</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10</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信道分离度：</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80dB；</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阻尼系数：</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400</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转换速率：</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45V/μS；</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13</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保护：短路、过载、过流、低阻、直流失调、过热、开机防浪涌冲击；</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14</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冷却：根据机器内部温升自动调节风扇转速（无极调速）；</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15</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电源：220V/50Hz。</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2621.67</w:t>
            </w:r>
          </w:p>
        </w:tc>
        <w:tc>
          <w:tcPr>
            <w:tcW w:w="1486"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2621.67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w:t>
            </w:r>
            <w:r>
              <w:rPr>
                <w:rFonts w:hint="eastAsia" w:ascii="宋体" w:hAnsi="宋体" w:eastAsia="宋体" w:cs="宋体"/>
                <w:color w:val="000000" w:themeColor="text1"/>
                <w:kern w:val="0"/>
                <w:sz w:val="21"/>
                <w:szCs w:val="21"/>
                <w:lang w:val="en-US" w:eastAsia="zh-CN" w:bidi="ar"/>
                <w14:textFill>
                  <w14:solidFill>
                    <w14:schemeClr w14:val="tx1"/>
                  </w14:solidFill>
                </w14:textFill>
              </w:rPr>
              <w:t>2</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调音台</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ascii="宋体" w:hAnsi="宋体" w:cs="宋体"/>
                <w:color w:val="000000" w:themeColor="text1"/>
                <w:kern w:val="0"/>
                <w:sz w:val="21"/>
                <w:szCs w:val="21"/>
                <w:lang w:val="en-US" w:eastAsia="zh-CN" w:bidi="ar"/>
                <w14:textFill>
                  <w14:solidFill>
                    <w14:schemeClr w14:val="tx1"/>
                  </w14:solidFill>
                </w14:textFill>
              </w:rPr>
              <w:t>≥8</w:t>
            </w:r>
            <w:r>
              <w:rPr>
                <w:rFonts w:hint="eastAsia" w:ascii="宋体" w:hAnsi="宋体" w:eastAsia="宋体" w:cs="宋体"/>
                <w:color w:val="000000" w:themeColor="text1"/>
                <w:kern w:val="0"/>
                <w:sz w:val="21"/>
                <w:szCs w:val="21"/>
                <w:lang w:bidi="ar"/>
                <w14:textFill>
                  <w14:solidFill>
                    <w14:schemeClr w14:val="tx1"/>
                  </w14:solidFill>
                </w14:textFill>
              </w:rPr>
              <w:t>路话筒输入，</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4路（两组）立体声输入；</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2.单声道输入通道每路带独立的48V幻像供电开关，单声道输入每路带100Hz低切功能；</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3.话筒输入高中低三段均衡，9-12路立体声高低两段均衡，输入推子60mm，手感平滑；</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4.两个辅助输出，一个AUX发送，一个FX发送，AUX发送为推子前信号，FX发送为推子后信号，信号发送量都由旋钮控制；</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5.输入每路带PFL按键，方便监听推子前信号；</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6.每路输入带L-R开关(主输出开关）和G1-G2开关（两编组开关）；</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7.USB播放功能，带液晶显示屏，可以显示歌曲名字和歌词，支持MP3,WAV等多种格式，中英文界面可选，循环模式可选；</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8.带蓝牙功能，可以直接蓝牙输入音频；带U盘录音功能；</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9.可以连接电脑，通过声卡输入输出音频到电脑；</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10.内置效果器，效果器延时时间和重复比例连续可调，效果可以加入主输入，也可以加入辅助AUX输出；</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11.左右主输出，单独一个推子控制，60mm推子；两编组输出，两个推子独立控制，60mm推子；</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12.立体声监听输出，可以耳机监听，也可以输出到监听音箱旋钮控制音量大小；</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13.左右立体声辅助返回，旋钮控制返回音量大小，有选择开关选择加入主输出还是编组输出；带莲花接口的录音输出和输入，录音输入有独立开关控制，便于录音和回放操作；</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14.标准双12段电平指示标，准确显示电平大小；</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15.话筒输入可以选择卡龙或6.35接口，立体声输入可以选择RCA或6.35接口；</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16.大功率外置电源，有效提升调音台性能</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17.频率响应：20Hz~20KHz(+/-0.5dB)；</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18.总谐波失真：</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%1(额定条件：20HZ-20KHZ)；</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19.等效输入噪音：≤-110dBm。</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1926.66</w:t>
            </w:r>
          </w:p>
        </w:tc>
        <w:tc>
          <w:tcPr>
            <w:tcW w:w="1486"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1926.66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63</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反馈抑制器</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2</w:t>
            </w:r>
            <w:r>
              <w:rPr>
                <w:rFonts w:hint="eastAsia" w:ascii="宋体" w:hAnsi="宋体" w:cs="宋体"/>
                <w:color w:val="000000" w:themeColor="text1"/>
                <w:kern w:val="0"/>
                <w:sz w:val="21"/>
                <w:szCs w:val="21"/>
                <w:lang w:val="en-US" w:eastAsia="zh-CN" w:bidi="ar"/>
                <w14:textFill>
                  <w14:solidFill>
                    <w14:schemeClr w14:val="tx1"/>
                  </w14:solidFill>
                </w14:textFill>
              </w:rPr>
              <w:t>英</w:t>
            </w:r>
            <w:r>
              <w:rPr>
                <w:rFonts w:hint="eastAsia" w:ascii="宋体" w:hAnsi="宋体" w:eastAsia="宋体" w:cs="宋体"/>
                <w:color w:val="000000" w:themeColor="text1"/>
                <w:kern w:val="0"/>
                <w:sz w:val="21"/>
                <w:szCs w:val="21"/>
                <w:lang w:bidi="ar"/>
                <w14:textFill>
                  <w14:solidFill>
                    <w14:schemeClr w14:val="tx1"/>
                  </w14:solidFill>
                </w14:textFill>
              </w:rPr>
              <w:t>寸TFT彩屏，分辨率</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220</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176，中英文可选；</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2.每通道设</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24个自动陷波器,工作频率20-20kHZ，自动扫描啸叫点并抑制，可灵活设置静态锁定点数量；</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3.每通道24段PEQ参量均衡，可灵活设置；</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4.USB免驱即插即用，配备专业PC调试软件，方便快捷；</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5.可存储</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10组配置，灵活存储调用参数指标：</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6.输入阻抗：平衡47kΩ，非平衡20kΩ；</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7.输出阻抗：平衡&gt;120Ω，非平衡&gt;60Ω；8.最大输入电平：≥15dBu；</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9.最大输出电平：≥15dBu；</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10.总谐波失真+噪声：</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0.025%(20Hz~20kHz）；</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11.最小固定延时：</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2ms；</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12.电源：220V50/60Hz；</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13.功耗：≤20W。</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4212.8</w:t>
            </w:r>
            <w:r>
              <w:rPr>
                <w:rFonts w:hint="eastAsia" w:ascii="宋体" w:hAnsi="宋体" w:eastAsia="宋体" w:cs="宋体"/>
                <w:color w:val="000000" w:themeColor="text1"/>
                <w:kern w:val="0"/>
                <w:sz w:val="21"/>
                <w:szCs w:val="21"/>
                <w:lang w:val="en-US" w:eastAsia="zh-CN" w:bidi="ar"/>
                <w14:textFill>
                  <w14:solidFill>
                    <w14:schemeClr w14:val="tx1"/>
                  </w14:solidFill>
                </w14:textFill>
              </w:rPr>
              <w:t>0</w:t>
            </w:r>
          </w:p>
        </w:tc>
        <w:tc>
          <w:tcPr>
            <w:tcW w:w="1486"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4212.8</w:t>
            </w:r>
            <w:r>
              <w:rPr>
                <w:rFonts w:hint="eastAsia" w:ascii="宋体" w:hAnsi="宋体" w:eastAsia="宋体" w:cs="宋体"/>
                <w:color w:val="000000" w:themeColor="text1"/>
                <w:kern w:val="0"/>
                <w:sz w:val="21"/>
                <w:szCs w:val="21"/>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64</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天线放大器</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主机</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1.頻率范围：450～970MHZ；</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2.阻抗：</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50Ω；</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3.输入电压：DC12V5A；</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4.输出直流电压：12V四组DC輸出端子；</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5.天线增幅电压：12V150mA；</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有源天线</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1.接收角度：</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360°；</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2.增益：</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12dB；</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3.接口：BNC；</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4.阻抗：</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50Ω；</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5.电压：9~12V；</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套</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2768.6</w:t>
            </w:r>
            <w:r>
              <w:rPr>
                <w:rFonts w:hint="eastAsia" w:ascii="宋体" w:hAnsi="宋体" w:eastAsia="宋体" w:cs="宋体"/>
                <w:color w:val="000000" w:themeColor="text1"/>
                <w:kern w:val="0"/>
                <w:sz w:val="21"/>
                <w:szCs w:val="21"/>
                <w:lang w:val="en-US" w:eastAsia="zh-CN" w:bidi="ar"/>
                <w14:textFill>
                  <w14:solidFill>
                    <w14:schemeClr w14:val="tx1"/>
                  </w14:solidFill>
                </w14:textFill>
              </w:rPr>
              <w:t>0</w:t>
            </w:r>
          </w:p>
        </w:tc>
        <w:tc>
          <w:tcPr>
            <w:tcW w:w="1486"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2768.6</w:t>
            </w:r>
            <w:r>
              <w:rPr>
                <w:rFonts w:hint="eastAsia" w:ascii="宋体" w:hAnsi="宋体" w:eastAsia="宋体" w:cs="宋体"/>
                <w:color w:val="000000" w:themeColor="text1"/>
                <w:kern w:val="0"/>
                <w:sz w:val="21"/>
                <w:szCs w:val="21"/>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65</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无线会议麦克风</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1.内置</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20组预设频率模组，PLL锁相环回路设计，纯自动选讯接收方式；</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2.一键修改四通道频率组，四通道同时修改频率组，同时亦支持手动修改每个通道的频率；</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3.配合LCD液晶显示屏，显示音量.模组.频率和AF/RF讯号强度以及设置操作；</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4.使用电子音量控制，每个通道音量增益通过前置旋钮可调0dB至20dB；</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5.红外数据自动同步功能（SYNC）：</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4个独立的红外对频按键，一键自动对频；</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6.采用UHF530-670MHz频段载波，频率响应：20Hz～20KHz±3dB，频带宽度：30MHz，灵敏度：S/N&gt;60dB@25KHz,6dBv，T.H.D＜0.7%@1KHz，S/N＞105dB；</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7.标配4条BNC天线，并可配备外置延长的抗干扰天线，可绕开金属机柜对无线信号的屏蔽，有效工作距离60米(可视距离)；</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8.不平衡混合输出插座：6.3mm插座,ABCD信道混合输出，平衡输出插座：XLR插座ABCD信道。</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套</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4403.49</w:t>
            </w:r>
          </w:p>
        </w:tc>
        <w:tc>
          <w:tcPr>
            <w:tcW w:w="1486"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4403.49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449" w:type="dxa"/>
            <w:gridSpan w:val="7"/>
            <w:noWrap/>
            <w:vAlign w:val="center"/>
          </w:tcPr>
          <w:p>
            <w:pPr>
              <w:widowControl/>
              <w:jc w:val="left"/>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2.数字会议发言系统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66</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会议终端</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采用全数字会议技术，基于数字网络架构开发，内置CPU处理器，处理速度更快，音质更佳，支持讨论、视像跟踪功能；</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全新概念的抗电磁干扰电路设计，杜绝手机等电子产品的电磁干扰；</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采用FM调频传输音频，配合高还原电路及防啸叫设设计，加上采用新型防啸叫单指向高灵敏度电容咪芯，使会议声音音质实现高保真度还原；</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控制及音频信号皆采用无线高频信号通讯，避免布设话筒线缆，安装简单方便灵活；</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采用2.69寸全视角IPS显示屏，直观显示和方便调节系统的各项参数；</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支持USB录音，高保真WAV格式输出；</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主机具有</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20组固定的频率通道，可在同一场所使用多套无线系统，也可避免与会场其他无线产品的互相干扰</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8</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每套系统可支持</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200个无线会议单元，同时发言人数可设定为1-4人，最大支持4个主席同时发言；</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9</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具有多种会议模式：FIFO（先进先出模式）、APPLY（申请模式）、FREE（自由模式）、LIMIT（限制模式）；</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10</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系统具备会议服务功能，发言单元可申请茶水、笔、帮助等服务；</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采用高性能DSP处理器对音频进行高低音调节、降噪处理，使声音清晰透彻；配合现场调整参数并有效的抑制啸叫；</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具有USB接口，可连接电脑对主机进行操作设置；</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13</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具有摄像头232和485通讯接口（6P凤凰插），连接标清或高清摄像头，支持SONYVISCA、PELCOP/D通讯协议；</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14</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具有视频切换232接口（3P凤凰插），可连接高清视频矩阵；</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15</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具有中控代码232接口（3P凤凰插），可连接中控系统；</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16</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具有</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2路音频天线接口（BNC接口）及1路数据天线接口（TNC接口）；</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17</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具有</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路数据扩展接口（4P凤凰插），可通过有线RS-485的方式连接数据扩展器，并将其安装在会场的天花处，从根本上避免了因隔墙等原因而导致的系统数据通讯失败，确保无线会议主机与无线会议单元之间进行有效的数据通讯（收发半径为</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40米）；</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18</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具有</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1路平衡音频输出接口（卡农），可连接扩声或录音设备；</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19</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具有</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1路非平衡音频输出接口（6.35mm），可连接扩声或录</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音设备；</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20</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具有</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1路非平衡音频输入接口（莲花），可输入外部音频信号（如：背景音乐或远程语音信号）；</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RF有效通信距离为：室内</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60米，室外</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100米。</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6039.43</w:t>
            </w:r>
          </w:p>
        </w:tc>
        <w:tc>
          <w:tcPr>
            <w:tcW w:w="1486"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6039.43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67</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数字音频矩阵处理器</w:t>
            </w:r>
          </w:p>
        </w:tc>
        <w:tc>
          <w:tcPr>
            <w:tcW w:w="5309" w:type="dxa"/>
            <w:noWrap/>
            <w:vAlign w:val="center"/>
          </w:tcPr>
          <w:p>
            <w:pPr>
              <w:pStyle w:val="8"/>
              <w:rPr>
                <w:rFonts w:hint="default" w:eastAsia="宋体"/>
                <w:lang w:val="en-US" w:eastAsia="zh-CN"/>
              </w:rPr>
            </w:pP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lang w:val="en-US" w:eastAsia="zh-CN"/>
              </w:rPr>
              <w:t>至少</w:t>
            </w:r>
            <w:r>
              <w:rPr>
                <w:rFonts w:hint="eastAsia" w:ascii="宋体" w:hAnsi="宋体" w:eastAsia="宋体" w:cs="宋体"/>
                <w:lang w:val="en-US" w:eastAsia="zh-CN"/>
              </w:rPr>
              <w:t>8路以上</w:t>
            </w:r>
            <w:r>
              <w:rPr>
                <w:rFonts w:hint="eastAsia" w:ascii="宋体" w:hAnsi="宋体" w:eastAsia="宋体" w:cs="宋体"/>
                <w:color w:val="000000" w:themeColor="text1"/>
                <w:kern w:val="0"/>
                <w:sz w:val="21"/>
                <w:szCs w:val="21"/>
                <w:lang w:bidi="ar"/>
                <w14:textFill>
                  <w14:solidFill>
                    <w14:schemeClr w14:val="tx1"/>
                  </w14:solidFill>
                </w14:textFill>
              </w:rPr>
              <w:t>独立模拟音频平衡输入，</w:t>
            </w:r>
            <w:r>
              <w:rPr>
                <w:rFonts w:hint="eastAsia" w:ascii="宋体" w:hAnsi="宋体" w:eastAsia="宋体" w:cs="宋体"/>
                <w:lang w:val="en-US" w:eastAsia="zh-CN"/>
              </w:rPr>
              <w:t>至少8</w:t>
            </w:r>
            <w:r>
              <w:rPr>
                <w:rFonts w:hint="eastAsia"/>
                <w:lang w:val="en-US" w:eastAsia="zh-CN"/>
              </w:rPr>
              <w:t>路以上</w:t>
            </w:r>
          </w:p>
          <w:p>
            <w:pPr>
              <w:pStyle w:val="8"/>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独立模拟音频平衡输出，支持各类麦克风信号输入和音乐信号输入；</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2.带AEC自适应声学回声消除功能，</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6级尾长效果调节，带ANC自适应主动噪声消除功能，</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4级强度调节；</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3.每路麦克风输入带</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9级灵敏度调节0-35dB增益，48V幻相电源开关，可以匹配不同灵敏度的各类麦克风；</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4.内置白噪声.粉红噪声.正弦波三种不同测试信号音源，可以作为各类系统检测音源；</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5.每路输入带主动反馈抑制功能，两档调节；</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6.带AUTOMIX共享增益型自动混音器，每通道独立调节，有10级优先档位，可调节斜率和响应时间；</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7.内置强大的矩阵混音功能，全开放架构，自由设置，每路混音还可以独立调节混音量，匹配增益更方便，直观查看和调试信号路由情况；</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8.输入通道：前级放大、信号发生器、扩展器、压缩器、31段参量均衡、AM自动混音功能、AFC自适应反馈消除、AEC回声消除、ANC噪声消除；</w:t>
            </w:r>
          </w:p>
          <w:p>
            <w:pPr>
              <w:widowControl/>
              <w:jc w:val="left"/>
              <w:textAlignment w:val="center"/>
              <w:rPr>
                <w:color w:val="000000" w:themeColor="text1"/>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9.输出通道：</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10段参量均衡器、延时器、分频器、高低通滤波器、限幅器；</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10.带视像跟踪控制功能，RS232/485接口，支持摄像头控制PELCO-D/PELCO-P/VISCA等协议；配置</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8通道可编程GPIO控制接口（可自定义输入输出）；</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11.标配USB（TYPE-B）口：支持免驱自动连接软件调试；内置U盘功能，存放软件和说明书；</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12.支持手机APPTCON软件网络控制，支持4寸触控屏线控控制；</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13.Mconsole统一管理，可通过USB/RS232/RS485/TCPIP多个接口连接控制设备，TCPIP控制口还可以实现局域网远程.多台设备控制，多台设备同步参数，联调参数等强大功能；</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14.支持中控指令，软件自带中控协议，可通过RS232/RS485/TCPIP实现中控控制功能；</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15.最大输入电平12dBu/Line,-7dBu/Mic。</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6485.41</w:t>
            </w:r>
          </w:p>
        </w:tc>
        <w:tc>
          <w:tcPr>
            <w:tcW w:w="1486"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6485.41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68</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无线主席单元</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无线代表单元，采用铝合金方形麦克风，通过固定接头连接话筒底座，可调俯仰角度；</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专业高保真电容咪芯，拾音灵敏、语音清晰，带宽达到20Hz~20KHz；</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话筒头部带双色发言灯环，单元发言时灯环为常亮红色，单元申请发言时灯环为常亮绿色；</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灵敏的触摸式开关，待机未按时图案常亮发光绿色，按下后图案常亮发光红色；</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2.4寸高亮度IPSTFT显示屏，显示内容清晰，可以显示话筒状态、通道地址、电池电量、单元参数、日期时间、发言音量等，清晰了解当前的使用情况；</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话筒带发言计时功能；</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侧边带机械式电子音量开关，可单独调节话筒发言音量；</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8</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发言单元可申请茶水、笔、帮助等服务；</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9</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抗电磁干扰电路设计，杜绝手机等电子产品的电磁干扰；</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10</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单元采用UHF无线技术传输音频及控制信号，F有效通信距离为：室内</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50米室外</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90米；</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内置高性能锂电池，自带TYPE-C接口，可以边充电边使用；</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超低功耗电路设计，连续发言时间不少于8小时，待机时间不少于12小时。</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2250</w:t>
            </w:r>
            <w:r>
              <w:rPr>
                <w:rFonts w:hint="eastAsia" w:ascii="宋体" w:hAnsi="宋体" w:eastAsia="宋体" w:cs="宋体"/>
                <w:color w:val="000000" w:themeColor="text1"/>
                <w:kern w:val="0"/>
                <w:sz w:val="21"/>
                <w:szCs w:val="21"/>
                <w:lang w:val="en-US" w:eastAsia="zh-CN" w:bidi="ar"/>
                <w14:textFill>
                  <w14:solidFill>
                    <w14:schemeClr w14:val="tx1"/>
                  </w14:solidFill>
                </w14:textFill>
              </w:rPr>
              <w:t>.00</w:t>
            </w:r>
          </w:p>
        </w:tc>
        <w:tc>
          <w:tcPr>
            <w:tcW w:w="1486"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2250</w:t>
            </w:r>
            <w:r>
              <w:rPr>
                <w:rFonts w:hint="eastAsia" w:ascii="宋体" w:hAnsi="宋体" w:eastAsia="宋体" w:cs="宋体"/>
                <w:color w:val="000000" w:themeColor="text1"/>
                <w:kern w:val="0"/>
                <w:sz w:val="21"/>
                <w:szCs w:val="21"/>
                <w:lang w:val="en-US" w:eastAsia="zh-CN" w:bidi="ar"/>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69</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无线代表单元</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无线代表单元，采用铝合金方形麦克风，通过固定接头连接话筒底座，可调俯仰角度；</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专业高保真电容咪芯，拾音灵敏、语音清晰，带宽达到20Hz~20KHz；</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话筒头部带双色发言灯环，单元发言时灯环为常亮红色，单元申请发言时灯环为常亮绿色；</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灵敏的触摸式开关，待机未按时图案常亮发光绿色，按下后图案常亮发光红色；</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2.4寸高亮度IPSTFT显示屏，显示内容清晰，可以显示话筒状态、通道地址、电池电量、单元参数、日期时间、发言音量等，清晰了解当前的使用情况；</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话筒带发言计时功能；</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侧边带机械式电子音量开关，可单独调节话筒发言音量；</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8</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发言单元可申请茶水、笔、帮助等服务；</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9</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抗电磁干扰电路设计，杜绝手机等电子产品的电磁干扰；</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10</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单元采用UHF无线技术传输音频及控制信号，F有效通信距离为：室内</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50米室外</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90米；</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内置高性能锂电池，自带TYPE-C接口，可以边充电边使用；</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超低功耗电路设计，连续发言时间不少于8小时，待机时间不少于12小时。</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29</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2250</w:t>
            </w:r>
            <w:r>
              <w:rPr>
                <w:rFonts w:hint="eastAsia" w:ascii="宋体" w:hAnsi="宋体" w:eastAsia="宋体" w:cs="宋体"/>
                <w:color w:val="000000" w:themeColor="text1"/>
                <w:kern w:val="0"/>
                <w:sz w:val="21"/>
                <w:szCs w:val="21"/>
                <w:lang w:val="en-US" w:eastAsia="zh-CN" w:bidi="ar"/>
                <w14:textFill>
                  <w14:solidFill>
                    <w14:schemeClr w14:val="tx1"/>
                  </w14:solidFill>
                </w14:textFill>
              </w:rPr>
              <w:t>.00</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65250.00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70</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专业天线放大器</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1.频率范围：500-900MHz；</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2.输入截断点：+22dBm；</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3.噪声比：</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4.0dB；</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4.增益：+6-9dB；</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5.输出阻抗：</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15dBmin；</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6.阻抗：</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50Ω指向；</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7.频宽：</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300MHz；</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8.插座：TNCfemale；</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9.电源供应：100-240V/50/60Hz；</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10.电源消耗：</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170mA。</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2868.62</w:t>
            </w:r>
          </w:p>
        </w:tc>
        <w:tc>
          <w:tcPr>
            <w:tcW w:w="1486"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2868.62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w:t>
            </w:r>
            <w:r>
              <w:rPr>
                <w:rFonts w:hint="eastAsia" w:ascii="宋体" w:hAnsi="宋体" w:eastAsia="宋体" w:cs="宋体"/>
                <w:color w:val="000000" w:themeColor="text1"/>
                <w:kern w:val="0"/>
                <w:sz w:val="21"/>
                <w:szCs w:val="21"/>
                <w:lang w:val="en-US" w:eastAsia="zh-CN" w:bidi="ar"/>
                <w14:textFill>
                  <w14:solidFill>
                    <w14:schemeClr w14:val="tx1"/>
                  </w14:solidFill>
                </w14:textFill>
              </w:rPr>
              <w:t>1</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充电箱</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CNC一体成型阳极氧化；</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标配12条TYPE-C充电线，长</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1米；</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电源输入：220V50Mhz。</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1495.27</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4485.81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449" w:type="dxa"/>
            <w:gridSpan w:val="7"/>
            <w:noWrap/>
            <w:vAlign w:val="center"/>
          </w:tcPr>
          <w:p>
            <w:pPr>
              <w:widowControl/>
              <w:jc w:val="left"/>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3.周边设备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w:t>
            </w:r>
            <w:r>
              <w:rPr>
                <w:rFonts w:hint="eastAsia" w:ascii="宋体" w:hAnsi="宋体" w:eastAsia="宋体" w:cs="宋体"/>
                <w:color w:val="000000" w:themeColor="text1"/>
                <w:kern w:val="0"/>
                <w:sz w:val="21"/>
                <w:szCs w:val="21"/>
                <w:lang w:val="en-US" w:eastAsia="zh-CN" w:bidi="ar"/>
                <w14:textFill>
                  <w14:solidFill>
                    <w14:schemeClr w14:val="tx1"/>
                  </w14:solidFill>
                </w14:textFill>
              </w:rPr>
              <w:t>2</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电源时序器</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▲1.配备≥3.</w:t>
            </w:r>
            <w:r>
              <w:rPr>
                <w:rFonts w:hint="eastAsia" w:ascii="宋体" w:hAnsi="宋体" w:cs="宋体"/>
                <w:color w:val="000000" w:themeColor="text1"/>
                <w:kern w:val="0"/>
                <w:sz w:val="21"/>
                <w:szCs w:val="21"/>
                <w:lang w:val="en-US" w:eastAsia="zh-CN" w:bidi="ar"/>
                <w14:textFill>
                  <w14:solidFill>
                    <w14:schemeClr w14:val="tx1"/>
                  </w14:solidFill>
                </w14:textFill>
              </w:rPr>
              <w:t>5</w:t>
            </w:r>
            <w:r>
              <w:rPr>
                <w:rFonts w:hint="eastAsia" w:ascii="宋体" w:hAnsi="宋体" w:eastAsia="宋体" w:cs="宋体"/>
                <w:color w:val="000000" w:themeColor="text1"/>
                <w:kern w:val="0"/>
                <w:sz w:val="21"/>
                <w:szCs w:val="21"/>
                <w:lang w:bidi="ar"/>
                <w14:textFill>
                  <w14:solidFill>
                    <w14:schemeClr w14:val="tx1"/>
                  </w14:solidFill>
                </w14:textFill>
              </w:rPr>
              <w:t>寸彩色TFT-LCD可触控显示屏，可实时显示当前电压，日期时间，信道开关状态；</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8路开关通道输出，每路延时开启和关闭时间可自由设置（范围0～999秒）；</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3.每通道可以独立设置开启/关闭，方便设备灵活使用；</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4.每通道独立滤波器消除电磁干扰，为每路提供稳定的电流；</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5.内置时钟芯片，可根据日期时间定时设置自动开启/关闭每一通道；</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▲6.欠压、过压保护，可自定义设置保护值；</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▲7.配置RS232和RS485接口，支持级联、中央设备控制；</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8.额定输出总电流：</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40A，单路输出电流：</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20A。</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▲9.输入电源：AC100～240V 50～60Hz；</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▲10.单路额定输出电流：</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20A；</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▲11.额定输出总电流：</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40A；</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▲12.时序控制每步时间</w:t>
            </w:r>
            <w:r>
              <w:rPr>
                <w:rFonts w:hint="eastAsia" w:ascii="宋体" w:hAnsi="宋体" w:cs="宋体"/>
                <w:color w:val="000000" w:themeColor="text1"/>
                <w:kern w:val="0"/>
                <w:sz w:val="21"/>
                <w:szCs w:val="21"/>
                <w:lang w:val="en-US" w:eastAsia="zh-CN" w:bidi="ar"/>
                <w14:textFill>
                  <w14:solidFill>
                    <w14:schemeClr w14:val="tx1"/>
                  </w14:solidFill>
                </w14:textFill>
              </w:rPr>
              <w:t>音</w:t>
            </w:r>
            <w:r>
              <w:rPr>
                <w:rFonts w:hint="eastAsia" w:ascii="宋体" w:hAnsi="宋体" w:eastAsia="宋体" w:cs="宋体"/>
                <w:color w:val="000000" w:themeColor="text1"/>
                <w:kern w:val="0"/>
                <w:sz w:val="21"/>
                <w:szCs w:val="21"/>
                <w:lang w:bidi="ar"/>
                <w14:textFill>
                  <w14:solidFill>
                    <w14:schemeClr w14:val="tx1"/>
                  </w14:solidFill>
                </w14:textFill>
              </w:rPr>
              <w:t>隔：0.1～999s；</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▲13.USB界面：DC5V/500mA；</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14.电源输出接口：</w:t>
            </w:r>
            <w:r>
              <w:rPr>
                <w:rFonts w:hint="eastAsia" w:ascii="宋体" w:hAnsi="宋体" w:cs="宋体"/>
                <w:color w:val="000000" w:themeColor="text1"/>
                <w:kern w:val="0"/>
                <w:sz w:val="21"/>
                <w:szCs w:val="21"/>
                <w:lang w:val="en-US" w:eastAsia="zh-CN" w:bidi="ar"/>
                <w14:textFill>
                  <w14:solidFill>
                    <w14:schemeClr w14:val="tx1"/>
                  </w14:solidFill>
                </w14:textFill>
              </w:rPr>
              <w:t>≥7</w:t>
            </w:r>
            <w:r>
              <w:rPr>
                <w:rFonts w:hint="eastAsia" w:ascii="宋体" w:hAnsi="宋体" w:eastAsia="宋体" w:cs="宋体"/>
                <w:color w:val="000000" w:themeColor="text1"/>
                <w:kern w:val="0"/>
                <w:sz w:val="21"/>
                <w:szCs w:val="21"/>
                <w:lang w:bidi="ar"/>
                <w14:textFill>
                  <w14:solidFill>
                    <w14:schemeClr w14:val="tx1"/>
                  </w14:solidFill>
                </w14:textFill>
              </w:rPr>
              <w:t>路智慧控制，</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1路直通输出。</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2448.7</w:t>
            </w:r>
            <w:r>
              <w:rPr>
                <w:rFonts w:hint="eastAsia" w:ascii="宋体" w:hAnsi="宋体" w:eastAsia="宋体" w:cs="宋体"/>
                <w:color w:val="000000" w:themeColor="text1"/>
                <w:kern w:val="0"/>
                <w:sz w:val="21"/>
                <w:szCs w:val="21"/>
                <w:lang w:val="en-US" w:eastAsia="zh-CN" w:bidi="ar"/>
                <w14:textFill>
                  <w14:solidFill>
                    <w14:schemeClr w14:val="tx1"/>
                  </w14:solidFill>
                </w14:textFill>
              </w:rPr>
              <w:t>0</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4897.40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449" w:type="dxa"/>
            <w:gridSpan w:val="7"/>
            <w:noWrap/>
            <w:vAlign w:val="center"/>
          </w:tcPr>
          <w:p>
            <w:pPr>
              <w:widowControl/>
              <w:jc w:val="left"/>
              <w:textAlignment w:val="center"/>
              <w:rPr>
                <w:rFonts w:hint="eastAsia" w:ascii="Times New Roman" w:hAnsi="Times New Roman" w:eastAsia="宋体" w:cs="宋体"/>
                <w:color w:val="000000" w:themeColor="text1"/>
                <w:kern w:val="0"/>
                <w:sz w:val="21"/>
                <w:szCs w:val="20"/>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4.线材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w:t>
            </w:r>
            <w:r>
              <w:rPr>
                <w:rFonts w:hint="eastAsia" w:ascii="宋体" w:hAnsi="宋体" w:eastAsia="宋体" w:cs="宋体"/>
                <w:color w:val="000000" w:themeColor="text1"/>
                <w:kern w:val="0"/>
                <w:sz w:val="21"/>
                <w:szCs w:val="21"/>
                <w:lang w:val="en-US" w:eastAsia="zh-CN" w:bidi="ar"/>
                <w14:textFill>
                  <w14:solidFill>
                    <w14:schemeClr w14:val="tx1"/>
                  </w14:solidFill>
                </w14:textFill>
              </w:rPr>
              <w:t>3</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卡侬公对卡侬母信号线</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1.长度：</w:t>
            </w:r>
            <w:r>
              <w:rPr>
                <w:rFonts w:hint="eastAsia" w:ascii="宋体" w:hAnsi="宋体" w:cs="宋体"/>
                <w:color w:val="000000" w:themeColor="text1"/>
                <w:kern w:val="0"/>
                <w:szCs w:val="21"/>
                <w:lang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1.5米；</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2.材质：PVC+ABS+锌合金；</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3.三体针头：黄铜镀银。</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12</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根</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23.34</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280.08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74</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3.5转双6.5单声道直插信号线</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1.长度：</w:t>
            </w:r>
            <w:r>
              <w:rPr>
                <w:rFonts w:hint="eastAsia" w:ascii="宋体" w:hAnsi="宋体" w:cs="宋体"/>
                <w:color w:val="000000" w:themeColor="text1"/>
                <w:kern w:val="0"/>
                <w:szCs w:val="21"/>
                <w:lang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1.5米；</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2.线芯数量：2芯；</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3.线芯材质：裸铜线。</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根</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32.00</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75</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音箱线</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1.双铝箔屏蔽，抗氧化防干扰，增强音质；</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2.精炼铜导体，低电阻损耗小，具备更强的导音效果；</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3.长度：</w:t>
            </w:r>
            <w:r>
              <w:rPr>
                <w:rFonts w:hint="eastAsia" w:ascii="宋体" w:hAnsi="宋体" w:cs="宋体"/>
                <w:color w:val="000000" w:themeColor="text1"/>
                <w:kern w:val="0"/>
                <w:szCs w:val="21"/>
                <w:lang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100米；</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4.导体：金炼铜；</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5.屏蔽：金银铝箔；</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6.芯线规格：0.39㎡</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2；</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7.线型尺寸：Ф3.0</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6.0mm。</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卷</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500.00</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449" w:type="dxa"/>
            <w:gridSpan w:val="7"/>
            <w:noWrap/>
            <w:vAlign w:val="center"/>
          </w:tcPr>
          <w:p>
            <w:pPr>
              <w:widowControl/>
              <w:jc w:val="left"/>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b/>
                <w:bCs/>
                <w:color w:val="000000" w:themeColor="text1"/>
                <w:kern w:val="0"/>
                <w:sz w:val="21"/>
                <w:szCs w:val="21"/>
                <w:lang w:bidi="ar"/>
                <w14:textFill>
                  <w14:solidFill>
                    <w14:schemeClr w14:val="tx1"/>
                  </w14:solidFill>
                </w14:textFill>
              </w:rPr>
              <w:t>（三）开放式办公区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449" w:type="dxa"/>
            <w:gridSpan w:val="7"/>
            <w:noWrap/>
            <w:vAlign w:val="center"/>
          </w:tcPr>
          <w:p>
            <w:pPr>
              <w:widowControl/>
              <w:jc w:val="left"/>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1.音响扩声系统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76</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音柱</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1.单元配置：3寸同轴喇叭单元×6只；</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2.额定功率：≥120W（AES）；</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3.峰值功率≥480W（Peak）；</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4.标称阻抗：≥6Ω；</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5.最大声压级：≥106dB；</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6.灵敏度：88dB/W(lm)；</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7.频率响应：110Hz-20KHz(±3dB)1watt@1m；</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8.材质：高强度铝型材；</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9.表面处理：高强度喷漆；</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10.吊挂硬件：M8吊点，底托Ø20牙；</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ascii="宋体" w:hAnsi="宋体" w:cs="宋体"/>
                <w:color w:val="000000" w:themeColor="text1"/>
                <w:kern w:val="0"/>
                <w:sz w:val="21"/>
                <w:szCs w:val="21"/>
                <w:lang w:val="en-US" w:eastAsia="zh-CN" w:bidi="ar"/>
                <w14:textFill>
                  <w14:solidFill>
                    <w14:schemeClr w14:val="tx1"/>
                  </w14:solidFill>
                </w14:textFill>
              </w:rPr>
              <w:t>1</w:t>
            </w:r>
            <w:r>
              <w:rPr>
                <w:rFonts w:hint="eastAsia" w:ascii="宋体" w:hAnsi="宋体" w:eastAsia="宋体" w:cs="宋体"/>
                <w:color w:val="000000" w:themeColor="text1"/>
                <w:kern w:val="0"/>
                <w:sz w:val="21"/>
                <w:szCs w:val="21"/>
                <w:lang w:bidi="ar"/>
                <w14:textFill>
                  <w14:solidFill>
                    <w14:schemeClr w14:val="tx1"/>
                  </w14:solidFill>
                </w14:textFill>
              </w:rPr>
              <w:t>.颜色：黑色。</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只</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3059.31</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12237.24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77</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功率放大器</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LED显示功放工作状态（音量增益/过载/保护/故障显示等）；全MOSFET信号处理，声音更加清晰准确.</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信号输入设计两种不同的模式，可切换为独立工作模式和菊链工作模式.（信号可一进四出，二进四出，四进四出），XLR平衡输入和Speakon输出连接.</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内置自动限幅压限器，无极调速风扇散热系统，电源开机浪涌电流限位器，可恢复电源过载保护器.（内置视、射频滤波，超声滤波.防止其它设备对本机的干扰）</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立体声功率（THD=0.5%）：8Ω（300W</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4）,4Ω（450W</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4）；</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频率响应：20Hz-20KHz（-0.5dB)；</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输入灵敏度：0.775V/1.2V；</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总谐波失真（1KHZ，正常工作条件）：≤0.025%；</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8</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输入阻抗：≥20KΩ；</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9</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信号信噪比（A计权）：≥110dB；</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10</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信道分离度：</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80dB；</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阻尼系数：</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400</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转换速率：45V/μS；</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13</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保护：短路、过载、过流、低阻、直流失调、过热、开机防浪涌冲击；</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14</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冷却：根据机器内部温升自动调节风扇转速（无极调速）；</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15</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电源：220V/50Hz。</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2621.67</w:t>
            </w:r>
          </w:p>
        </w:tc>
        <w:tc>
          <w:tcPr>
            <w:tcW w:w="1486"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2621.67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78</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调音台</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ascii="宋体" w:hAnsi="宋体" w:cs="宋体"/>
                <w:color w:val="000000" w:themeColor="text1"/>
                <w:kern w:val="0"/>
                <w:sz w:val="21"/>
                <w:szCs w:val="21"/>
                <w:lang w:val="en-US" w:eastAsia="zh-CN" w:bidi="ar"/>
                <w14:textFill>
                  <w14:solidFill>
                    <w14:schemeClr w14:val="tx1"/>
                  </w14:solidFill>
                </w14:textFill>
              </w:rPr>
              <w:t>8路</w:t>
            </w:r>
            <w:r>
              <w:rPr>
                <w:rFonts w:hint="eastAsia" w:ascii="宋体" w:hAnsi="宋体" w:eastAsia="宋体" w:cs="宋体"/>
                <w:color w:val="000000" w:themeColor="text1"/>
                <w:kern w:val="0"/>
                <w:sz w:val="21"/>
                <w:szCs w:val="21"/>
                <w:lang w:bidi="ar"/>
                <w14:textFill>
                  <w14:solidFill>
                    <w14:schemeClr w14:val="tx1"/>
                  </w14:solidFill>
                </w14:textFill>
              </w:rPr>
              <w:t>话筒输入，≥4路（两组）立体声输入；</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2.单声道输入通道每路带独立的48V幻像供电开关，单声道输入每路带100Hz低切功能；</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3.话筒输入高中低三段均衡，9-12路立体声高低两段均衡，输入推子60mm，手感平滑；</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4.两个辅助输出，一个AUX发送，一个FX发送，AUX发送为推子前信号，FX发送为推子后信号，信号发送量都由旋钮控制；</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5.输入每路带PFL按键，方便监听推子前信号；</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6.每路输入带L-R开关(主输出开关）和G1-G2开关（两编组开关）；</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7.USB播放功能，带液晶显示屏，可以显示歌曲名字和歌词，支持MP3,WAV等多种格式，中英文界面可选，循环模式可选；</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8.带蓝牙功能，可以直接蓝牙输入音频；带U盘录音功能；</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9.可以连接电脑，通过声卡输入输出音频到电脑；</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10.内置效果器，效果器延时时间和重复比例连续可调，效果可以加入主输入，也可以加入辅助AUX输出；</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11.左右主输出，单独一个推子控制，60mm推子；两编组输出，两个推子独立控制，60mm推子；</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12.立体声监听输出，可以耳机监听，也可以输出到监听音箱旋钮控制音量大小；</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13.左右立体声辅助返回，旋钮控制返回音量大小，有选择开关选择加入主输出还是编组输出；带莲花接口的录音输出和输入，录音输入有独立开关控制，便于录音和回放操作；</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14.标准双12段电平指示标，准确显示电平大小；</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15.话筒输入可以选择卡龙或6.35接口，立体声输入可以选择RCA或6.35接口；</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16.大功率外置电源，有效提升调音台性能;</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17.频率响应：20Hz~20KHz(+/-0.5dB)；</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18.总谐波失真：</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%1(额定条件：20HZ-20KHZ)；</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19.等效输入噪音：≤-110dBm。</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1926.66</w:t>
            </w:r>
          </w:p>
        </w:tc>
        <w:tc>
          <w:tcPr>
            <w:tcW w:w="1486"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1926.66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79</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反馈抑制器</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2</w:t>
            </w:r>
            <w:r>
              <w:rPr>
                <w:rFonts w:hint="eastAsia" w:ascii="宋体" w:hAnsi="宋体" w:cs="宋体"/>
                <w:color w:val="000000" w:themeColor="text1"/>
                <w:kern w:val="0"/>
                <w:sz w:val="21"/>
                <w:szCs w:val="21"/>
                <w:lang w:val="en-US" w:eastAsia="zh-CN" w:bidi="ar"/>
                <w14:textFill>
                  <w14:solidFill>
                    <w14:schemeClr w14:val="tx1"/>
                  </w14:solidFill>
                </w14:textFill>
              </w:rPr>
              <w:t>英</w:t>
            </w:r>
            <w:r>
              <w:rPr>
                <w:rFonts w:hint="eastAsia" w:ascii="宋体" w:hAnsi="宋体" w:eastAsia="宋体" w:cs="宋体"/>
                <w:color w:val="000000" w:themeColor="text1"/>
                <w:kern w:val="0"/>
                <w:sz w:val="21"/>
                <w:szCs w:val="21"/>
                <w:lang w:bidi="ar"/>
                <w14:textFill>
                  <w14:solidFill>
                    <w14:schemeClr w14:val="tx1"/>
                  </w14:solidFill>
                </w14:textFill>
              </w:rPr>
              <w:t>寸TFT彩屏，分辨率</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220</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176，中英文可选；</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2.每通道设</w:t>
            </w:r>
            <w:r>
              <w:rPr>
                <w:rFonts w:hint="eastAsia" w:ascii="宋体" w:hAnsi="宋体" w:cs="宋体"/>
                <w:color w:val="000000" w:themeColor="text1"/>
                <w:kern w:val="0"/>
                <w:sz w:val="21"/>
                <w:szCs w:val="21"/>
                <w:lang w:val="en-US" w:eastAsia="zh-CN" w:bidi="ar"/>
                <w14:textFill>
                  <w14:solidFill>
                    <w14:schemeClr w14:val="tx1"/>
                  </w14:solidFill>
                </w14:textFill>
              </w:rPr>
              <w:t>至少</w:t>
            </w:r>
            <w:r>
              <w:rPr>
                <w:rFonts w:hint="eastAsia" w:ascii="宋体" w:hAnsi="宋体" w:eastAsia="宋体" w:cs="宋体"/>
                <w:color w:val="000000" w:themeColor="text1"/>
                <w:kern w:val="0"/>
                <w:sz w:val="21"/>
                <w:szCs w:val="21"/>
                <w:lang w:bidi="ar"/>
                <w14:textFill>
                  <w14:solidFill>
                    <w14:schemeClr w14:val="tx1"/>
                  </w14:solidFill>
                </w14:textFill>
              </w:rPr>
              <w:t>24个</w:t>
            </w:r>
            <w:r>
              <w:rPr>
                <w:rFonts w:hint="eastAsia"/>
                <w:lang w:val="en-US" w:eastAsia="zh-CN"/>
              </w:rPr>
              <w:t>以上</w:t>
            </w:r>
            <w:r>
              <w:rPr>
                <w:rFonts w:hint="eastAsia" w:ascii="宋体" w:hAnsi="宋体" w:eastAsia="宋体" w:cs="宋体"/>
                <w:color w:val="000000" w:themeColor="text1"/>
                <w:kern w:val="0"/>
                <w:sz w:val="21"/>
                <w:szCs w:val="21"/>
                <w:lang w:bidi="ar"/>
                <w14:textFill>
                  <w14:solidFill>
                    <w14:schemeClr w14:val="tx1"/>
                  </w14:solidFill>
                </w14:textFill>
              </w:rPr>
              <w:t>自动陷波器,工作频率20-20kHZ，自动扫描啸叫点并抑制，可灵活设置静态锁定点数量；</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3.每通道</w:t>
            </w:r>
            <w:r>
              <w:rPr>
                <w:rFonts w:hint="eastAsia" w:ascii="宋体" w:hAnsi="宋体" w:cs="宋体"/>
                <w:color w:val="000000" w:themeColor="text1"/>
                <w:kern w:val="0"/>
                <w:sz w:val="21"/>
                <w:szCs w:val="21"/>
                <w:lang w:val="en-US" w:eastAsia="zh-CN" w:bidi="ar"/>
                <w14:textFill>
                  <w14:solidFill>
                    <w14:schemeClr w14:val="tx1"/>
                  </w14:solidFill>
                </w14:textFill>
              </w:rPr>
              <w:t>至少</w:t>
            </w:r>
            <w:r>
              <w:rPr>
                <w:rFonts w:hint="eastAsia" w:ascii="宋体" w:hAnsi="宋体" w:eastAsia="宋体" w:cs="宋体"/>
                <w:color w:val="000000" w:themeColor="text1"/>
                <w:kern w:val="0"/>
                <w:sz w:val="21"/>
                <w:szCs w:val="21"/>
                <w:lang w:bidi="ar"/>
                <w14:textFill>
                  <w14:solidFill>
                    <w14:schemeClr w14:val="tx1"/>
                  </w14:solidFill>
                </w14:textFill>
              </w:rPr>
              <w:t>24段</w:t>
            </w:r>
            <w:r>
              <w:rPr>
                <w:rFonts w:hint="eastAsia"/>
                <w:lang w:val="en-US" w:eastAsia="zh-CN"/>
              </w:rPr>
              <w:t>以上</w:t>
            </w:r>
            <w:r>
              <w:rPr>
                <w:rFonts w:hint="eastAsia" w:ascii="宋体" w:hAnsi="宋体" w:eastAsia="宋体" w:cs="宋体"/>
                <w:color w:val="000000" w:themeColor="text1"/>
                <w:kern w:val="0"/>
                <w:sz w:val="21"/>
                <w:szCs w:val="21"/>
                <w:lang w:bidi="ar"/>
                <w14:textFill>
                  <w14:solidFill>
                    <w14:schemeClr w14:val="tx1"/>
                  </w14:solidFill>
                </w14:textFill>
              </w:rPr>
              <w:t>PEQ参量均衡，可灵活设置；</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4.USB免驱即插即用，配备专业PC调试软件，方便快捷；</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5.可存储</w:t>
            </w:r>
            <w:r>
              <w:rPr>
                <w:rFonts w:hint="eastAsia" w:ascii="宋体" w:hAnsi="宋体" w:cs="宋体"/>
                <w:color w:val="000000" w:themeColor="text1"/>
                <w:kern w:val="0"/>
                <w:sz w:val="21"/>
                <w:szCs w:val="21"/>
                <w:lang w:val="en-US" w:eastAsia="zh-CN" w:bidi="ar"/>
                <w14:textFill>
                  <w14:solidFill>
                    <w14:schemeClr w14:val="tx1"/>
                  </w14:solidFill>
                </w14:textFill>
              </w:rPr>
              <w:t>至少</w:t>
            </w:r>
            <w:r>
              <w:rPr>
                <w:rFonts w:hint="eastAsia" w:ascii="宋体" w:hAnsi="宋体" w:eastAsia="宋体" w:cs="宋体"/>
                <w:color w:val="000000" w:themeColor="text1"/>
                <w:kern w:val="0"/>
                <w:sz w:val="21"/>
                <w:szCs w:val="21"/>
                <w:lang w:bidi="ar"/>
                <w14:textFill>
                  <w14:solidFill>
                    <w14:schemeClr w14:val="tx1"/>
                  </w14:solidFill>
                </w14:textFill>
              </w:rPr>
              <w:t>10组</w:t>
            </w:r>
            <w:r>
              <w:rPr>
                <w:rFonts w:hint="eastAsia"/>
                <w:lang w:val="en-US" w:eastAsia="zh-CN"/>
              </w:rPr>
              <w:t>以上</w:t>
            </w:r>
            <w:r>
              <w:rPr>
                <w:rFonts w:hint="eastAsia" w:ascii="宋体" w:hAnsi="宋体" w:eastAsia="宋体" w:cs="宋体"/>
                <w:color w:val="000000" w:themeColor="text1"/>
                <w:kern w:val="0"/>
                <w:sz w:val="21"/>
                <w:szCs w:val="21"/>
                <w:lang w:bidi="ar"/>
                <w14:textFill>
                  <w14:solidFill>
                    <w14:schemeClr w14:val="tx1"/>
                  </w14:solidFill>
                </w14:textFill>
              </w:rPr>
              <w:t>配置，灵活存储调用参数指标：</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6.输入阻抗：平衡</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47kΩ，非平衡</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20kΩ；</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7.输出阻抗：平衡</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120Ω，非平衡</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60Ω；8.最大输入电平：≥15dBu；</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9.最大输出电平：≥15dBu；</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10.总谐波失真+噪声：</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0.025%(20Hz~20kHz）；</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11.最小固定延时：</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2ms；</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12.电源：220V50/60Hz；</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13.功耗：≤20W。</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4212.8</w:t>
            </w:r>
            <w:r>
              <w:rPr>
                <w:rFonts w:hint="eastAsia" w:ascii="宋体" w:hAnsi="宋体" w:eastAsia="宋体" w:cs="宋体"/>
                <w:color w:val="000000" w:themeColor="text1"/>
                <w:kern w:val="0"/>
                <w:sz w:val="21"/>
                <w:szCs w:val="21"/>
                <w:lang w:val="en-US" w:eastAsia="zh-CN" w:bidi="ar"/>
                <w14:textFill>
                  <w14:solidFill>
                    <w14:schemeClr w14:val="tx1"/>
                  </w14:solidFill>
                </w14:textFill>
              </w:rPr>
              <w:t>0</w:t>
            </w:r>
          </w:p>
        </w:tc>
        <w:tc>
          <w:tcPr>
            <w:tcW w:w="1486"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4212.8</w:t>
            </w:r>
            <w:r>
              <w:rPr>
                <w:rFonts w:hint="eastAsia" w:ascii="宋体" w:hAnsi="宋体" w:eastAsia="宋体" w:cs="宋体"/>
                <w:color w:val="000000" w:themeColor="text1"/>
                <w:kern w:val="0"/>
                <w:sz w:val="21"/>
                <w:szCs w:val="21"/>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6"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80</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天线放大器</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主机</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1.頻率范围：450～970MHZ；</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2.阻抗：</w:t>
            </w:r>
            <w:r>
              <w:rPr>
                <w:rFonts w:hint="eastAsia" w:ascii="宋体" w:hAnsi="宋体" w:cs="宋体"/>
                <w:color w:val="000000" w:themeColor="text1"/>
                <w:kern w:val="0"/>
                <w:szCs w:val="21"/>
                <w:lang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50Ω；</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3.输入电压：DC12V5A；</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4.输出直流电压：12V四组DC輸出端子；</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5.天线增幅电压：12V150mA；</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有源天线</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1.接收角度：360°；</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2.增益：</w:t>
            </w:r>
            <w:r>
              <w:rPr>
                <w:rFonts w:hint="eastAsia" w:ascii="宋体" w:hAnsi="宋体" w:cs="宋体"/>
                <w:color w:val="000000" w:themeColor="text1"/>
                <w:kern w:val="0"/>
                <w:szCs w:val="21"/>
                <w:lang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12dB；</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3.接口：BNC；</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4.阻抗：</w:t>
            </w:r>
            <w:r>
              <w:rPr>
                <w:rFonts w:hint="eastAsia" w:ascii="宋体" w:hAnsi="宋体" w:cs="宋体"/>
                <w:color w:val="000000" w:themeColor="text1"/>
                <w:kern w:val="0"/>
                <w:szCs w:val="21"/>
                <w:lang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50Ω；</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5.电压：9~12V；</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套</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2768.6</w:t>
            </w:r>
            <w:r>
              <w:rPr>
                <w:rFonts w:hint="eastAsia" w:ascii="宋体" w:hAnsi="宋体" w:eastAsia="宋体" w:cs="宋体"/>
                <w:color w:val="000000" w:themeColor="text1"/>
                <w:kern w:val="0"/>
                <w:sz w:val="21"/>
                <w:szCs w:val="21"/>
                <w:lang w:val="en-US" w:eastAsia="zh-CN" w:bidi="ar"/>
                <w14:textFill>
                  <w14:solidFill>
                    <w14:schemeClr w14:val="tx1"/>
                  </w14:solidFill>
                </w14:textFill>
              </w:rPr>
              <w:t>0</w:t>
            </w:r>
          </w:p>
        </w:tc>
        <w:tc>
          <w:tcPr>
            <w:tcW w:w="1486"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2768.6</w:t>
            </w:r>
            <w:r>
              <w:rPr>
                <w:rFonts w:hint="eastAsia" w:ascii="宋体" w:hAnsi="宋体" w:eastAsia="宋体" w:cs="宋体"/>
                <w:color w:val="000000" w:themeColor="text1"/>
                <w:kern w:val="0"/>
                <w:sz w:val="21"/>
                <w:szCs w:val="21"/>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81</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无线会议麦克风</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1.内置</w:t>
            </w:r>
            <w:r>
              <w:rPr>
                <w:rFonts w:hint="eastAsia" w:ascii="宋体" w:hAnsi="宋体" w:cs="宋体"/>
                <w:color w:val="000000" w:themeColor="text1"/>
                <w:kern w:val="0"/>
                <w:sz w:val="21"/>
                <w:szCs w:val="21"/>
                <w:lang w:val="en-US" w:eastAsia="zh-CN" w:bidi="ar"/>
                <w14:textFill>
                  <w14:solidFill>
                    <w14:schemeClr w14:val="tx1"/>
                  </w14:solidFill>
                </w14:textFill>
              </w:rPr>
              <w:t>至少</w:t>
            </w:r>
            <w:r>
              <w:rPr>
                <w:rFonts w:hint="eastAsia" w:ascii="宋体" w:hAnsi="宋体" w:eastAsia="宋体" w:cs="宋体"/>
                <w:color w:val="000000" w:themeColor="text1"/>
                <w:kern w:val="0"/>
                <w:sz w:val="21"/>
                <w:szCs w:val="21"/>
                <w:lang w:bidi="ar"/>
                <w14:textFill>
                  <w14:solidFill>
                    <w14:schemeClr w14:val="tx1"/>
                  </w14:solidFill>
                </w14:textFill>
              </w:rPr>
              <w:t>20组</w:t>
            </w:r>
            <w:r>
              <w:rPr>
                <w:rFonts w:hint="eastAsia" w:ascii="宋体" w:hAnsi="宋体" w:cs="宋体"/>
                <w:color w:val="000000" w:themeColor="text1"/>
                <w:kern w:val="0"/>
                <w:sz w:val="21"/>
                <w:szCs w:val="21"/>
                <w:lang w:val="en-US" w:eastAsia="zh-CN" w:bidi="ar"/>
                <w14:textFill>
                  <w14:solidFill>
                    <w14:schemeClr w14:val="tx1"/>
                  </w14:solidFill>
                </w14:textFill>
              </w:rPr>
              <w:t>以上</w:t>
            </w:r>
            <w:r>
              <w:rPr>
                <w:rFonts w:hint="eastAsia" w:ascii="宋体" w:hAnsi="宋体" w:eastAsia="宋体" w:cs="宋体"/>
                <w:color w:val="000000" w:themeColor="text1"/>
                <w:kern w:val="0"/>
                <w:sz w:val="21"/>
                <w:szCs w:val="21"/>
                <w:lang w:bidi="ar"/>
                <w14:textFill>
                  <w14:solidFill>
                    <w14:schemeClr w14:val="tx1"/>
                  </w14:solidFill>
                </w14:textFill>
              </w:rPr>
              <w:t>预设频率模组，PLL锁相环回路设计，纯自动选讯接收方式；</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2.一键修改</w:t>
            </w:r>
            <w:r>
              <w:rPr>
                <w:rFonts w:hint="eastAsia" w:ascii="宋体" w:hAnsi="宋体" w:cs="宋体"/>
                <w:color w:val="000000" w:themeColor="text1"/>
                <w:kern w:val="0"/>
                <w:sz w:val="21"/>
                <w:szCs w:val="21"/>
                <w:lang w:val="en-US" w:eastAsia="zh-CN" w:bidi="ar"/>
                <w14:textFill>
                  <w14:solidFill>
                    <w14:schemeClr w14:val="tx1"/>
                  </w14:solidFill>
                </w14:textFill>
              </w:rPr>
              <w:t>至少</w:t>
            </w:r>
            <w:r>
              <w:rPr>
                <w:rFonts w:hint="eastAsia" w:ascii="宋体" w:hAnsi="宋体" w:eastAsia="宋体" w:cs="宋体"/>
                <w:color w:val="000000" w:themeColor="text1"/>
                <w:kern w:val="0"/>
                <w:sz w:val="21"/>
                <w:szCs w:val="21"/>
                <w:lang w:bidi="ar"/>
                <w14:textFill>
                  <w14:solidFill>
                    <w14:schemeClr w14:val="tx1"/>
                  </w14:solidFill>
                </w14:textFill>
              </w:rPr>
              <w:t>四通</w:t>
            </w:r>
            <w:r>
              <w:rPr>
                <w:rFonts w:hint="eastAsia" w:ascii="宋体" w:hAnsi="宋体" w:cs="宋体"/>
                <w:color w:val="000000" w:themeColor="text1"/>
                <w:kern w:val="0"/>
                <w:sz w:val="21"/>
                <w:szCs w:val="21"/>
                <w:lang w:val="en-US" w:eastAsia="zh-CN" w:bidi="ar"/>
                <w14:textFill>
                  <w14:solidFill>
                    <w14:schemeClr w14:val="tx1"/>
                  </w14:solidFill>
                </w14:textFill>
              </w:rPr>
              <w:t>以上</w:t>
            </w:r>
            <w:r>
              <w:rPr>
                <w:rFonts w:hint="eastAsia" w:ascii="宋体" w:hAnsi="宋体" w:eastAsia="宋体" w:cs="宋体"/>
                <w:color w:val="000000" w:themeColor="text1"/>
                <w:kern w:val="0"/>
                <w:sz w:val="21"/>
                <w:szCs w:val="21"/>
                <w:lang w:bidi="ar"/>
                <w14:textFill>
                  <w14:solidFill>
                    <w14:schemeClr w14:val="tx1"/>
                  </w14:solidFill>
                </w14:textFill>
              </w:rPr>
              <w:t>道频率组，同时修改频率组，同时亦支持手动修改每个通道的频率；</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3.配合LCD液晶显示屏，显示音量.模组.频率和AF/RF讯号强度以及设置操作；</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4.使用电子音量控制，每个通道音量增益通过前置旋钮可调0dB至20dB；</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5.红外数据自动同步功能（SYNC）：</w:t>
            </w:r>
            <w:r>
              <w:rPr>
                <w:rFonts w:hint="eastAsia" w:ascii="宋体" w:hAnsi="宋体" w:cs="宋体"/>
                <w:color w:val="000000" w:themeColor="text1"/>
                <w:kern w:val="0"/>
                <w:sz w:val="21"/>
                <w:szCs w:val="21"/>
                <w:lang w:val="en-US" w:eastAsia="zh-CN" w:bidi="ar"/>
                <w14:textFill>
                  <w14:solidFill>
                    <w14:schemeClr w14:val="tx1"/>
                  </w14:solidFill>
                </w14:textFill>
              </w:rPr>
              <w:t>至少</w:t>
            </w:r>
            <w:r>
              <w:rPr>
                <w:rFonts w:hint="eastAsia" w:ascii="宋体" w:hAnsi="宋体" w:eastAsia="宋体" w:cs="宋体"/>
                <w:color w:val="000000" w:themeColor="text1"/>
                <w:kern w:val="0"/>
                <w:sz w:val="21"/>
                <w:szCs w:val="21"/>
                <w:lang w:bidi="ar"/>
                <w14:textFill>
                  <w14:solidFill>
                    <w14:schemeClr w14:val="tx1"/>
                  </w14:solidFill>
                </w14:textFill>
              </w:rPr>
              <w:t>4个</w:t>
            </w:r>
            <w:r>
              <w:rPr>
                <w:rFonts w:hint="eastAsia" w:ascii="宋体" w:hAnsi="宋体" w:cs="宋体"/>
                <w:color w:val="000000" w:themeColor="text1"/>
                <w:kern w:val="0"/>
                <w:sz w:val="21"/>
                <w:szCs w:val="21"/>
                <w:lang w:val="en-US" w:eastAsia="zh-CN" w:bidi="ar"/>
                <w14:textFill>
                  <w14:solidFill>
                    <w14:schemeClr w14:val="tx1"/>
                  </w14:solidFill>
                </w14:textFill>
              </w:rPr>
              <w:t>以上</w:t>
            </w:r>
            <w:r>
              <w:rPr>
                <w:rFonts w:hint="eastAsia" w:ascii="宋体" w:hAnsi="宋体" w:eastAsia="宋体" w:cs="宋体"/>
                <w:color w:val="000000" w:themeColor="text1"/>
                <w:kern w:val="0"/>
                <w:sz w:val="21"/>
                <w:szCs w:val="21"/>
                <w:lang w:bidi="ar"/>
                <w14:textFill>
                  <w14:solidFill>
                    <w14:schemeClr w14:val="tx1"/>
                  </w14:solidFill>
                </w14:textFill>
              </w:rPr>
              <w:t>独立的红外对频按键，一键自动对频；</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6.采用UHF530-670MHz频段载波，频率响应：20Hz～20KHz±3dB，频带宽度：30MHz，灵敏度：S/N&gt;60dB@25KHz,6dBv，T.H.D＜0.7%@1KHz，S/N＞105dB；</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7.标配</w:t>
            </w:r>
            <w:r>
              <w:rPr>
                <w:rFonts w:hint="eastAsia" w:ascii="宋体" w:hAnsi="宋体" w:cs="宋体"/>
                <w:color w:val="000000" w:themeColor="text1"/>
                <w:kern w:val="0"/>
                <w:sz w:val="21"/>
                <w:szCs w:val="21"/>
                <w:lang w:val="en-US" w:eastAsia="zh-CN" w:bidi="ar"/>
                <w14:textFill>
                  <w14:solidFill>
                    <w14:schemeClr w14:val="tx1"/>
                  </w14:solidFill>
                </w14:textFill>
              </w:rPr>
              <w:t>至少</w:t>
            </w:r>
            <w:r>
              <w:rPr>
                <w:rFonts w:hint="eastAsia" w:ascii="宋体" w:hAnsi="宋体" w:eastAsia="宋体" w:cs="宋体"/>
                <w:color w:val="000000" w:themeColor="text1"/>
                <w:kern w:val="0"/>
                <w:sz w:val="21"/>
                <w:szCs w:val="21"/>
                <w:lang w:bidi="ar"/>
                <w14:textFill>
                  <w14:solidFill>
                    <w14:schemeClr w14:val="tx1"/>
                  </w14:solidFill>
                </w14:textFill>
              </w:rPr>
              <w:t>4条</w:t>
            </w:r>
            <w:r>
              <w:rPr>
                <w:rFonts w:hint="eastAsia" w:ascii="宋体" w:hAnsi="宋体" w:cs="宋体"/>
                <w:color w:val="000000" w:themeColor="text1"/>
                <w:kern w:val="0"/>
                <w:sz w:val="21"/>
                <w:szCs w:val="21"/>
                <w:lang w:val="en-US" w:eastAsia="zh-CN" w:bidi="ar"/>
                <w14:textFill>
                  <w14:solidFill>
                    <w14:schemeClr w14:val="tx1"/>
                  </w14:solidFill>
                </w14:textFill>
              </w:rPr>
              <w:t>以上</w:t>
            </w:r>
            <w:r>
              <w:rPr>
                <w:rFonts w:hint="eastAsia" w:ascii="宋体" w:hAnsi="宋体" w:eastAsia="宋体" w:cs="宋体"/>
                <w:color w:val="000000" w:themeColor="text1"/>
                <w:kern w:val="0"/>
                <w:sz w:val="21"/>
                <w:szCs w:val="21"/>
                <w:lang w:bidi="ar"/>
                <w14:textFill>
                  <w14:solidFill>
                    <w14:schemeClr w14:val="tx1"/>
                  </w14:solidFill>
                </w14:textFill>
              </w:rPr>
              <w:t>BNC天线，并可配备外置延长的抗干扰天线，可绕开金属机柜对无线信号的屏蔽，有效工作距离</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60米(可视距离)；</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8.不平衡混合输出插座：6.3mm插座,ABCD信道混合输出，平衡输出插座：XLR插座ABCD信道。</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套</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4403.49</w:t>
            </w:r>
          </w:p>
        </w:tc>
        <w:tc>
          <w:tcPr>
            <w:tcW w:w="1486"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4403.49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449" w:type="dxa"/>
            <w:gridSpan w:val="7"/>
            <w:noWrap/>
            <w:vAlign w:val="center"/>
          </w:tcPr>
          <w:p>
            <w:pPr>
              <w:widowControl/>
              <w:jc w:val="left"/>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2.数字会议发言系统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8</w:t>
            </w:r>
            <w:r>
              <w:rPr>
                <w:rFonts w:hint="eastAsia" w:ascii="宋体" w:hAnsi="宋体" w:eastAsia="宋体" w:cs="宋体"/>
                <w:color w:val="000000" w:themeColor="text1"/>
                <w:kern w:val="0"/>
                <w:sz w:val="21"/>
                <w:szCs w:val="21"/>
                <w:lang w:val="en-US" w:eastAsia="zh-CN" w:bidi="ar"/>
                <w14:textFill>
                  <w14:solidFill>
                    <w14:schemeClr w14:val="tx1"/>
                  </w14:solidFill>
                </w14:textFill>
              </w:rPr>
              <w:t>2</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会议终端</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采用全数字会议技术，基于数字网络架构开发，内置CPU处理器，处理速度更快，音质更佳，支持讨论、视像跟踪功能；</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全新概念的抗电磁干扰电路设计，杜绝手机等电子产品的电磁干扰；</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采用FM调频传输音频，配合高还原电路及防啸叫设设计，加上采用新型防啸叫单指向高灵敏度电容咪芯，使会议声音音质实现高保真度还原；</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控制及音频信号皆采用无线高频信号通讯，避免布设话筒线缆，安装简单方便灵活；</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采用2.69寸全视角IPS显示屏，直观显示和方便调节系统的各项参数；</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支持USB录音，高保真WAV格式输出；</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主机具有</w:t>
            </w:r>
            <w:r>
              <w:rPr>
                <w:rFonts w:hint="eastAsia" w:ascii="宋体" w:hAnsi="宋体" w:cs="宋体"/>
                <w:color w:val="000000" w:themeColor="text1"/>
                <w:kern w:val="0"/>
                <w:sz w:val="21"/>
                <w:szCs w:val="21"/>
                <w:lang w:val="en-US" w:eastAsia="zh-CN" w:bidi="ar"/>
                <w14:textFill>
                  <w14:solidFill>
                    <w14:schemeClr w14:val="tx1"/>
                  </w14:solidFill>
                </w14:textFill>
              </w:rPr>
              <w:t>至少</w:t>
            </w:r>
            <w:r>
              <w:rPr>
                <w:rFonts w:hint="eastAsia" w:ascii="宋体" w:hAnsi="宋体" w:eastAsia="宋体" w:cs="宋体"/>
                <w:color w:val="000000" w:themeColor="text1"/>
                <w:kern w:val="0"/>
                <w:sz w:val="21"/>
                <w:szCs w:val="21"/>
                <w:lang w:bidi="ar"/>
                <w14:textFill>
                  <w14:solidFill>
                    <w14:schemeClr w14:val="tx1"/>
                  </w14:solidFill>
                </w14:textFill>
              </w:rPr>
              <w:t>20组</w:t>
            </w:r>
            <w:r>
              <w:rPr>
                <w:rFonts w:hint="eastAsia" w:ascii="宋体" w:hAnsi="宋体" w:cs="宋体"/>
                <w:color w:val="000000" w:themeColor="text1"/>
                <w:kern w:val="0"/>
                <w:sz w:val="21"/>
                <w:szCs w:val="21"/>
                <w:lang w:val="en-US" w:eastAsia="zh-CN" w:bidi="ar"/>
                <w14:textFill>
                  <w14:solidFill>
                    <w14:schemeClr w14:val="tx1"/>
                  </w14:solidFill>
                </w14:textFill>
              </w:rPr>
              <w:t>以上</w:t>
            </w:r>
            <w:r>
              <w:rPr>
                <w:rFonts w:hint="eastAsia" w:ascii="宋体" w:hAnsi="宋体" w:eastAsia="宋体" w:cs="宋体"/>
                <w:color w:val="000000" w:themeColor="text1"/>
                <w:kern w:val="0"/>
                <w:sz w:val="21"/>
                <w:szCs w:val="21"/>
                <w:lang w:bidi="ar"/>
                <w14:textFill>
                  <w14:solidFill>
                    <w14:schemeClr w14:val="tx1"/>
                  </w14:solidFill>
                </w14:textFill>
              </w:rPr>
              <w:t>固定的频率通道，可在同一场所使用多套无线系统，也可避免与会场其他无线产品的互相干扰。</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8</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每套系统可支持</w:t>
            </w:r>
            <w:r>
              <w:rPr>
                <w:rFonts w:hint="eastAsia" w:ascii="宋体" w:hAnsi="宋体" w:cs="宋体"/>
                <w:color w:val="000000" w:themeColor="text1"/>
                <w:kern w:val="0"/>
                <w:sz w:val="21"/>
                <w:szCs w:val="21"/>
                <w:lang w:val="en-US" w:eastAsia="zh-CN" w:bidi="ar"/>
                <w14:textFill>
                  <w14:solidFill>
                    <w14:schemeClr w14:val="tx1"/>
                  </w14:solidFill>
                </w14:textFill>
              </w:rPr>
              <w:t>至少</w:t>
            </w:r>
            <w:r>
              <w:rPr>
                <w:rFonts w:hint="eastAsia" w:ascii="宋体" w:hAnsi="宋体" w:eastAsia="宋体" w:cs="宋体"/>
                <w:color w:val="000000" w:themeColor="text1"/>
                <w:kern w:val="0"/>
                <w:sz w:val="21"/>
                <w:szCs w:val="21"/>
                <w:lang w:bidi="ar"/>
                <w14:textFill>
                  <w14:solidFill>
                    <w14:schemeClr w14:val="tx1"/>
                  </w14:solidFill>
                </w14:textFill>
              </w:rPr>
              <w:t>200个</w:t>
            </w:r>
            <w:r>
              <w:rPr>
                <w:rFonts w:hint="eastAsia"/>
                <w:lang w:val="en-US" w:eastAsia="zh-CN"/>
              </w:rPr>
              <w:t>以上</w:t>
            </w:r>
            <w:r>
              <w:rPr>
                <w:rFonts w:hint="eastAsia" w:ascii="宋体" w:hAnsi="宋体" w:eastAsia="宋体" w:cs="宋体"/>
                <w:color w:val="000000" w:themeColor="text1"/>
                <w:kern w:val="0"/>
                <w:sz w:val="21"/>
                <w:szCs w:val="21"/>
                <w:lang w:bidi="ar"/>
                <w14:textFill>
                  <w14:solidFill>
                    <w14:schemeClr w14:val="tx1"/>
                  </w14:solidFill>
                </w14:textFill>
              </w:rPr>
              <w:t>无线会议单元，同时发言人数可设定为</w:t>
            </w:r>
            <w:r>
              <w:rPr>
                <w:rFonts w:hint="eastAsia" w:ascii="宋体" w:hAnsi="宋体" w:cs="宋体"/>
                <w:color w:val="000000" w:themeColor="text1"/>
                <w:kern w:val="0"/>
                <w:sz w:val="21"/>
                <w:szCs w:val="21"/>
                <w:lang w:val="en-US" w:eastAsia="zh-CN" w:bidi="ar"/>
                <w14:textFill>
                  <w14:solidFill>
                    <w14:schemeClr w14:val="tx1"/>
                  </w14:solidFill>
                </w14:textFill>
              </w:rPr>
              <w:t>至少4人以上</w:t>
            </w:r>
            <w:r>
              <w:rPr>
                <w:rFonts w:hint="eastAsia" w:ascii="宋体" w:hAnsi="宋体" w:eastAsia="宋体" w:cs="宋体"/>
                <w:color w:val="000000" w:themeColor="text1"/>
                <w:kern w:val="0"/>
                <w:sz w:val="21"/>
                <w:szCs w:val="21"/>
                <w:lang w:bidi="ar"/>
                <w14:textFill>
                  <w14:solidFill>
                    <w14:schemeClr w14:val="tx1"/>
                  </w14:solidFill>
                </w14:textFill>
              </w:rPr>
              <w:t>，最大支持</w:t>
            </w:r>
            <w:r>
              <w:rPr>
                <w:rFonts w:hint="eastAsia" w:ascii="宋体" w:hAnsi="宋体" w:cs="宋体"/>
                <w:color w:val="000000" w:themeColor="text1"/>
                <w:kern w:val="0"/>
                <w:sz w:val="21"/>
                <w:szCs w:val="21"/>
                <w:lang w:val="en-US" w:eastAsia="zh-CN" w:bidi="ar"/>
                <w14:textFill>
                  <w14:solidFill>
                    <w14:schemeClr w14:val="tx1"/>
                  </w14:solidFill>
                </w14:textFill>
              </w:rPr>
              <w:t>至少</w:t>
            </w:r>
            <w:r>
              <w:rPr>
                <w:rFonts w:hint="eastAsia" w:ascii="宋体" w:hAnsi="宋体" w:eastAsia="宋体" w:cs="宋体"/>
                <w:color w:val="000000" w:themeColor="text1"/>
                <w:kern w:val="0"/>
                <w:sz w:val="21"/>
                <w:szCs w:val="21"/>
                <w:lang w:bidi="ar"/>
                <w14:textFill>
                  <w14:solidFill>
                    <w14:schemeClr w14:val="tx1"/>
                  </w14:solidFill>
                </w14:textFill>
              </w:rPr>
              <w:t>4</w:t>
            </w:r>
            <w:r>
              <w:rPr>
                <w:rFonts w:hint="eastAsia" w:ascii="宋体" w:hAnsi="宋体" w:cs="宋体"/>
                <w:color w:val="000000" w:themeColor="text1"/>
                <w:kern w:val="0"/>
                <w:sz w:val="21"/>
                <w:szCs w:val="21"/>
                <w:lang w:val="en-US" w:eastAsia="zh-CN" w:bidi="ar"/>
                <w14:textFill>
                  <w14:solidFill>
                    <w14:schemeClr w14:val="tx1"/>
                  </w14:solidFill>
                </w14:textFill>
              </w:rPr>
              <w:t>人以上</w:t>
            </w:r>
            <w:r>
              <w:rPr>
                <w:rFonts w:hint="eastAsia" w:ascii="宋体" w:hAnsi="宋体" w:eastAsia="宋体" w:cs="宋体"/>
                <w:color w:val="000000" w:themeColor="text1"/>
                <w:kern w:val="0"/>
                <w:sz w:val="21"/>
                <w:szCs w:val="21"/>
                <w:lang w:bidi="ar"/>
                <w14:textFill>
                  <w14:solidFill>
                    <w14:schemeClr w14:val="tx1"/>
                  </w14:solidFill>
                </w14:textFill>
              </w:rPr>
              <w:t>主席同时发言；</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9</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具有多种会议模式：FIFO（先进先出模式）、APPLY（申请模式）、FREE（自由模式）、LIMIT（限制模式）；</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10</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系统具备会议服务功能，发言单元可申请茶水、笔、帮助等服务；</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采用高性能DSP处理器对音频进行高低音调节、降噪处理，使声音清晰透彻；配合现场调整参数并有效的抑制啸叫；</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具有USB接口，可连接电脑对主机进行操作设置；</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13</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具有摄像头232和485通讯接口（6P凤凰插），连接标清或高清摄像头，支持SONYVISCA、PELCOP/D通讯协议；</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14</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具有视频切换232接口（3P凤凰插），可连接高清视频矩阵；</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15</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具有中控代码232接口（3P凤凰插），可连接中控系统；</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16</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具有</w:t>
            </w:r>
            <w:r>
              <w:rPr>
                <w:rFonts w:hint="eastAsia" w:ascii="宋体" w:hAnsi="宋体" w:cs="宋体"/>
                <w:color w:val="000000" w:themeColor="text1"/>
                <w:kern w:val="0"/>
                <w:sz w:val="21"/>
                <w:szCs w:val="21"/>
                <w:lang w:val="en-US" w:eastAsia="zh-CN" w:bidi="ar"/>
                <w14:textFill>
                  <w14:solidFill>
                    <w14:schemeClr w14:val="tx1"/>
                  </w14:solidFill>
                </w14:textFill>
              </w:rPr>
              <w:t>至少</w:t>
            </w:r>
            <w:r>
              <w:rPr>
                <w:rFonts w:hint="eastAsia" w:ascii="宋体" w:hAnsi="宋体" w:eastAsia="宋体" w:cs="宋体"/>
                <w:color w:val="000000" w:themeColor="text1"/>
                <w:kern w:val="0"/>
                <w:sz w:val="21"/>
                <w:szCs w:val="21"/>
                <w:lang w:bidi="ar"/>
                <w14:textFill>
                  <w14:solidFill>
                    <w14:schemeClr w14:val="tx1"/>
                  </w14:solidFill>
                </w14:textFill>
              </w:rPr>
              <w:t>2路</w:t>
            </w:r>
            <w:r>
              <w:rPr>
                <w:rFonts w:hint="eastAsia" w:ascii="宋体" w:hAnsi="宋体" w:cs="宋体"/>
                <w:color w:val="000000" w:themeColor="text1"/>
                <w:kern w:val="0"/>
                <w:sz w:val="21"/>
                <w:szCs w:val="21"/>
                <w:lang w:val="en-US" w:eastAsia="zh-CN" w:bidi="ar"/>
                <w14:textFill>
                  <w14:solidFill>
                    <w14:schemeClr w14:val="tx1"/>
                  </w14:solidFill>
                </w14:textFill>
              </w:rPr>
              <w:t>以上</w:t>
            </w:r>
            <w:r>
              <w:rPr>
                <w:rFonts w:hint="eastAsia" w:ascii="宋体" w:hAnsi="宋体" w:eastAsia="宋体" w:cs="宋体"/>
                <w:color w:val="000000" w:themeColor="text1"/>
                <w:kern w:val="0"/>
                <w:sz w:val="21"/>
                <w:szCs w:val="21"/>
                <w:lang w:bidi="ar"/>
                <w14:textFill>
                  <w14:solidFill>
                    <w14:schemeClr w14:val="tx1"/>
                  </w14:solidFill>
                </w14:textFill>
              </w:rPr>
              <w:t>音频天线接口（BNC接口）及1路数据天线接口（TNC接口）；</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17</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具有</w:t>
            </w:r>
            <w:r>
              <w:rPr>
                <w:rFonts w:hint="eastAsia" w:ascii="宋体" w:hAnsi="宋体" w:cs="宋体"/>
                <w:color w:val="000000" w:themeColor="text1"/>
                <w:kern w:val="0"/>
                <w:sz w:val="21"/>
                <w:szCs w:val="21"/>
                <w:lang w:val="en-US" w:eastAsia="zh-CN" w:bidi="ar"/>
                <w14:textFill>
                  <w14:solidFill>
                    <w14:schemeClr w14:val="tx1"/>
                  </w14:solidFill>
                </w14:textFill>
              </w:rPr>
              <w:t>至少</w:t>
            </w:r>
            <w:r>
              <w:rPr>
                <w:rFonts w:hint="eastAsia" w:ascii="宋体" w:hAnsi="宋体" w:eastAsia="宋体" w:cs="宋体"/>
                <w:color w:val="000000" w:themeColor="text1"/>
                <w:kern w:val="0"/>
                <w:sz w:val="21"/>
                <w:szCs w:val="21"/>
                <w:lang w:bidi="ar"/>
                <w14:textFill>
                  <w14:solidFill>
                    <w14:schemeClr w14:val="tx1"/>
                  </w14:solidFill>
                </w14:textFill>
              </w:rPr>
              <w:t>1路</w:t>
            </w:r>
            <w:r>
              <w:rPr>
                <w:rFonts w:hint="eastAsia"/>
                <w:lang w:val="en-US" w:eastAsia="zh-CN"/>
              </w:rPr>
              <w:t>以上</w:t>
            </w:r>
            <w:r>
              <w:rPr>
                <w:rFonts w:hint="eastAsia" w:ascii="宋体" w:hAnsi="宋体" w:eastAsia="宋体" w:cs="宋体"/>
                <w:color w:val="000000" w:themeColor="text1"/>
                <w:kern w:val="0"/>
                <w:sz w:val="21"/>
                <w:szCs w:val="21"/>
                <w:lang w:bidi="ar"/>
                <w14:textFill>
                  <w14:solidFill>
                    <w14:schemeClr w14:val="tx1"/>
                  </w14:solidFill>
                </w14:textFill>
              </w:rPr>
              <w:t>数据扩展接口（4P凤凰插），可通过有线RS-485的方式连接数据扩展器，并将其安装在会场的天花处，从根本上避免了因隔墙等原因而导致的系统数据通讯失败，确保无线会议主机与无线会议单元之间进行有效的数据通讯（收发半径为</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40米）；</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18</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具有</w:t>
            </w:r>
            <w:r>
              <w:rPr>
                <w:rFonts w:hint="eastAsia" w:ascii="宋体" w:hAnsi="宋体" w:cs="宋体"/>
                <w:color w:val="000000" w:themeColor="text1"/>
                <w:kern w:val="0"/>
                <w:sz w:val="21"/>
                <w:szCs w:val="21"/>
                <w:lang w:val="en-US" w:eastAsia="zh-CN" w:bidi="ar"/>
                <w14:textFill>
                  <w14:solidFill>
                    <w14:schemeClr w14:val="tx1"/>
                  </w14:solidFill>
                </w14:textFill>
              </w:rPr>
              <w:t>至少</w:t>
            </w:r>
            <w:r>
              <w:rPr>
                <w:rFonts w:hint="eastAsia" w:ascii="宋体" w:hAnsi="宋体" w:eastAsia="宋体" w:cs="宋体"/>
                <w:color w:val="000000" w:themeColor="text1"/>
                <w:kern w:val="0"/>
                <w:sz w:val="21"/>
                <w:szCs w:val="21"/>
                <w:lang w:bidi="ar"/>
                <w14:textFill>
                  <w14:solidFill>
                    <w14:schemeClr w14:val="tx1"/>
                  </w14:solidFill>
                </w14:textFill>
              </w:rPr>
              <w:t>1路</w:t>
            </w:r>
            <w:r>
              <w:rPr>
                <w:rFonts w:hint="eastAsia"/>
                <w:lang w:val="en-US" w:eastAsia="zh-CN"/>
              </w:rPr>
              <w:t>以上</w:t>
            </w:r>
            <w:r>
              <w:rPr>
                <w:rFonts w:hint="eastAsia" w:ascii="宋体" w:hAnsi="宋体" w:eastAsia="宋体" w:cs="宋体"/>
                <w:color w:val="000000" w:themeColor="text1"/>
                <w:kern w:val="0"/>
                <w:sz w:val="21"/>
                <w:szCs w:val="21"/>
                <w:lang w:bidi="ar"/>
                <w14:textFill>
                  <w14:solidFill>
                    <w14:schemeClr w14:val="tx1"/>
                  </w14:solidFill>
                </w14:textFill>
              </w:rPr>
              <w:t>平衡音频输出接口（卡农），可连接扩声或录音设备；</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19</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具有1路非平衡音频输出接口（6.35mm），可连接扩声或录音设备；</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20</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具有1路非平衡音频输入接口（莲花），可输入外部音频信号（如：背景音乐或远程语音信号）；</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RF有效通信距离为：室内</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60米，室外</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100米。</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6039.43</w:t>
            </w:r>
          </w:p>
        </w:tc>
        <w:tc>
          <w:tcPr>
            <w:tcW w:w="1486"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6039.43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83</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数字音频矩阵处理器</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1.8路独立模拟音频平衡输入，8路独立模拟音频平衡输出，支持各类麦克风信号输入和音乐信号输入；</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2.带AEC自适应声学回声消除功能，6级尾长效果调节，带ANC自适应主动噪声消除功能，4级强度调节；</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3.每路麦克风输入带9级灵敏度调节0-35dB增益，48V幻相电源开关，可以匹配不同灵敏度的各类麦克风；</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4.内置白噪声.粉红噪声.正弦波三种不同测试信号音源，可以作为各类系统检测音源；</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5.每路输入带主动反馈抑制功能，两档调节；</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6.带AUTOMIX共享增益型自动混音器，每通道独立调节，有10级优先档位，可调节斜率和响应时间；</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7.内置强大的矩阵混音功能，全开放架构，自由设置，每路混音还可以独立调节混音量，匹配增益更方便，直观查看和调试信号路由情况；</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8.输入通道：前级放大、信号发生器、扩展器、压缩器、31段参量均衡、AM自动混音功能、AFC自适应反馈消除、AEC回声消除、ANC噪声消除；</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9.输出通道：10段参量均衡器、延时器、分频器、高低通滤波器、限幅器；10.带视像跟踪控制功能，RS232/485接口，支持摄像头控制PELCO-D/PELCO-P/VISCA等协议；配置8通道可编程GPIO控制接口（可自定义输入输出）；</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11.标配USB（TYPE-B）口：支持免驱自动连接软件调试；内置U盘功能，存放软件和说明书；</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12.支持手机APPTCON软件网络控制，支持4寸触控屏线控控制；</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13.Mconsole统一管理，可通过USB/RS232/RS485/TCPIP多个接口连接控制设备，TCPIP控制口还可以实现局域网远程.多台设备控制，多台设备同步参数，联调参数等强大功能；</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14.支持中控指令，软件自带中控协议，可通过RS232/RS485/TCPIP实现中控控制功能；</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15.最大输入电平12dBu/Line,-7dBu/Mic。</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6485.41</w:t>
            </w:r>
          </w:p>
        </w:tc>
        <w:tc>
          <w:tcPr>
            <w:tcW w:w="1486"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6485.41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84</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无线主席单元</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无线代表单元，采用铝合金方形麦克风，通过固定接头连接话筒底座，可调俯仰角度；</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专业高保真电容咪芯，拾音灵敏、语音清晰，带宽达到20Hz~20KHz；</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话筒头部带双色发言灯环，单元发言时灯环为常亮红色，单元申请发言时灯环为常亮绿色；</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灵敏的触摸式开关，待机未按时图案常亮发光绿色，按下后图案常亮发光红色；</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2.4</w:t>
            </w:r>
            <w:r>
              <w:rPr>
                <w:rFonts w:hint="eastAsia" w:ascii="宋体" w:hAnsi="宋体" w:cs="宋体"/>
                <w:color w:val="000000" w:themeColor="text1"/>
                <w:kern w:val="0"/>
                <w:sz w:val="21"/>
                <w:szCs w:val="21"/>
                <w:lang w:val="en-US" w:eastAsia="zh-CN" w:bidi="ar"/>
                <w14:textFill>
                  <w14:solidFill>
                    <w14:schemeClr w14:val="tx1"/>
                  </w14:solidFill>
                </w14:textFill>
              </w:rPr>
              <w:t>英</w:t>
            </w:r>
            <w:r>
              <w:rPr>
                <w:rFonts w:hint="eastAsia" w:ascii="宋体" w:hAnsi="宋体" w:eastAsia="宋体" w:cs="宋体"/>
                <w:color w:val="000000" w:themeColor="text1"/>
                <w:kern w:val="0"/>
                <w:sz w:val="21"/>
                <w:szCs w:val="21"/>
                <w:lang w:bidi="ar"/>
                <w14:textFill>
                  <w14:solidFill>
                    <w14:schemeClr w14:val="tx1"/>
                  </w14:solidFill>
                </w14:textFill>
              </w:rPr>
              <w:t>寸高亮度IPSTFT显示屏，显示内容清晰，可以显示话筒状态、通道地址、电池电量、单元参数、日期时间、发言音量等，清晰了解当前的使用情况；</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话筒带发言计时功能；</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侧边带机械式电子音量开关，可单独调节话筒发言音量；</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8</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发言单元可申请茶水、笔、帮助等服务；</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9</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抗电磁干扰电路设计，杜绝手机等电子产品的电磁干扰；</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10</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单元采用UHF无线技术传输音频及控制信号，F有效通信距离为：室内50米室外90米；</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内置高性能锂电池，自带TYPE-C接口，可以边充电边使用；</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超低功耗电路设计，连续发言时间不少于8小时，待机时间不少于12小时。</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2250.00</w:t>
            </w:r>
          </w:p>
        </w:tc>
        <w:tc>
          <w:tcPr>
            <w:tcW w:w="1486"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85</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无线代表单元</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无线代表单元，采用铝合金方形麦克风，通过固定接头连接话筒底座，可调俯仰角度；</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专业高保真电容咪芯，拾音灵敏、语音清晰，带宽达到20Hz~20KHz；</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话筒头部带双色发言灯环，单元发言时灯环为常亮红色，单元申请发言时灯环为常亮绿色；</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灵敏的触摸式开关，待机未按时图案常亮发光绿色，按下后图案常亮发光红色；</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2.4</w:t>
            </w:r>
            <w:r>
              <w:rPr>
                <w:rFonts w:hint="eastAsia" w:ascii="宋体" w:hAnsi="宋体" w:cs="宋体"/>
                <w:color w:val="000000" w:themeColor="text1"/>
                <w:kern w:val="0"/>
                <w:sz w:val="21"/>
                <w:szCs w:val="21"/>
                <w:lang w:val="en-US" w:eastAsia="zh-CN" w:bidi="ar"/>
                <w14:textFill>
                  <w14:solidFill>
                    <w14:schemeClr w14:val="tx1"/>
                  </w14:solidFill>
                </w14:textFill>
              </w:rPr>
              <w:t>英</w:t>
            </w:r>
            <w:r>
              <w:rPr>
                <w:rFonts w:hint="eastAsia" w:ascii="宋体" w:hAnsi="宋体" w:eastAsia="宋体" w:cs="宋体"/>
                <w:color w:val="000000" w:themeColor="text1"/>
                <w:kern w:val="0"/>
                <w:sz w:val="21"/>
                <w:szCs w:val="21"/>
                <w:lang w:bidi="ar"/>
                <w14:textFill>
                  <w14:solidFill>
                    <w14:schemeClr w14:val="tx1"/>
                  </w14:solidFill>
                </w14:textFill>
              </w:rPr>
              <w:t>寸高亮度IPSTFT显示屏，显示内容清晰，可以显示话筒状态、通道地址、电池电量、单元参数、日期时间、发言音量等，清晰了解当前的使用情况；</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话筒带发言计时功能；</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侧边带机械式电子音量开关，可单独调节话筒发言音量；</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8</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发言单元可申请茶水、笔、帮助等服务；</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9</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抗电磁干扰电路设计，杜绝手机等电子产品的电磁干扰；</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10</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单元采用UHF无线技术传输音频及控制信号，F有效通信距离为：室内50米室外90米；</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内置高性能锂电池，自带TYPE-C接口，可以边充电边使用；</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超低功耗电路设计，连续发言时间不少于8小时，待机时间不少于12小时。</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14</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2250.00</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31500.00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86</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专业天线放大器</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1.频率范围：500-900MHz；</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2.输入截断点：+22dBm；</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3.噪声比：4.0dB；</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4.增益：+6-9dB；</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5.输出阻抗：15dBmin；</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6.阻抗：50Ω指向；</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7.频宽：300MHz；</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8.插座：TNCfemale；</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9.电源供应：100-240V/50/60Hz；</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10.电源消耗：170mA。</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2868.62</w:t>
            </w:r>
          </w:p>
        </w:tc>
        <w:tc>
          <w:tcPr>
            <w:tcW w:w="1486"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2868.62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87</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充电箱</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CNC一体成型阳极氧化；</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标配12条TYPE-C充电线，长1米；</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电源输入：220V50Mhz。</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1495.27</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2990.54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449" w:type="dxa"/>
            <w:gridSpan w:val="7"/>
            <w:noWrap/>
            <w:vAlign w:val="center"/>
          </w:tcPr>
          <w:p>
            <w:pPr>
              <w:widowControl/>
              <w:jc w:val="left"/>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3.周边设备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88</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电源时序器</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▲1.配备≥3.</w:t>
            </w:r>
            <w:r>
              <w:rPr>
                <w:rFonts w:hint="eastAsia" w:ascii="宋体" w:hAnsi="宋体" w:cs="宋体"/>
                <w:color w:val="000000" w:themeColor="text1"/>
                <w:kern w:val="0"/>
                <w:sz w:val="21"/>
                <w:szCs w:val="21"/>
                <w:lang w:val="en-US" w:eastAsia="zh-CN" w:bidi="ar"/>
                <w14:textFill>
                  <w14:solidFill>
                    <w14:schemeClr w14:val="tx1"/>
                  </w14:solidFill>
                </w14:textFill>
              </w:rPr>
              <w:t>5</w:t>
            </w:r>
            <w:r>
              <w:rPr>
                <w:rFonts w:hint="eastAsia" w:ascii="宋体" w:hAnsi="宋体" w:eastAsia="宋体" w:cs="宋体"/>
                <w:color w:val="000000" w:themeColor="text1"/>
                <w:kern w:val="0"/>
                <w:sz w:val="21"/>
                <w:szCs w:val="21"/>
                <w:lang w:bidi="ar"/>
                <w14:textFill>
                  <w14:solidFill>
                    <w14:schemeClr w14:val="tx1"/>
                  </w14:solidFill>
                </w14:textFill>
              </w:rPr>
              <w:t>寸彩色TFT-LCD可触控显示屏，可实时显示当前电压，日期时间，信道开关状态；</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2.8路开关通道输出，每路延时开启和关闭时间可自由设置（范围0～999秒）；</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3.每通道可以独立设置开启/关闭，方便设备灵活使用；</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4.每通道独立滤波器消除电磁干扰，为每路提供稳定的电流；</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5.内置时钟芯片，可根据日期时间定时设置自动开启/关闭每一通道；</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▲6.欠压、过压保护，可自定义设置保护值；</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▲7.配置RS232和RS485接口，支持级联、中央设备控制；</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8.额定输出总电流：40A，单路输出电流：20A。</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▲9.输入电源：AC100～240V50～60Hz；</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▲10.单路额定输出电流：20A；</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▲11.额定输出总电流：40A；</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▲12.时序控制每步时间</w:t>
            </w:r>
            <w:r>
              <w:rPr>
                <w:rFonts w:hint="eastAsia" w:ascii="宋体" w:hAnsi="宋体" w:cs="宋体"/>
                <w:color w:val="000000" w:themeColor="text1"/>
                <w:kern w:val="0"/>
                <w:sz w:val="21"/>
                <w:szCs w:val="21"/>
                <w:lang w:val="en-US" w:eastAsia="zh-CN" w:bidi="ar"/>
                <w14:textFill>
                  <w14:solidFill>
                    <w14:schemeClr w14:val="tx1"/>
                  </w14:solidFill>
                </w14:textFill>
              </w:rPr>
              <w:t>音</w:t>
            </w:r>
            <w:r>
              <w:rPr>
                <w:rFonts w:hint="eastAsia" w:ascii="宋体" w:hAnsi="宋体" w:eastAsia="宋体" w:cs="宋体"/>
                <w:color w:val="000000" w:themeColor="text1"/>
                <w:kern w:val="0"/>
                <w:sz w:val="21"/>
                <w:szCs w:val="21"/>
                <w:lang w:bidi="ar"/>
                <w14:textFill>
                  <w14:solidFill>
                    <w14:schemeClr w14:val="tx1"/>
                  </w14:solidFill>
                </w14:textFill>
              </w:rPr>
              <w:t>隔：0.1～999s；</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▲13.USB界面：DC5V/500mA；</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14.电源输出接口：8路智慧控制，1路直通输出。</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2448.7</w:t>
            </w:r>
            <w:r>
              <w:rPr>
                <w:rFonts w:hint="eastAsia" w:ascii="宋体" w:hAnsi="宋体" w:eastAsia="宋体" w:cs="宋体"/>
                <w:color w:val="000000" w:themeColor="text1"/>
                <w:kern w:val="0"/>
                <w:sz w:val="21"/>
                <w:szCs w:val="21"/>
                <w:lang w:val="en-US" w:eastAsia="zh-CN" w:bidi="ar"/>
                <w14:textFill>
                  <w14:solidFill>
                    <w14:schemeClr w14:val="tx1"/>
                  </w14:solidFill>
                </w14:textFill>
              </w:rPr>
              <w:t>0</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4897.40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449" w:type="dxa"/>
            <w:gridSpan w:val="7"/>
            <w:noWrap/>
            <w:vAlign w:val="center"/>
          </w:tcPr>
          <w:p>
            <w:pPr>
              <w:widowControl/>
              <w:jc w:val="left"/>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4.线材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89</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卡侬公对卡侬母信号线</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1.长度：</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1.5米；</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2.材质：PVC+ABS+锌合金；</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3.三体针头：黄铜镀银。</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12</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根</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23.34</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280.08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90</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3.5转双6.5单声道直插信号线</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1.长度：</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1.5米；</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2.线芯数量：2芯；</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3.线芯材质：裸铜线；</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根</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32.00</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9</w:t>
            </w:r>
            <w:r>
              <w:rPr>
                <w:rFonts w:hint="eastAsia" w:ascii="宋体" w:hAnsi="宋体" w:eastAsia="宋体" w:cs="宋体"/>
                <w:color w:val="000000" w:themeColor="text1"/>
                <w:kern w:val="0"/>
                <w:sz w:val="21"/>
                <w:szCs w:val="21"/>
                <w:lang w:val="en-US" w:eastAsia="zh-CN" w:bidi="ar"/>
                <w14:textFill>
                  <w14:solidFill>
                    <w14:schemeClr w14:val="tx1"/>
                  </w14:solidFill>
                </w14:textFill>
              </w:rPr>
              <w:t>1</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音箱线</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1.双铝箔屏蔽，抗氧化防干扰，增强音质；</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2.精炼铜导体，低电阻损耗小，具备更强的导音效果；</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3.长度：</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100米；</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4.导体：金炼铜；</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5.屏蔽：金银铝箔；</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6.芯线规格：0.39㎡</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2；</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7.线型尺寸：Ф3.0</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6.0mm。</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卷</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500.00</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449" w:type="dxa"/>
            <w:gridSpan w:val="7"/>
            <w:noWrap/>
            <w:vAlign w:val="center"/>
          </w:tcPr>
          <w:p>
            <w:pPr>
              <w:widowControl/>
              <w:jc w:val="left"/>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b/>
                <w:bCs/>
                <w:color w:val="000000" w:themeColor="text1"/>
                <w:kern w:val="0"/>
                <w:sz w:val="21"/>
                <w:szCs w:val="21"/>
                <w:lang w:bidi="ar"/>
                <w14:textFill>
                  <w14:solidFill>
                    <w14:schemeClr w14:val="tx1"/>
                  </w14:solidFill>
                </w14:textFill>
              </w:rPr>
              <w:t>六、视频会议系统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92</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多点控制系统</w:t>
            </w:r>
          </w:p>
        </w:tc>
        <w:tc>
          <w:tcPr>
            <w:tcW w:w="5309" w:type="dxa"/>
            <w:noWrap/>
            <w:vAlign w:val="center"/>
          </w:tcPr>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1.支持ITU-TH.323、IETFSIP通信协议；</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val="en-US" w:eastAsia="zh-CN"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.支持会议管理服务器内置于MCU部署；会议管理服务器与媒体服务器MCU均支持容器微服务架构，支持将不同功能的业务部署在不同的容器内运行，支持快速扩容，快速部署；</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val="en-US" w:eastAsia="zh-CN"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.支持电源、芯片、媒体插卡、MCU整机、网口、光口、风扇、硬盘多重备份，某一模块故障时，可切换至备份模块正常使用，不影响会议正常进行；</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val="en-US" w:eastAsia="zh-CN"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.支持License资源管理，可通过软件许可和实现MCULicense资源平滑扩容；</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val="en-US" w:eastAsia="zh-CN"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.设备支持H.265、H.264BP、H.264HighProfile、H.264SVC视频编码；</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val="en-US" w:eastAsia="zh-CN"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.主视频支持4K30、1080P60、1080P30、720P60、720P30，并向下兼容4CIF图像格式。支持主视频达到4K30时，辅视频同时达到4K30超高清效果；</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val="en-US" w:eastAsia="zh-CN" w:bidi="ar"/>
                <w14:textFill>
                  <w14:solidFill>
                    <w14:schemeClr w14:val="tx1"/>
                  </w14:solidFill>
                </w14:textFill>
              </w:rPr>
              <w:t>7</w:t>
            </w:r>
            <w:r>
              <w:rPr>
                <w:rFonts w:hint="eastAsia" w:ascii="宋体" w:hAnsi="宋体" w:cs="宋体"/>
                <w:color w:val="000000" w:themeColor="text1"/>
                <w:kern w:val="0"/>
                <w:szCs w:val="21"/>
                <w:lang w:bidi="ar"/>
                <w14:textFill>
                  <w14:solidFill>
                    <w14:schemeClr w14:val="tx1"/>
                  </w14:solidFill>
                </w14:textFill>
              </w:rPr>
              <w:t>.支持32路1080P30/8路4K30端口，最大支持2组10画面4K30会议（或2组25画面1080P30会议，或2组36画面720P30会议），支持License扩容；</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val="en-US" w:eastAsia="zh-CN" w:bidi="ar"/>
                <w14:textFill>
                  <w14:solidFill>
                    <w14:schemeClr w14:val="tx1"/>
                  </w14:solidFill>
                </w14:textFill>
              </w:rPr>
              <w:t>8</w:t>
            </w:r>
            <w:r>
              <w:rPr>
                <w:rFonts w:hint="eastAsia" w:ascii="宋体" w:hAnsi="宋体" w:cs="宋体"/>
                <w:color w:val="000000" w:themeColor="text1"/>
                <w:kern w:val="0"/>
                <w:szCs w:val="21"/>
                <w:lang w:bidi="ar"/>
                <w14:textFill>
                  <w14:solidFill>
                    <w14:schemeClr w14:val="tx1"/>
                  </w14:solidFill>
                </w14:textFill>
              </w:rPr>
              <w:t>.音频编解码支持G711A、G711U、G729、G722、G722.1C、OPUS、AAC_LD、SILK；</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val="en-US" w:eastAsia="zh-CN" w:bidi="ar"/>
                <w14:textFill>
                  <w14:solidFill>
                    <w14:schemeClr w14:val="tx1"/>
                  </w14:solidFill>
                </w14:textFill>
              </w:rPr>
              <w:t>9</w:t>
            </w:r>
            <w:r>
              <w:rPr>
                <w:rFonts w:hint="eastAsia" w:ascii="宋体" w:hAnsi="宋体" w:cs="宋体"/>
                <w:color w:val="000000" w:themeColor="text1"/>
                <w:kern w:val="0"/>
                <w:szCs w:val="21"/>
                <w:lang w:bidi="ar"/>
                <w14:textFill>
                  <w14:solidFill>
                    <w14:schemeClr w14:val="tx1"/>
                  </w14:solidFill>
                </w14:textFill>
              </w:rPr>
              <w:t>.支持自动会议多画面，支持36画面、76种多画面布局，支持均分和一大多小的分屏模式；</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r>
              <w:rPr>
                <w:rFonts w:hint="eastAsia" w:ascii="宋体" w:hAnsi="宋体" w:cs="宋体"/>
                <w:color w:val="000000" w:themeColor="text1"/>
                <w:kern w:val="0"/>
                <w:szCs w:val="21"/>
                <w:lang w:val="en-US" w:eastAsia="zh-CN" w:bidi="ar"/>
                <w14:textFill>
                  <w14:solidFill>
                    <w14:schemeClr w14:val="tx1"/>
                  </w14:solidFill>
                </w14:textFill>
              </w:rPr>
              <w:t>0</w:t>
            </w:r>
            <w:r>
              <w:rPr>
                <w:rFonts w:hint="eastAsia" w:ascii="宋体" w:hAnsi="宋体" w:cs="宋体"/>
                <w:color w:val="000000" w:themeColor="text1"/>
                <w:kern w:val="0"/>
                <w:szCs w:val="21"/>
                <w:lang w:bidi="ar"/>
                <w14:textFill>
                  <w14:solidFill>
                    <w14:schemeClr w14:val="tx1"/>
                  </w14:solidFill>
                </w14:textFill>
              </w:rPr>
              <w:t>.支持对用户帐户的密码设置安全策略，包括是否启用强密码、密码最少长度、有效期、禁止使用最近使用过的密码个数、首次登录是否修改密码、登录失败尝试次数、登录失败锁定时长，每一项安全策略可以单独设置属性值；用户的密码以不可逆的加密方法加密后存储；支持首次登陆修改密码提示，具备弱口令风险提示、连接超时、错误口令尝试次数限制等防暴力破解机制，口令长度宜不少于8个字符，并由数字、字符和特殊符号组成；</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▲11.在IP网络状态不好的情况下，减弱网络质量原因对音频效果的影响，</w:t>
            </w:r>
            <w:r>
              <w:rPr>
                <w:rFonts w:hint="eastAsia" w:ascii="宋体" w:hAnsi="宋体" w:cs="宋体"/>
                <w:color w:val="000000" w:themeColor="text1"/>
                <w:kern w:val="0"/>
                <w:szCs w:val="21"/>
                <w:lang w:val="en-US" w:eastAsia="zh-CN" w:bidi="ar"/>
                <w14:textFill>
                  <w14:solidFill>
                    <w14:schemeClr w14:val="tx1"/>
                  </w14:solidFill>
                </w14:textFill>
              </w:rPr>
              <w:t>支持网络≤</w:t>
            </w:r>
            <w:r>
              <w:rPr>
                <w:rFonts w:hint="eastAsia" w:ascii="宋体" w:hAnsi="宋体" w:cs="宋体"/>
                <w:color w:val="000000" w:themeColor="text1"/>
                <w:kern w:val="0"/>
                <w:szCs w:val="21"/>
                <w:lang w:bidi="ar"/>
                <w14:textFill>
                  <w14:solidFill>
                    <w14:schemeClr w14:val="tx1"/>
                  </w14:solidFill>
                </w14:textFill>
              </w:rPr>
              <w:t>80%丢包时，会议正常进行，不影响语意传达；</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▲12.在IP网络状态不好的情况下，减弱网络质量原因对视音频效果的影响，</w:t>
            </w:r>
            <w:r>
              <w:rPr>
                <w:rFonts w:hint="eastAsia" w:ascii="宋体" w:hAnsi="宋体" w:cs="宋体"/>
                <w:color w:val="000000" w:themeColor="text1"/>
                <w:kern w:val="0"/>
                <w:szCs w:val="21"/>
                <w:lang w:val="en-US" w:eastAsia="zh-CN" w:bidi="ar"/>
                <w14:textFill>
                  <w14:solidFill>
                    <w14:schemeClr w14:val="tx1"/>
                  </w14:solidFill>
                </w14:textFill>
              </w:rPr>
              <w:t>支持网络≤5</w:t>
            </w:r>
            <w:r>
              <w:rPr>
                <w:rFonts w:hint="eastAsia" w:ascii="宋体" w:hAnsi="宋体" w:cs="宋体"/>
                <w:color w:val="000000" w:themeColor="text1"/>
                <w:kern w:val="0"/>
                <w:szCs w:val="21"/>
                <w:lang w:bidi="ar"/>
                <w14:textFill>
                  <w14:solidFill>
                    <w14:schemeClr w14:val="tx1"/>
                  </w14:solidFill>
                </w14:textFill>
              </w:rPr>
              <w:t>0%丢包时，不影响会议进行，视频流畅，无卡顿、无花屏现象；</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r>
              <w:rPr>
                <w:rFonts w:hint="eastAsia" w:ascii="宋体" w:hAnsi="宋体" w:cs="宋体"/>
                <w:color w:val="000000" w:themeColor="text1"/>
                <w:kern w:val="0"/>
                <w:szCs w:val="21"/>
                <w:lang w:val="en-US" w:eastAsia="zh-CN" w:bidi="ar"/>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.为降低网络带宽支出，以1Mbps带宽实现4K会议效果；以512Kbps带宽实现1080P60fps会议效果；以384Kbps带宽实现1080P30fps</w:t>
            </w:r>
            <w:r>
              <w:rPr>
                <w:rFonts w:ascii="宋体" w:hAnsi="宋体" w:cs="宋体"/>
                <w:color w:val="000000" w:themeColor="text1"/>
                <w:kern w:val="0"/>
                <w:szCs w:val="21"/>
                <w:lang w:bidi="ar"/>
                <w14:textFill>
                  <w14:solidFill>
                    <w14:schemeClr w14:val="tx1"/>
                  </w14:solidFill>
                </w14:textFill>
              </w:rPr>
              <w:t>/720P60fps</w:t>
            </w:r>
            <w:r>
              <w:rPr>
                <w:rFonts w:hint="eastAsia" w:ascii="宋体" w:hAnsi="宋体" w:cs="宋体"/>
                <w:color w:val="000000" w:themeColor="text1"/>
                <w:kern w:val="0"/>
                <w:szCs w:val="21"/>
                <w:lang w:bidi="ar"/>
                <w14:textFill>
                  <w14:solidFill>
                    <w14:schemeClr w14:val="tx1"/>
                  </w14:solidFill>
                </w14:textFill>
              </w:rPr>
              <w:t>会议效果；以256Kbps带宽实现720P30fps会议效果；</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r>
              <w:rPr>
                <w:rFonts w:hint="eastAsia" w:ascii="宋体" w:hAnsi="宋体" w:cs="宋体"/>
                <w:color w:val="000000" w:themeColor="text1"/>
                <w:kern w:val="0"/>
                <w:szCs w:val="21"/>
                <w:lang w:val="en-US" w:eastAsia="zh-CN"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.支持</w:t>
            </w:r>
            <w:r>
              <w:rPr>
                <w:rFonts w:hint="eastAsia" w:ascii="宋体" w:hAnsi="宋体" w:cs="宋体"/>
                <w:color w:val="000000" w:themeColor="text1"/>
                <w:kern w:val="0"/>
                <w:szCs w:val="21"/>
                <w:lang w:val="en-US" w:eastAsia="zh-CN"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1000ms的抗网络抖动能力，当网络</w:t>
            </w:r>
            <w:r>
              <w:rPr>
                <w:rFonts w:hint="eastAsia" w:ascii="宋体" w:hAnsi="宋体" w:cs="宋体"/>
                <w:color w:val="000000" w:themeColor="text1"/>
                <w:kern w:val="0"/>
                <w:szCs w:val="21"/>
                <w:lang w:val="en-US" w:eastAsia="zh-CN" w:bidi="ar"/>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1000ms时，会议稳定不中断，视频画面无花屏，无马赛克，音频流畅；</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r>
              <w:rPr>
                <w:rFonts w:hint="eastAsia" w:ascii="宋体" w:hAnsi="宋体" w:cs="宋体"/>
                <w:color w:val="000000" w:themeColor="text1"/>
                <w:kern w:val="0"/>
                <w:szCs w:val="21"/>
                <w:lang w:val="en-US" w:eastAsia="zh-CN" w:bidi="ar"/>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.支待主叫呼集、URI呼叫、IP地址呼叫、VMR虚拟会议室会议方式；</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r>
              <w:rPr>
                <w:rFonts w:hint="eastAsia" w:ascii="宋体" w:hAnsi="宋体" w:cs="宋体"/>
                <w:color w:val="000000" w:themeColor="text1"/>
                <w:kern w:val="0"/>
                <w:szCs w:val="21"/>
                <w:lang w:val="en-US" w:eastAsia="zh-CN"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支持调整会议中的终端音量，会议管理员（主持人）可实时了解会议中各会场的发言情况，便于维护会议秩序；支持辅流加入多画面，实现在多分屏中显示辅流内容，满足不支持双流的终端可正常接收内容共享；</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r>
              <w:rPr>
                <w:rFonts w:hint="eastAsia" w:ascii="宋体" w:hAnsi="宋体" w:cs="宋体"/>
                <w:color w:val="000000" w:themeColor="text1"/>
                <w:kern w:val="0"/>
                <w:szCs w:val="21"/>
                <w:lang w:val="en-US" w:eastAsia="zh-CN" w:bidi="ar"/>
                <w14:textFill>
                  <w14:solidFill>
                    <w14:schemeClr w14:val="tx1"/>
                  </w14:solidFill>
                </w14:textFill>
              </w:rPr>
              <w:t>7</w:t>
            </w:r>
            <w:r>
              <w:rPr>
                <w:rFonts w:hint="eastAsia" w:ascii="宋体" w:hAnsi="宋体" w:cs="宋体"/>
                <w:color w:val="000000" w:themeColor="text1"/>
                <w:kern w:val="0"/>
                <w:szCs w:val="21"/>
                <w:lang w:bidi="ar"/>
                <w14:textFill>
                  <w14:solidFill>
                    <w14:schemeClr w14:val="tx1"/>
                  </w14:solidFill>
                </w14:textFill>
              </w:rPr>
              <w:t>.会议主持人支持对整个会议的管理，可对参与人的发言/收听、观看其他参会人图像等权限进行设置；</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val="en-US" w:eastAsia="zh-CN" w:bidi="ar"/>
                <w14:textFill>
                  <w14:solidFill>
                    <w14:schemeClr w14:val="tx1"/>
                  </w14:solidFill>
                </w14:textFill>
              </w:rPr>
              <w:t>18</w:t>
            </w:r>
            <w:r>
              <w:rPr>
                <w:rFonts w:hint="eastAsia" w:ascii="宋体" w:hAnsi="宋体" w:cs="宋体"/>
                <w:color w:val="000000" w:themeColor="text1"/>
                <w:kern w:val="0"/>
                <w:szCs w:val="21"/>
                <w:lang w:bidi="ar"/>
                <w14:textFill>
                  <w14:solidFill>
                    <w14:schemeClr w14:val="tx1"/>
                  </w14:solidFill>
                </w14:textFill>
              </w:rPr>
              <w:t>.对于一个会议支持拆分为多个小会议，拆分出来的会议可以合并到大会议中，可用于会议中进行分组讨论，然后又合并讨论的会议；</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r>
              <w:rPr>
                <w:rFonts w:ascii="宋体" w:hAnsi="宋体" w:cs="宋体"/>
                <w:color w:val="000000" w:themeColor="text1"/>
                <w:kern w:val="0"/>
                <w:szCs w:val="21"/>
                <w:lang w:bidi="ar"/>
                <w14:textFill>
                  <w14:solidFill>
                    <w14:schemeClr w14:val="tx1"/>
                  </w14:solidFill>
                </w14:textFill>
              </w:rPr>
              <w:t>0</w:t>
            </w:r>
            <w:r>
              <w:rPr>
                <w:rFonts w:hint="eastAsia" w:ascii="宋体" w:hAnsi="宋体" w:cs="宋体"/>
                <w:color w:val="000000" w:themeColor="text1"/>
                <w:kern w:val="0"/>
                <w:szCs w:val="21"/>
                <w:lang w:bidi="ar"/>
                <w14:textFill>
                  <w14:solidFill>
                    <w14:schemeClr w14:val="tx1"/>
                  </w14:solidFill>
                </w14:textFill>
              </w:rPr>
              <w:t>.支待流控技术，当终端不发言时，自动释放上行带宽，从而提高网络带宽利用率；</w:t>
            </w:r>
          </w:p>
          <w:p>
            <w:pPr>
              <w:widowControl/>
              <w:jc w:val="left"/>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r>
              <w:rPr>
                <w:rFonts w:ascii="宋体" w:hAnsi="宋体" w:cs="宋体"/>
                <w:color w:val="000000" w:themeColor="text1"/>
                <w:kern w:val="0"/>
                <w:szCs w:val="21"/>
                <w:lang w:bidi="ar"/>
                <w14:textFill>
                  <w14:solidFill>
                    <w14:schemeClr w14:val="tx1"/>
                  </w14:solidFill>
                </w14:textFill>
              </w:rPr>
              <w:t>1</w:t>
            </w:r>
            <w:r>
              <w:rPr>
                <w:rFonts w:hint="eastAsia" w:ascii="宋体" w:hAnsi="宋体" w:cs="宋体"/>
                <w:color w:val="000000" w:themeColor="text1"/>
                <w:kern w:val="0"/>
                <w:szCs w:val="21"/>
                <w:lang w:bidi="ar"/>
                <w14:textFill>
                  <w14:solidFill>
                    <w14:schemeClr w14:val="tx1"/>
                  </w14:solidFill>
                </w14:textFill>
              </w:rPr>
              <w:t>.在会议进行过程中，为了保障会议安全性，会议主待人可以锁定会议，当会议锁定时，终端无法主动入会，只允许会议管理员（或主席终端）主动邀请终端入会；</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.支持锁定会场视频源功能，锁定会议主视频源、辅视频源，实现会场观看画面不受广播、点名、声控切换操作影响</w:t>
            </w:r>
            <w:r>
              <w:rPr>
                <w:rFonts w:hint="eastAsia" w:ascii="宋体" w:hAnsi="宋体" w:eastAsia="宋体" w:cs="宋体"/>
                <w:color w:val="000000" w:themeColor="text1"/>
                <w:kern w:val="0"/>
                <w:sz w:val="21"/>
                <w:szCs w:val="21"/>
                <w:lang w:bidi="ar"/>
                <w14:textFill>
                  <w14:solidFill>
                    <w14:schemeClr w14:val="tx1"/>
                  </w14:solidFill>
                </w14:textFill>
              </w:rPr>
              <w:t>。</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369790</w:t>
            </w:r>
            <w:r>
              <w:rPr>
                <w:rFonts w:hint="eastAsia" w:ascii="宋体" w:hAnsi="宋体" w:eastAsia="宋体" w:cs="宋体"/>
                <w:color w:val="000000" w:themeColor="text1"/>
                <w:kern w:val="0"/>
                <w:sz w:val="21"/>
                <w:szCs w:val="21"/>
                <w:lang w:val="en-US" w:eastAsia="zh-CN" w:bidi="ar"/>
                <w14:textFill>
                  <w14:solidFill>
                    <w14:schemeClr w14:val="tx1"/>
                  </w14:solidFill>
                </w14:textFill>
              </w:rPr>
              <w:t>.00</w:t>
            </w:r>
          </w:p>
        </w:tc>
        <w:tc>
          <w:tcPr>
            <w:tcW w:w="1486"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369790</w:t>
            </w:r>
            <w:r>
              <w:rPr>
                <w:rFonts w:hint="eastAsia" w:ascii="宋体" w:hAnsi="宋体" w:eastAsia="宋体" w:cs="宋体"/>
                <w:color w:val="000000" w:themeColor="text1"/>
                <w:kern w:val="0"/>
                <w:sz w:val="21"/>
                <w:szCs w:val="21"/>
                <w:lang w:val="en-US" w:eastAsia="zh-CN" w:bidi="ar"/>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93</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高清视频终端</w:t>
            </w:r>
          </w:p>
        </w:tc>
        <w:tc>
          <w:tcPr>
            <w:tcW w:w="5309" w:type="dxa"/>
            <w:noWrap/>
            <w:vAlign w:val="center"/>
          </w:tcPr>
          <w:p>
            <w:pPr>
              <w:pStyle w:val="9"/>
              <w:spacing w:line="240" w:lineRule="auto"/>
              <w:jc w:val="left"/>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支持ITU-I H.323，IETF SIP通信标准协议；</w:t>
            </w:r>
          </w:p>
          <w:p>
            <w:pPr>
              <w:pStyle w:val="9"/>
              <w:spacing w:line="240" w:lineRule="auto"/>
              <w:jc w:val="left"/>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支持IPv4和IPv6双协议栈，可通过IPv4和IPv6接入网络；</w:t>
            </w:r>
          </w:p>
          <w:p>
            <w:pPr>
              <w:pStyle w:val="9"/>
              <w:spacing w:line="240" w:lineRule="auto"/>
              <w:jc w:val="left"/>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支持H.265,H.264BP(Baseline Profile)，H.264HP(High Profile)，H.263，H.261编解码；</w:t>
            </w:r>
          </w:p>
          <w:p>
            <w:pPr>
              <w:pStyle w:val="9"/>
              <w:spacing w:line="240" w:lineRule="auto"/>
              <w:jc w:val="left"/>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支持G.722，G.711(包含G.711A，G.711µ)，G.722.1，G.722.1C，G.719，AAC_LD/LC，AAC_LD/LC(Stereo)，G.729，G.728，OPUS，ZTE_BA(Stereo) 等音频协议，支持双声道立体声，可达到20KHz以上的宽频效果；</w:t>
            </w:r>
          </w:p>
          <w:p>
            <w:pPr>
              <w:pStyle w:val="9"/>
              <w:spacing w:line="240" w:lineRule="auto"/>
              <w:jc w:val="left"/>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视频分辨率支持4K(3840</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2160)30fps，支持1080P60fps，支持1080P50fps，支持1080P30fps，支持720P60fps，支持720P30fps，支持720P25fps，支持4CIF，CIF，QCIF；</w:t>
            </w:r>
          </w:p>
          <w:p>
            <w:pPr>
              <w:pStyle w:val="9"/>
              <w:spacing w:line="240" w:lineRule="auto"/>
              <w:jc w:val="left"/>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cs="宋体"/>
                <w:color w:val="000000" w:themeColor="text1"/>
                <w:kern w:val="0"/>
                <w:sz w:val="21"/>
                <w:szCs w:val="21"/>
                <w:lang w:val="en-US" w:eastAsia="zh-CN" w:bidi="ar"/>
                <w14:textFill>
                  <w14:solidFill>
                    <w14:schemeClr w14:val="tx1"/>
                  </w14:solidFill>
                </w14:textFill>
              </w:rPr>
              <w:t>6.</w:t>
            </w:r>
            <w:r>
              <w:rPr>
                <w:rFonts w:hint="eastAsia" w:ascii="宋体" w:hAnsi="宋体" w:eastAsia="宋体" w:cs="宋体"/>
                <w:color w:val="000000" w:themeColor="text1"/>
                <w:kern w:val="0"/>
                <w:sz w:val="21"/>
                <w:szCs w:val="21"/>
                <w:lang w:bidi="ar"/>
                <w14:textFill>
                  <w14:solidFill>
                    <w14:schemeClr w14:val="tx1"/>
                  </w14:solidFill>
                </w14:textFill>
              </w:rPr>
              <w:t>支持分配辅视频带宽与总带宽比例分配，辅视频占用带宽为 分配比例</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总带宽，主视频占用带宽为 ( 1- 辅视频分配比例）</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总带宽；</w:t>
            </w:r>
          </w:p>
          <w:p>
            <w:pPr>
              <w:pStyle w:val="9"/>
              <w:spacing w:line="240" w:lineRule="auto"/>
              <w:jc w:val="left"/>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7</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≥3视频输出接口；≥3视频输入接口；</w:t>
            </w:r>
          </w:p>
          <w:p>
            <w:pPr>
              <w:pStyle w:val="9"/>
              <w:spacing w:line="240" w:lineRule="auto"/>
              <w:jc w:val="left"/>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8</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≥8路音频输入接口，≥7路音频输出接口，具备RCA、XLR、凤凰头等音频接口；</w:t>
            </w:r>
            <w:r>
              <w:rPr>
                <w:rFonts w:hint="eastAsia" w:ascii="宋体" w:hAnsi="宋体" w:cs="宋体"/>
                <w:b/>
                <w:bCs/>
                <w:color w:val="000000" w:themeColor="text1"/>
                <w:kern w:val="0"/>
                <w:sz w:val="21"/>
                <w:szCs w:val="21"/>
                <w:lang w:eastAsia="zh-CN" w:bidi="ar"/>
                <w14:textFill>
                  <w14:solidFill>
                    <w14:schemeClr w14:val="tx1"/>
                  </w14:solidFill>
                </w14:textFill>
              </w:rPr>
              <w:t>需提供相关证明材料（包括但不限于彩页或官网或功能截图等）并加盖投标人公章（CA签章）</w:t>
            </w:r>
            <w:r>
              <w:rPr>
                <w:rFonts w:hint="eastAsia" w:ascii="宋体" w:hAnsi="宋体" w:eastAsia="宋体" w:cs="宋体"/>
                <w:b/>
                <w:bCs/>
                <w:color w:val="000000" w:themeColor="text1"/>
                <w:kern w:val="0"/>
                <w:sz w:val="21"/>
                <w:szCs w:val="21"/>
                <w:lang w:bidi="ar"/>
                <w14:textFill>
                  <w14:solidFill>
                    <w14:schemeClr w14:val="tx1"/>
                  </w14:solidFill>
                </w14:textFill>
              </w:rPr>
              <w:t>；</w:t>
            </w:r>
          </w:p>
          <w:p>
            <w:pPr>
              <w:pStyle w:val="9"/>
              <w:spacing w:line="240" w:lineRule="auto"/>
              <w:jc w:val="left"/>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▲9</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支持在活动视频上实时动态显示麦克风和音响的状态；</w:t>
            </w:r>
          </w:p>
          <w:p>
            <w:pPr>
              <w:pStyle w:val="9"/>
              <w:spacing w:line="240" w:lineRule="auto"/>
              <w:jc w:val="left"/>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10</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设备支持抗丢包修复能力，丢包达40%时，视频图像清晰流畅，无卡顿、马赛克等现象，会议仍能够正常召开，丢包达70%时，声音信号清晰流畅，无卡顿现象；</w:t>
            </w:r>
          </w:p>
          <w:p>
            <w:pPr>
              <w:pStyle w:val="9"/>
              <w:spacing w:line="240" w:lineRule="auto"/>
              <w:jc w:val="left"/>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▲11</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支持合视功能，支持将两路视频源合并为一路视频发送到远端会场，实现同一会场不同角度的图像呈现；</w:t>
            </w:r>
          </w:p>
          <w:p>
            <w:pPr>
              <w:pStyle w:val="9"/>
              <w:spacing w:line="240" w:lineRule="auto"/>
              <w:jc w:val="left"/>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12、开机后摄像机自动到所定制预置位，无须人工干预；支持摄像机预置位快照、预览，可直观地显示摄像机预置位场景；</w:t>
            </w:r>
          </w:p>
          <w:p>
            <w:pPr>
              <w:pStyle w:val="9"/>
              <w:spacing w:line="240" w:lineRule="auto"/>
              <w:jc w:val="left"/>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13</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HDMI 播放辅流支持音频本地＋远端传输，在本地会场也能听到辅流声音；</w:t>
            </w:r>
          </w:p>
          <w:p>
            <w:pPr>
              <w:pStyle w:val="9"/>
              <w:spacing w:line="240" w:lineRule="auto"/>
              <w:jc w:val="left"/>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14</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支持VGA环回功能。会议终端关机情况下，VGA 输入信号可通过终端的内部环回功能将信号输出给 VGA 接收设备，比如通过VGA环回功能将电脑图像直接转发给投影仪实现电脑图像本地投影；</w:t>
            </w:r>
          </w:p>
          <w:p>
            <w:pPr>
              <w:pStyle w:val="9"/>
              <w:spacing w:line="240" w:lineRule="auto"/>
              <w:jc w:val="left"/>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15</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支持单屏多显功能，在一个显示器上可显示本地，远端，辅视频图像；</w:t>
            </w:r>
          </w:p>
          <w:p>
            <w:pPr>
              <w:pStyle w:val="9"/>
              <w:spacing w:line="240" w:lineRule="auto"/>
              <w:jc w:val="left"/>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ascii="宋体" w:hAnsi="宋体" w:cs="宋体"/>
                <w:color w:val="000000" w:themeColor="text1"/>
                <w:kern w:val="0"/>
                <w:sz w:val="21"/>
                <w:szCs w:val="21"/>
                <w:lang w:val="en-US" w:eastAsia="zh-CN" w:bidi="ar"/>
                <w14:textFill>
                  <w14:solidFill>
                    <w14:schemeClr w14:val="tx1"/>
                  </w14:solidFill>
                </w14:textFill>
              </w:rPr>
              <w:t>6</w:t>
            </w:r>
            <w:r>
              <w:rPr>
                <w:rFonts w:hint="eastAsia" w:ascii="宋体" w:hAnsi="宋体" w:eastAsia="宋体" w:cs="宋体"/>
                <w:color w:val="000000" w:themeColor="text1"/>
                <w:kern w:val="0"/>
                <w:sz w:val="21"/>
                <w:szCs w:val="21"/>
                <w:lang w:bidi="ar"/>
                <w14:textFill>
                  <w14:solidFill>
                    <w14:schemeClr w14:val="tx1"/>
                  </w14:solidFill>
                </w14:textFill>
              </w:rPr>
              <w:t>.4K摄像机：1/2.5英寸, CMOS，有效像素851万；镜头12倍光学变焦，f=4.4～52.8mm，F1.8～F2.6，水平视场角72.5°～ 8.2°，垂直视场角：42.7°～ 4.5°； HDMI+HDBaseT+RJ45+RS232接口。</w:t>
            </w:r>
          </w:p>
          <w:p>
            <w:pPr>
              <w:pStyle w:val="9"/>
              <w:spacing w:line="240" w:lineRule="auto"/>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ascii="宋体" w:hAnsi="宋体" w:cs="宋体"/>
                <w:color w:val="000000" w:themeColor="text1"/>
                <w:kern w:val="0"/>
                <w:sz w:val="21"/>
                <w:szCs w:val="21"/>
                <w:lang w:val="en-US" w:eastAsia="zh-CN" w:bidi="ar"/>
                <w14:textFill>
                  <w14:solidFill>
                    <w14:schemeClr w14:val="tx1"/>
                  </w14:solidFill>
                </w14:textFill>
              </w:rPr>
              <w:t>7</w:t>
            </w:r>
            <w:r>
              <w:rPr>
                <w:rFonts w:hint="eastAsia" w:ascii="宋体" w:hAnsi="宋体" w:eastAsia="宋体" w:cs="宋体"/>
                <w:color w:val="000000" w:themeColor="text1"/>
                <w:kern w:val="0"/>
                <w:sz w:val="21"/>
                <w:szCs w:val="21"/>
                <w:lang w:bidi="ar"/>
                <w14:textFill>
                  <w14:solidFill>
                    <w14:schemeClr w14:val="tx1"/>
                  </w14:solidFill>
                </w14:textFill>
              </w:rPr>
              <w:t>.全向数字麦克风</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1，会控触控终端</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55421.89</w:t>
            </w:r>
          </w:p>
        </w:tc>
        <w:tc>
          <w:tcPr>
            <w:tcW w:w="1486"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55421.89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94</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信号屏蔽器</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内置40瓦；</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有效屏蔽距离20-30米可调（现场可任意调试）；</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GSM/CDMA/DCS/PHS/WCDMA/TD-SCDMA/CDMA2000/WIFI/4G/5G屏蔽十路频段；</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可连续24小时工作；</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502K10发射功率40W；</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采用定向天线，防止干扰，能在半径20—30米（约200-300平方米，可根据所需场所不同现场调节屏蔽范围）内隔GSM/CDMA/DCS/PHS/TD-SCDMA/WCDMA/CDMA2000/WIFI/LTE(4G)/5g信号，使手机无法打出和接听，且不能发送或接受短信，但又不会干扰其它电子设备工作,从而保证了所需场所的安全性，手机离开隔断范围，即可恢复正常使用，且对人体无任何损害，功率可调，方便安全。</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15000</w:t>
            </w:r>
            <w:r>
              <w:rPr>
                <w:rFonts w:hint="eastAsia" w:ascii="宋体" w:hAnsi="宋体" w:eastAsia="宋体" w:cs="宋体"/>
                <w:color w:val="000000" w:themeColor="text1"/>
                <w:kern w:val="0"/>
                <w:sz w:val="21"/>
                <w:szCs w:val="21"/>
                <w:lang w:val="en-US" w:eastAsia="zh-CN" w:bidi="ar"/>
                <w14:textFill>
                  <w14:solidFill>
                    <w14:schemeClr w14:val="tx1"/>
                  </w14:solidFill>
                </w14:textFill>
              </w:rPr>
              <w:t>.00</w:t>
            </w:r>
          </w:p>
        </w:tc>
        <w:tc>
          <w:tcPr>
            <w:tcW w:w="1486"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15000</w:t>
            </w:r>
            <w:r>
              <w:rPr>
                <w:rFonts w:hint="eastAsia" w:ascii="宋体" w:hAnsi="宋体" w:eastAsia="宋体" w:cs="宋体"/>
                <w:color w:val="000000" w:themeColor="text1"/>
                <w:kern w:val="0"/>
                <w:sz w:val="21"/>
                <w:szCs w:val="21"/>
                <w:lang w:val="en-US" w:eastAsia="zh-CN" w:bidi="ar"/>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95</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手机屏蔽柜</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w:t>
            </w:r>
            <w:r>
              <w:rPr>
                <w:rFonts w:hint="eastAsia" w:ascii="宋体" w:hAnsi="宋体" w:eastAsia="宋体" w:cs="宋体"/>
                <w:color w:val="000000" w:themeColor="text1"/>
                <w:kern w:val="0"/>
                <w:sz w:val="21"/>
                <w:szCs w:val="21"/>
                <w:lang w:bidi="ar"/>
                <w14:textFill>
                  <w14:solidFill>
                    <w14:schemeClr w14:val="tx1"/>
                  </w14:solidFill>
                </w14:textFill>
              </w:rPr>
              <w:t>32个手机存放格；防止手机带入会场，需在会议室门口配备，根据会场容纳人数配备格数，每格放一人手机（可放两部）</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w:t>
            </w:r>
            <w:r>
              <w:rPr>
                <w:rFonts w:hint="eastAsia" w:ascii="宋体" w:hAnsi="宋体" w:eastAsia="宋体" w:cs="宋体"/>
                <w:color w:val="000000" w:themeColor="text1"/>
                <w:kern w:val="0"/>
                <w:sz w:val="21"/>
                <w:szCs w:val="21"/>
                <w:lang w:bidi="ar"/>
                <w14:textFill>
                  <w14:solidFill>
                    <w14:schemeClr w14:val="tx1"/>
                  </w14:solidFill>
                </w14:textFill>
              </w:rPr>
              <w:t>外观尺寸：长426mm</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高386mm</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厚213mm</w:t>
            </w:r>
            <w:r>
              <w:rPr>
                <w:rFonts w:hint="eastAsia" w:ascii="宋体" w:hAnsi="宋体" w:cs="宋体"/>
                <w:color w:val="000000" w:themeColor="text1"/>
                <w:kern w:val="0"/>
                <w:szCs w:val="21"/>
                <w:lang w:bidi="ar"/>
                <w14:textFill>
                  <w14:solidFill>
                    <w14:schemeClr w14:val="tx1"/>
                  </w14:solidFill>
                </w14:textFill>
              </w:rPr>
              <w:t>（±5mm）</w:t>
            </w:r>
            <w:r>
              <w:rPr>
                <w:rFonts w:hint="eastAsia" w:ascii="宋体" w:hAnsi="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3.</w:t>
            </w:r>
            <w:r>
              <w:rPr>
                <w:rFonts w:hint="eastAsia" w:ascii="宋体" w:hAnsi="宋体" w:eastAsia="宋体" w:cs="宋体"/>
                <w:color w:val="000000" w:themeColor="text1"/>
                <w:kern w:val="0"/>
                <w:sz w:val="21"/>
                <w:szCs w:val="21"/>
                <w:lang w:bidi="ar"/>
                <w14:textFill>
                  <w14:solidFill>
                    <w14:schemeClr w14:val="tx1"/>
                  </w14:solidFill>
                </w14:textFill>
              </w:rPr>
              <w:t>抽屉尺寸：长171mm</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宽90mm</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高60mm</w:t>
            </w:r>
            <w:r>
              <w:rPr>
                <w:rFonts w:hint="eastAsia"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val="en-US" w:eastAsia="zh-CN"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mm）</w:t>
            </w:r>
            <w:r>
              <w:rPr>
                <w:rFonts w:hint="eastAsia" w:ascii="宋体" w:hAnsi="宋体" w:cs="宋体"/>
                <w:color w:val="000000" w:themeColor="text1"/>
                <w:kern w:val="0"/>
                <w:sz w:val="21"/>
                <w:szCs w:val="21"/>
                <w:lang w:eastAsia="zh-CN" w:bidi="ar"/>
                <w14:textFill>
                  <w14:solidFill>
                    <w14:schemeClr w14:val="tx1"/>
                  </w14:solidFill>
                </w14:textFill>
              </w:rPr>
              <w:t>。</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3692.85</w:t>
            </w:r>
          </w:p>
        </w:tc>
        <w:tc>
          <w:tcPr>
            <w:tcW w:w="1486"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3692.85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96</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保密文件柜</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w:t>
            </w:r>
            <w:r>
              <w:rPr>
                <w:rFonts w:hint="eastAsia" w:ascii="宋体" w:hAnsi="宋体" w:eastAsia="宋体" w:cs="宋体"/>
                <w:color w:val="000000" w:themeColor="text1"/>
                <w:kern w:val="0"/>
                <w:sz w:val="21"/>
                <w:szCs w:val="21"/>
                <w:lang w:bidi="ar"/>
                <w14:textFill>
                  <w14:solidFill>
                    <w14:schemeClr w14:val="tx1"/>
                  </w14:solidFill>
                </w14:textFill>
              </w:rPr>
              <w:t>通体保密文件柜</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w:t>
            </w:r>
            <w:r>
              <w:rPr>
                <w:rFonts w:hint="eastAsia" w:ascii="宋体" w:hAnsi="宋体" w:eastAsia="宋体" w:cs="宋体"/>
                <w:color w:val="000000" w:themeColor="text1"/>
                <w:kern w:val="0"/>
                <w:sz w:val="21"/>
                <w:szCs w:val="21"/>
                <w:lang w:bidi="ar"/>
                <w14:textFill>
                  <w14:solidFill>
                    <w14:schemeClr w14:val="tx1"/>
                  </w14:solidFill>
                </w14:textFill>
              </w:rPr>
              <w:t>型号：HZ-M1（密码锁）</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3.</w:t>
            </w:r>
            <w:r>
              <w:rPr>
                <w:rFonts w:hint="eastAsia" w:ascii="宋体" w:hAnsi="宋体" w:eastAsia="宋体" w:cs="宋体"/>
                <w:color w:val="000000" w:themeColor="text1"/>
                <w:kern w:val="0"/>
                <w:sz w:val="21"/>
                <w:szCs w:val="21"/>
                <w:lang w:bidi="ar"/>
                <w14:textFill>
                  <w14:solidFill>
                    <w14:schemeClr w14:val="tx1"/>
                  </w14:solidFill>
                </w14:textFill>
              </w:rPr>
              <w:t>尺寸：长宽高：900×420×1850mm</w:t>
            </w:r>
            <w:r>
              <w:rPr>
                <w:rFonts w:hint="eastAsia" w:ascii="宋体" w:hAnsi="宋体" w:cs="宋体"/>
                <w:color w:val="000000" w:themeColor="text1"/>
                <w:kern w:val="0"/>
                <w:szCs w:val="21"/>
                <w:lang w:bidi="ar"/>
                <w14:textFill>
                  <w14:solidFill>
                    <w14:schemeClr w14:val="tx1"/>
                  </w14:solidFill>
                </w14:textFill>
              </w:rPr>
              <w:t>（±5mm）</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4.</w:t>
            </w:r>
            <w:r>
              <w:rPr>
                <w:rFonts w:hint="eastAsia" w:ascii="宋体" w:hAnsi="宋体" w:eastAsia="宋体" w:cs="宋体"/>
                <w:color w:val="000000" w:themeColor="text1"/>
                <w:kern w:val="0"/>
                <w:sz w:val="21"/>
                <w:szCs w:val="21"/>
                <w:lang w:bidi="ar"/>
                <w14:textFill>
                  <w14:solidFill>
                    <w14:schemeClr w14:val="tx1"/>
                  </w14:solidFill>
                </w14:textFill>
              </w:rPr>
              <w:t>保密文件资料存放，密码输入可开启、报警指示：声音</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5.</w:t>
            </w:r>
            <w:r>
              <w:rPr>
                <w:rFonts w:hint="eastAsia" w:ascii="宋体" w:hAnsi="宋体" w:eastAsia="宋体" w:cs="宋体"/>
                <w:color w:val="000000" w:themeColor="text1"/>
                <w:kern w:val="0"/>
                <w:sz w:val="21"/>
                <w:szCs w:val="21"/>
                <w:lang w:bidi="ar"/>
                <w14:textFill>
                  <w14:solidFill>
                    <w14:schemeClr w14:val="tx1"/>
                  </w14:solidFill>
                </w14:textFill>
              </w:rPr>
              <w:t>报警（受震动、敲打、乱码即自动远程100分贝报警）</w:t>
            </w:r>
            <w:r>
              <w:rPr>
                <w:rFonts w:hint="eastAsia" w:ascii="宋体" w:hAnsi="宋体" w:eastAsia="宋体" w:cs="宋体"/>
                <w:color w:val="000000" w:themeColor="text1"/>
                <w:kern w:val="0"/>
                <w:sz w:val="21"/>
                <w:szCs w:val="21"/>
                <w:lang w:eastAsia="zh-CN" w:bidi="ar"/>
                <w14:textFill>
                  <w14:solidFill>
                    <w14:schemeClr w14:val="tx1"/>
                  </w14:solidFill>
                </w14:textFill>
              </w:rPr>
              <w:t>。</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4092.97</w:t>
            </w:r>
          </w:p>
        </w:tc>
        <w:tc>
          <w:tcPr>
            <w:tcW w:w="1486"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4092.97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97</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微机视频信息保护系统</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微机视频信息保护系统</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干扰方式：视频信息相关干扰</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干扰频率范围：1MHz—1300MHz</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干扰强度：≤85dBμV</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w:t>
            </w:r>
            <w:r>
              <w:rPr>
                <w:rFonts w:hint="eastAsia" w:ascii="宋体" w:hAnsi="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干扰方向：全方位</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2500</w:t>
            </w:r>
            <w:r>
              <w:rPr>
                <w:rFonts w:hint="eastAsia" w:ascii="宋体" w:hAnsi="宋体" w:eastAsia="宋体" w:cs="宋体"/>
                <w:color w:val="000000" w:themeColor="text1"/>
                <w:kern w:val="0"/>
                <w:sz w:val="21"/>
                <w:szCs w:val="21"/>
                <w:lang w:val="en-US" w:eastAsia="zh-CN" w:bidi="ar"/>
                <w14:textFill>
                  <w14:solidFill>
                    <w14:schemeClr w14:val="tx1"/>
                  </w14:solidFill>
                </w14:textFill>
              </w:rPr>
              <w:t>.00</w:t>
            </w:r>
          </w:p>
        </w:tc>
        <w:tc>
          <w:tcPr>
            <w:tcW w:w="1486"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2500</w:t>
            </w:r>
            <w:r>
              <w:rPr>
                <w:rFonts w:hint="eastAsia" w:ascii="宋体" w:hAnsi="宋体" w:eastAsia="宋体" w:cs="宋体"/>
                <w:color w:val="000000" w:themeColor="text1"/>
                <w:kern w:val="0"/>
                <w:sz w:val="21"/>
                <w:szCs w:val="21"/>
                <w:lang w:val="en-US" w:eastAsia="zh-CN" w:bidi="ar"/>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98</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红黑电源隔离系统</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红黑电源隔离系统</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外部接口：6个国标电源接口</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2</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隔离度：≥50dB（150KHz-30MHz）</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≥40dB（30MHz-100MHz）</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3</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功效：10A、2500W</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4</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工作电压：220V/50Hz</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5</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外形尺寸：316mm</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100mm</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40mm</w:t>
            </w:r>
            <w:r>
              <w:rPr>
                <w:rFonts w:hint="eastAsia" w:ascii="宋体" w:hAnsi="宋体" w:cs="宋体"/>
                <w:color w:val="000000" w:themeColor="text1"/>
                <w:kern w:val="0"/>
                <w:szCs w:val="21"/>
                <w:lang w:bidi="ar"/>
                <w14:textFill>
                  <w14:solidFill>
                    <w14:schemeClr w14:val="tx1"/>
                  </w14:solidFill>
                </w14:textFill>
              </w:rPr>
              <w:t>（±</w:t>
            </w:r>
            <w:r>
              <w:rPr>
                <w:rFonts w:hint="eastAsia" w:ascii="宋体" w:hAnsi="宋体" w:cs="宋体"/>
                <w:color w:val="000000" w:themeColor="text1"/>
                <w:kern w:val="0"/>
                <w:szCs w:val="21"/>
                <w:lang w:val="en-US" w:eastAsia="zh-CN"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mm）</w:t>
            </w:r>
            <w:r>
              <w:rPr>
                <w:rFonts w:hint="eastAsia" w:ascii="宋体" w:hAnsi="宋体" w:eastAsia="宋体" w:cs="宋体"/>
                <w:color w:val="000000" w:themeColor="text1"/>
                <w:kern w:val="0"/>
                <w:sz w:val="21"/>
                <w:szCs w:val="21"/>
                <w:lang w:eastAsia="zh-CN" w:bidi="ar"/>
                <w14:textFill>
                  <w14:solidFill>
                    <w14:schemeClr w14:val="tx1"/>
                  </w14:solidFill>
                </w14:textFill>
              </w:rPr>
              <w:t>；</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6</w:t>
            </w:r>
            <w:r>
              <w:rPr>
                <w:rFonts w:hint="eastAsia" w:ascii="宋体" w:hAnsi="宋体" w:eastAsia="宋体" w:cs="宋体"/>
                <w:color w:val="000000" w:themeColor="text1"/>
                <w:kern w:val="0"/>
                <w:sz w:val="21"/>
                <w:szCs w:val="21"/>
                <w:lang w:val="en-US" w:eastAsia="zh-CN"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性能指标：</w:t>
            </w:r>
          </w:p>
          <w:p>
            <w:pPr>
              <w:widowControl/>
              <w:jc w:val="left"/>
              <w:textAlignment w:val="center"/>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安全性：无法还原视频信息。</w:t>
            </w:r>
          </w:p>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规格要求：铭牌包含产品的详细信息、插头插座符合相关国标要求、工作温度：-10℃～+45℃、湿度10%～90%</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1</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bidi="ar"/>
                <w14:textFill>
                  <w14:solidFill>
                    <w14:schemeClr w14:val="tx1"/>
                  </w14:solidFill>
                </w14:textFill>
              </w:rPr>
              <w:t>台</w:t>
            </w:r>
          </w:p>
        </w:tc>
        <w:tc>
          <w:tcPr>
            <w:tcW w:w="99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588.00</w:t>
            </w:r>
          </w:p>
        </w:tc>
        <w:tc>
          <w:tcPr>
            <w:tcW w:w="1486"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588.00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449" w:type="dxa"/>
            <w:gridSpan w:val="7"/>
            <w:noWrap/>
            <w:vAlign w:val="center"/>
          </w:tcPr>
          <w:p>
            <w:pPr>
              <w:widowControl/>
              <w:jc w:val="left"/>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b/>
                <w:bCs/>
                <w:color w:val="000000" w:themeColor="text1"/>
                <w:kern w:val="0"/>
                <w:sz w:val="21"/>
                <w:szCs w:val="21"/>
                <w:lang w:bidi="ar"/>
                <w14:textFill>
                  <w14:solidFill>
                    <w14:schemeClr w14:val="tx1"/>
                  </w14:solidFill>
                </w14:textFill>
              </w:rPr>
              <w:t>七、</w:t>
            </w: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34"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99</w:t>
            </w:r>
          </w:p>
        </w:tc>
        <w:tc>
          <w:tcPr>
            <w:tcW w:w="9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技术服务费</w:t>
            </w:r>
          </w:p>
        </w:tc>
        <w:tc>
          <w:tcPr>
            <w:tcW w:w="5309" w:type="dxa"/>
            <w:noWrap/>
            <w:vAlign w:val="center"/>
          </w:tcPr>
          <w:p>
            <w:pPr>
              <w:widowControl/>
              <w:jc w:val="left"/>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技术服务</w:t>
            </w:r>
          </w:p>
        </w:tc>
        <w:tc>
          <w:tcPr>
            <w:tcW w:w="81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w:t>
            </w:r>
          </w:p>
        </w:tc>
        <w:tc>
          <w:tcPr>
            <w:tcW w:w="360"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项</w:t>
            </w:r>
          </w:p>
        </w:tc>
        <w:tc>
          <w:tcPr>
            <w:tcW w:w="990" w:type="dxa"/>
            <w:noWrap/>
            <w:vAlign w:val="center"/>
          </w:tcPr>
          <w:p>
            <w:pPr>
              <w:widowControl/>
              <w:jc w:val="center"/>
              <w:textAlignment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bidi="ar"/>
                <w14:textFill>
                  <w14:solidFill>
                    <w14:schemeClr w14:val="tx1"/>
                  </w14:solidFill>
                </w14:textFill>
              </w:rPr>
              <w:t>154266.00</w:t>
            </w:r>
          </w:p>
        </w:tc>
        <w:tc>
          <w:tcPr>
            <w:tcW w:w="1486" w:type="dxa"/>
            <w:noWrap/>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bidi="ar"/>
                <w14:textFill>
                  <w14:solidFill>
                    <w14:schemeClr w14:val="tx1"/>
                  </w14:solidFill>
                </w14:textFill>
              </w:rPr>
              <w:t>154266.00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963" w:type="dxa"/>
            <w:gridSpan w:val="6"/>
            <w:noWrap/>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b/>
                <w:bCs/>
                <w:color w:val="000000" w:themeColor="text1"/>
                <w:sz w:val="21"/>
                <w:szCs w:val="21"/>
                <w:lang w:val="en-US" w:eastAsia="zh-CN"/>
                <w14:textFill>
                  <w14:solidFill>
                    <w14:schemeClr w14:val="tx1"/>
                  </w14:solidFill>
                </w14:textFill>
              </w:rPr>
              <w:t>合计</w:t>
            </w:r>
          </w:p>
        </w:tc>
        <w:tc>
          <w:tcPr>
            <w:tcW w:w="1486" w:type="dxa"/>
            <w:noWrap/>
            <w:vAlign w:val="center"/>
          </w:tcPr>
          <w:p>
            <w:pPr>
              <w:widowControl/>
              <w:jc w:val="center"/>
              <w:textAlignment w:val="center"/>
              <w:rPr>
                <w:rFonts w:hint="default"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 w:val="21"/>
                <w:szCs w:val="21"/>
                <w:lang w:val="en-US" w:eastAsia="zh-CN" w:bidi="ar"/>
                <w14:textFill>
                  <w14:solidFill>
                    <w14:schemeClr w14:val="tx1"/>
                  </w14:solidFill>
                </w14:textFill>
              </w:rPr>
              <w:t>1291836.73</w:t>
            </w:r>
          </w:p>
        </w:tc>
      </w:tr>
    </w:tbl>
    <w:tbl>
      <w:tblPr>
        <w:tblStyle w:val="21"/>
        <w:tblpPr w:leftFromText="180" w:rightFromText="180" w:vertAnchor="text" w:horzAnchor="page" w:tblpX="924" w:tblpY="351"/>
        <w:tblOverlap w:val="never"/>
        <w:tblW w:w="10457" w:type="dxa"/>
        <w:tblInd w:w="0" w:type="dxa"/>
        <w:tblLayout w:type="fixed"/>
        <w:tblCellMar>
          <w:top w:w="0" w:type="dxa"/>
          <w:left w:w="108" w:type="dxa"/>
          <w:bottom w:w="0" w:type="dxa"/>
          <w:right w:w="108" w:type="dxa"/>
        </w:tblCellMar>
      </w:tblPr>
      <w:tblGrid>
        <w:gridCol w:w="2223"/>
        <w:gridCol w:w="8234"/>
      </w:tblGrid>
      <w:tr>
        <w:tblPrEx>
          <w:tblCellMar>
            <w:top w:w="0" w:type="dxa"/>
            <w:left w:w="108" w:type="dxa"/>
            <w:bottom w:w="0" w:type="dxa"/>
            <w:right w:w="108" w:type="dxa"/>
          </w:tblCellMar>
        </w:tblPrEx>
        <w:trPr>
          <w:trHeight w:val="90" w:hRule="atLeast"/>
        </w:trPr>
        <w:tc>
          <w:tcPr>
            <w:tcW w:w="10457" w:type="dxa"/>
            <w:gridSpan w:val="2"/>
            <w:tcBorders>
              <w:top w:val="single" w:color="auto" w:sz="6" w:space="0"/>
              <w:left w:val="single" w:color="auto" w:sz="6" w:space="0"/>
              <w:bottom w:val="single" w:color="auto" w:sz="6" w:space="0"/>
              <w:right w:val="single" w:color="auto" w:sz="6" w:space="0"/>
              <w:tl2br w:val="nil"/>
              <w:tr2bl w:val="nil"/>
            </w:tcBorders>
            <w:noWrap/>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商务要求</w:t>
            </w:r>
          </w:p>
        </w:tc>
      </w:tr>
      <w:tr>
        <w:tblPrEx>
          <w:tblCellMar>
            <w:top w:w="0" w:type="dxa"/>
            <w:left w:w="108" w:type="dxa"/>
            <w:bottom w:w="0" w:type="dxa"/>
            <w:right w:w="108" w:type="dxa"/>
          </w:tblCellMar>
        </w:tblPrEx>
        <w:trPr>
          <w:trHeight w:val="670" w:hRule="atLeast"/>
        </w:trPr>
        <w:tc>
          <w:tcPr>
            <w:tcW w:w="2223" w:type="dxa"/>
            <w:tcBorders>
              <w:top w:val="single" w:color="auto" w:sz="6" w:space="0"/>
              <w:left w:val="single" w:color="auto" w:sz="6" w:space="0"/>
              <w:bottom w:val="single" w:color="auto" w:sz="6" w:space="0"/>
              <w:right w:val="single" w:color="auto" w:sz="6" w:space="0"/>
              <w:tl2br w:val="nil"/>
              <w:tr2bl w:val="nil"/>
            </w:tcBorders>
            <w:shd w:val="clear" w:color="auto" w:fill="auto"/>
            <w:noWrap/>
            <w:vAlign w:val="center"/>
          </w:tcPr>
          <w:p>
            <w:pPr>
              <w:jc w:val="center"/>
              <w:rPr>
                <w:rFonts w:ascii="宋体" w:hAnsi="宋体" w:cs="宋体"/>
                <w:b/>
                <w:bCs/>
                <w:color w:val="000000" w:themeColor="text1"/>
                <w:szCs w:val="21"/>
                <w14:textFill>
                  <w14:solidFill>
                    <w14:schemeClr w14:val="tx1"/>
                  </w14:solidFill>
                </w14:textFill>
              </w:rPr>
            </w:pPr>
          </w:p>
          <w:p>
            <w:pPr>
              <w:jc w:val="center"/>
              <w:rPr>
                <w:rFonts w:ascii="宋体" w:hAnsi="宋体" w:cs="宋体"/>
                <w:b/>
                <w:bCs/>
                <w:color w:val="000000" w:themeColor="text1"/>
                <w:szCs w:val="21"/>
                <w14:textFill>
                  <w14:solidFill>
                    <w14:schemeClr w14:val="tx1"/>
                  </w14:solidFill>
                </w14:textFill>
              </w:rPr>
            </w:pPr>
            <w:r>
              <w:rPr>
                <w:rFonts w:hint="eastAsia" w:ascii="宋体" w:hAnsi="宋体" w:eastAsia="宋体" w:cs="宋体"/>
                <w:b/>
                <w:color w:val="000000" w:themeColor="text1"/>
                <w:sz w:val="21"/>
                <w:szCs w:val="21"/>
                <w:u w:val="none"/>
                <w:lang w:val="en-US" w:eastAsia="zh-CN"/>
                <w14:textFill>
                  <w14:solidFill>
                    <w14:schemeClr w14:val="tx1"/>
                  </w14:solidFill>
                </w14:textFill>
              </w:rPr>
              <w:t>★</w:t>
            </w:r>
            <w:r>
              <w:rPr>
                <w:rFonts w:hint="eastAsia" w:ascii="宋体" w:hAnsi="宋体" w:cs="宋体"/>
                <w:b/>
                <w:bCs/>
                <w:color w:val="000000" w:themeColor="text1"/>
                <w:szCs w:val="21"/>
                <w14:textFill>
                  <w14:solidFill>
                    <w14:schemeClr w14:val="tx1"/>
                  </w14:solidFill>
                </w14:textFill>
              </w:rPr>
              <w:t>免费质保期及售后技术服务要求</w:t>
            </w:r>
          </w:p>
        </w:tc>
        <w:tc>
          <w:tcPr>
            <w:tcW w:w="8234"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pStyle w:val="19"/>
              <w:spacing w:line="360" w:lineRule="auto"/>
              <w:ind w:firstLine="0" w:firstLineChars="0"/>
              <w:jc w:val="left"/>
              <w:rPr>
                <w:rFonts w:hint="eastAsia" w:ascii="宋体" w:hAnsi="宋体" w:cs="宋体"/>
                <w:color w:val="000000"/>
              </w:rPr>
            </w:pPr>
            <w:r>
              <w:rPr>
                <w:rFonts w:hint="eastAsia" w:ascii="宋体" w:hAnsi="宋体" w:cs="宋体"/>
                <w:color w:val="000000"/>
                <w:lang w:val="en-US" w:eastAsia="zh-CN"/>
              </w:rPr>
              <w:t>1.</w:t>
            </w:r>
            <w:r>
              <w:rPr>
                <w:rFonts w:hint="eastAsia" w:ascii="宋体" w:hAnsi="宋体" w:cs="宋体"/>
                <w:color w:val="000000"/>
              </w:rPr>
              <w:t>免费保修期：按国家有关产品“三包”规定执行“三包”，货物免费保修期最短不得少于3年（</w:t>
            </w:r>
            <w:r>
              <w:rPr>
                <w:rFonts w:hint="eastAsia" w:ascii="宋体" w:hAnsi="宋体" w:cs="宋体"/>
                <w:kern w:val="0"/>
                <w:lang w:bidi="ar"/>
              </w:rPr>
              <w:t>需求参数中</w:t>
            </w:r>
            <w:r>
              <w:rPr>
                <w:rFonts w:hint="eastAsia" w:ascii="宋体" w:hAnsi="宋体" w:cs="宋体"/>
                <w:color w:val="000000"/>
              </w:rPr>
              <w:t>另有要求的按照需求要求，自验收合格之日起计算）。</w:t>
            </w:r>
          </w:p>
          <w:p>
            <w:pPr>
              <w:pStyle w:val="19"/>
              <w:spacing w:line="360" w:lineRule="auto"/>
              <w:ind w:firstLine="0" w:firstLineChars="0"/>
              <w:jc w:val="left"/>
              <w:rPr>
                <w:rFonts w:hint="eastAsia" w:ascii="宋体" w:hAnsi="宋体" w:cs="宋体"/>
                <w:color w:val="000000"/>
              </w:rPr>
            </w:pPr>
            <w:r>
              <w:rPr>
                <w:rFonts w:hint="eastAsia" w:ascii="宋体" w:hAnsi="宋体" w:cs="宋体"/>
                <w:color w:val="000000"/>
              </w:rPr>
              <w:t>2.实施人员要求：供应商须具有专业实施团队，实施人员不少于5人</w:t>
            </w:r>
            <w:r>
              <w:rPr>
                <w:rFonts w:hint="eastAsia" w:ascii="宋体" w:hAnsi="宋体" w:cs="宋体"/>
                <w:color w:val="000000"/>
                <w:lang w:eastAsia="zh-CN"/>
              </w:rPr>
              <w:t>；</w:t>
            </w:r>
            <w:r>
              <w:rPr>
                <w:rFonts w:hint="eastAsia" w:ascii="宋体" w:hAnsi="宋体" w:cs="宋体"/>
                <w:color w:val="000000"/>
              </w:rPr>
              <w:t>售后人员要求：供应商须具有售后服务团队，售后人员不少于2人。</w:t>
            </w:r>
          </w:p>
          <w:p>
            <w:pPr>
              <w:pStyle w:val="19"/>
              <w:spacing w:line="360" w:lineRule="auto"/>
              <w:ind w:firstLine="0" w:firstLineChars="0"/>
              <w:jc w:val="left"/>
              <w:rPr>
                <w:rFonts w:hint="eastAsia" w:ascii="宋体" w:hAnsi="宋体" w:eastAsia="宋体" w:cs="宋体"/>
                <w:b w:val="0"/>
                <w:color w:val="000000"/>
                <w:szCs w:val="21"/>
              </w:rPr>
            </w:pPr>
            <w:r>
              <w:rPr>
                <w:rFonts w:hint="eastAsia" w:ascii="宋体" w:hAnsi="宋体" w:cs="宋体"/>
                <w:color w:val="000000"/>
              </w:rPr>
              <w:t>3.故障响应要求：在接到采购人故障报修后1小时内响应，4小时内到达故障现场，一般故障（不需要更换设备的）修复时间24小时以内，重大故障（需要更换设备的）的修复时间48小时以内。如故障不能在48小时内解决，免费保修(质保)期内成交供应商必须提供与原设备技术参数要求相同或高于原设备技术参数要求的备用产品供采购人使用，且不收取任何费用</w:t>
            </w:r>
            <w:r>
              <w:rPr>
                <w:rFonts w:hint="eastAsia" w:ascii="宋体" w:hAnsi="宋体" w:eastAsia="宋体" w:cs="宋体"/>
                <w:b w:val="0"/>
                <w:color w:val="000000"/>
                <w:szCs w:val="21"/>
              </w:rPr>
              <w:t>。</w:t>
            </w:r>
          </w:p>
          <w:p>
            <w:pPr>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cs="宋体"/>
                <w:b w:val="0"/>
                <w:color w:val="000000"/>
                <w:szCs w:val="21"/>
                <w:lang w:val="en-US" w:eastAsia="zh-CN"/>
              </w:rPr>
              <w:t>4</w:t>
            </w:r>
            <w:r>
              <w:rPr>
                <w:rFonts w:hint="eastAsia" w:ascii="宋体" w:hAnsi="宋体" w:eastAsia="宋体" w:cs="宋体"/>
                <w:b w:val="0"/>
                <w:color w:val="000000"/>
                <w:szCs w:val="21"/>
              </w:rPr>
              <w:t>.技术服务及培训：采购范围内免费技术培训。设备安装完成后进行不少于2次使用培训。</w:t>
            </w:r>
          </w:p>
        </w:tc>
      </w:tr>
      <w:tr>
        <w:tblPrEx>
          <w:tblCellMar>
            <w:top w:w="0" w:type="dxa"/>
            <w:left w:w="108" w:type="dxa"/>
            <w:bottom w:w="0" w:type="dxa"/>
            <w:right w:w="108" w:type="dxa"/>
          </w:tblCellMar>
        </w:tblPrEx>
        <w:trPr>
          <w:trHeight w:val="479" w:hRule="atLeast"/>
        </w:trPr>
        <w:tc>
          <w:tcPr>
            <w:tcW w:w="2223" w:type="dxa"/>
            <w:tcBorders>
              <w:top w:val="single" w:color="auto" w:sz="6" w:space="0"/>
              <w:left w:val="single" w:color="auto" w:sz="6" w:space="0"/>
              <w:bottom w:val="single" w:color="auto" w:sz="6" w:space="0"/>
              <w:right w:val="single" w:color="auto" w:sz="6" w:space="0"/>
              <w:tl2br w:val="nil"/>
              <w:tr2bl w:val="nil"/>
            </w:tcBorders>
            <w:shd w:val="clear" w:color="auto" w:fill="auto"/>
            <w:noWrap/>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eastAsia="宋体" w:cs="宋体"/>
                <w:b/>
                <w:color w:val="000000" w:themeColor="text1"/>
                <w:sz w:val="21"/>
                <w:szCs w:val="21"/>
                <w:u w:val="none"/>
                <w:lang w:val="en-US" w:eastAsia="zh-CN"/>
                <w14:textFill>
                  <w14:solidFill>
                    <w14:schemeClr w14:val="tx1"/>
                  </w14:solidFill>
                </w14:textFill>
              </w:rPr>
              <w:t>★</w:t>
            </w:r>
            <w:r>
              <w:rPr>
                <w:rFonts w:hint="eastAsia" w:ascii="宋体" w:hAnsi="宋体" w:cs="宋体"/>
                <w:b/>
                <w:bCs/>
                <w:color w:val="000000" w:themeColor="text1"/>
                <w:szCs w:val="21"/>
                <w14:textFill>
                  <w14:solidFill>
                    <w14:schemeClr w14:val="tx1"/>
                  </w14:solidFill>
                </w14:textFill>
              </w:rPr>
              <w:t>合同签订期</w:t>
            </w:r>
          </w:p>
        </w:tc>
        <w:tc>
          <w:tcPr>
            <w:tcW w:w="8234"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spacing w:line="480" w:lineRule="auto"/>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自</w:t>
            </w:r>
            <w:r>
              <w:rPr>
                <w:rFonts w:hint="eastAsia" w:ascii="宋体" w:hAnsi="宋体" w:eastAsia="宋体" w:cs="宋体"/>
                <w:color w:val="000000" w:themeColor="text1"/>
                <w:szCs w:val="21"/>
                <w:lang w:val="en-US" w:eastAsia="zh-CN"/>
                <w14:textFill>
                  <w14:solidFill>
                    <w14:schemeClr w14:val="tx1"/>
                  </w14:solidFill>
                </w14:textFill>
              </w:rPr>
              <w:t>成交</w:t>
            </w:r>
            <w:r>
              <w:rPr>
                <w:rFonts w:hint="eastAsia" w:ascii="宋体" w:hAnsi="宋体" w:eastAsia="宋体" w:cs="宋体"/>
                <w:color w:val="000000" w:themeColor="text1"/>
                <w:szCs w:val="21"/>
                <w14:textFill>
                  <w14:solidFill>
                    <w14:schemeClr w14:val="tx1"/>
                  </w14:solidFill>
                </w14:textFill>
              </w:rPr>
              <w:t>通知书发出之日起</w:t>
            </w:r>
            <w:r>
              <w:rPr>
                <w:rFonts w:hint="eastAsia" w:ascii="宋体" w:hAnsi="宋体" w:eastAsia="宋体" w:cs="宋体"/>
                <w:color w:val="000000" w:themeColor="text1"/>
                <w:szCs w:val="21"/>
                <w:lang w:val="en-US" w:eastAsia="zh-CN"/>
                <w14:textFill>
                  <w14:solidFill>
                    <w14:schemeClr w14:val="tx1"/>
                  </w14:solidFill>
                </w14:textFill>
              </w:rPr>
              <w:t>八个工作</w:t>
            </w:r>
            <w:r>
              <w:rPr>
                <w:rFonts w:hint="eastAsia" w:ascii="宋体" w:hAnsi="宋体" w:eastAsia="宋体" w:cs="宋体"/>
                <w:color w:val="000000" w:themeColor="text1"/>
                <w:szCs w:val="21"/>
                <w14:textFill>
                  <w14:solidFill>
                    <w14:schemeClr w14:val="tx1"/>
                  </w14:solidFill>
                </w14:textFill>
              </w:rPr>
              <w:t>日内签订合同。</w:t>
            </w:r>
          </w:p>
        </w:tc>
      </w:tr>
      <w:tr>
        <w:tblPrEx>
          <w:tblCellMar>
            <w:top w:w="0" w:type="dxa"/>
            <w:left w:w="108" w:type="dxa"/>
            <w:bottom w:w="0" w:type="dxa"/>
            <w:right w:w="108" w:type="dxa"/>
          </w:tblCellMar>
        </w:tblPrEx>
        <w:trPr>
          <w:trHeight w:val="454" w:hRule="atLeast"/>
        </w:trPr>
        <w:tc>
          <w:tcPr>
            <w:tcW w:w="2223" w:type="dxa"/>
            <w:tcBorders>
              <w:top w:val="single" w:color="auto" w:sz="6" w:space="0"/>
              <w:left w:val="single" w:color="auto" w:sz="6" w:space="0"/>
              <w:bottom w:val="single" w:color="auto" w:sz="6" w:space="0"/>
              <w:right w:val="single" w:color="auto" w:sz="6" w:space="0"/>
              <w:tl2br w:val="nil"/>
              <w:tr2bl w:val="nil"/>
            </w:tcBorders>
            <w:shd w:val="clear" w:color="auto" w:fill="auto"/>
            <w:noWrap/>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eastAsia="宋体" w:cs="宋体"/>
                <w:b/>
                <w:color w:val="000000" w:themeColor="text1"/>
                <w:sz w:val="21"/>
                <w:szCs w:val="21"/>
                <w:u w:val="none"/>
                <w:lang w:val="en-US" w:eastAsia="zh-CN"/>
                <w14:textFill>
                  <w14:solidFill>
                    <w14:schemeClr w14:val="tx1"/>
                  </w14:solidFill>
                </w14:textFill>
              </w:rPr>
              <w:t>★</w:t>
            </w:r>
            <w:r>
              <w:rPr>
                <w:rFonts w:hint="eastAsia" w:ascii="宋体" w:hAnsi="宋体" w:cs="宋体"/>
                <w:b/>
                <w:bCs/>
                <w:color w:val="000000" w:themeColor="text1"/>
                <w:kern w:val="0"/>
                <w:szCs w:val="21"/>
                <w14:textFill>
                  <w14:solidFill>
                    <w14:schemeClr w14:val="tx1"/>
                  </w14:solidFill>
                </w14:textFill>
              </w:rPr>
              <w:t>交付使用时间及地点</w:t>
            </w:r>
          </w:p>
        </w:tc>
        <w:tc>
          <w:tcPr>
            <w:tcW w:w="8234"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spacing w:line="360" w:lineRule="auto"/>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1.交付使用时间：自签订合同之日起60个日历日内完成安装调试并交付采购人使用。如服务环境、安装点位不具备施工条件，可经双方协商将交付期顺延。</w:t>
            </w:r>
          </w:p>
          <w:p>
            <w:pPr>
              <w:spacing w:line="360" w:lineRule="auto"/>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2.交货地点：采购人指定地点。</w:t>
            </w:r>
          </w:p>
        </w:tc>
      </w:tr>
      <w:tr>
        <w:tblPrEx>
          <w:tblCellMar>
            <w:top w:w="0" w:type="dxa"/>
            <w:left w:w="108" w:type="dxa"/>
            <w:bottom w:w="0" w:type="dxa"/>
            <w:right w:w="108" w:type="dxa"/>
          </w:tblCellMar>
        </w:tblPrEx>
        <w:trPr>
          <w:trHeight w:val="1195" w:hRule="atLeast"/>
        </w:trPr>
        <w:tc>
          <w:tcPr>
            <w:tcW w:w="2223" w:type="dxa"/>
            <w:tcBorders>
              <w:top w:val="single" w:color="auto" w:sz="6" w:space="0"/>
              <w:left w:val="single" w:color="auto" w:sz="6" w:space="0"/>
              <w:bottom w:val="single" w:color="auto" w:sz="6" w:space="0"/>
              <w:right w:val="single" w:color="auto" w:sz="6" w:space="0"/>
              <w:tl2br w:val="nil"/>
              <w:tr2bl w:val="nil"/>
            </w:tcBorders>
            <w:shd w:val="clear" w:color="auto" w:fill="auto"/>
            <w:noWrap/>
            <w:vAlign w:val="center"/>
          </w:tcPr>
          <w:p>
            <w:pPr>
              <w:jc w:val="center"/>
              <w:rPr>
                <w:rFonts w:hint="default" w:ascii="宋体" w:hAnsi="宋体" w:eastAsia="宋体" w:cs="宋体"/>
                <w:b/>
                <w:bCs/>
                <w:color w:val="000000" w:themeColor="text1"/>
                <w:szCs w:val="21"/>
                <w:lang w:val="en-US" w:eastAsia="zh-CN"/>
                <w14:textFill>
                  <w14:solidFill>
                    <w14:schemeClr w14:val="tx1"/>
                  </w14:solidFill>
                </w14:textFill>
              </w:rPr>
            </w:pPr>
            <w:r>
              <w:rPr>
                <w:rFonts w:hint="eastAsia" w:ascii="宋体" w:hAnsi="宋体" w:eastAsia="宋体" w:cs="宋体"/>
                <w:b/>
                <w:color w:val="000000" w:themeColor="text1"/>
                <w:sz w:val="21"/>
                <w:szCs w:val="21"/>
                <w:u w:val="none"/>
                <w:lang w:val="en-US" w:eastAsia="zh-CN"/>
                <w14:textFill>
                  <w14:solidFill>
                    <w14:schemeClr w14:val="tx1"/>
                  </w14:solidFill>
                </w14:textFill>
              </w:rPr>
              <w:t>★</w:t>
            </w:r>
            <w:r>
              <w:rPr>
                <w:rFonts w:hint="eastAsia" w:ascii="宋体" w:hAnsi="宋体" w:cs="宋体"/>
                <w:b/>
                <w:bCs/>
                <w:color w:val="000000" w:themeColor="text1"/>
                <w:kern w:val="0"/>
                <w:szCs w:val="21"/>
                <w14:textFill>
                  <w14:solidFill>
                    <w14:schemeClr w14:val="tx1"/>
                  </w14:solidFill>
                </w14:textFill>
              </w:rPr>
              <w:t>验收</w:t>
            </w:r>
            <w:r>
              <w:rPr>
                <w:rFonts w:hint="eastAsia" w:ascii="宋体" w:hAnsi="宋体" w:cs="宋体"/>
                <w:b/>
                <w:bCs/>
                <w:color w:val="000000" w:themeColor="text1"/>
                <w:kern w:val="0"/>
                <w:szCs w:val="21"/>
                <w:lang w:val="en-US" w:eastAsia="zh-CN"/>
                <w14:textFill>
                  <w14:solidFill>
                    <w14:schemeClr w14:val="tx1"/>
                  </w14:solidFill>
                </w14:textFill>
              </w:rPr>
              <w:t>标准及要求</w:t>
            </w:r>
          </w:p>
        </w:tc>
        <w:tc>
          <w:tcPr>
            <w:tcW w:w="8234"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spacing w:line="360" w:lineRule="auto"/>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1.现场验收。</w:t>
            </w:r>
          </w:p>
          <w:p>
            <w:pPr>
              <w:spacing w:line="360" w:lineRule="auto"/>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2.项目完工后5个工作日内</w:t>
            </w:r>
            <w:r>
              <w:rPr>
                <w:rFonts w:hint="eastAsia" w:ascii="宋体" w:hAnsi="宋体" w:eastAsia="宋体" w:cs="宋体"/>
                <w:color w:val="000000" w:themeColor="text1"/>
                <w:szCs w:val="21"/>
                <w:lang w:eastAsia="zh-CN"/>
                <w14:textFill>
                  <w14:solidFill>
                    <w14:schemeClr w14:val="tx1"/>
                  </w14:solidFill>
                </w14:textFill>
              </w:rPr>
              <w:t>成交供应商</w:t>
            </w:r>
            <w:r>
              <w:rPr>
                <w:rFonts w:hint="eastAsia" w:ascii="宋体" w:hAnsi="宋体" w:eastAsia="宋体" w:cs="宋体"/>
                <w:color w:val="000000" w:themeColor="text1"/>
                <w:szCs w:val="21"/>
                <w14:textFill>
                  <w14:solidFill>
                    <w14:schemeClr w14:val="tx1"/>
                  </w14:solidFill>
                </w14:textFill>
              </w:rPr>
              <w:t>提出验收申请，接到验收申请的5个工作日内采购人组织验收，验收所发生费用由</w:t>
            </w:r>
            <w:r>
              <w:rPr>
                <w:rFonts w:hint="eastAsia" w:ascii="宋体" w:hAnsi="宋体" w:eastAsia="宋体" w:cs="宋体"/>
                <w:color w:val="000000" w:themeColor="text1"/>
                <w:szCs w:val="21"/>
                <w:lang w:eastAsia="zh-CN"/>
                <w14:textFill>
                  <w14:solidFill>
                    <w14:schemeClr w14:val="tx1"/>
                  </w14:solidFill>
                </w14:textFill>
              </w:rPr>
              <w:t>成交供应商</w:t>
            </w:r>
            <w:r>
              <w:rPr>
                <w:rFonts w:hint="eastAsia" w:ascii="宋体" w:hAnsi="宋体" w:eastAsia="宋体" w:cs="宋体"/>
                <w:color w:val="000000" w:themeColor="text1"/>
                <w:szCs w:val="21"/>
                <w14:textFill>
                  <w14:solidFill>
                    <w14:schemeClr w14:val="tx1"/>
                  </w14:solidFill>
                </w14:textFill>
              </w:rPr>
              <w:t>承担。</w:t>
            </w:r>
          </w:p>
          <w:p>
            <w:pPr>
              <w:spacing w:line="360" w:lineRule="auto"/>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成交供应商必须提供原装正品的、全新的、符合国家及采购方提出的有关质量标准的产品，成交供应商在响应文件中提供所投“网线”完工验收时通过福禄克测试，信道测试next值不低于5DB、网络跳线福禄克测试next值不低于20DB</w:t>
            </w:r>
            <w:r>
              <w:rPr>
                <w:rFonts w:hint="eastAsia" w:ascii="宋体" w:hAnsi="宋体" w:eastAsia="宋体" w:cs="宋体"/>
                <w:color w:val="000000" w:themeColor="text1"/>
                <w:szCs w:val="21"/>
                <w14:textFill>
                  <w14:solidFill>
                    <w14:schemeClr w14:val="tx1"/>
                  </w14:solidFill>
                </w14:textFill>
              </w:rPr>
              <w:t>。</w:t>
            </w:r>
          </w:p>
          <w:p>
            <w:pPr>
              <w:spacing w:line="360" w:lineRule="auto"/>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4.合同签订后，采购人如对</w:t>
            </w:r>
            <w:r>
              <w:rPr>
                <w:rFonts w:hint="eastAsia" w:ascii="宋体" w:hAnsi="宋体" w:eastAsia="宋体" w:cs="宋体"/>
                <w:color w:val="000000" w:themeColor="text1"/>
                <w:szCs w:val="21"/>
                <w:lang w:eastAsia="zh-CN"/>
                <w14:textFill>
                  <w14:solidFill>
                    <w14:schemeClr w14:val="tx1"/>
                  </w14:solidFill>
                </w14:textFill>
              </w:rPr>
              <w:t>成交供应商</w:t>
            </w:r>
            <w:r>
              <w:rPr>
                <w:rFonts w:hint="eastAsia" w:ascii="宋体" w:hAnsi="宋体" w:eastAsia="宋体" w:cs="宋体"/>
                <w:color w:val="000000" w:themeColor="text1"/>
                <w:szCs w:val="21"/>
                <w14:textFill>
                  <w14:solidFill>
                    <w14:schemeClr w14:val="tx1"/>
                  </w14:solidFill>
                </w14:textFill>
              </w:rPr>
              <w:t>所提供产品有疑问的，采购人有权要求</w:t>
            </w:r>
            <w:r>
              <w:rPr>
                <w:rFonts w:hint="eastAsia" w:ascii="宋体" w:hAnsi="宋体" w:eastAsia="宋体" w:cs="宋体"/>
                <w:color w:val="000000" w:themeColor="text1"/>
                <w:szCs w:val="21"/>
                <w:lang w:eastAsia="zh-CN"/>
                <w14:textFill>
                  <w14:solidFill>
                    <w14:schemeClr w14:val="tx1"/>
                  </w14:solidFill>
                </w14:textFill>
              </w:rPr>
              <w:t>成交供应商</w:t>
            </w:r>
            <w:r>
              <w:rPr>
                <w:rFonts w:hint="eastAsia" w:ascii="宋体" w:hAnsi="宋体" w:eastAsia="宋体" w:cs="宋体"/>
                <w:color w:val="000000" w:themeColor="text1"/>
                <w:szCs w:val="21"/>
                <w14:textFill>
                  <w14:solidFill>
                    <w14:schemeClr w14:val="tx1"/>
                  </w14:solidFill>
                </w14:textFill>
              </w:rPr>
              <w:t>对疑问进行书面澄清，必要时有权要求按照招标文件条款对</w:t>
            </w:r>
            <w:r>
              <w:rPr>
                <w:rFonts w:hint="eastAsia" w:ascii="宋体" w:hAnsi="宋体" w:eastAsia="宋体" w:cs="宋体"/>
                <w:color w:val="000000" w:themeColor="text1"/>
                <w:szCs w:val="21"/>
                <w:lang w:eastAsia="zh-CN"/>
                <w14:textFill>
                  <w14:solidFill>
                    <w14:schemeClr w14:val="tx1"/>
                  </w14:solidFill>
                </w14:textFill>
              </w:rPr>
              <w:t>成交供应商</w:t>
            </w:r>
            <w:r>
              <w:rPr>
                <w:rFonts w:hint="eastAsia" w:ascii="宋体" w:hAnsi="宋体" w:eastAsia="宋体" w:cs="宋体"/>
                <w:color w:val="000000" w:themeColor="text1"/>
                <w:szCs w:val="21"/>
                <w14:textFill>
                  <w14:solidFill>
                    <w14:schemeClr w14:val="tx1"/>
                  </w14:solidFill>
                </w14:textFill>
              </w:rPr>
              <w:t>所提供产品进行产品性能及对接测试,若</w:t>
            </w:r>
            <w:r>
              <w:rPr>
                <w:rFonts w:hint="eastAsia" w:ascii="宋体" w:hAnsi="宋体" w:eastAsia="宋体" w:cs="宋体"/>
                <w:color w:val="000000" w:themeColor="text1"/>
                <w:szCs w:val="21"/>
                <w:lang w:eastAsia="zh-CN"/>
                <w14:textFill>
                  <w14:solidFill>
                    <w14:schemeClr w14:val="tx1"/>
                  </w14:solidFill>
                </w14:textFill>
              </w:rPr>
              <w:t>成交供应商</w:t>
            </w:r>
            <w:r>
              <w:rPr>
                <w:rFonts w:hint="eastAsia" w:ascii="宋体" w:hAnsi="宋体" w:eastAsia="宋体" w:cs="宋体"/>
                <w:color w:val="000000" w:themeColor="text1"/>
                <w:szCs w:val="21"/>
                <w14:textFill>
                  <w14:solidFill>
                    <w14:schemeClr w14:val="tx1"/>
                  </w14:solidFill>
                </w14:textFill>
              </w:rPr>
              <w:t>所提供产品的测试结果不能满足招标条款要求或者</w:t>
            </w:r>
            <w:r>
              <w:rPr>
                <w:rFonts w:hint="eastAsia" w:ascii="宋体" w:hAnsi="宋体" w:eastAsia="宋体" w:cs="宋体"/>
                <w:color w:val="000000" w:themeColor="text1"/>
                <w:szCs w:val="21"/>
                <w:lang w:eastAsia="zh-CN"/>
                <w14:textFill>
                  <w14:solidFill>
                    <w14:schemeClr w14:val="tx1"/>
                  </w14:solidFill>
                </w14:textFill>
              </w:rPr>
              <w:t>成交供应商</w:t>
            </w:r>
            <w:r>
              <w:rPr>
                <w:rFonts w:hint="eastAsia" w:ascii="宋体" w:hAnsi="宋体" w:eastAsia="宋体" w:cs="宋体"/>
                <w:color w:val="000000" w:themeColor="text1"/>
                <w:szCs w:val="21"/>
                <w14:textFill>
                  <w14:solidFill>
                    <w14:schemeClr w14:val="tx1"/>
                  </w14:solidFill>
                </w14:textFill>
              </w:rPr>
              <w:t>不能够在规定时间内提供产品进行测试的，判定该</w:t>
            </w:r>
            <w:r>
              <w:rPr>
                <w:rFonts w:hint="eastAsia" w:ascii="宋体" w:hAnsi="宋体" w:eastAsia="宋体" w:cs="宋体"/>
                <w:color w:val="000000" w:themeColor="text1"/>
                <w:szCs w:val="21"/>
                <w:lang w:eastAsia="zh-CN"/>
                <w14:textFill>
                  <w14:solidFill>
                    <w14:schemeClr w14:val="tx1"/>
                  </w14:solidFill>
                </w14:textFill>
              </w:rPr>
              <w:t>成交供应商</w:t>
            </w:r>
            <w:r>
              <w:rPr>
                <w:rFonts w:hint="eastAsia" w:ascii="宋体" w:hAnsi="宋体" w:eastAsia="宋体" w:cs="宋体"/>
                <w:color w:val="000000" w:themeColor="text1"/>
                <w:szCs w:val="21"/>
                <w14:textFill>
                  <w14:solidFill>
                    <w14:schemeClr w14:val="tx1"/>
                  </w14:solidFill>
                </w14:textFill>
              </w:rPr>
              <w:t>为虚假应标，并报相关的政府采购监督管理部门进行处理，采购人保留进一步追究其法律责任的权利，由此引发的所有损失由该</w:t>
            </w:r>
            <w:r>
              <w:rPr>
                <w:rFonts w:hint="eastAsia" w:ascii="宋体" w:hAnsi="宋体" w:eastAsia="宋体" w:cs="宋体"/>
                <w:color w:val="000000" w:themeColor="text1"/>
                <w:szCs w:val="21"/>
                <w:lang w:eastAsia="zh-CN"/>
                <w14:textFill>
                  <w14:solidFill>
                    <w14:schemeClr w14:val="tx1"/>
                  </w14:solidFill>
                </w14:textFill>
              </w:rPr>
              <w:t>成交供应商</w:t>
            </w:r>
            <w:r>
              <w:rPr>
                <w:rFonts w:hint="eastAsia" w:ascii="宋体" w:hAnsi="宋体" w:eastAsia="宋体" w:cs="宋体"/>
                <w:color w:val="000000" w:themeColor="text1"/>
                <w:szCs w:val="21"/>
                <w14:textFill>
                  <w14:solidFill>
                    <w14:schemeClr w14:val="tx1"/>
                  </w14:solidFill>
                </w14:textFill>
              </w:rPr>
              <w:t>承担。若</w:t>
            </w:r>
            <w:r>
              <w:rPr>
                <w:rFonts w:hint="eastAsia" w:ascii="宋体" w:hAnsi="宋体" w:eastAsia="宋体" w:cs="宋体"/>
                <w:color w:val="000000" w:themeColor="text1"/>
                <w:szCs w:val="21"/>
                <w:lang w:eastAsia="zh-CN"/>
                <w14:textFill>
                  <w14:solidFill>
                    <w14:schemeClr w14:val="tx1"/>
                  </w14:solidFill>
                </w14:textFill>
              </w:rPr>
              <w:t>成交供应商</w:t>
            </w:r>
            <w:r>
              <w:rPr>
                <w:rFonts w:hint="eastAsia" w:ascii="宋体" w:hAnsi="宋体" w:eastAsia="宋体" w:cs="宋体"/>
                <w:color w:val="000000" w:themeColor="text1"/>
                <w:szCs w:val="21"/>
                <w14:textFill>
                  <w14:solidFill>
                    <w14:schemeClr w14:val="tx1"/>
                  </w14:solidFill>
                </w14:textFill>
              </w:rPr>
              <w:t>所提供的产品实际性能指标不满足采购文件要求，或为不符合国家知识产权法律法规要求的非正规正版产品或属于假冒伪劣商品的，其合同无效，</w:t>
            </w:r>
            <w:r>
              <w:rPr>
                <w:rFonts w:hint="eastAsia" w:ascii="宋体" w:hAnsi="宋体" w:cs="宋体"/>
                <w:color w:val="000000" w:themeColor="text1"/>
                <w:szCs w:val="21"/>
                <w:lang w:val="en-US" w:eastAsia="zh-CN"/>
                <w14:textFill>
                  <w14:solidFill>
                    <w14:schemeClr w14:val="tx1"/>
                  </w14:solidFill>
                </w14:textFill>
              </w:rPr>
              <w:t>同时</w:t>
            </w:r>
            <w:r>
              <w:rPr>
                <w:rFonts w:hint="eastAsia" w:ascii="宋体" w:hAnsi="宋体" w:eastAsia="宋体" w:cs="宋体"/>
                <w:color w:val="000000" w:themeColor="text1"/>
                <w:szCs w:val="21"/>
                <w14:textFill>
                  <w14:solidFill>
                    <w14:schemeClr w14:val="tx1"/>
                  </w14:solidFill>
                </w14:textFill>
              </w:rPr>
              <w:t>将按照国家相关法律法规的规定提请有关政府监管部门对其进行处理。</w:t>
            </w:r>
          </w:p>
          <w:p>
            <w:pPr>
              <w:spacing w:line="360" w:lineRule="auto"/>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5.因产品质量问题发生争议的，应邀请国家认可的质量检测机构对产品质量进行鉴定。产品符合标准的，鉴定费由采购人承担；产品不符合标准的，鉴定费由</w:t>
            </w:r>
            <w:r>
              <w:rPr>
                <w:rFonts w:hint="eastAsia" w:ascii="宋体" w:hAnsi="宋体" w:eastAsia="宋体" w:cs="宋体"/>
                <w:color w:val="000000" w:themeColor="text1"/>
                <w:szCs w:val="21"/>
                <w:lang w:eastAsia="zh-CN"/>
                <w14:textFill>
                  <w14:solidFill>
                    <w14:schemeClr w14:val="tx1"/>
                  </w14:solidFill>
                </w14:textFill>
              </w:rPr>
              <w:t>成交供应商</w:t>
            </w:r>
            <w:r>
              <w:rPr>
                <w:rFonts w:hint="eastAsia" w:ascii="宋体" w:hAnsi="宋体" w:eastAsia="宋体" w:cs="宋体"/>
                <w:color w:val="000000" w:themeColor="text1"/>
                <w:szCs w:val="21"/>
                <w14:textFill>
                  <w14:solidFill>
                    <w14:schemeClr w14:val="tx1"/>
                  </w14:solidFill>
                </w14:textFill>
              </w:rPr>
              <w:t>承担。</w:t>
            </w:r>
          </w:p>
        </w:tc>
      </w:tr>
      <w:tr>
        <w:tblPrEx>
          <w:tblCellMar>
            <w:top w:w="0" w:type="dxa"/>
            <w:left w:w="108" w:type="dxa"/>
            <w:bottom w:w="0" w:type="dxa"/>
            <w:right w:w="108" w:type="dxa"/>
          </w:tblCellMar>
        </w:tblPrEx>
        <w:trPr>
          <w:trHeight w:val="520" w:hRule="atLeast"/>
        </w:trPr>
        <w:tc>
          <w:tcPr>
            <w:tcW w:w="2223" w:type="dxa"/>
            <w:tcBorders>
              <w:top w:val="single" w:color="auto" w:sz="6" w:space="0"/>
              <w:left w:val="single" w:color="auto" w:sz="6" w:space="0"/>
              <w:bottom w:val="single" w:color="auto" w:sz="6" w:space="0"/>
              <w:right w:val="single" w:color="auto" w:sz="6" w:space="0"/>
              <w:tl2br w:val="nil"/>
              <w:tr2bl w:val="nil"/>
            </w:tcBorders>
            <w:shd w:val="clear" w:color="auto" w:fill="auto"/>
            <w:noWrap/>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eastAsia="宋体" w:cs="宋体"/>
                <w:b/>
                <w:color w:val="000000" w:themeColor="text1"/>
                <w:sz w:val="21"/>
                <w:szCs w:val="21"/>
                <w:u w:val="none"/>
                <w:lang w:val="en-US" w:eastAsia="zh-CN"/>
                <w14:textFill>
                  <w14:solidFill>
                    <w14:schemeClr w14:val="tx1"/>
                  </w14:solidFill>
                </w14:textFill>
              </w:rPr>
              <w:t>★</w:t>
            </w:r>
            <w:r>
              <w:rPr>
                <w:rFonts w:hint="eastAsia" w:ascii="宋体" w:hAnsi="宋体" w:cs="宋体"/>
                <w:b/>
                <w:bCs/>
                <w:color w:val="000000" w:themeColor="text1"/>
                <w:kern w:val="0"/>
                <w:szCs w:val="21"/>
                <w14:textFill>
                  <w14:solidFill>
                    <w14:schemeClr w14:val="tx1"/>
                  </w14:solidFill>
                </w14:textFill>
              </w:rPr>
              <w:t>付款方式</w:t>
            </w:r>
          </w:p>
        </w:tc>
        <w:tc>
          <w:tcPr>
            <w:tcW w:w="8234"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spacing w:line="360" w:lineRule="auto"/>
              <w:jc w:val="left"/>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1.付款方式：采购人在与成交供应商签订合同后7天内支付合同金额的30%货款给成交供应商；本项目主要货物（网线、光纤、24口交换机、8口POE交换机、网络摄像机、网络硬盘录像机、LED显示单元、音柱、功率放大器、调音台、数字音频矩阵处理器、无线主席单元、无线代表单元、天线放大器、AI智能增益器、无线会议麦克风、电源时序器、多点控制系统、高清视频终端）到货后，硬件设备规格型号经过检验合格后，采购人支付合同总金额的50%货款给成交供应商；</w:t>
            </w:r>
            <w:r>
              <w:rPr>
                <w:rFonts w:hint="eastAsia" w:ascii="宋体" w:hAnsi="宋体" w:cs="宋体"/>
                <w:color w:val="000000" w:themeColor="text1"/>
                <w:kern w:val="0"/>
                <w:sz w:val="21"/>
                <w:szCs w:val="21"/>
                <w:highlight w:val="none"/>
                <w:lang w:val="en-US" w:eastAsia="zh-CN" w:bidi="ar"/>
                <w14:textFill>
                  <w14:solidFill>
                    <w14:schemeClr w14:val="tx1"/>
                  </w14:solidFill>
                </w14:textFill>
              </w:rPr>
              <w:t>剩余</w:t>
            </w: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20%合同款在全部货物交货、安装调试完毕、验收合格交付使用之日起7个工作日内支付给成交供应商。</w:t>
            </w:r>
          </w:p>
        </w:tc>
      </w:tr>
      <w:tr>
        <w:tblPrEx>
          <w:tblCellMar>
            <w:top w:w="0" w:type="dxa"/>
            <w:left w:w="108" w:type="dxa"/>
            <w:bottom w:w="0" w:type="dxa"/>
            <w:right w:w="108" w:type="dxa"/>
          </w:tblCellMar>
        </w:tblPrEx>
        <w:trPr>
          <w:trHeight w:val="685" w:hRule="atLeast"/>
        </w:trPr>
        <w:tc>
          <w:tcPr>
            <w:tcW w:w="2223" w:type="dxa"/>
            <w:tcBorders>
              <w:top w:val="single" w:color="auto" w:sz="6" w:space="0"/>
              <w:left w:val="single" w:color="auto" w:sz="6" w:space="0"/>
              <w:bottom w:val="single" w:color="auto" w:sz="6" w:space="0"/>
              <w:right w:val="single" w:color="auto" w:sz="6" w:space="0"/>
              <w:tl2br w:val="nil"/>
              <w:tr2bl w:val="nil"/>
            </w:tcBorders>
            <w:shd w:val="clear" w:color="auto" w:fill="auto"/>
            <w:noWrap/>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核心产品</w:t>
            </w:r>
          </w:p>
        </w:tc>
        <w:tc>
          <w:tcPr>
            <w:tcW w:w="8234"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left"/>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b/>
                <w:bCs/>
                <w:color w:val="000000" w:themeColor="text1"/>
                <w:szCs w:val="21"/>
                <w:lang w:val="en-US" w:eastAsia="zh-CN"/>
                <w14:textFill>
                  <w14:solidFill>
                    <w14:schemeClr w14:val="tx1"/>
                  </w14:solidFill>
                </w14:textFill>
              </w:rPr>
              <w:t>第92项货物“多点控制系统”。</w:t>
            </w:r>
          </w:p>
        </w:tc>
      </w:tr>
      <w:tr>
        <w:tblPrEx>
          <w:tblCellMar>
            <w:top w:w="0" w:type="dxa"/>
            <w:left w:w="108" w:type="dxa"/>
            <w:bottom w:w="0" w:type="dxa"/>
            <w:right w:w="108" w:type="dxa"/>
          </w:tblCellMar>
        </w:tblPrEx>
        <w:trPr>
          <w:trHeight w:val="685" w:hRule="atLeast"/>
        </w:trPr>
        <w:tc>
          <w:tcPr>
            <w:tcW w:w="2223" w:type="dxa"/>
            <w:tcBorders>
              <w:top w:val="single" w:color="auto" w:sz="6" w:space="0"/>
              <w:left w:val="single" w:color="auto" w:sz="6" w:space="0"/>
              <w:bottom w:val="single" w:color="auto" w:sz="6" w:space="0"/>
              <w:right w:val="single" w:color="auto" w:sz="6" w:space="0"/>
              <w:tl2br w:val="nil"/>
              <w:tr2bl w:val="nil"/>
            </w:tcBorders>
            <w:shd w:val="clear" w:color="auto" w:fill="auto"/>
            <w:noWrap/>
            <w:vAlign w:val="center"/>
          </w:tcPr>
          <w:p>
            <w:pPr>
              <w:widowControl/>
              <w:adjustRightInd w:val="0"/>
              <w:snapToGrid w:val="0"/>
              <w:spacing w:line="360" w:lineRule="exact"/>
              <w:jc w:val="center"/>
              <w:rPr>
                <w:rFonts w:hint="eastAsia" w:ascii="宋体" w:hAnsi="宋体" w:eastAsia="宋体" w:cs="宋体"/>
                <w:color w:val="000000"/>
                <w:kern w:val="2"/>
                <w:sz w:val="21"/>
                <w:szCs w:val="21"/>
                <w:lang w:val="en-US" w:eastAsia="zh-CN" w:bidi="ar-SA"/>
              </w:rPr>
            </w:pPr>
            <w:r>
              <w:rPr>
                <w:rFonts w:hint="eastAsia" w:ascii="宋体" w:hAnsi="宋体" w:cs="宋体"/>
                <w:b/>
                <w:bCs/>
                <w:color w:val="000000"/>
                <w:szCs w:val="21"/>
              </w:rPr>
              <w:t>现场勘查</w:t>
            </w:r>
          </w:p>
        </w:tc>
        <w:tc>
          <w:tcPr>
            <w:tcW w:w="8234"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pStyle w:val="19"/>
              <w:spacing w:line="360" w:lineRule="auto"/>
              <w:ind w:firstLine="0" w:firstLineChars="0"/>
              <w:jc w:val="left"/>
              <w:rPr>
                <w:rFonts w:hint="eastAsia" w:ascii="宋体" w:hAnsi="宋体" w:eastAsia="宋体" w:cs="宋体"/>
                <w:b w:val="0"/>
                <w:color w:val="000000"/>
                <w:kern w:val="2"/>
                <w:sz w:val="21"/>
                <w:szCs w:val="21"/>
                <w:lang w:val="en-US" w:eastAsia="zh-CN" w:bidi="ar-SA"/>
              </w:rPr>
            </w:pPr>
            <w:r>
              <w:rPr>
                <w:rFonts w:hint="eastAsia" w:ascii="宋体" w:hAnsi="宋体" w:cs="宋体"/>
                <w:color w:val="000000"/>
              </w:rPr>
              <w:t>本项目不组织统一现场勘察，如有必要，潜在供应商可自行前往项目地点进行现场勘察，项目地点：广西桂林市临桂区公园北路8号桂林金融大厦17层，联系方式：杨弘民 13788587416</w:t>
            </w:r>
            <w:r>
              <w:rPr>
                <w:rFonts w:hint="eastAsia" w:ascii="宋体" w:hAnsi="宋体" w:cs="宋体"/>
                <w:color w:val="000000"/>
                <w:lang w:eastAsia="zh-CN"/>
              </w:rPr>
              <w:t>。</w:t>
            </w:r>
          </w:p>
        </w:tc>
      </w:tr>
      <w:tr>
        <w:tblPrEx>
          <w:tblCellMar>
            <w:top w:w="0" w:type="dxa"/>
            <w:left w:w="108" w:type="dxa"/>
            <w:bottom w:w="0" w:type="dxa"/>
            <w:right w:w="108" w:type="dxa"/>
          </w:tblCellMar>
        </w:tblPrEx>
        <w:trPr>
          <w:trHeight w:val="1195" w:hRule="atLeast"/>
        </w:trPr>
        <w:tc>
          <w:tcPr>
            <w:tcW w:w="2223" w:type="dxa"/>
            <w:tcBorders>
              <w:top w:val="single" w:color="auto" w:sz="6" w:space="0"/>
              <w:left w:val="single" w:color="auto" w:sz="6" w:space="0"/>
              <w:bottom w:val="single" w:color="auto" w:sz="6" w:space="0"/>
              <w:right w:val="single" w:color="auto" w:sz="6" w:space="0"/>
              <w:tl2br w:val="nil"/>
              <w:tr2bl w:val="nil"/>
            </w:tcBorders>
            <w:shd w:val="clear" w:color="auto" w:fill="auto"/>
            <w:noWrap/>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eastAsia="宋体" w:cs="宋体"/>
                <w:b/>
                <w:color w:val="000000" w:themeColor="text1"/>
                <w:sz w:val="21"/>
                <w:szCs w:val="21"/>
                <w:u w:val="none"/>
                <w:lang w:val="en-US" w:eastAsia="zh-CN"/>
                <w14:textFill>
                  <w14:solidFill>
                    <w14:schemeClr w14:val="tx1"/>
                  </w14:solidFill>
                </w14:textFill>
              </w:rPr>
              <w:t>★</w:t>
            </w:r>
            <w:r>
              <w:rPr>
                <w:rFonts w:hint="eastAsia" w:ascii="宋体" w:hAnsi="宋体" w:cs="宋体"/>
                <w:b/>
                <w:bCs/>
                <w:color w:val="000000" w:themeColor="text1"/>
                <w:kern w:val="0"/>
                <w:szCs w:val="21"/>
                <w14:textFill>
                  <w14:solidFill>
                    <w14:schemeClr w14:val="tx1"/>
                  </w14:solidFill>
                </w14:textFill>
              </w:rPr>
              <w:t>其他要求</w:t>
            </w:r>
          </w:p>
        </w:tc>
        <w:tc>
          <w:tcPr>
            <w:tcW w:w="8234"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spacing w:line="360" w:lineRule="auto"/>
              <w:jc w:val="left"/>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1</w:t>
            </w:r>
            <w:r>
              <w:rPr>
                <w:rFonts w:hint="eastAsia" w:ascii="宋体" w:hAnsi="宋体" w:eastAsia="宋体" w:cs="宋体"/>
                <w:b w:val="0"/>
                <w:bCs w:val="0"/>
                <w:color w:val="000000" w:themeColor="text1"/>
                <w:kern w:val="0"/>
                <w:sz w:val="21"/>
                <w:szCs w:val="21"/>
                <w:highlight w:val="none"/>
                <w:lang w:val="en-US" w:eastAsia="zh-CN" w:bidi="ar"/>
                <w14:textFill>
                  <w14:solidFill>
                    <w14:schemeClr w14:val="tx1"/>
                  </w14:solidFill>
                </w14:textFill>
              </w:rPr>
              <w:t>.</w:t>
            </w:r>
            <w:r>
              <w:rPr>
                <w:rFonts w:hint="eastAsia" w:ascii="宋体" w:hAnsi="宋体" w:eastAsia="宋体" w:cs="宋体"/>
                <w:b/>
                <w:bCs/>
                <w:color w:val="000000"/>
                <w:szCs w:val="21"/>
              </w:rPr>
              <w:t>本项目为交钥匙项目，投标人应根据本项目货物采购需求及现场考察情况，深入了解本次采购项目的要求和施工现场具体条件。本项目投标报价为总价包干形式，包含本次招标采购范围内货物价款、货物随配标准附件、运输装卸、保险、施工安装、调试、验收、培训、保修及售后服务等伴随的服务、各种税费等全部费用，投标人综合考虑在报价中。</w:t>
            </w:r>
          </w:p>
          <w:p>
            <w:pPr>
              <w:spacing w:line="360" w:lineRule="auto"/>
              <w:jc w:val="left"/>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2.本项目采购</w:t>
            </w:r>
            <w:r>
              <w:rPr>
                <w:rFonts w:hint="eastAsia" w:ascii="宋体" w:hAnsi="宋体" w:cs="宋体"/>
                <w:b/>
                <w:bCs/>
                <w:color w:val="000000" w:themeColor="text1"/>
                <w:kern w:val="0"/>
                <w:sz w:val="21"/>
                <w:szCs w:val="21"/>
                <w:highlight w:val="none"/>
                <w:lang w:val="en-US" w:eastAsia="zh-CN" w:bidi="ar"/>
                <w14:textFill>
                  <w14:solidFill>
                    <w14:schemeClr w14:val="tx1"/>
                  </w14:solidFill>
                </w14:textFill>
              </w:rPr>
              <w:t>预算金额及最高限价：人民币壹佰肆拾万零壹仟捌佰叁拾陆元柒角叁分（¥1401836.73元），最高限价为壹佰贰拾玖万壹仟捌佰叁拾陆元柒角叁分（¥1291836.73元）</w:t>
            </w: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，响应总报价（或货物单项报价）超出采购</w:t>
            </w:r>
            <w:r>
              <w:rPr>
                <w:rFonts w:hint="eastAsia" w:ascii="宋体" w:hAnsi="宋体" w:cs="宋体"/>
                <w:b/>
                <w:bCs/>
                <w:color w:val="000000" w:themeColor="text1"/>
                <w:kern w:val="0"/>
                <w:sz w:val="21"/>
                <w:szCs w:val="21"/>
                <w:highlight w:val="none"/>
                <w:lang w:val="en-US" w:eastAsia="zh-CN" w:bidi="ar"/>
                <w14:textFill>
                  <w14:solidFill>
                    <w14:schemeClr w14:val="tx1"/>
                  </w14:solidFill>
                </w14:textFill>
              </w:rPr>
              <w:t>最高限价</w:t>
            </w: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（或参考单价）的将被视为无效投标。</w:t>
            </w:r>
          </w:p>
          <w:p>
            <w:pPr>
              <w:spacing w:line="360" w:lineRule="auto"/>
              <w:jc w:val="left"/>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3.本项目货物不接受进口产品（即通过中国海关报关验放进入中国境内且产自关境外的产品）参与投标。</w:t>
            </w:r>
          </w:p>
          <w:p>
            <w:pPr>
              <w:spacing w:line="360" w:lineRule="auto"/>
              <w:jc w:val="left"/>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4.本项目所属行业为工业。</w:t>
            </w:r>
          </w:p>
        </w:tc>
      </w:tr>
      <w:bookmarkEnd w:id="188"/>
      <w:bookmarkEnd w:id="189"/>
      <w:bookmarkEnd w:id="190"/>
    </w:tbl>
    <w:p>
      <w:pP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br w:type="page"/>
      </w:r>
    </w:p>
    <w:p>
      <w:pPr>
        <w:tabs>
          <w:tab w:val="left" w:pos="736"/>
        </w:tabs>
        <w:jc w:val="lef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附件1：设备安装说明</w:t>
      </w:r>
    </w:p>
    <w:tbl>
      <w:tblPr>
        <w:tblStyle w:val="22"/>
        <w:tblpPr w:leftFromText="180" w:rightFromText="180" w:vertAnchor="text" w:horzAnchor="page" w:tblpX="920" w:tblpY="3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2"/>
        <w:gridCol w:w="6693"/>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2" w:type="dxa"/>
            <w:vAlign w:val="center"/>
          </w:tcPr>
          <w:p>
            <w:pPr>
              <w:spacing w:line="360" w:lineRule="auto"/>
              <w:jc w:val="center"/>
              <w:rPr>
                <w:rFonts w:eastAsiaTheme="minorEastAsia"/>
              </w:rPr>
            </w:pPr>
            <w:r>
              <w:rPr>
                <w:rFonts w:hint="eastAsia"/>
              </w:rPr>
              <w:t>房间名称</w:t>
            </w:r>
          </w:p>
        </w:tc>
        <w:tc>
          <w:tcPr>
            <w:tcW w:w="6693" w:type="dxa"/>
            <w:vAlign w:val="center"/>
          </w:tcPr>
          <w:p>
            <w:pPr>
              <w:spacing w:line="360" w:lineRule="auto"/>
              <w:jc w:val="center"/>
              <w:rPr>
                <w:rFonts w:eastAsiaTheme="minorEastAsia"/>
              </w:rPr>
            </w:pPr>
            <w:r>
              <w:rPr>
                <w:rFonts w:hint="eastAsia"/>
              </w:rPr>
              <w:t>安装设备及数量</w:t>
            </w:r>
          </w:p>
        </w:tc>
        <w:tc>
          <w:tcPr>
            <w:tcW w:w="1365" w:type="dxa"/>
            <w:vAlign w:val="center"/>
          </w:tcPr>
          <w:p>
            <w:pPr>
              <w:spacing w:line="360" w:lineRule="auto"/>
              <w:jc w:val="center"/>
              <w:rPr>
                <w:rFonts w:eastAsiaTheme="minorEastAsia"/>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2" w:type="dxa"/>
            <w:vAlign w:val="center"/>
          </w:tcPr>
          <w:p>
            <w:pPr>
              <w:spacing w:line="360" w:lineRule="auto"/>
              <w:jc w:val="center"/>
              <w:rPr>
                <w:rFonts w:eastAsiaTheme="minorEastAsia"/>
              </w:rPr>
            </w:pPr>
            <w:r>
              <w:rPr>
                <w:rFonts w:hint="eastAsia"/>
              </w:rPr>
              <w:t>会议室一</w:t>
            </w:r>
          </w:p>
        </w:tc>
        <w:tc>
          <w:tcPr>
            <w:tcW w:w="6693" w:type="dxa"/>
            <w:vAlign w:val="center"/>
          </w:tcPr>
          <w:p>
            <w:pPr>
              <w:spacing w:line="360" w:lineRule="auto"/>
              <w:jc w:val="center"/>
              <w:rPr>
                <w:rFonts w:eastAsiaTheme="minorEastAsia"/>
              </w:rPr>
            </w:pPr>
            <w:r>
              <w:rPr>
                <w:rFonts w:hint="eastAsia"/>
              </w:rPr>
              <w:t>双口墙面信息点位6个、4口网络地插4个、摄像机2台、门禁设备4套、扩声及显示设备1套、视频会议设备1套</w:t>
            </w:r>
          </w:p>
        </w:tc>
        <w:tc>
          <w:tcPr>
            <w:tcW w:w="1365" w:type="dxa"/>
            <w:vMerge w:val="restart"/>
            <w:vAlign w:val="center"/>
          </w:tcPr>
          <w:p>
            <w:pPr>
              <w:spacing w:line="360" w:lineRule="auto"/>
              <w:jc w:val="center"/>
              <w:rPr>
                <w:rFonts w:eastAsiaTheme="minorEastAsia"/>
              </w:rPr>
            </w:pPr>
            <w:r>
              <w:rPr>
                <w:rFonts w:hint="eastAsia"/>
              </w:rPr>
              <w:t>线缆在各个设备间汇聚，通过弱电井引入20层中心机房。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2" w:type="dxa"/>
            <w:vAlign w:val="center"/>
          </w:tcPr>
          <w:p>
            <w:pPr>
              <w:spacing w:line="360" w:lineRule="auto"/>
              <w:jc w:val="center"/>
              <w:rPr>
                <w:rFonts w:eastAsiaTheme="minorEastAsia"/>
              </w:rPr>
            </w:pPr>
            <w:r>
              <w:rPr>
                <w:rFonts w:hint="eastAsia"/>
              </w:rPr>
              <w:t>开放区办公室</w:t>
            </w:r>
          </w:p>
        </w:tc>
        <w:tc>
          <w:tcPr>
            <w:tcW w:w="6693" w:type="dxa"/>
            <w:vAlign w:val="center"/>
          </w:tcPr>
          <w:p>
            <w:pPr>
              <w:spacing w:line="360" w:lineRule="auto"/>
              <w:jc w:val="center"/>
              <w:rPr>
                <w:rFonts w:eastAsiaTheme="minorEastAsia"/>
              </w:rPr>
            </w:pPr>
            <w:r>
              <w:rPr>
                <w:rFonts w:hint="eastAsia"/>
              </w:rPr>
              <w:t>双口墙面信息点位5个、4口网络地插13个、扩声及显示设备1套</w:t>
            </w:r>
          </w:p>
        </w:tc>
        <w:tc>
          <w:tcPr>
            <w:tcW w:w="1365" w:type="dxa"/>
            <w:vMerge w:val="continue"/>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2" w:type="dxa"/>
            <w:vAlign w:val="center"/>
          </w:tcPr>
          <w:p>
            <w:pPr>
              <w:spacing w:line="360" w:lineRule="auto"/>
              <w:jc w:val="center"/>
              <w:rPr>
                <w:rFonts w:eastAsiaTheme="minorEastAsia"/>
              </w:rPr>
            </w:pPr>
            <w:r>
              <w:rPr>
                <w:rFonts w:hint="eastAsia"/>
              </w:rPr>
              <w:t>多功能会议室</w:t>
            </w:r>
          </w:p>
        </w:tc>
        <w:tc>
          <w:tcPr>
            <w:tcW w:w="6693" w:type="dxa"/>
            <w:vAlign w:val="center"/>
          </w:tcPr>
          <w:p>
            <w:pPr>
              <w:spacing w:line="360" w:lineRule="auto"/>
              <w:jc w:val="center"/>
            </w:pPr>
            <w:r>
              <w:rPr>
                <w:rFonts w:hint="eastAsia"/>
              </w:rPr>
              <w:t>双口墙面信息点位16个、4口网络地插4个、扩声设备1套</w:t>
            </w:r>
          </w:p>
        </w:tc>
        <w:tc>
          <w:tcPr>
            <w:tcW w:w="1365" w:type="dxa"/>
            <w:vMerge w:val="continue"/>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2" w:type="dxa"/>
            <w:vAlign w:val="center"/>
          </w:tcPr>
          <w:p>
            <w:pPr>
              <w:spacing w:line="360" w:lineRule="auto"/>
              <w:jc w:val="center"/>
              <w:rPr>
                <w:rFonts w:eastAsiaTheme="minorEastAsia"/>
              </w:rPr>
            </w:pPr>
            <w:r>
              <w:rPr>
                <w:rFonts w:hint="eastAsia"/>
              </w:rPr>
              <w:t>办公室一</w:t>
            </w:r>
          </w:p>
        </w:tc>
        <w:tc>
          <w:tcPr>
            <w:tcW w:w="6693" w:type="dxa"/>
            <w:vAlign w:val="center"/>
          </w:tcPr>
          <w:p>
            <w:pPr>
              <w:spacing w:line="360" w:lineRule="auto"/>
              <w:jc w:val="center"/>
            </w:pPr>
            <w:r>
              <w:rPr>
                <w:rFonts w:hint="eastAsia"/>
              </w:rPr>
              <w:t>双口墙面信息点位6个</w:t>
            </w:r>
          </w:p>
        </w:tc>
        <w:tc>
          <w:tcPr>
            <w:tcW w:w="1365" w:type="dxa"/>
            <w:vMerge w:val="continue"/>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2" w:type="dxa"/>
            <w:vAlign w:val="center"/>
          </w:tcPr>
          <w:p>
            <w:pPr>
              <w:spacing w:line="360" w:lineRule="auto"/>
              <w:jc w:val="center"/>
              <w:rPr>
                <w:rFonts w:asciiTheme="minorHAnsi" w:hAnsiTheme="minorHAnsi" w:eastAsiaTheme="minorEastAsia" w:cstheme="minorBidi"/>
              </w:rPr>
            </w:pPr>
            <w:r>
              <w:rPr>
                <w:rFonts w:hint="eastAsia"/>
              </w:rPr>
              <w:t>办公室二</w:t>
            </w:r>
          </w:p>
        </w:tc>
        <w:tc>
          <w:tcPr>
            <w:tcW w:w="6693" w:type="dxa"/>
            <w:vAlign w:val="center"/>
          </w:tcPr>
          <w:p>
            <w:pPr>
              <w:spacing w:line="360" w:lineRule="auto"/>
              <w:jc w:val="center"/>
              <w:rPr>
                <w:rFonts w:asciiTheme="minorHAnsi" w:hAnsiTheme="minorHAnsi" w:eastAsiaTheme="minorEastAsia" w:cstheme="minorBidi"/>
              </w:rPr>
            </w:pPr>
            <w:r>
              <w:rPr>
                <w:rFonts w:hint="eastAsia"/>
              </w:rPr>
              <w:t>双口墙面信息点位6个</w:t>
            </w:r>
          </w:p>
        </w:tc>
        <w:tc>
          <w:tcPr>
            <w:tcW w:w="1365" w:type="dxa"/>
            <w:vMerge w:val="continue"/>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2" w:type="dxa"/>
            <w:vAlign w:val="center"/>
          </w:tcPr>
          <w:p>
            <w:pPr>
              <w:spacing w:line="360" w:lineRule="auto"/>
              <w:jc w:val="center"/>
              <w:rPr>
                <w:rFonts w:asciiTheme="minorHAnsi" w:hAnsiTheme="minorHAnsi" w:eastAsiaTheme="minorEastAsia" w:cstheme="minorBidi"/>
              </w:rPr>
            </w:pPr>
            <w:r>
              <w:rPr>
                <w:rFonts w:hint="eastAsia"/>
              </w:rPr>
              <w:t>办公室三</w:t>
            </w:r>
          </w:p>
        </w:tc>
        <w:tc>
          <w:tcPr>
            <w:tcW w:w="6693" w:type="dxa"/>
            <w:vAlign w:val="center"/>
          </w:tcPr>
          <w:p>
            <w:pPr>
              <w:spacing w:line="360" w:lineRule="auto"/>
              <w:jc w:val="center"/>
              <w:rPr>
                <w:rFonts w:asciiTheme="minorHAnsi" w:hAnsiTheme="minorHAnsi" w:eastAsiaTheme="minorEastAsia" w:cstheme="minorBidi"/>
              </w:rPr>
            </w:pPr>
            <w:r>
              <w:rPr>
                <w:rFonts w:hint="eastAsia"/>
              </w:rPr>
              <w:t>双口墙面信息点位6个</w:t>
            </w:r>
          </w:p>
        </w:tc>
        <w:tc>
          <w:tcPr>
            <w:tcW w:w="1365" w:type="dxa"/>
            <w:vMerge w:val="continue"/>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2" w:type="dxa"/>
            <w:vAlign w:val="center"/>
          </w:tcPr>
          <w:p>
            <w:pPr>
              <w:spacing w:line="360" w:lineRule="auto"/>
              <w:jc w:val="center"/>
              <w:rPr>
                <w:rFonts w:eastAsiaTheme="minorEastAsia"/>
              </w:rPr>
            </w:pPr>
            <w:r>
              <w:rPr>
                <w:rFonts w:hint="eastAsia"/>
              </w:rPr>
              <w:t>文印室</w:t>
            </w:r>
          </w:p>
        </w:tc>
        <w:tc>
          <w:tcPr>
            <w:tcW w:w="6693" w:type="dxa"/>
            <w:vAlign w:val="center"/>
          </w:tcPr>
          <w:p>
            <w:pPr>
              <w:spacing w:line="360" w:lineRule="auto"/>
              <w:jc w:val="center"/>
            </w:pPr>
            <w:r>
              <w:rPr>
                <w:rFonts w:hint="eastAsia"/>
              </w:rPr>
              <w:t>双口墙面信息点位3个</w:t>
            </w:r>
          </w:p>
        </w:tc>
        <w:tc>
          <w:tcPr>
            <w:tcW w:w="1365" w:type="dxa"/>
            <w:vMerge w:val="continue"/>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352" w:type="dxa"/>
            <w:vAlign w:val="center"/>
          </w:tcPr>
          <w:p>
            <w:pPr>
              <w:spacing w:line="360" w:lineRule="auto"/>
              <w:jc w:val="center"/>
            </w:pPr>
            <w:r>
              <w:rPr>
                <w:rFonts w:hint="eastAsia"/>
              </w:rPr>
              <w:t>会议室</w:t>
            </w:r>
          </w:p>
        </w:tc>
        <w:tc>
          <w:tcPr>
            <w:tcW w:w="6693" w:type="dxa"/>
            <w:vAlign w:val="center"/>
          </w:tcPr>
          <w:p>
            <w:pPr>
              <w:spacing w:line="360" w:lineRule="auto"/>
              <w:jc w:val="center"/>
            </w:pPr>
            <w:r>
              <w:rPr>
                <w:rFonts w:hint="eastAsia"/>
              </w:rPr>
              <w:t>双口墙面信息点位8个</w:t>
            </w:r>
          </w:p>
        </w:tc>
        <w:tc>
          <w:tcPr>
            <w:tcW w:w="1365" w:type="dxa"/>
            <w:vMerge w:val="continue"/>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2" w:type="dxa"/>
            <w:vAlign w:val="center"/>
          </w:tcPr>
          <w:p>
            <w:pPr>
              <w:spacing w:line="360" w:lineRule="auto"/>
              <w:jc w:val="center"/>
            </w:pPr>
            <w:r>
              <w:rPr>
                <w:rFonts w:hint="eastAsia"/>
              </w:rPr>
              <w:t>茶水间</w:t>
            </w:r>
          </w:p>
        </w:tc>
        <w:tc>
          <w:tcPr>
            <w:tcW w:w="6693" w:type="dxa"/>
            <w:vAlign w:val="center"/>
          </w:tcPr>
          <w:p>
            <w:pPr>
              <w:spacing w:line="360" w:lineRule="auto"/>
              <w:jc w:val="center"/>
            </w:pPr>
            <w:r>
              <w:rPr>
                <w:rFonts w:hint="eastAsia"/>
              </w:rPr>
              <w:t>双口墙面信息点位2个</w:t>
            </w:r>
          </w:p>
        </w:tc>
        <w:tc>
          <w:tcPr>
            <w:tcW w:w="1365" w:type="dxa"/>
            <w:vMerge w:val="continue"/>
            <w:vAlign w:val="center"/>
          </w:tcPr>
          <w:p>
            <w:pPr>
              <w:spacing w:line="360" w:lineRule="auto"/>
              <w:jc w:val="center"/>
            </w:pPr>
          </w:p>
        </w:tc>
      </w:tr>
    </w:tbl>
    <w:p>
      <w:pPr>
        <w:rPr>
          <w:rFonts w:hint="eastAsia" w:ascii="宋体" w:hAnsi="宋体" w:eastAsia="宋体" w:cs="宋体"/>
          <w:color w:val="000000" w:themeColor="text1"/>
          <w:sz w:val="32"/>
          <w:szCs w:val="32"/>
          <w:lang w:eastAsia="zh-CN"/>
          <w14:textFill>
            <w14:solidFill>
              <w14:schemeClr w14:val="tx1"/>
            </w14:solidFill>
          </w14:textFill>
        </w:rPr>
      </w:pPr>
      <w:r>
        <w:rPr>
          <w:rFonts w:hint="eastAsia" w:ascii="宋体" w:hAnsi="宋体" w:eastAsia="宋体" w:cs="宋体"/>
          <w:color w:val="000000" w:themeColor="text1"/>
          <w:sz w:val="32"/>
          <w:szCs w:val="32"/>
          <w:lang w:eastAsia="zh-CN"/>
          <w14:textFill>
            <w14:solidFill>
              <w14:schemeClr w14:val="tx1"/>
            </w14:solidFill>
          </w14:textFill>
        </w:rPr>
        <w:br w:type="page"/>
      </w:r>
    </w:p>
    <w:p>
      <w:pPr>
        <w:tabs>
          <w:tab w:val="left" w:pos="736"/>
        </w:tabs>
        <w:jc w:val="left"/>
        <w:rPr>
          <w:rFonts w:hint="eastAsia" w:ascii="宋体" w:hAnsi="宋体" w:cs="宋体"/>
          <w:b/>
          <w:bCs/>
          <w:color w:val="000000" w:themeColor="text1"/>
          <w:szCs w:val="21"/>
          <w:lang w:val="en-US" w:eastAsia="zh-CN"/>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附件</w:t>
      </w:r>
      <w:r>
        <w:rPr>
          <w:rFonts w:hint="eastAsia" w:ascii="宋体" w:hAnsi="宋体" w:cs="宋体"/>
          <w:b/>
          <w:bCs/>
          <w:color w:val="000000" w:themeColor="text1"/>
          <w:szCs w:val="21"/>
          <w:lang w:val="en-US" w:eastAsia="zh-CN"/>
          <w14:textFill>
            <w14:solidFill>
              <w14:schemeClr w14:val="tx1"/>
            </w14:solidFill>
          </w14:textFill>
        </w:rPr>
        <w:t>2</w:t>
      </w:r>
      <w:r>
        <w:rPr>
          <w:rFonts w:hint="eastAsia" w:ascii="宋体" w:hAnsi="宋体" w:cs="宋体"/>
          <w:b/>
          <w:bCs/>
          <w:color w:val="000000" w:themeColor="text1"/>
          <w:szCs w:val="21"/>
          <w14:textFill>
            <w14:solidFill>
              <w14:schemeClr w14:val="tx1"/>
            </w14:solidFill>
          </w14:textFill>
        </w:rPr>
        <w:t>：</w:t>
      </w:r>
      <w:r>
        <w:rPr>
          <w:rFonts w:hint="eastAsia" w:ascii="宋体" w:hAnsi="宋体" w:cs="宋体"/>
          <w:b/>
          <w:bCs/>
          <w:color w:val="000000" w:themeColor="text1"/>
          <w:szCs w:val="21"/>
          <w:lang w:val="en-US" w:eastAsia="zh-CN"/>
          <w14:textFill>
            <w14:solidFill>
              <w14:schemeClr w14:val="tx1"/>
            </w14:solidFill>
          </w14:textFill>
        </w:rPr>
        <w:t>平面图</w:t>
      </w:r>
    </w:p>
    <w:p>
      <w:pPr>
        <w:pStyle w:val="2"/>
        <w:rPr>
          <w:rFonts w:hint="eastAsia" w:ascii="宋体" w:hAnsi="宋体" w:eastAsia="宋体" w:cs="宋体"/>
          <w:color w:val="000000" w:themeColor="text1"/>
          <w:sz w:val="32"/>
          <w:szCs w:val="32"/>
          <w:lang w:eastAsia="zh-CN"/>
          <w14:textFill>
            <w14:solidFill>
              <w14:schemeClr w14:val="tx1"/>
            </w14:solidFill>
          </w14:textFill>
        </w:rPr>
      </w:pPr>
      <w:r>
        <w:rPr>
          <w:rFonts w:hint="eastAsia"/>
          <w:lang w:eastAsia="zh-CN"/>
        </w:rPr>
        <w:drawing>
          <wp:inline distT="0" distB="0" distL="114300" distR="114300">
            <wp:extent cx="6026150" cy="8521065"/>
            <wp:effectExtent l="0" t="0" r="12700" b="13335"/>
            <wp:docPr id="3" name="图片 3" descr="微信图片_20240308110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40308110616"/>
                    <pic:cNvPicPr>
                      <a:picLocks noChangeAspect="1"/>
                    </pic:cNvPicPr>
                  </pic:nvPicPr>
                  <pic:blipFill>
                    <a:blip r:embed="rId9"/>
                    <a:stretch>
                      <a:fillRect/>
                    </a:stretch>
                  </pic:blipFill>
                  <pic:spPr>
                    <a:xfrm>
                      <a:off x="0" y="0"/>
                      <a:ext cx="6026150" cy="8521065"/>
                    </a:xfrm>
                    <a:prstGeom prst="rect">
                      <a:avLst/>
                    </a:prstGeom>
                  </pic:spPr>
                </pic:pic>
              </a:graphicData>
            </a:graphic>
          </wp:inline>
        </w:drawing>
      </w:r>
    </w:p>
    <w:p>
      <w:pPr>
        <w:pStyle w:val="3"/>
        <w:numPr>
          <w:ilvl w:val="0"/>
          <w:numId w:val="0"/>
        </w:numPr>
        <w:tabs>
          <w:tab w:val="left" w:pos="0"/>
        </w:tabs>
        <w:autoSpaceDE w:val="0"/>
        <w:autoSpaceDN w:val="0"/>
        <w:adjustRightInd w:val="0"/>
        <w:spacing w:before="0" w:after="0" w:line="360" w:lineRule="auto"/>
        <w:jc w:val="center"/>
        <w:rPr>
          <w:rFonts w:hint="eastAsia" w:ascii="宋体" w:hAnsi="宋体" w:eastAsia="宋体" w:cs="宋体"/>
          <w:color w:val="000000" w:themeColor="text1"/>
          <w:sz w:val="32"/>
          <w:szCs w:val="32"/>
          <w14:textFill>
            <w14:solidFill>
              <w14:schemeClr w14:val="tx1"/>
            </w14:solidFill>
          </w14:textFill>
        </w:rPr>
      </w:pPr>
      <w:bookmarkStart w:id="191" w:name="_Toc8161"/>
      <w:r>
        <w:rPr>
          <w:rFonts w:hint="eastAsia" w:ascii="宋体" w:hAnsi="宋体" w:eastAsia="宋体" w:cs="宋体"/>
          <w:color w:val="000000" w:themeColor="text1"/>
          <w:sz w:val="32"/>
          <w:szCs w:val="32"/>
          <w:lang w:eastAsia="zh-CN"/>
          <w14:textFill>
            <w14:solidFill>
              <w14:schemeClr w14:val="tx1"/>
            </w14:solidFill>
          </w14:textFill>
        </w:rPr>
        <w:t>第四章</w:t>
      </w:r>
      <w:r>
        <w:rPr>
          <w:rFonts w:hint="eastAsia" w:ascii="宋体" w:hAnsi="宋体" w:eastAsia="宋体" w:cs="宋体"/>
          <w:color w:val="000000" w:themeColor="text1"/>
          <w:sz w:val="32"/>
          <w:szCs w:val="32"/>
          <w:lang w:val="en-US" w:eastAsia="zh-CN"/>
          <w14:textFill>
            <w14:solidFill>
              <w14:schemeClr w14:val="tx1"/>
            </w14:solidFill>
          </w14:textFill>
        </w:rPr>
        <w:t xml:space="preserve"> </w:t>
      </w:r>
      <w:r>
        <w:rPr>
          <w:rFonts w:hint="eastAsia" w:ascii="宋体" w:hAnsi="宋体" w:eastAsia="宋体" w:cs="宋体"/>
          <w:color w:val="000000" w:themeColor="text1"/>
          <w:sz w:val="32"/>
          <w:szCs w:val="32"/>
          <w14:textFill>
            <w14:solidFill>
              <w14:schemeClr w14:val="tx1"/>
            </w14:solidFill>
          </w14:textFill>
        </w:rPr>
        <w:t>评审办法</w:t>
      </w:r>
      <w:bookmarkEnd w:id="186"/>
      <w:bookmarkEnd w:id="187"/>
      <w:bookmarkEnd w:id="191"/>
    </w:p>
    <w:p>
      <w:pPr>
        <w:ind w:firstLine="420" w:firstLineChars="2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一、评审依据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 评审依据：磋商小组以磋商文件和响应文件为评审依据，对供应商的响应文件进行评审。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 评审方式：以封闭方式进行评审。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3.采购人和采购代理机构、竞争性磋商小组成员要严格遵守政府采购相关法律制度，依法履行各自职责，公正、客观、审慎地组织和参与评审工作。</w:t>
      </w:r>
    </w:p>
    <w:p>
      <w:pPr>
        <w:pStyle w:val="12"/>
        <w:spacing w:line="440" w:lineRule="exact"/>
        <w:ind w:firstLine="420" w:firstLineChars="200"/>
        <w:rPr>
          <w:rFonts w:hint="eastAsia" w:hAnsi="宋体" w:cs="宋体"/>
          <w:b/>
          <w:bCs/>
          <w:color w:val="000000" w:themeColor="text1"/>
          <w14:textFill>
            <w14:solidFill>
              <w14:schemeClr w14:val="tx1"/>
            </w14:solidFill>
          </w14:textFill>
        </w:rPr>
      </w:pPr>
      <w:r>
        <w:rPr>
          <w:rFonts w:hint="eastAsia" w:hAnsi="宋体" w:cs="宋体"/>
          <w:b/>
          <w:bCs/>
          <w:color w:val="000000" w:themeColor="text1"/>
          <w14:textFill>
            <w14:solidFill>
              <w14:schemeClr w14:val="tx1"/>
            </w14:solidFill>
          </w14:textFill>
        </w:rPr>
        <w:t>二、评标办法</w:t>
      </w:r>
    </w:p>
    <w:p>
      <w:pPr>
        <w:pStyle w:val="12"/>
        <w:spacing w:line="440" w:lineRule="exact"/>
        <w:ind w:firstLine="420" w:firstLineChars="200"/>
        <w:rPr>
          <w:rFonts w:hint="eastAsia" w:hAnsi="宋体" w:cs="宋体"/>
          <w:bCs/>
          <w:color w:val="000000" w:themeColor="text1"/>
          <w14:textFill>
            <w14:solidFill>
              <w14:schemeClr w14:val="tx1"/>
            </w14:solidFill>
          </w14:textFill>
        </w:rPr>
      </w:pPr>
      <w:r>
        <w:rPr>
          <w:rFonts w:hint="eastAsia" w:hAnsi="宋体" w:cs="宋体"/>
          <w:bCs/>
          <w:color w:val="000000" w:themeColor="text1"/>
          <w14:textFill>
            <w14:solidFill>
              <w14:schemeClr w14:val="tx1"/>
            </w14:solidFill>
          </w14:textFill>
        </w:rPr>
        <w:t>（一）对进入详评的，采用综合评分法。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（二）计分办法（按四舍五入取至百分位）</w:t>
      </w:r>
      <w:r>
        <w:rPr>
          <w:rFonts w:hint="eastAsia" w:ascii="宋体" w:hAnsi="宋体" w:eastAsia="宋体" w:cs="宋体"/>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1、价格分……………</w:t>
      </w:r>
      <w:r>
        <w:rPr>
          <w:rFonts w:hint="eastAsia" w:ascii="宋体" w:hAnsi="宋体" w:eastAsia="宋体" w:cs="宋体"/>
          <w:b/>
          <w:bCs/>
          <w:color w:val="000000" w:themeColor="text1"/>
          <w:sz w:val="21"/>
          <w:szCs w:val="21"/>
          <w14:textFill>
            <w14:solidFill>
              <w14:schemeClr w14:val="tx1"/>
            </w14:solidFill>
          </w14:textFill>
        </w:rPr>
        <w:t>…………………………………………………………………………………………满分</w:t>
      </w:r>
      <w:r>
        <w:rPr>
          <w:rFonts w:hint="eastAsia" w:ascii="宋体" w:hAnsi="宋体" w:cs="宋体"/>
          <w:b/>
          <w:bCs/>
          <w:color w:val="000000" w:themeColor="text1"/>
          <w:sz w:val="21"/>
          <w:szCs w:val="21"/>
          <w:lang w:val="en-US" w:eastAsia="zh-CN"/>
          <w14:textFill>
            <w14:solidFill>
              <w14:schemeClr w14:val="tx1"/>
            </w14:solidFill>
          </w14:textFill>
        </w:rPr>
        <w:t>30</w:t>
      </w:r>
      <w:r>
        <w:rPr>
          <w:rFonts w:hint="eastAsia" w:ascii="宋体" w:hAnsi="宋体" w:eastAsia="宋体" w:cs="宋体"/>
          <w:b/>
          <w:bCs/>
          <w:color w:val="000000" w:themeColor="text1"/>
          <w:sz w:val="21"/>
          <w:szCs w:val="21"/>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（1）根据《政府采购促进中小企业发展管理办法》（财库〔2020〕46号）</w:t>
      </w:r>
      <w:r>
        <w:rPr>
          <w:rFonts w:hint="eastAsia" w:ascii="宋体" w:hAnsi="宋体" w:eastAsia="宋体" w:cs="宋体"/>
          <w:color w:val="000000" w:themeColor="text1"/>
          <w:sz w:val="21"/>
          <w:szCs w:val="21"/>
          <w:lang w:eastAsia="zh-CN"/>
          <w14:textFill>
            <w14:solidFill>
              <w14:schemeClr w14:val="tx1"/>
            </w14:solidFill>
          </w14:textFill>
        </w:rPr>
        <w:t>和</w:t>
      </w:r>
      <w:r>
        <w:rPr>
          <w:rFonts w:hint="eastAsia" w:ascii="宋体" w:hAnsi="宋体" w:eastAsia="宋体" w:cs="宋体"/>
          <w:color w:val="000000" w:themeColor="text1"/>
          <w:sz w:val="21"/>
          <w:szCs w:val="21"/>
          <w14:textFill>
            <w14:solidFill>
              <w14:schemeClr w14:val="tx1"/>
            </w14:solidFill>
          </w14:textFill>
        </w:rPr>
        <w:t>《关于进一步加大政府采购支持中小企业力度的通知》（财库〔2022〕19号），承接本项目服务的供应商认定为小型、微型企业，其最后报价给予</w:t>
      </w: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0%的扣除，扣除后的价格为评审报价，即供应商的评审报价=最后报价×（1-</w:t>
      </w: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0%）；除上述情况外，评审报价=最后报价。</w:t>
      </w:r>
    </w:p>
    <w:p>
      <w:pPr>
        <w:pStyle w:val="12"/>
        <w:spacing w:line="360" w:lineRule="exact"/>
        <w:ind w:firstLine="42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kern w:val="2"/>
          <w:sz w:val="21"/>
          <w:szCs w:val="21"/>
          <w:lang w:val="en-US" w:eastAsia="zh-CN" w:bidi="ar-SA"/>
          <w14:textFill>
            <w14:solidFill>
              <w14:schemeClr w14:val="tx1"/>
            </w14:solidFill>
          </w14:textFill>
        </w:rPr>
        <w:t>注：评审报价为供应商的最后报价进行政策性扣除后的价格，评审报价只是作为评标时使用。最终成交人的成交金额＝最后报价。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根据《关于政府采购支持监狱企业发展有关问题的通知》（财库〔2014〕68号）和《关于促进残疾人就业政府采购政策的通知》（财库〔2017〕141号），监狱企业和符合条件的残疾人福利性单位视同小型、微型企业，享受小型、微型企业评审中价格扣除的政府采购政策。残疾人福利性单位属于小型、微型企业的，不重复享受政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szCs w:val="21"/>
        </w:rPr>
        <w:t>（</w:t>
      </w:r>
      <w:r>
        <w:rPr>
          <w:rFonts w:hint="eastAsia" w:ascii="宋体" w:hAnsi="宋体" w:cs="宋体"/>
          <w:szCs w:val="21"/>
          <w:lang w:val="en-US" w:eastAsia="zh-CN"/>
        </w:rPr>
        <w:t>3</w:t>
      </w:r>
      <w:r>
        <w:rPr>
          <w:rFonts w:hint="eastAsia" w:ascii="宋体" w:hAnsi="宋体" w:cs="宋体"/>
          <w:szCs w:val="21"/>
        </w:rPr>
        <w:t>）本项目属于政务信息系统，执行《政务信息系统政府采购管理暂行办法》财库〔2017〕210号</w:t>
      </w:r>
      <w:r>
        <w:rPr>
          <w:rFonts w:hint="eastAsia"/>
        </w:rPr>
        <w:t>文件要求</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lang w:val="en-US" w:eastAsia="zh-CN"/>
          <w14:textFill>
            <w14:solidFill>
              <w14:schemeClr w14:val="tx1"/>
            </w14:solidFill>
          </w14:textFill>
        </w:rPr>
        <w:t>）以进入综合评分环节的最低的评审报价为基准价，基准价报价得分为</w:t>
      </w:r>
      <w:r>
        <w:rPr>
          <w:rFonts w:hint="eastAsia" w:ascii="宋体" w:hAnsi="宋体" w:cs="宋体"/>
          <w:color w:val="000000" w:themeColor="text1"/>
          <w:sz w:val="21"/>
          <w:szCs w:val="21"/>
          <w:lang w:val="en-US" w:eastAsia="zh-CN"/>
          <w14:textFill>
            <w14:solidFill>
              <w14:schemeClr w14:val="tx1"/>
            </w14:solidFill>
          </w14:textFill>
        </w:rPr>
        <w:t>30</w:t>
      </w:r>
      <w:r>
        <w:rPr>
          <w:rFonts w:hint="eastAsia" w:ascii="宋体" w:hAnsi="宋体" w:eastAsia="宋体" w:cs="宋体"/>
          <w:color w:val="000000" w:themeColor="text1"/>
          <w:sz w:val="21"/>
          <w:szCs w:val="21"/>
          <w:lang w:val="en-US" w:eastAsia="zh-CN"/>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lang w:val="en-US" w:eastAsia="zh-CN"/>
          <w14:textFill>
            <w14:solidFill>
              <w14:schemeClr w14:val="tx1"/>
            </w14:solidFill>
          </w14:textFill>
        </w:rPr>
        <w:t>）供应商磋商报价得分=（磋商基准价/供应商的评审报价）×</w:t>
      </w:r>
      <w:r>
        <w:rPr>
          <w:rFonts w:hint="eastAsia" w:ascii="宋体" w:hAnsi="宋体" w:cs="宋体"/>
          <w:color w:val="000000" w:themeColor="text1"/>
          <w:sz w:val="21"/>
          <w:szCs w:val="21"/>
          <w:lang w:val="en-US" w:eastAsia="zh-CN"/>
          <w14:textFill>
            <w14:solidFill>
              <w14:schemeClr w14:val="tx1"/>
            </w14:solidFill>
          </w14:textFill>
        </w:rPr>
        <w:t>30</w:t>
      </w:r>
      <w:r>
        <w:rPr>
          <w:rFonts w:hint="eastAsia" w:ascii="宋体" w:hAnsi="宋体" w:eastAsia="宋体" w:cs="宋体"/>
          <w:color w:val="000000" w:themeColor="text1"/>
          <w:sz w:val="21"/>
          <w:szCs w:val="21"/>
          <w:lang w:val="en-US" w:eastAsia="zh-CN"/>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lang w:val="en-US" w:eastAsia="zh-CN"/>
          <w14:textFill>
            <w14:solidFill>
              <w14:schemeClr w14:val="tx1"/>
            </w14:solidFill>
          </w14:textFill>
        </w:rPr>
      </w:pPr>
      <w:bookmarkStart w:id="192" w:name="_Toc14379"/>
      <w:r>
        <w:rPr>
          <w:rFonts w:hint="eastAsia" w:ascii="宋体" w:hAnsi="宋体" w:eastAsia="宋体" w:cs="宋体"/>
          <w:b/>
          <w:bCs/>
          <w:color w:val="000000" w:themeColor="text1"/>
          <w:sz w:val="21"/>
          <w:szCs w:val="21"/>
          <w:lang w:val="en-US" w:eastAsia="zh-CN"/>
          <w14:textFill>
            <w14:solidFill>
              <w14:schemeClr w14:val="tx1"/>
            </w14:solidFill>
          </w14:textFill>
        </w:rPr>
        <w:t>2、技术性能分…………………………………………………………………………………………………满分</w:t>
      </w:r>
      <w:r>
        <w:rPr>
          <w:rFonts w:hint="eastAsia" w:ascii="宋体" w:hAnsi="宋体" w:cs="宋体"/>
          <w:b/>
          <w:bCs/>
          <w:color w:val="000000" w:themeColor="text1"/>
          <w:sz w:val="21"/>
          <w:szCs w:val="21"/>
          <w:lang w:val="en-US" w:eastAsia="zh-CN"/>
          <w14:textFill>
            <w14:solidFill>
              <w14:schemeClr w14:val="tx1"/>
            </w14:solidFill>
          </w14:textFill>
        </w:rPr>
        <w:t>40</w:t>
      </w:r>
      <w:r>
        <w:rPr>
          <w:rFonts w:hint="eastAsia" w:ascii="宋体" w:hAnsi="宋体" w:eastAsia="宋体" w:cs="宋体"/>
          <w:b/>
          <w:bCs/>
          <w:color w:val="000000" w:themeColor="text1"/>
          <w:sz w:val="21"/>
          <w:szCs w:val="21"/>
          <w:lang w:val="en-US" w:eastAsia="zh-CN"/>
          <w14:textFill>
            <w14:solidFill>
              <w14:schemeClr w14:val="tx1"/>
            </w14:solidFill>
          </w14:textFill>
        </w:rPr>
        <w:t>分</w:t>
      </w:r>
      <w:bookmarkEnd w:id="192"/>
      <w:r>
        <w:rPr>
          <w:rFonts w:hint="eastAsia" w:ascii="宋体" w:hAnsi="宋体" w:eastAsia="宋体" w:cs="宋体"/>
          <w:b/>
          <w:bCs/>
          <w:color w:val="000000" w:themeColor="text1"/>
          <w:sz w:val="21"/>
          <w:szCs w:val="21"/>
          <w:lang w:val="en-US" w:eastAsia="zh-CN"/>
          <w14:textFill>
            <w14:solidFill>
              <w14:schemeClr w14:val="tx1"/>
            </w14:solidFill>
          </w14:textFill>
        </w:rPr>
        <w:t xml:space="preserve"> </w:t>
      </w:r>
    </w:p>
    <w:p>
      <w:pPr>
        <w:pStyle w:val="12"/>
        <w:spacing w:line="360" w:lineRule="auto"/>
        <w:ind w:firstLine="420" w:firstLineChars="200"/>
        <w:rPr>
          <w:rFonts w:hint="eastAsia" w:hAnsi="宋体" w:cs="宋体"/>
          <w:szCs w:val="21"/>
        </w:rPr>
      </w:pPr>
      <w:bookmarkStart w:id="193" w:name="_Toc4465"/>
      <w:r>
        <w:rPr>
          <w:rFonts w:hint="eastAsia" w:hAnsi="宋体" w:cs="宋体"/>
          <w:szCs w:val="21"/>
        </w:rPr>
        <w:t>基础分（满分</w:t>
      </w:r>
      <w:r>
        <w:rPr>
          <w:rFonts w:hint="eastAsia" w:hAnsi="宋体" w:cs="宋体"/>
          <w:szCs w:val="21"/>
          <w:lang w:val="en-US" w:eastAsia="zh-CN"/>
        </w:rPr>
        <w:t>4</w:t>
      </w:r>
      <w:r>
        <w:rPr>
          <w:rFonts w:hint="eastAsia" w:hAnsi="宋体" w:cs="宋体"/>
          <w:szCs w:val="21"/>
        </w:rPr>
        <w:t>0分）</w:t>
      </w:r>
    </w:p>
    <w:p>
      <w:pPr>
        <w:pStyle w:val="12"/>
        <w:spacing w:line="360" w:lineRule="auto"/>
        <w:ind w:firstLine="420" w:firstLineChars="200"/>
        <w:rPr>
          <w:rFonts w:hAnsi="宋体" w:cs="宋体"/>
          <w:szCs w:val="21"/>
          <w:lang w:val="zh-CN"/>
        </w:rPr>
      </w:pPr>
      <w:r>
        <w:rPr>
          <w:rFonts w:hint="eastAsia" w:hAnsi="宋体" w:cs="宋体"/>
          <w:szCs w:val="21"/>
          <w:lang w:val="zh-CN"/>
        </w:rPr>
        <w:t>通过资格性审查和符合性审查满足招标文件要求的投标人得</w:t>
      </w:r>
      <w:r>
        <w:rPr>
          <w:rFonts w:hint="eastAsia" w:hAnsi="宋体" w:cs="宋体"/>
          <w:szCs w:val="21"/>
          <w:lang w:val="en-US" w:eastAsia="zh-CN"/>
        </w:rPr>
        <w:t>40</w:t>
      </w:r>
      <w:r>
        <w:rPr>
          <w:rFonts w:hint="eastAsia" w:hAnsi="宋体" w:cs="宋体"/>
          <w:szCs w:val="21"/>
          <w:lang w:val="zh-CN"/>
        </w:rPr>
        <w:t>分基本分。</w:t>
      </w:r>
    </w:p>
    <w:p>
      <w:pPr>
        <w:pStyle w:val="12"/>
        <w:spacing w:line="360" w:lineRule="auto"/>
        <w:ind w:firstLine="420" w:firstLineChars="200"/>
        <w:rPr>
          <w:rFonts w:hAnsi="宋体" w:cs="宋体"/>
          <w:szCs w:val="21"/>
          <w:lang w:val="zh-CN"/>
        </w:rPr>
      </w:pPr>
      <w:r>
        <w:rPr>
          <w:rFonts w:hint="eastAsia" w:hAnsi="宋体" w:cs="宋体"/>
          <w:szCs w:val="21"/>
          <w:lang w:val="zh-CN"/>
        </w:rPr>
        <w:t>①带“▲”</w:t>
      </w:r>
      <w:r>
        <w:rPr>
          <w:rFonts w:hAnsi="宋体" w:cs="宋体"/>
          <w:szCs w:val="21"/>
          <w:lang w:val="zh-CN"/>
        </w:rPr>
        <w:t>项</w:t>
      </w:r>
      <w:r>
        <w:rPr>
          <w:rFonts w:hint="eastAsia" w:hAnsi="宋体" w:cs="宋体"/>
          <w:szCs w:val="21"/>
          <w:lang w:val="zh-CN"/>
        </w:rPr>
        <w:t>为</w:t>
      </w:r>
      <w:r>
        <w:rPr>
          <w:rFonts w:hAnsi="宋体" w:cs="宋体"/>
          <w:szCs w:val="21"/>
          <w:lang w:val="zh-CN"/>
        </w:rPr>
        <w:t>重要</w:t>
      </w:r>
      <w:r>
        <w:rPr>
          <w:rFonts w:hint="eastAsia" w:hAnsi="宋体" w:cs="宋体"/>
          <w:szCs w:val="21"/>
          <w:lang w:val="zh-CN"/>
        </w:rPr>
        <w:t>技术指标，</w:t>
      </w:r>
      <w:r>
        <w:rPr>
          <w:rFonts w:hint="eastAsia" w:hAnsi="宋体" w:cs="宋体"/>
          <w:szCs w:val="21"/>
          <w:lang w:val="en-US" w:eastAsia="zh-CN"/>
        </w:rPr>
        <w:t>供应商响应</w:t>
      </w:r>
      <w:r>
        <w:rPr>
          <w:rFonts w:hint="eastAsia" w:hAnsi="宋体" w:cs="宋体"/>
          <w:szCs w:val="21"/>
          <w:lang w:val="zh-CN"/>
        </w:rPr>
        <w:t>文件的技术参数如有</w:t>
      </w:r>
      <w:r>
        <w:rPr>
          <w:rFonts w:hAnsi="宋体" w:cs="宋体"/>
          <w:szCs w:val="21"/>
          <w:lang w:val="zh-CN"/>
        </w:rPr>
        <w:t>不满足</w:t>
      </w:r>
      <w:r>
        <w:rPr>
          <w:rFonts w:hint="eastAsia" w:hAnsi="宋体" w:cs="宋体"/>
          <w:szCs w:val="21"/>
          <w:lang w:val="zh-CN"/>
        </w:rPr>
        <w:t>，每一项扣</w:t>
      </w:r>
      <w:r>
        <w:rPr>
          <w:rFonts w:hint="eastAsia" w:hAnsi="宋体" w:cs="宋体"/>
          <w:szCs w:val="21"/>
          <w:lang w:val="en-US" w:eastAsia="zh-CN"/>
        </w:rPr>
        <w:t>4</w:t>
      </w:r>
      <w:r>
        <w:rPr>
          <w:rFonts w:hint="eastAsia" w:hAnsi="宋体" w:cs="宋体"/>
          <w:szCs w:val="21"/>
          <w:lang w:val="zh-CN"/>
        </w:rPr>
        <w:t>分，扣完为止；</w:t>
      </w:r>
    </w:p>
    <w:p>
      <w:pPr>
        <w:pStyle w:val="12"/>
        <w:spacing w:line="360" w:lineRule="auto"/>
        <w:ind w:firstLine="420" w:firstLineChars="200"/>
        <w:rPr>
          <w:rFonts w:hAnsi="宋体" w:cs="宋体"/>
          <w:szCs w:val="21"/>
          <w:lang w:val="zh-CN"/>
        </w:rPr>
      </w:pPr>
      <w:r>
        <w:rPr>
          <w:rFonts w:hint="eastAsia" w:hAnsi="宋体" w:cs="宋体"/>
          <w:szCs w:val="21"/>
          <w:lang w:val="zh-CN"/>
        </w:rPr>
        <w:t>②未标记“▲”符号的技术指标，</w:t>
      </w:r>
      <w:r>
        <w:rPr>
          <w:rFonts w:hint="eastAsia" w:hAnsi="宋体" w:cs="宋体"/>
          <w:szCs w:val="21"/>
          <w:lang w:val="en-US" w:eastAsia="zh-CN"/>
        </w:rPr>
        <w:t>供应商响应</w:t>
      </w:r>
      <w:r>
        <w:rPr>
          <w:rFonts w:hint="eastAsia" w:hAnsi="宋体" w:cs="宋体"/>
          <w:szCs w:val="21"/>
          <w:lang w:val="zh-CN"/>
        </w:rPr>
        <w:t>文件的技术参数</w:t>
      </w:r>
      <w:r>
        <w:rPr>
          <w:rFonts w:hAnsi="宋体" w:cs="宋体"/>
          <w:szCs w:val="21"/>
          <w:lang w:val="zh-CN"/>
        </w:rPr>
        <w:t>如有</w:t>
      </w:r>
      <w:r>
        <w:rPr>
          <w:rFonts w:hint="eastAsia" w:hAnsi="宋体" w:cs="宋体"/>
          <w:szCs w:val="21"/>
          <w:lang w:val="zh-CN"/>
        </w:rPr>
        <w:t>不满足，每一项扣</w:t>
      </w:r>
      <w:r>
        <w:rPr>
          <w:rFonts w:hAnsi="宋体" w:cs="宋体"/>
          <w:szCs w:val="21"/>
          <w:lang w:val="zh-CN"/>
        </w:rPr>
        <w:t>2</w:t>
      </w:r>
      <w:r>
        <w:rPr>
          <w:rFonts w:hint="eastAsia" w:hAnsi="宋体" w:cs="宋体"/>
          <w:szCs w:val="21"/>
          <w:lang w:val="zh-CN"/>
        </w:rPr>
        <w:t>分，扣完为止；</w:t>
      </w:r>
    </w:p>
    <w:p>
      <w:pPr>
        <w:pStyle w:val="37"/>
        <w:adjustRightInd w:val="0"/>
        <w:snapToGrid w:val="0"/>
        <w:spacing w:line="400" w:lineRule="exact"/>
        <w:ind w:firstLine="378" w:firstLineChars="180"/>
        <w:rPr>
          <w:rFonts w:hint="eastAsia" w:ascii="宋体" w:hAnsi="宋体" w:eastAsia="宋体" w:cs="宋体"/>
          <w:b/>
          <w:bCs/>
          <w:color w:val="000000" w:themeColor="text1"/>
          <w:kern w:val="2"/>
          <w:sz w:val="21"/>
          <w:szCs w:val="21"/>
          <w:highlight w:val="none"/>
          <w:u w:val="none"/>
          <w:lang w:val="en-US" w:eastAsia="zh-CN" w:bidi="ar-SA"/>
          <w14:textFill>
            <w14:solidFill>
              <w14:schemeClr w14:val="tx1"/>
            </w14:solidFill>
          </w14:textFill>
        </w:rPr>
      </w:pPr>
      <w:r>
        <w:rPr>
          <w:rFonts w:hint="eastAsia" w:hAnsi="宋体" w:cs="宋体"/>
          <w:b/>
          <w:bCs/>
          <w:szCs w:val="21"/>
        </w:rPr>
        <w:t>说明：</w:t>
      </w:r>
      <w:r>
        <w:rPr>
          <w:rFonts w:hint="eastAsia"/>
          <w:b/>
          <w:bCs/>
        </w:rPr>
        <w:t>带“▲”项的重要技术指标，供应商须提供第三方检验机构出具的带CMA或CNAS标识的检验/检测报告复印件作为证明材料并加盖供应商公章（CA签章），如不提供或提供的证明与要求不符，不准确，不清晰，均视为不满足</w:t>
      </w:r>
      <w:r>
        <w:rPr>
          <w:rFonts w:hint="eastAsia"/>
          <w:b/>
          <w:bCs/>
          <w:color w:val="000000" w:themeColor="text1"/>
          <w:kern w:val="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3、履约能力分…………………………………………………………………………………………………满分</w:t>
      </w:r>
      <w:r>
        <w:rPr>
          <w:rFonts w:hint="eastAsia" w:ascii="宋体" w:hAnsi="宋体" w:cs="宋体"/>
          <w:b/>
          <w:bCs/>
          <w:color w:val="000000" w:themeColor="text1"/>
          <w:sz w:val="21"/>
          <w:szCs w:val="21"/>
          <w:lang w:val="en-US" w:eastAsia="zh-CN"/>
          <w14:textFill>
            <w14:solidFill>
              <w14:schemeClr w14:val="tx1"/>
            </w14:solidFill>
          </w14:textFill>
        </w:rPr>
        <w:t>22</w:t>
      </w:r>
      <w:r>
        <w:rPr>
          <w:rFonts w:hint="eastAsia" w:ascii="宋体" w:hAnsi="宋体" w:eastAsia="宋体" w:cs="宋体"/>
          <w:b/>
          <w:bCs/>
          <w:color w:val="000000" w:themeColor="text1"/>
          <w:sz w:val="21"/>
          <w:szCs w:val="21"/>
          <w:lang w:val="en-US" w:eastAsia="zh-CN"/>
          <w14:textFill>
            <w14:solidFill>
              <w14:schemeClr w14:val="tx1"/>
            </w14:solidFill>
          </w14:textFill>
        </w:rPr>
        <w:t>分</w:t>
      </w:r>
      <w:bookmarkEnd w:id="193"/>
    </w:p>
    <w:p>
      <w:pPr>
        <w:pStyle w:val="12"/>
        <w:spacing w:line="360" w:lineRule="auto"/>
        <w:ind w:firstLine="420" w:firstLineChars="200"/>
        <w:rPr>
          <w:rFonts w:hAnsi="宋体" w:cs="宋体"/>
          <w:bCs/>
          <w:szCs w:val="21"/>
        </w:rPr>
      </w:pPr>
      <w:bookmarkStart w:id="194" w:name="_Toc32562"/>
      <w:r>
        <w:rPr>
          <w:rFonts w:hint="eastAsia" w:hAnsi="宋体" w:cs="宋体"/>
          <w:szCs w:val="21"/>
          <w:lang w:val="zh-CN"/>
        </w:rPr>
        <w:t>3</w:t>
      </w:r>
      <w:r>
        <w:rPr>
          <w:rFonts w:hAnsi="宋体" w:cs="宋体"/>
          <w:szCs w:val="21"/>
          <w:lang w:val="zh-CN"/>
        </w:rPr>
        <w:t>.1</w:t>
      </w:r>
      <w:r>
        <w:rPr>
          <w:rFonts w:hint="eastAsia" w:hAnsi="宋体" w:cs="宋体"/>
          <w:szCs w:val="21"/>
          <w:lang w:val="zh-CN"/>
        </w:rPr>
        <w:t>信誉分(满分</w:t>
      </w:r>
      <w:r>
        <w:rPr>
          <w:rFonts w:hint="eastAsia" w:hAnsi="宋体" w:cs="宋体"/>
          <w:szCs w:val="21"/>
          <w:lang w:val="en-US" w:eastAsia="zh-CN"/>
        </w:rPr>
        <w:t>6</w:t>
      </w:r>
      <w:r>
        <w:rPr>
          <w:rFonts w:hint="eastAsia" w:hAnsi="宋体" w:cs="宋体"/>
          <w:szCs w:val="21"/>
          <w:lang w:val="zh-CN"/>
        </w:rPr>
        <w:t>分)</w:t>
      </w:r>
    </w:p>
    <w:p>
      <w:pPr>
        <w:pStyle w:val="12"/>
        <w:spacing w:line="400" w:lineRule="exact"/>
        <w:ind w:firstLine="420" w:firstLineChars="200"/>
      </w:pPr>
      <w:r>
        <w:rPr>
          <w:rFonts w:hint="eastAsia" w:hAnsi="宋体" w:cs="宋体"/>
          <w:bCs/>
          <w:szCs w:val="21"/>
        </w:rPr>
        <w:t>（</w:t>
      </w:r>
      <w:r>
        <w:rPr>
          <w:rFonts w:hint="eastAsia" w:hAnsi="宋体" w:cs="宋体"/>
          <w:bCs/>
          <w:szCs w:val="21"/>
          <w:lang w:val="en-US" w:eastAsia="zh-CN"/>
        </w:rPr>
        <w:t>1</w:t>
      </w:r>
      <w:r>
        <w:rPr>
          <w:rFonts w:hint="eastAsia" w:hAnsi="宋体" w:cs="宋体"/>
          <w:bCs/>
          <w:szCs w:val="21"/>
        </w:rPr>
        <w:t>）供应商或供应商上级单位（直接管理关系或法人关系）提供商品售后服务评价体系证书（GB/T 27922-2011标准）（证书通过认证的范围涵盖“通信服务”或“网络数据信息传输”）复印件并加盖供应商公章（CA签章），满分</w:t>
      </w:r>
      <w:r>
        <w:rPr>
          <w:rFonts w:hint="eastAsia" w:hAnsi="宋体" w:cs="宋体"/>
          <w:bCs/>
          <w:szCs w:val="21"/>
          <w:lang w:val="en-US" w:eastAsia="zh-CN"/>
        </w:rPr>
        <w:t>3</w:t>
      </w:r>
      <w:r>
        <w:rPr>
          <w:rFonts w:hint="eastAsia" w:hAnsi="宋体" w:cs="宋体"/>
          <w:bCs/>
          <w:szCs w:val="21"/>
        </w:rPr>
        <w:t>分，三星认证得</w:t>
      </w:r>
      <w:r>
        <w:rPr>
          <w:rFonts w:hint="eastAsia" w:hAnsi="宋体" w:cs="宋体"/>
          <w:bCs/>
          <w:szCs w:val="21"/>
          <w:lang w:val="en-US" w:eastAsia="zh-CN"/>
        </w:rPr>
        <w:t>1</w:t>
      </w:r>
      <w:r>
        <w:rPr>
          <w:rFonts w:hint="eastAsia" w:hAnsi="宋体" w:cs="宋体"/>
          <w:bCs/>
          <w:szCs w:val="21"/>
        </w:rPr>
        <w:t>分，四星认证得</w:t>
      </w:r>
      <w:r>
        <w:rPr>
          <w:rFonts w:hint="eastAsia" w:hAnsi="宋体" w:cs="宋体"/>
          <w:bCs/>
          <w:szCs w:val="21"/>
          <w:lang w:val="en-US" w:eastAsia="zh-CN"/>
        </w:rPr>
        <w:t>2</w:t>
      </w:r>
      <w:r>
        <w:rPr>
          <w:rFonts w:hint="eastAsia" w:hAnsi="宋体" w:cs="宋体"/>
          <w:bCs/>
          <w:szCs w:val="21"/>
        </w:rPr>
        <w:t>分，五星认证得</w:t>
      </w:r>
      <w:r>
        <w:rPr>
          <w:rFonts w:hint="eastAsia" w:hAnsi="宋体" w:cs="宋体"/>
          <w:bCs/>
          <w:szCs w:val="21"/>
          <w:lang w:val="en-US" w:eastAsia="zh-CN"/>
        </w:rPr>
        <w:t>3</w:t>
      </w:r>
      <w:r>
        <w:rPr>
          <w:rFonts w:hint="eastAsia" w:hAnsi="宋体" w:cs="宋体"/>
          <w:bCs/>
          <w:szCs w:val="21"/>
        </w:rPr>
        <w:t>分，不提供或提供不符合条件的不得分。</w:t>
      </w:r>
    </w:p>
    <w:p>
      <w:pPr>
        <w:pStyle w:val="12"/>
        <w:spacing w:line="400" w:lineRule="exact"/>
        <w:ind w:firstLine="420" w:firstLineChars="200"/>
        <w:rPr>
          <w:rFonts w:hint="eastAsia"/>
          <w:lang w:val="zh-CN"/>
        </w:rPr>
      </w:pPr>
      <w:r>
        <w:rPr>
          <w:rFonts w:hint="eastAsia" w:hAnsi="宋体" w:cs="宋体"/>
          <w:bCs/>
          <w:szCs w:val="21"/>
        </w:rPr>
        <w:t>（</w:t>
      </w:r>
      <w:r>
        <w:rPr>
          <w:rFonts w:hint="eastAsia" w:hAnsi="宋体" w:cs="宋体"/>
          <w:bCs/>
          <w:szCs w:val="21"/>
          <w:lang w:val="en-US" w:eastAsia="zh-CN"/>
        </w:rPr>
        <w:t>2</w:t>
      </w:r>
      <w:r>
        <w:rPr>
          <w:rFonts w:hint="eastAsia" w:hAnsi="宋体" w:cs="宋体"/>
          <w:bCs/>
          <w:szCs w:val="21"/>
        </w:rPr>
        <w:t>）供应商或供应商上级单位（直接管理关系或法人关系）提供ISO9001质量管理体系认证、ISO45001职业健康安全管理体系认证、ISO14001环境管理体系认证，证书通过认证的范围涵盖“信息系统集成(含安防系统) ”的建设，每提供有1个有效证书复印件并加盖供应商公章（CA签章）得</w:t>
      </w:r>
      <w:r>
        <w:rPr>
          <w:rFonts w:hint="eastAsia" w:hAnsi="宋体" w:cs="宋体"/>
          <w:bCs/>
          <w:szCs w:val="21"/>
          <w:lang w:val="en-US" w:eastAsia="zh-CN"/>
        </w:rPr>
        <w:t>1</w:t>
      </w:r>
      <w:r>
        <w:rPr>
          <w:rFonts w:hint="eastAsia" w:hAnsi="宋体" w:cs="宋体"/>
          <w:bCs/>
          <w:szCs w:val="21"/>
        </w:rPr>
        <w:t>分，满分</w:t>
      </w:r>
      <w:r>
        <w:rPr>
          <w:rFonts w:hint="eastAsia" w:hAnsi="宋体" w:cs="宋体"/>
          <w:bCs/>
          <w:szCs w:val="21"/>
          <w:lang w:val="en-US" w:eastAsia="zh-CN"/>
        </w:rPr>
        <w:t>3</w:t>
      </w:r>
      <w:r>
        <w:rPr>
          <w:rFonts w:hint="eastAsia" w:hAnsi="宋体" w:cs="宋体"/>
          <w:bCs/>
          <w:szCs w:val="21"/>
        </w:rPr>
        <w:t>分，不提供或提供不符合条件的不得分。</w:t>
      </w:r>
    </w:p>
    <w:p>
      <w:pPr>
        <w:pStyle w:val="12"/>
        <w:spacing w:line="360" w:lineRule="auto"/>
        <w:ind w:firstLine="420" w:firstLineChars="200"/>
        <w:rPr>
          <w:rFonts w:hint="eastAsia" w:hAnsi="宋体" w:cs="宋体"/>
          <w:szCs w:val="21"/>
          <w:lang w:val="zh-CN"/>
        </w:rPr>
      </w:pPr>
      <w:r>
        <w:rPr>
          <w:rFonts w:hint="eastAsia" w:hAnsi="宋体" w:cs="宋体"/>
          <w:b/>
          <w:bCs/>
          <w:szCs w:val="21"/>
        </w:rPr>
        <w:t>说明：以上证明材料须提供相关资质证书复印件并加盖投标人单位公章（CA签章），否则不得分。</w:t>
      </w:r>
    </w:p>
    <w:p>
      <w:pPr>
        <w:pStyle w:val="12"/>
        <w:spacing w:line="360" w:lineRule="auto"/>
        <w:ind w:firstLine="420" w:firstLineChars="200"/>
        <w:rPr>
          <w:rFonts w:hint="eastAsia" w:hAnsi="宋体" w:cs="宋体"/>
          <w:szCs w:val="21"/>
          <w:lang w:val="zh-CN"/>
        </w:rPr>
      </w:pPr>
      <w:r>
        <w:rPr>
          <w:rFonts w:hint="eastAsia" w:hAnsi="宋体" w:cs="宋体"/>
          <w:szCs w:val="21"/>
          <w:lang w:val="zh-CN"/>
        </w:rPr>
        <w:t>3</w:t>
      </w:r>
      <w:r>
        <w:rPr>
          <w:rFonts w:hAnsi="宋体" w:cs="宋体"/>
          <w:szCs w:val="21"/>
          <w:lang w:val="zh-CN"/>
        </w:rPr>
        <w:t>.2</w:t>
      </w:r>
      <w:r>
        <w:rPr>
          <w:rFonts w:hint="eastAsia" w:hAnsi="宋体" w:cs="宋体"/>
          <w:szCs w:val="21"/>
          <w:lang w:val="zh-CN"/>
        </w:rPr>
        <w:t>项目实施方案分（满分</w:t>
      </w:r>
      <w:r>
        <w:rPr>
          <w:rFonts w:hAnsi="宋体" w:cs="宋体"/>
          <w:szCs w:val="21"/>
        </w:rPr>
        <w:t>1</w:t>
      </w:r>
      <w:r>
        <w:rPr>
          <w:rFonts w:hint="eastAsia" w:hAnsi="宋体" w:cs="宋体"/>
          <w:szCs w:val="21"/>
          <w:lang w:val="en-US" w:eastAsia="zh-CN"/>
        </w:rPr>
        <w:t>6</w:t>
      </w:r>
      <w:r>
        <w:rPr>
          <w:rFonts w:hint="eastAsia" w:hAnsi="宋体" w:cs="宋体"/>
          <w:szCs w:val="21"/>
          <w:lang w:val="zh-CN"/>
        </w:rPr>
        <w:t>分）</w:t>
      </w:r>
      <w:bookmarkStart w:id="195" w:name="_Hlk143781735"/>
    </w:p>
    <w:p>
      <w:pPr>
        <w:pStyle w:val="12"/>
        <w:spacing w:line="360" w:lineRule="auto"/>
        <w:ind w:left="420"/>
        <w:rPr>
          <w:rFonts w:hint="eastAsia" w:hAnsi="宋体" w:cs="宋体"/>
          <w:szCs w:val="21"/>
        </w:rPr>
      </w:pPr>
      <w:r>
        <w:rPr>
          <w:rFonts w:hint="eastAsia" w:hAnsi="宋体" w:cs="宋体"/>
          <w:szCs w:val="21"/>
          <w:lang w:val="zh-CN"/>
        </w:rPr>
        <w:t>（1）</w:t>
      </w:r>
      <w:r>
        <w:rPr>
          <w:rFonts w:hint="eastAsia" w:hAnsi="宋体" w:cs="宋体"/>
          <w:szCs w:val="21"/>
        </w:rPr>
        <w:t>技术方案分</w:t>
      </w:r>
      <w:bookmarkEnd w:id="195"/>
      <w:r>
        <w:rPr>
          <w:rFonts w:hint="eastAsia" w:hAnsi="宋体" w:cs="宋体"/>
          <w:szCs w:val="21"/>
        </w:rPr>
        <w:t>（满分</w:t>
      </w:r>
      <w:r>
        <w:rPr>
          <w:rFonts w:hint="eastAsia" w:hAnsi="宋体" w:cs="宋体"/>
          <w:szCs w:val="21"/>
          <w:lang w:val="en-US" w:eastAsia="zh-CN"/>
        </w:rPr>
        <w:t>8</w:t>
      </w:r>
      <w:r>
        <w:rPr>
          <w:rFonts w:hint="eastAsia" w:hAnsi="宋体" w:cs="宋体"/>
          <w:szCs w:val="21"/>
        </w:rPr>
        <w:t>分）</w:t>
      </w:r>
    </w:p>
    <w:p>
      <w:pPr>
        <w:pStyle w:val="12"/>
        <w:spacing w:line="360" w:lineRule="auto"/>
        <w:ind w:firstLine="420" w:firstLineChars="200"/>
        <w:rPr>
          <w:rFonts w:hint="eastAsia" w:hAnsi="宋体" w:cs="宋体"/>
          <w:szCs w:val="21"/>
        </w:rPr>
      </w:pPr>
      <w:r>
        <w:rPr>
          <w:rFonts w:hint="eastAsia" w:hAnsi="宋体" w:cs="宋体"/>
          <w:szCs w:val="21"/>
        </w:rPr>
        <w:t>评委根据投标人提供的项目技术方案（至少包含：①项目的需求理解、②功能描述、③总体框架设计、④分项系统设计方案）内容的完整性、可行性、针对性进行独立评审并按以下规则独立打分：</w:t>
      </w:r>
    </w:p>
    <w:p>
      <w:pPr>
        <w:pStyle w:val="12"/>
        <w:spacing w:line="360" w:lineRule="auto"/>
        <w:ind w:firstLine="420" w:firstLineChars="200"/>
        <w:rPr>
          <w:rFonts w:hAnsi="Courier New" w:cs="Times New Roman"/>
          <w:szCs w:val="20"/>
        </w:rPr>
      </w:pPr>
      <w:r>
        <w:rPr>
          <w:rFonts w:hint="eastAsia" w:hAnsi="宋体" w:cs="宋体"/>
          <w:szCs w:val="21"/>
        </w:rPr>
        <w:t>一档（</w:t>
      </w:r>
      <w:r>
        <w:rPr>
          <w:rFonts w:hAnsi="宋体" w:cs="宋体"/>
          <w:szCs w:val="21"/>
        </w:rPr>
        <w:t>0</w:t>
      </w:r>
      <w:r>
        <w:rPr>
          <w:rFonts w:hint="eastAsia" w:hAnsi="宋体" w:cs="宋体"/>
          <w:szCs w:val="21"/>
        </w:rPr>
        <w:t>分）：未提供技术方案</w:t>
      </w:r>
      <w:r>
        <w:rPr>
          <w:rFonts w:hint="eastAsia" w:hAnsi="宋体" w:cs="宋体"/>
          <w:szCs w:val="21"/>
          <w:lang w:val="en-US" w:eastAsia="zh-CN"/>
        </w:rPr>
        <w:t>或提供的技术方案不能满足需求</w:t>
      </w:r>
      <w:r>
        <w:rPr>
          <w:rFonts w:hint="eastAsia" w:hAnsi="宋体" w:cs="宋体"/>
          <w:szCs w:val="21"/>
        </w:rPr>
        <w:t>；</w:t>
      </w:r>
    </w:p>
    <w:p>
      <w:pPr>
        <w:pStyle w:val="12"/>
        <w:spacing w:line="360" w:lineRule="auto"/>
        <w:ind w:firstLine="420" w:firstLineChars="200"/>
        <w:rPr>
          <w:rFonts w:hAnsi="宋体" w:cs="宋体"/>
          <w:szCs w:val="21"/>
        </w:rPr>
      </w:pPr>
      <w:r>
        <w:rPr>
          <w:rFonts w:hint="eastAsia" w:hAnsi="宋体" w:cs="宋体"/>
          <w:szCs w:val="21"/>
        </w:rPr>
        <w:t>二档（</w:t>
      </w:r>
      <w:r>
        <w:rPr>
          <w:rFonts w:hAnsi="宋体" w:cs="宋体"/>
          <w:szCs w:val="21"/>
        </w:rPr>
        <w:t>2</w:t>
      </w:r>
      <w:r>
        <w:rPr>
          <w:rFonts w:hint="eastAsia" w:hAnsi="宋体" w:cs="宋体"/>
          <w:szCs w:val="21"/>
        </w:rPr>
        <w:t>分）：技术方案总体需求理解及功能描述不全，对上述要求的关键技术点描述不够全面，没有重点、难点描述，没有设备部署方案，但基本满足建设需求；</w:t>
      </w:r>
    </w:p>
    <w:p>
      <w:pPr>
        <w:pStyle w:val="12"/>
        <w:spacing w:line="360" w:lineRule="auto"/>
        <w:ind w:firstLine="420" w:firstLineChars="200"/>
        <w:rPr>
          <w:rFonts w:hAnsi="宋体" w:cs="宋体"/>
          <w:szCs w:val="21"/>
          <w:lang w:val="zh-CN"/>
        </w:rPr>
      </w:pPr>
      <w:r>
        <w:rPr>
          <w:rFonts w:hint="eastAsia" w:hAnsi="宋体" w:cs="宋体"/>
          <w:szCs w:val="21"/>
          <w:lang w:val="zh-CN"/>
        </w:rPr>
        <w:t>三档（</w:t>
      </w:r>
      <w:r>
        <w:rPr>
          <w:rFonts w:hAnsi="宋体" w:cs="宋体"/>
          <w:szCs w:val="21"/>
          <w:lang w:val="zh-CN"/>
        </w:rPr>
        <w:t>5</w:t>
      </w:r>
      <w:r>
        <w:rPr>
          <w:rFonts w:hint="eastAsia" w:hAnsi="宋体" w:cs="宋体"/>
          <w:szCs w:val="21"/>
          <w:lang w:val="zh-CN"/>
        </w:rPr>
        <w:t>分）：技术方案详细、可行，对总体需求及功能描述全面，</w:t>
      </w:r>
      <w:r>
        <w:rPr>
          <w:rFonts w:hAnsi="宋体"/>
        </w:rPr>
        <w:t>对系统的网络设计及功能描述较为完整</w:t>
      </w:r>
      <w:r>
        <w:rPr>
          <w:rFonts w:hint="eastAsia" w:hAnsi="宋体"/>
        </w:rPr>
        <w:t>，</w:t>
      </w:r>
      <w:r>
        <w:rPr>
          <w:rFonts w:hint="eastAsia" w:hAnsi="宋体" w:cs="宋体"/>
          <w:szCs w:val="21"/>
          <w:lang w:val="zh-CN"/>
        </w:rPr>
        <w:t>对上述要求关键技术点描述到位，有重点、难点描述，有设备部署方案，完全满足建设需求；</w:t>
      </w:r>
    </w:p>
    <w:p>
      <w:pPr>
        <w:pStyle w:val="12"/>
        <w:spacing w:line="360" w:lineRule="auto"/>
        <w:ind w:firstLine="420" w:firstLineChars="200"/>
        <w:rPr>
          <w:rFonts w:hint="eastAsia" w:hAnsi="宋体" w:cs="宋体"/>
          <w:szCs w:val="21"/>
        </w:rPr>
      </w:pPr>
      <w:r>
        <w:rPr>
          <w:rFonts w:hint="eastAsia" w:hAnsi="宋体" w:cs="宋体"/>
          <w:szCs w:val="21"/>
        </w:rPr>
        <w:t>四档（</w:t>
      </w:r>
      <w:r>
        <w:rPr>
          <w:rFonts w:hAnsi="宋体" w:cs="宋体"/>
          <w:szCs w:val="21"/>
        </w:rPr>
        <w:t>8</w:t>
      </w:r>
      <w:r>
        <w:rPr>
          <w:rFonts w:hint="eastAsia" w:hAnsi="宋体" w:cs="宋体"/>
          <w:szCs w:val="21"/>
        </w:rPr>
        <w:t>分）：技术方案详细、先进，对总体需求及功能描述透彻，对上述要求关键技术点描述清晰、到位，准确把握本项目的技术重点、难点，</w:t>
      </w:r>
      <w:r>
        <w:rPr>
          <w:rFonts w:hAnsi="宋体"/>
        </w:rPr>
        <w:t>在系统结构设计、组网设计、组网要求上进行详细阐述，对项目中系统设备的部署描述正确，</w:t>
      </w:r>
      <w:r>
        <w:rPr>
          <w:rFonts w:hint="eastAsia" w:hAnsi="宋体"/>
          <w:szCs w:val="21"/>
        </w:rPr>
        <w:t>方案中能根据现场实际情况提供本次项目主要点位及设备布置平面图、拓扑图且图纸清晰、明确，各功能区域规划合理，</w:t>
      </w:r>
      <w:r>
        <w:rPr>
          <w:rFonts w:hint="eastAsia" w:hAnsi="宋体" w:cs="宋体"/>
          <w:szCs w:val="21"/>
          <w:lang w:val="zh-CN"/>
        </w:rPr>
        <w:t>完全满足建设需求</w:t>
      </w:r>
      <w:r>
        <w:rPr>
          <w:rFonts w:hint="eastAsia" w:hAnsi="宋体" w:cs="宋体"/>
          <w:szCs w:val="21"/>
        </w:rPr>
        <w:t>。</w:t>
      </w:r>
    </w:p>
    <w:p>
      <w:pPr>
        <w:pStyle w:val="12"/>
        <w:spacing w:line="360" w:lineRule="auto"/>
        <w:ind w:firstLine="420" w:firstLineChars="200"/>
        <w:rPr>
          <w:rFonts w:hint="eastAsia" w:hAnsi="宋体" w:cs="宋体"/>
          <w:szCs w:val="21"/>
        </w:rPr>
      </w:pPr>
      <w:r>
        <w:rPr>
          <w:rFonts w:hint="eastAsia" w:hAnsi="宋体" w:cs="宋体"/>
          <w:szCs w:val="21"/>
          <w:lang w:val="zh-CN"/>
        </w:rPr>
        <w:t>（</w:t>
      </w:r>
      <w:r>
        <w:rPr>
          <w:rFonts w:hAnsi="宋体" w:cs="宋体"/>
          <w:szCs w:val="21"/>
          <w:lang w:val="zh-CN"/>
        </w:rPr>
        <w:t>2</w:t>
      </w:r>
      <w:r>
        <w:rPr>
          <w:rFonts w:hint="eastAsia" w:hAnsi="宋体" w:cs="宋体"/>
          <w:szCs w:val="21"/>
          <w:lang w:val="zh-CN"/>
        </w:rPr>
        <w:t>）实施方案分（</w:t>
      </w:r>
      <w:r>
        <w:rPr>
          <w:rFonts w:hint="eastAsia" w:hAnsi="宋体" w:cs="宋体"/>
          <w:szCs w:val="21"/>
        </w:rPr>
        <w:t>满分</w:t>
      </w:r>
      <w:r>
        <w:rPr>
          <w:rFonts w:hint="eastAsia" w:hAnsi="宋体" w:cs="宋体"/>
          <w:szCs w:val="21"/>
          <w:lang w:val="en-US" w:eastAsia="zh-CN"/>
        </w:rPr>
        <w:t>8</w:t>
      </w:r>
      <w:r>
        <w:rPr>
          <w:rFonts w:hint="eastAsia" w:hAnsi="宋体" w:cs="宋体"/>
          <w:szCs w:val="21"/>
          <w:lang w:val="zh-CN"/>
        </w:rPr>
        <w:t>分）</w:t>
      </w:r>
    </w:p>
    <w:p>
      <w:pPr>
        <w:pStyle w:val="12"/>
        <w:spacing w:line="360" w:lineRule="auto"/>
        <w:ind w:firstLine="420" w:firstLineChars="200"/>
        <w:rPr>
          <w:rFonts w:hint="eastAsia" w:hAnsi="宋体" w:cs="宋体"/>
          <w:szCs w:val="21"/>
        </w:rPr>
      </w:pPr>
      <w:r>
        <w:rPr>
          <w:rFonts w:hint="eastAsia" w:hAnsi="宋体" w:cs="宋体"/>
          <w:szCs w:val="21"/>
        </w:rPr>
        <w:t>由评委根据投标人提供的项目实施方案的完整性、科学合理性、针对性等方面进行综合评定并在各档次内独立打分。</w:t>
      </w:r>
    </w:p>
    <w:p>
      <w:pPr>
        <w:pStyle w:val="12"/>
        <w:spacing w:line="360" w:lineRule="auto"/>
        <w:ind w:firstLine="420" w:firstLineChars="200"/>
        <w:rPr>
          <w:rFonts w:hAnsi="Courier New" w:cs="Times New Roman"/>
          <w:szCs w:val="20"/>
        </w:rPr>
      </w:pPr>
      <w:r>
        <w:rPr>
          <w:rFonts w:hint="eastAsia" w:hAnsi="宋体" w:cs="宋体"/>
          <w:szCs w:val="21"/>
        </w:rPr>
        <w:t>一档（</w:t>
      </w:r>
      <w:r>
        <w:rPr>
          <w:rFonts w:hAnsi="宋体" w:cs="宋体"/>
          <w:szCs w:val="21"/>
        </w:rPr>
        <w:t>0</w:t>
      </w:r>
      <w:r>
        <w:rPr>
          <w:rFonts w:hint="eastAsia" w:hAnsi="宋体" w:cs="宋体"/>
          <w:szCs w:val="21"/>
        </w:rPr>
        <w:t>分）：未提供实施方案</w:t>
      </w:r>
      <w:r>
        <w:rPr>
          <w:rFonts w:hint="eastAsia" w:hAnsi="宋体" w:cs="宋体"/>
          <w:szCs w:val="21"/>
          <w:lang w:val="en-US" w:eastAsia="zh-CN"/>
        </w:rPr>
        <w:t>或提供的实施方案不满足项目需求</w:t>
      </w:r>
      <w:r>
        <w:rPr>
          <w:rFonts w:hint="eastAsia" w:hAnsi="宋体" w:cs="宋体"/>
          <w:szCs w:val="21"/>
        </w:rPr>
        <w:t>。</w:t>
      </w:r>
    </w:p>
    <w:p>
      <w:pPr>
        <w:pStyle w:val="12"/>
        <w:spacing w:line="360" w:lineRule="auto"/>
        <w:ind w:firstLine="420" w:firstLineChars="200"/>
        <w:rPr>
          <w:rFonts w:hAnsi="宋体" w:cs="宋体"/>
          <w:szCs w:val="21"/>
        </w:rPr>
      </w:pPr>
      <w:r>
        <w:rPr>
          <w:rFonts w:hint="eastAsia" w:hAnsi="宋体" w:cs="宋体"/>
          <w:szCs w:val="21"/>
        </w:rPr>
        <w:t>二档（</w:t>
      </w:r>
      <w:r>
        <w:rPr>
          <w:rFonts w:hAnsi="宋体" w:cs="宋体"/>
          <w:szCs w:val="21"/>
        </w:rPr>
        <w:t>2</w:t>
      </w:r>
      <w:r>
        <w:rPr>
          <w:rFonts w:hint="eastAsia" w:hAnsi="宋体" w:cs="宋体"/>
          <w:szCs w:val="21"/>
        </w:rPr>
        <w:t>分）：提供了整体项目的实施方案，满足采购需求，拟投入本项目的实施人员为</w:t>
      </w:r>
      <w:r>
        <w:rPr>
          <w:rFonts w:hAnsi="宋体" w:cs="宋体"/>
          <w:szCs w:val="21"/>
        </w:rPr>
        <w:t>6</w:t>
      </w:r>
      <w:r>
        <w:rPr>
          <w:rFonts w:hint="eastAsia" w:hAnsi="宋体" w:cs="宋体"/>
          <w:szCs w:val="21"/>
        </w:rPr>
        <w:t>至</w:t>
      </w:r>
      <w:r>
        <w:rPr>
          <w:rFonts w:hAnsi="宋体" w:cs="宋体"/>
          <w:szCs w:val="21"/>
        </w:rPr>
        <w:t>7</w:t>
      </w:r>
      <w:r>
        <w:rPr>
          <w:rFonts w:hint="eastAsia" w:hAnsi="宋体" w:cs="宋体"/>
          <w:szCs w:val="21"/>
        </w:rPr>
        <w:t>人。</w:t>
      </w:r>
    </w:p>
    <w:p>
      <w:pPr>
        <w:pStyle w:val="12"/>
        <w:spacing w:line="360" w:lineRule="auto"/>
        <w:ind w:firstLine="420" w:firstLineChars="200"/>
        <w:rPr>
          <w:rFonts w:hAnsi="宋体" w:cs="宋体"/>
          <w:szCs w:val="21"/>
        </w:rPr>
      </w:pPr>
      <w:r>
        <w:rPr>
          <w:rFonts w:hint="eastAsia" w:hAnsi="宋体" w:cs="宋体"/>
          <w:szCs w:val="21"/>
        </w:rPr>
        <w:t>三档（</w:t>
      </w:r>
      <w:r>
        <w:rPr>
          <w:rFonts w:hAnsi="宋体" w:cs="宋体"/>
          <w:szCs w:val="21"/>
        </w:rPr>
        <w:t>5</w:t>
      </w:r>
      <w:r>
        <w:rPr>
          <w:rFonts w:hint="eastAsia" w:hAnsi="宋体" w:cs="宋体"/>
          <w:szCs w:val="21"/>
        </w:rPr>
        <w:t>分）：实施方案内容详细、合理，安装调试方案和验收方法或方案合理，项目实施方案切实可行，项目实施的设备力量和人力资源安排能满足项目实施要求。有施工组织机构，施工段划分合理，具有与劳动力和材料相关的资源优化配置方案；对项目实施进度和质量把控一般，具有进度控制方案，能提供施工进度计划、工期保证措施，具有质量控制方案，能提供质量管理制度、质量保证措施；提供项目风险管理措施、项目实施管理文档计划；拟投入本项目的实施人员为</w:t>
      </w:r>
      <w:r>
        <w:rPr>
          <w:rFonts w:hint="eastAsia" w:hAnsi="宋体" w:cs="宋体"/>
          <w:szCs w:val="21"/>
          <w:lang w:val="en-US" w:eastAsia="zh-CN"/>
        </w:rPr>
        <w:t>8</w:t>
      </w:r>
      <w:r>
        <w:rPr>
          <w:rFonts w:hint="eastAsia" w:hAnsi="宋体" w:cs="宋体"/>
          <w:szCs w:val="21"/>
        </w:rPr>
        <w:t>至10人，实施人员中有</w:t>
      </w:r>
      <w:r>
        <w:rPr>
          <w:rFonts w:hint="eastAsia" w:hAnsi="宋体" w:cs="宋体"/>
          <w:szCs w:val="21"/>
          <w:lang w:val="en-US" w:eastAsia="zh-CN"/>
        </w:rPr>
        <w:t>1</w:t>
      </w:r>
      <w:r>
        <w:rPr>
          <w:rFonts w:hint="eastAsia" w:hAnsi="宋体" w:cs="宋体"/>
          <w:szCs w:val="21"/>
        </w:rPr>
        <w:t>名具备信息类高级工程师，满足以上需求并提供证书复印件并加盖投标人CA签章；（人员与售后团队中信息类高级工程师不为同一人）。</w:t>
      </w:r>
    </w:p>
    <w:p>
      <w:pPr>
        <w:pStyle w:val="12"/>
        <w:spacing w:line="360" w:lineRule="auto"/>
        <w:ind w:firstLine="420" w:firstLineChars="200"/>
        <w:rPr>
          <w:rFonts w:hAnsi="宋体" w:cs="宋体"/>
          <w:szCs w:val="21"/>
        </w:rPr>
      </w:pPr>
      <w:r>
        <w:rPr>
          <w:rFonts w:hint="eastAsia" w:hAnsi="宋体" w:cs="宋体"/>
          <w:szCs w:val="21"/>
        </w:rPr>
        <w:t>四档（</w:t>
      </w:r>
      <w:r>
        <w:rPr>
          <w:rFonts w:hAnsi="宋体" w:cs="宋体"/>
          <w:szCs w:val="21"/>
        </w:rPr>
        <w:t>8</w:t>
      </w:r>
      <w:r>
        <w:rPr>
          <w:rFonts w:hint="eastAsia" w:hAnsi="宋体" w:cs="宋体"/>
          <w:szCs w:val="21"/>
        </w:rPr>
        <w:t>分）：实施方案条理清晰、方案明确，实施方案科学合理、有针对性；有具体的工程进度计划和管理措施；项目实施的设备力量和人力资源安排充足有保证，技术服务、技术培训的服务内容和措施完善。有详细可行的施工组织机构管理及保障措施，对项目实施进度和质量把控合理，具有进度控制方案，能提供工期保证措施、赶工计划，具有质量控制方案，能提供质量管理制度、质量保证措施；提供项目风险管理措施、项目实施管理文档计划、验收方案；有详细可行的项目管理制度、沟通机制和施工管理措施；投标人实施能力强，拟投入本项目的实施人员大于10人，实施人员中有</w:t>
      </w:r>
      <w:r>
        <w:rPr>
          <w:rFonts w:hint="eastAsia" w:hAnsi="宋体" w:cs="宋体"/>
          <w:szCs w:val="21"/>
          <w:lang w:val="en-US" w:eastAsia="zh-CN"/>
        </w:rPr>
        <w:t>1</w:t>
      </w:r>
      <w:r>
        <w:rPr>
          <w:rFonts w:hint="eastAsia" w:hAnsi="宋体" w:cs="宋体"/>
          <w:szCs w:val="21"/>
        </w:rPr>
        <w:t>名具备信息类高级工程师，1名网络规划设计师（高级），满足以上需求并提供证书复印件并加盖投标人CA签章。</w:t>
      </w:r>
      <w:bookmarkStart w:id="196" w:name="_Hlk157697623"/>
      <w:r>
        <w:rPr>
          <w:rFonts w:hint="eastAsia" w:hAnsi="宋体" w:cs="宋体"/>
          <w:szCs w:val="21"/>
        </w:rPr>
        <w:t>（人员与售后团队中信息类高级工程师不为同一人）</w:t>
      </w:r>
      <w:bookmarkEnd w:id="196"/>
      <w:r>
        <w:rPr>
          <w:rFonts w:hint="eastAsia" w:hAnsi="宋体" w:cs="宋体"/>
          <w:szCs w:val="21"/>
        </w:rPr>
        <w:t>；得</w:t>
      </w:r>
      <w:r>
        <w:rPr>
          <w:rFonts w:hint="eastAsia" w:hAnsi="宋体" w:cs="宋体"/>
          <w:szCs w:val="21"/>
          <w:lang w:val="en-US" w:eastAsia="zh-CN"/>
        </w:rPr>
        <w:t>8</w:t>
      </w:r>
      <w:r>
        <w:rPr>
          <w:rFonts w:hint="eastAsia" w:hAnsi="宋体" w:cs="宋体"/>
          <w:szCs w:val="21"/>
        </w:rPr>
        <w:t>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4、售后服务分…………………………………………………………………………………………………满分</w:t>
      </w:r>
      <w:r>
        <w:rPr>
          <w:rFonts w:hint="eastAsia" w:ascii="宋体" w:hAnsi="宋体" w:cs="宋体"/>
          <w:b/>
          <w:bCs/>
          <w:color w:val="000000" w:themeColor="text1"/>
          <w:sz w:val="21"/>
          <w:szCs w:val="21"/>
          <w:lang w:val="en-US" w:eastAsia="zh-CN"/>
          <w14:textFill>
            <w14:solidFill>
              <w14:schemeClr w14:val="tx1"/>
            </w14:solidFill>
          </w14:textFill>
        </w:rPr>
        <w:t>6</w:t>
      </w:r>
      <w:r>
        <w:rPr>
          <w:rFonts w:hint="eastAsia" w:ascii="宋体" w:hAnsi="宋体" w:eastAsia="宋体" w:cs="宋体"/>
          <w:b/>
          <w:bCs/>
          <w:color w:val="000000" w:themeColor="text1"/>
          <w:sz w:val="21"/>
          <w:szCs w:val="21"/>
          <w:lang w:val="en-US" w:eastAsia="zh-CN"/>
          <w14:textFill>
            <w14:solidFill>
              <w14:schemeClr w14:val="tx1"/>
            </w14:solidFill>
          </w14:textFill>
        </w:rPr>
        <w:t>分</w:t>
      </w:r>
      <w:bookmarkEnd w:id="194"/>
    </w:p>
    <w:p>
      <w:pPr>
        <w:pStyle w:val="12"/>
        <w:spacing w:line="360" w:lineRule="auto"/>
        <w:ind w:firstLine="420" w:firstLineChars="200"/>
        <w:rPr>
          <w:rFonts w:hint="eastAsia" w:hAnsi="宋体" w:cs="宋体"/>
          <w:szCs w:val="21"/>
        </w:rPr>
      </w:pPr>
      <w:r>
        <w:rPr>
          <w:rFonts w:hint="eastAsia" w:hAnsi="宋体" w:cs="宋体"/>
          <w:szCs w:val="21"/>
        </w:rPr>
        <w:t>评委根据供应商提供的售后服务方案（至少包含：①售后维护人员配备情况；②对系统设备定期巡检维护(注明时间)方案；③故障响应解决方案等）内容的完整性、可行性、针对性进行独立评审并按以下规则独立打分：</w:t>
      </w:r>
    </w:p>
    <w:p>
      <w:pPr>
        <w:pStyle w:val="12"/>
        <w:spacing w:line="360" w:lineRule="auto"/>
        <w:ind w:firstLine="420" w:firstLineChars="200"/>
        <w:rPr>
          <w:rFonts w:hint="eastAsia" w:hAnsi="宋体" w:cs="宋体"/>
          <w:szCs w:val="21"/>
        </w:rPr>
      </w:pPr>
      <w:r>
        <w:rPr>
          <w:rFonts w:hint="eastAsia" w:hAnsi="宋体" w:cs="宋体"/>
          <w:szCs w:val="21"/>
        </w:rPr>
        <w:t>一档（1分）：售后服务方案的完整性、可行性、针对性等方面描述简单，有售后服务团队，拟投入本项目的售后服务人员为</w:t>
      </w:r>
      <w:r>
        <w:rPr>
          <w:rFonts w:hint="eastAsia" w:hAnsi="宋体" w:cs="宋体"/>
          <w:szCs w:val="21"/>
          <w:lang w:val="en-US" w:eastAsia="zh-CN"/>
        </w:rPr>
        <w:t>3</w:t>
      </w:r>
      <w:r>
        <w:rPr>
          <w:rFonts w:hint="eastAsia" w:hAnsi="宋体" w:cs="宋体"/>
          <w:szCs w:val="21"/>
        </w:rPr>
        <w:t>至5人，满足以上需求并提供证书复印件并加盖投标人CA签章；承诺维护期内每年进行1次巡检工作并提交巡检报告；承诺满足故障响应要求。</w:t>
      </w:r>
    </w:p>
    <w:p>
      <w:pPr>
        <w:pStyle w:val="12"/>
        <w:spacing w:line="360" w:lineRule="auto"/>
        <w:ind w:firstLine="420" w:firstLineChars="200"/>
        <w:rPr>
          <w:rFonts w:hint="eastAsia" w:hAnsi="宋体" w:cs="宋体"/>
          <w:szCs w:val="21"/>
        </w:rPr>
      </w:pPr>
      <w:r>
        <w:rPr>
          <w:rFonts w:hint="eastAsia" w:hAnsi="宋体" w:cs="宋体"/>
          <w:szCs w:val="21"/>
        </w:rPr>
        <w:t>二档（3分）：售后服务方案的完整性、可行性、针对性等方面描述详细；有售后服务团队，拟投入本项目的售后服务人员为6-10人，售后人员中有</w:t>
      </w:r>
      <w:r>
        <w:rPr>
          <w:rFonts w:hint="eastAsia" w:hAnsi="宋体" w:cs="宋体"/>
          <w:szCs w:val="21"/>
          <w:lang w:val="en-US" w:eastAsia="zh-CN"/>
        </w:rPr>
        <w:t>1</w:t>
      </w:r>
      <w:r>
        <w:rPr>
          <w:rFonts w:hint="eastAsia" w:hAnsi="宋体" w:cs="宋体"/>
          <w:szCs w:val="21"/>
        </w:rPr>
        <w:t>名具备信息类高级工程师（人员与实施团队中信息类高级工程师不为同一人），满足以上需求并提供证书复印件并加盖投标人CA签章；且并承诺维护期内每半年进行1次巡检工作并提交巡检报告，针对巡检发现问题提出具体可行的优化改进意见和措施；承诺优于故障响应要求。</w:t>
      </w:r>
    </w:p>
    <w:p>
      <w:pPr>
        <w:pStyle w:val="12"/>
        <w:spacing w:line="360" w:lineRule="auto"/>
        <w:ind w:firstLine="420" w:firstLineChars="200"/>
        <w:rPr>
          <w:rFonts w:hint="eastAsia" w:hAnsi="宋体" w:cs="宋体"/>
          <w:szCs w:val="21"/>
          <w:lang w:eastAsia="zh-CN"/>
        </w:rPr>
      </w:pPr>
      <w:r>
        <w:rPr>
          <w:rFonts w:hint="eastAsia" w:hAnsi="宋体" w:cs="宋体"/>
          <w:szCs w:val="21"/>
        </w:rPr>
        <w:t>三档（6分）：售后服务方案的完整性、可行性、针对性等方面描述详细并提出售后服务中主要痛点、难点和服务保障措施。有专业的售后服务团队，拟投入本项目的售后服务人员不少于10人；售后服务团队主要人员中有</w:t>
      </w:r>
      <w:r>
        <w:rPr>
          <w:rFonts w:hint="eastAsia" w:hAnsi="宋体" w:cs="宋体"/>
          <w:szCs w:val="21"/>
          <w:lang w:val="en-US" w:eastAsia="zh-CN"/>
        </w:rPr>
        <w:t>1</w:t>
      </w:r>
      <w:r>
        <w:rPr>
          <w:rFonts w:hint="eastAsia" w:hAnsi="宋体" w:cs="宋体"/>
          <w:szCs w:val="21"/>
        </w:rPr>
        <w:t>名信息类高级工程师，1名计算机科学与技术高级工程师；满足以上需求并提供证书复印件并加盖投标人CA签章（人员与实施团队中信息类高级工程师不为同一人）。售后服务人员技术能力与工作职责分配合理，且并承诺维护期内每季度进行1次巡检工作并提供巡检报告，对巡检发现问题提出具体可行的优化改进意见和措施；承诺优于故障响应要求</w:t>
      </w:r>
      <w:r>
        <w:rPr>
          <w:rFonts w:hint="eastAsia" w:hAnsi="宋体" w:cs="宋体"/>
          <w:szCs w:val="21"/>
          <w:lang w:eastAsia="zh-CN"/>
        </w:rPr>
        <w:t>。</w:t>
      </w:r>
    </w:p>
    <w:p>
      <w:pPr>
        <w:pStyle w:val="12"/>
        <w:spacing w:line="360" w:lineRule="auto"/>
        <w:ind w:firstLine="420" w:firstLineChars="200"/>
        <w:rPr>
          <w:rFonts w:hAnsi="宋体" w:cs="宋体"/>
          <w:szCs w:val="21"/>
        </w:rPr>
      </w:pPr>
      <w:r>
        <w:rPr>
          <w:rFonts w:hint="eastAsia" w:hAnsi="宋体" w:cs="宋体"/>
          <w:b/>
          <w:bCs/>
          <w:szCs w:val="21"/>
          <w:lang w:eastAsia="zh-CN"/>
        </w:rPr>
        <w:t>（</w:t>
      </w:r>
      <w:r>
        <w:rPr>
          <w:rFonts w:hint="eastAsia" w:ascii="宋体" w:hAnsi="宋体" w:cs="宋体"/>
          <w:b/>
          <w:bCs/>
          <w:color w:val="000000"/>
        </w:rPr>
        <w:t>故障响应要求：在接到采购人故障报修后1小时内响应，4小时内到达故障现场，一般故障（不需要更换设备的）修复时间24小时以内，重大故障（需要更换设备的）的修复时间48小时以内。如故障不能在48小时内解决，免费保修(质保)期内成交供应商必须提供与原设备技术参数要求相同或高于原设备技术参数要求的备用产品供采购人使用，且不收取任何费用</w:t>
      </w:r>
      <w:r>
        <w:rPr>
          <w:rFonts w:hint="eastAsia" w:hAnsi="宋体" w:cs="宋体"/>
          <w:b/>
          <w:bCs/>
          <w:szCs w:val="21"/>
          <w:lang w:eastAsia="zh-CN"/>
        </w:rPr>
        <w:t>）</w:t>
      </w:r>
      <w:r>
        <w:rPr>
          <w:rFonts w:hint="eastAsia" w:hAnsi="宋体" w:cs="宋体"/>
          <w:szCs w:val="21"/>
        </w:rPr>
        <w:t>。</w:t>
      </w:r>
    </w:p>
    <w:p>
      <w:pPr>
        <w:keepNext w:val="0"/>
        <w:keepLines w:val="0"/>
        <w:pageBreakBefore w:val="0"/>
        <w:kinsoku/>
        <w:wordWrap/>
        <w:overflowPunct/>
        <w:topLinePunct w:val="0"/>
        <w:autoSpaceDE/>
        <w:autoSpaceDN/>
        <w:bidi w:val="0"/>
        <w:adjustRightInd/>
        <w:snapToGrid/>
        <w:spacing w:line="360" w:lineRule="exact"/>
        <w:ind w:left="0" w:leftChars="0" w:firstLine="0" w:firstLineChars="0"/>
        <w:jc w:val="left"/>
        <w:textAlignment w:val="auto"/>
        <w:rPr>
          <w:rFonts w:hint="eastAsia" w:ascii="宋体" w:hAnsi="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5、政策功能分………</w:t>
      </w:r>
      <w:r>
        <w:rPr>
          <w:rFonts w:hint="eastAsia" w:ascii="宋体" w:hAnsi="宋体" w:cs="宋体"/>
          <w:b/>
          <w:color w:val="000000" w:themeColor="text1"/>
          <w:szCs w:val="21"/>
          <w14:textFill>
            <w14:solidFill>
              <w14:schemeClr w14:val="tx1"/>
            </w14:solidFill>
          </w14:textFill>
        </w:rPr>
        <w:t>…………………</w:t>
      </w:r>
      <w:r>
        <w:rPr>
          <w:rFonts w:hint="eastAsia" w:ascii="宋体" w:hAnsi="宋体" w:eastAsia="宋体" w:cs="宋体"/>
          <w:b/>
          <w:color w:val="000000" w:themeColor="text1"/>
          <w:szCs w:val="21"/>
          <w:highlight w:val="none"/>
          <w14:textFill>
            <w14:solidFill>
              <w14:schemeClr w14:val="tx1"/>
            </w14:solidFill>
          </w14:textFill>
        </w:rPr>
        <w:t>……</w:t>
      </w:r>
      <w:r>
        <w:rPr>
          <w:rFonts w:hint="eastAsia" w:ascii="宋体" w:hAnsi="宋体" w:cs="宋体"/>
          <w:b/>
          <w:color w:val="000000" w:themeColor="text1"/>
          <w:szCs w:val="21"/>
          <w14:textFill>
            <w14:solidFill>
              <w14:schemeClr w14:val="tx1"/>
            </w14:solidFill>
          </w14:textFill>
        </w:rPr>
        <w:t>…………………</w:t>
      </w:r>
      <w:r>
        <w:rPr>
          <w:rFonts w:hint="eastAsia" w:ascii="宋体" w:hAnsi="宋体" w:eastAsia="宋体" w:cs="宋体"/>
          <w:b/>
          <w:color w:val="000000" w:themeColor="text1"/>
          <w:szCs w:val="21"/>
          <w:highlight w:val="none"/>
          <w14:textFill>
            <w14:solidFill>
              <w14:schemeClr w14:val="tx1"/>
            </w14:solidFill>
          </w14:textFill>
        </w:rPr>
        <w:t>……</w:t>
      </w:r>
      <w:r>
        <w:rPr>
          <w:rFonts w:hint="eastAsia" w:ascii="宋体" w:hAnsi="宋体" w:cs="宋体"/>
          <w:b/>
          <w:color w:val="000000" w:themeColor="text1"/>
          <w:szCs w:val="21"/>
          <w14:textFill>
            <w14:solidFill>
              <w14:schemeClr w14:val="tx1"/>
            </w14:solidFill>
          </w14:textFill>
        </w:rPr>
        <w:t>…………………</w:t>
      </w:r>
      <w:r>
        <w:rPr>
          <w:rFonts w:hint="eastAsia" w:ascii="宋体" w:hAnsi="宋体" w:eastAsia="宋体" w:cs="宋体"/>
          <w:b/>
          <w:color w:val="000000" w:themeColor="text1"/>
          <w:szCs w:val="21"/>
          <w:highlight w:val="none"/>
          <w14:textFill>
            <w14:solidFill>
              <w14:schemeClr w14:val="tx1"/>
            </w14:solidFill>
          </w14:textFill>
        </w:rPr>
        <w:t>……</w:t>
      </w:r>
      <w:r>
        <w:rPr>
          <w:rFonts w:hint="eastAsia" w:ascii="宋体" w:hAnsi="宋体" w:cs="宋体"/>
          <w:b/>
          <w:color w:val="000000" w:themeColor="text1"/>
          <w:szCs w:val="21"/>
          <w14:textFill>
            <w14:solidFill>
              <w14:schemeClr w14:val="tx1"/>
            </w14:solidFill>
          </w14:textFill>
        </w:rPr>
        <w:t>…………………</w:t>
      </w:r>
      <w:r>
        <w:rPr>
          <w:rFonts w:hint="eastAsia" w:ascii="宋体" w:hAnsi="宋体" w:cs="宋体"/>
          <w:b/>
          <w:bCs/>
          <w:color w:val="000000" w:themeColor="text1"/>
          <w:szCs w:val="21"/>
          <w14:textFill>
            <w14:solidFill>
              <w14:schemeClr w14:val="tx1"/>
            </w14:solidFill>
          </w14:textFill>
        </w:rPr>
        <w:t>满分</w:t>
      </w:r>
      <w:r>
        <w:rPr>
          <w:rFonts w:hint="eastAsia" w:ascii="宋体" w:hAnsi="宋体" w:cs="宋体"/>
          <w:b/>
          <w:color w:val="000000" w:themeColor="text1"/>
          <w:szCs w:val="21"/>
          <w:highlight w:val="none"/>
          <w:lang w:val="en-US" w:eastAsia="zh-CN"/>
          <w14:textFill>
            <w14:solidFill>
              <w14:schemeClr w14:val="tx1"/>
            </w14:solidFill>
          </w14:textFill>
        </w:rPr>
        <w:t>2</w:t>
      </w:r>
      <w:r>
        <w:rPr>
          <w:rFonts w:hint="eastAsia" w:ascii="宋体" w:hAnsi="宋体" w:cs="宋体"/>
          <w:b/>
          <w:color w:val="000000" w:themeColor="text1"/>
          <w:szCs w:val="21"/>
          <w:highlight w:val="none"/>
          <w14:textFill>
            <w14:solidFill>
              <w14:schemeClr w14:val="tx1"/>
            </w14:solidFill>
          </w14:textFill>
        </w:rPr>
        <w:t>分</w:t>
      </w:r>
    </w:p>
    <w:p>
      <w:pPr>
        <w:pStyle w:val="37"/>
        <w:adjustRightInd w:val="0"/>
        <w:snapToGrid w:val="0"/>
        <w:spacing w:line="400" w:lineRule="exact"/>
        <w:ind w:firstLine="378" w:firstLineChars="18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（1）采购财政部现行《节能产品政府采购清单》目录内（政府强制采购节能产品除外）的产品（提供有效证明复印件）得</w:t>
      </w:r>
      <w:r>
        <w:rPr>
          <w:rFonts w:hint="eastAsia" w:cs="宋体"/>
          <w:color w:val="000000" w:themeColor="text1"/>
          <w:kern w:val="2"/>
          <w:sz w:val="21"/>
          <w:szCs w:val="21"/>
          <w:lang w:val="en-US" w:eastAsia="zh-CN" w:bidi="ar-SA"/>
          <w14:textFill>
            <w14:solidFill>
              <w14:schemeClr w14:val="tx1"/>
            </w14:solidFill>
          </w14:textFill>
        </w:rPr>
        <w:t>1</w:t>
      </w:r>
      <w:r>
        <w:rPr>
          <w:rFonts w:hint="eastAsia" w:ascii="宋体" w:hAnsi="宋体" w:eastAsia="宋体" w:cs="宋体"/>
          <w:color w:val="000000" w:themeColor="text1"/>
          <w:kern w:val="2"/>
          <w:sz w:val="21"/>
          <w:szCs w:val="21"/>
          <w:lang w:val="en-US" w:eastAsia="zh-CN" w:bidi="ar-SA"/>
          <w14:textFill>
            <w14:solidFill>
              <w14:schemeClr w14:val="tx1"/>
            </w14:solidFill>
          </w14:textFill>
        </w:rPr>
        <w:t>分。</w:t>
      </w:r>
    </w:p>
    <w:p>
      <w:pPr>
        <w:pStyle w:val="37"/>
        <w:adjustRightInd w:val="0"/>
        <w:snapToGrid w:val="0"/>
        <w:spacing w:line="400" w:lineRule="exact"/>
        <w:ind w:firstLine="378" w:firstLineChars="18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（2）采购财政部现行《环境标志产品政府采购清单》目录内的产品（提供有效证明复印件）得</w:t>
      </w:r>
      <w:r>
        <w:rPr>
          <w:rFonts w:hint="eastAsia" w:cs="宋体"/>
          <w:color w:val="000000" w:themeColor="text1"/>
          <w:kern w:val="2"/>
          <w:sz w:val="21"/>
          <w:szCs w:val="21"/>
          <w:lang w:val="en-US" w:eastAsia="zh-CN" w:bidi="ar-SA"/>
          <w14:textFill>
            <w14:solidFill>
              <w14:schemeClr w14:val="tx1"/>
            </w14:solidFill>
          </w14:textFill>
        </w:rPr>
        <w:t>1</w:t>
      </w:r>
      <w:r>
        <w:rPr>
          <w:rFonts w:hint="eastAsia" w:ascii="宋体" w:hAnsi="宋体" w:eastAsia="宋体" w:cs="宋体"/>
          <w:color w:val="000000" w:themeColor="text1"/>
          <w:kern w:val="2"/>
          <w:sz w:val="21"/>
          <w:szCs w:val="21"/>
          <w:lang w:val="en-US" w:eastAsia="zh-CN" w:bidi="ar-SA"/>
          <w14:textFill>
            <w14:solidFill>
              <w14:schemeClr w14:val="tx1"/>
            </w14:solidFill>
          </w14:textFill>
        </w:rPr>
        <w:t xml:space="preserve">分。 </w:t>
      </w:r>
    </w:p>
    <w:p>
      <w:pPr>
        <w:pStyle w:val="12"/>
        <w:spacing w:line="440" w:lineRule="exact"/>
        <w:rPr>
          <w:rFonts w:hAnsi="宋体" w:cs="宋体"/>
          <w:b/>
          <w:color w:val="000000" w:themeColor="text1"/>
          <w:w w:val="150"/>
          <w14:textFill>
            <w14:solidFill>
              <w14:schemeClr w14:val="tx1"/>
            </w14:solidFill>
          </w14:textFill>
        </w:rPr>
      </w:pPr>
      <w:r>
        <w:rPr>
          <w:rFonts w:hint="eastAsia" w:hAnsi="宋体" w:cs="宋体"/>
          <w:b/>
          <w:color w:val="000000" w:themeColor="text1"/>
          <w14:textFill>
            <w14:solidFill>
              <w14:schemeClr w14:val="tx1"/>
            </w14:solidFill>
          </w14:textFill>
        </w:rPr>
        <w:t>6</w:t>
      </w:r>
      <w:r>
        <w:rPr>
          <w:rFonts w:hint="eastAsia" w:hAnsi="宋体" w:cs="宋体"/>
          <w:b/>
          <w:color w:val="000000" w:themeColor="text1"/>
          <w:lang w:eastAsia="zh-CN"/>
          <w14:textFill>
            <w14:solidFill>
              <w14:schemeClr w14:val="tx1"/>
            </w14:solidFill>
          </w14:textFill>
        </w:rPr>
        <w:t>、</w:t>
      </w:r>
      <w:r>
        <w:rPr>
          <w:rFonts w:hint="eastAsia" w:hAnsi="宋体" w:cs="宋体"/>
          <w:b/>
          <w:color w:val="000000" w:themeColor="text1"/>
          <w14:textFill>
            <w14:solidFill>
              <w14:schemeClr w14:val="tx1"/>
            </w14:solidFill>
          </w14:textFill>
        </w:rPr>
        <w:t>综合得分＝</w:t>
      </w:r>
      <w:r>
        <w:rPr>
          <w:rFonts w:hint="eastAsia" w:ascii="宋体" w:hAnsi="宋体" w:eastAsia="宋体" w:cs="宋体"/>
          <w:b/>
          <w:bCs/>
          <w:color w:val="000000" w:themeColor="text1"/>
          <w:kern w:val="2"/>
          <w:sz w:val="21"/>
          <w:szCs w:val="21"/>
          <w:lang w:val="en-US" w:eastAsia="zh-CN" w:bidi="ar-SA"/>
          <w14:textFill>
            <w14:solidFill>
              <w14:schemeClr w14:val="tx1"/>
            </w14:solidFill>
          </w14:textFill>
        </w:rPr>
        <w:t>1+2+3+4+5</w:t>
      </w:r>
    </w:p>
    <w:p>
      <w:pPr>
        <w:pStyle w:val="12"/>
        <w:tabs>
          <w:tab w:val="left" w:pos="4214"/>
        </w:tabs>
        <w:spacing w:line="440" w:lineRule="exact"/>
        <w:ind w:firstLine="420" w:firstLineChars="200"/>
        <w:rPr>
          <w:rFonts w:hint="eastAsia" w:ascii="宋体" w:hAnsi="宋体" w:eastAsia="宋体" w:cs="宋体"/>
          <w:szCs w:val="21"/>
        </w:rPr>
      </w:pPr>
      <w:r>
        <w:rPr>
          <w:rFonts w:hint="eastAsia" w:hAnsi="宋体" w:cs="宋体"/>
          <w:b/>
          <w:color w:val="000000" w:themeColor="text1"/>
          <w14:textFill>
            <w14:solidFill>
              <w14:schemeClr w14:val="tx1"/>
            </w14:solidFill>
          </w14:textFill>
        </w:rPr>
        <w:t>三、推荐及确定成交候选供应商原则</w:t>
      </w:r>
    </w:p>
    <w:p>
      <w:pPr>
        <w:pStyle w:val="12"/>
        <w:tabs>
          <w:tab w:val="left" w:pos="4214"/>
        </w:tabs>
        <w:spacing w:line="5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磋商小组应当根据综合评分情况，按照综合得分由高到低顺序推荐成交候选人，并编写评审报告。磋商小组根据综合得分由高到低排列次序，若得分相同时，以评审报价由低到高顺序排列；若得分相同且评审报价相同的，以最后报价由低到高顺序排列；若仍相同的，由磋商小组按照抽签的方式决定排次次序。</w:t>
      </w:r>
    </w:p>
    <w:p>
      <w:pPr>
        <w:pStyle w:val="12"/>
        <w:tabs>
          <w:tab w:val="left" w:pos="4214"/>
        </w:tabs>
        <w:spacing w:line="5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（1）磋商小组可推荐前三名为成交候选人，采购单位应当确定磋商小组推荐排名第一的成交候选人为成交供应商。</w:t>
      </w:r>
    </w:p>
    <w:p>
      <w:pPr>
        <w:pStyle w:val="12"/>
        <w:tabs>
          <w:tab w:val="left" w:pos="4214"/>
        </w:tabs>
        <w:spacing w:line="5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排名第一的成交候选人放弃成交、因不可抗力提出不能履行合同，或者竞争性磋商文件规定应当提交履约保证金（本项目无需缴纳履约保证金）而在规定的期限内未能提交的，或因失信行为被取消成交候选人资格的，采购单位可以确定排名第二的成交候选人为成交供应商。</w:t>
      </w:r>
    </w:p>
    <w:p>
      <w:pPr>
        <w:pStyle w:val="12"/>
        <w:tabs>
          <w:tab w:val="left" w:pos="4214"/>
        </w:tabs>
        <w:spacing w:line="500" w:lineRule="exact"/>
        <w:ind w:firstLine="420" w:firstLineChars="2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（3）排名第二的成交候选人因前款规定的同样原因不能签订合同的，采购单位可以确定排名第三的成交候选人为成交供应商。以此类推</w:t>
      </w:r>
      <w:r>
        <w:rPr>
          <w:rFonts w:hint="eastAsia" w:ascii="宋体" w:hAnsi="宋体" w:eastAsia="宋体" w:cs="宋体"/>
          <w:color w:val="000000" w:themeColor="text1"/>
          <w:szCs w:val="21"/>
          <w:lang w:eastAsia="zh-CN"/>
          <w14:textFill>
            <w14:solidFill>
              <w14:schemeClr w14:val="tx1"/>
            </w14:solidFill>
          </w14:textFill>
        </w:rPr>
        <w:t>。</w:t>
      </w:r>
    </w:p>
    <w:p>
      <w:pPr>
        <w:spacing w:line="360" w:lineRule="auto"/>
        <w:ind w:firstLine="424" w:firstLineChars="202"/>
        <w:jc w:val="lef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lang w:eastAsia="zh-CN"/>
          <w14:textFill>
            <w14:solidFill>
              <w14:schemeClr w14:val="tx1"/>
            </w14:solidFill>
          </w14:textFill>
        </w:rPr>
        <w:t>四</w:t>
      </w:r>
      <w:r>
        <w:rPr>
          <w:rFonts w:hint="eastAsia" w:ascii="宋体" w:hAnsi="宋体" w:cs="宋体"/>
          <w:b/>
          <w:color w:val="000000" w:themeColor="text1"/>
          <w:szCs w:val="21"/>
          <w14:textFill>
            <w14:solidFill>
              <w14:schemeClr w14:val="tx1"/>
            </w14:solidFill>
          </w14:textFill>
        </w:rPr>
        <w:t>、特别说明</w:t>
      </w:r>
    </w:p>
    <w:p>
      <w:pPr>
        <w:spacing w:line="340" w:lineRule="exact"/>
        <w:ind w:firstLine="420" w:firstLineChars="200"/>
        <w:rPr>
          <w:rFonts w:hint="eastAsia"/>
          <w:color w:val="000000" w:themeColor="text1"/>
          <w:lang w:eastAsia="zh-CN"/>
          <w14:textFill>
            <w14:solidFill>
              <w14:schemeClr w14:val="tx1"/>
            </w14:solidFill>
          </w14:textFill>
        </w:rPr>
      </w:pPr>
      <w:r>
        <w:rPr>
          <w:rFonts w:hint="eastAsia" w:ascii="宋体" w:hAnsi="宋体" w:cs="宋体"/>
          <w:b/>
          <w:bCs/>
          <w:color w:val="000000" w:themeColor="text1"/>
          <w:szCs w:val="21"/>
          <w:u w:val="double"/>
          <w:lang w:eastAsia="zh-CN"/>
          <w14:textFill>
            <w14:solidFill>
              <w14:schemeClr w14:val="tx1"/>
            </w14:solidFill>
          </w14:textFill>
        </w:rPr>
        <w:t>磋商</w:t>
      </w:r>
      <w:r>
        <w:rPr>
          <w:rFonts w:hint="eastAsia" w:ascii="宋体" w:hAnsi="宋体" w:cs="宋体"/>
          <w:b/>
          <w:bCs/>
          <w:color w:val="000000" w:themeColor="text1"/>
          <w:szCs w:val="21"/>
          <w:u w:val="double"/>
          <w14:textFill>
            <w14:solidFill>
              <w14:schemeClr w14:val="tx1"/>
            </w14:solidFill>
          </w14:textFill>
        </w:rPr>
        <w:t>时，</w:t>
      </w:r>
      <w:r>
        <w:rPr>
          <w:rFonts w:hint="eastAsia" w:ascii="宋体" w:hAnsi="宋体" w:cs="宋体"/>
          <w:b/>
          <w:bCs/>
          <w:color w:val="000000" w:themeColor="text1"/>
          <w:szCs w:val="21"/>
          <w:u w:val="double"/>
          <w:lang w:eastAsia="zh-CN"/>
          <w14:textFill>
            <w14:solidFill>
              <w14:schemeClr w14:val="tx1"/>
            </w14:solidFill>
          </w14:textFill>
        </w:rPr>
        <w:t>磋商小组</w:t>
      </w:r>
      <w:r>
        <w:rPr>
          <w:rFonts w:hint="eastAsia" w:ascii="宋体" w:hAnsi="宋体" w:cs="宋体"/>
          <w:b/>
          <w:bCs/>
          <w:color w:val="000000" w:themeColor="text1"/>
          <w:szCs w:val="21"/>
          <w:u w:val="double"/>
          <w14:textFill>
            <w14:solidFill>
              <w14:schemeClr w14:val="tx1"/>
            </w14:solidFill>
          </w14:textFill>
        </w:rPr>
        <w:t>认为</w:t>
      </w:r>
      <w:r>
        <w:rPr>
          <w:rFonts w:hint="eastAsia" w:ascii="宋体" w:hAnsi="宋体" w:cs="宋体"/>
          <w:b/>
          <w:bCs/>
          <w:color w:val="000000" w:themeColor="text1"/>
          <w:szCs w:val="21"/>
          <w:u w:val="double"/>
          <w:lang w:eastAsia="zh-CN"/>
          <w14:textFill>
            <w14:solidFill>
              <w14:schemeClr w14:val="tx1"/>
            </w14:solidFill>
          </w14:textFill>
        </w:rPr>
        <w:t>供应商</w:t>
      </w:r>
      <w:r>
        <w:rPr>
          <w:rFonts w:hint="eastAsia" w:ascii="宋体" w:hAnsi="宋体" w:cs="宋体"/>
          <w:b/>
          <w:bCs/>
          <w:color w:val="000000" w:themeColor="text1"/>
          <w:szCs w:val="21"/>
          <w:u w:val="double"/>
          <w14:textFill>
            <w14:solidFill>
              <w14:schemeClr w14:val="tx1"/>
            </w14:solidFill>
          </w14:textFill>
        </w:rPr>
        <w:t>的报价明显低于其他通过符合性审查</w:t>
      </w:r>
      <w:r>
        <w:rPr>
          <w:rFonts w:hint="eastAsia" w:ascii="宋体" w:hAnsi="宋体" w:cs="宋体"/>
          <w:b/>
          <w:bCs/>
          <w:color w:val="000000" w:themeColor="text1"/>
          <w:szCs w:val="21"/>
          <w:u w:val="double"/>
          <w:lang w:eastAsia="zh-CN"/>
          <w14:textFill>
            <w14:solidFill>
              <w14:schemeClr w14:val="tx1"/>
            </w14:solidFill>
          </w14:textFill>
        </w:rPr>
        <w:t>供应商</w:t>
      </w:r>
      <w:r>
        <w:rPr>
          <w:rFonts w:hint="eastAsia" w:ascii="宋体" w:hAnsi="宋体" w:cs="宋体"/>
          <w:b/>
          <w:bCs/>
          <w:color w:val="000000" w:themeColor="text1"/>
          <w:szCs w:val="21"/>
          <w:u w:val="double"/>
          <w14:textFill>
            <w14:solidFill>
              <w14:schemeClr w14:val="tx1"/>
            </w14:solidFill>
          </w14:textFill>
        </w:rPr>
        <w:t>的报价，有可能影响产品质量或者不能诚信履约的，应当要求其在</w:t>
      </w:r>
      <w:r>
        <w:rPr>
          <w:rFonts w:hint="eastAsia" w:ascii="宋体" w:hAnsi="宋体" w:cs="宋体"/>
          <w:b/>
          <w:bCs/>
          <w:color w:val="000000" w:themeColor="text1"/>
          <w:szCs w:val="21"/>
          <w:u w:val="double"/>
          <w:lang w:eastAsia="zh-CN"/>
          <w14:textFill>
            <w14:solidFill>
              <w14:schemeClr w14:val="tx1"/>
            </w14:solidFill>
          </w14:textFill>
        </w:rPr>
        <w:t>磋商</w:t>
      </w:r>
      <w:r>
        <w:rPr>
          <w:rFonts w:hint="eastAsia" w:ascii="宋体" w:hAnsi="宋体" w:cs="宋体"/>
          <w:b/>
          <w:bCs/>
          <w:color w:val="000000" w:themeColor="text1"/>
          <w:szCs w:val="21"/>
          <w:u w:val="double"/>
          <w14:textFill>
            <w14:solidFill>
              <w14:schemeClr w14:val="tx1"/>
            </w14:solidFill>
          </w14:textFill>
        </w:rPr>
        <w:t>现场合理的时间内提供书面说明，必要时提交相关证明材料；</w:t>
      </w:r>
      <w:r>
        <w:rPr>
          <w:rFonts w:hint="eastAsia" w:ascii="宋体" w:hAnsi="宋体" w:cs="宋体"/>
          <w:b/>
          <w:bCs/>
          <w:color w:val="000000" w:themeColor="text1"/>
          <w:szCs w:val="21"/>
          <w:u w:val="double"/>
          <w:lang w:eastAsia="zh-CN"/>
          <w14:textFill>
            <w14:solidFill>
              <w14:schemeClr w14:val="tx1"/>
            </w14:solidFill>
          </w14:textFill>
        </w:rPr>
        <w:t>供应商</w:t>
      </w:r>
      <w:r>
        <w:rPr>
          <w:rFonts w:hint="eastAsia" w:ascii="宋体" w:hAnsi="宋体" w:cs="宋体"/>
          <w:b/>
          <w:bCs/>
          <w:color w:val="000000" w:themeColor="text1"/>
          <w:szCs w:val="21"/>
          <w:u w:val="double"/>
          <w14:textFill>
            <w14:solidFill>
              <w14:schemeClr w14:val="tx1"/>
            </w14:solidFill>
          </w14:textFill>
        </w:rPr>
        <w:t>不能证明其报价合理性的，</w:t>
      </w:r>
      <w:r>
        <w:rPr>
          <w:rFonts w:hint="eastAsia" w:ascii="宋体" w:hAnsi="宋体" w:cs="宋体"/>
          <w:b/>
          <w:bCs/>
          <w:color w:val="000000" w:themeColor="text1"/>
          <w:szCs w:val="21"/>
          <w:u w:val="double"/>
          <w:lang w:eastAsia="zh-CN"/>
          <w14:textFill>
            <w14:solidFill>
              <w14:schemeClr w14:val="tx1"/>
            </w14:solidFill>
          </w14:textFill>
        </w:rPr>
        <w:t>磋商小组</w:t>
      </w:r>
      <w:r>
        <w:rPr>
          <w:rFonts w:hint="eastAsia" w:ascii="宋体" w:hAnsi="宋体" w:cs="宋体"/>
          <w:b/>
          <w:bCs/>
          <w:color w:val="000000" w:themeColor="text1"/>
          <w:szCs w:val="21"/>
          <w:u w:val="double"/>
          <w14:textFill>
            <w14:solidFill>
              <w14:schemeClr w14:val="tx1"/>
            </w14:solidFill>
          </w14:textFill>
        </w:rPr>
        <w:t>应当将其作为无效投标处理。</w:t>
      </w:r>
      <w:r>
        <w:rPr>
          <w:rFonts w:hint="eastAsia"/>
          <w:color w:val="000000" w:themeColor="text1"/>
          <w:lang w:eastAsia="zh-CN"/>
          <w14:textFill>
            <w14:solidFill>
              <w14:schemeClr w14:val="tx1"/>
            </w14:solidFill>
          </w14:textFill>
        </w:rPr>
        <w:t>”</w:t>
      </w:r>
    </w:p>
    <w:p>
      <w:pPr>
        <w:bidi w:val="0"/>
        <w:rPr>
          <w:rFonts w:hint="eastAsia"/>
          <w:color w:val="000000" w:themeColor="text1"/>
          <w14:textFill>
            <w14:solidFill>
              <w14:schemeClr w14:val="tx1"/>
            </w14:solidFill>
          </w14:textFill>
        </w:rPr>
      </w:pPr>
    </w:p>
    <w:p>
      <w:pPr>
        <w:keepNext w:val="0"/>
        <w:keepLines w:val="0"/>
        <w:pageBreakBefore w:val="0"/>
        <w:kinsoku/>
        <w:wordWrap/>
        <w:overflowPunct/>
        <w:topLinePunct w:val="0"/>
        <w:autoSpaceDE/>
        <w:autoSpaceDN/>
        <w:bidi w:val="0"/>
        <w:snapToGrid/>
        <w:spacing w:line="280" w:lineRule="exact"/>
        <w:ind w:right="0" w:rightChars="0"/>
        <w:textAlignment w:val="auto"/>
        <w:outlineLvl w:val="9"/>
        <w:rPr>
          <w:rFonts w:hint="eastAsia" w:ascii="宋体" w:hAnsi="宋体" w:eastAsia="宋体" w:cs="宋体"/>
          <w:b/>
          <w:bCs/>
          <w:color w:val="000000" w:themeColor="text1"/>
          <w:sz w:val="24"/>
          <w14:textFill>
            <w14:solidFill>
              <w14:schemeClr w14:val="tx1"/>
            </w14:solidFill>
          </w14:textFill>
        </w:rPr>
      </w:pPr>
    </w:p>
    <w:p>
      <w:pPr>
        <w:rPr>
          <w:rFonts w:hint="eastAsia"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napToGrid/>
        <w:spacing w:line="240" w:lineRule="auto"/>
        <w:ind w:right="0" w:rightChars="0"/>
        <w:textAlignment w:val="auto"/>
        <w:outlineLvl w:val="9"/>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br w:type="page"/>
      </w:r>
    </w:p>
    <w:p>
      <w:pPr>
        <w:keepNext w:val="0"/>
        <w:keepLines w:val="0"/>
        <w:pageBreakBefore w:val="0"/>
        <w:kinsoku/>
        <w:wordWrap/>
        <w:overflowPunct/>
        <w:topLinePunct w:val="0"/>
        <w:autoSpaceDE/>
        <w:autoSpaceDN/>
        <w:bidi w:val="0"/>
        <w:snapToGrid/>
        <w:spacing w:line="280" w:lineRule="exact"/>
        <w:ind w:right="0" w:rightChars="0"/>
        <w:textAlignment w:val="auto"/>
        <w:outlineLvl w:val="9"/>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附表</w:t>
      </w:r>
    </w:p>
    <w:p>
      <w:pPr>
        <w:keepNext w:val="0"/>
        <w:keepLines w:val="0"/>
        <w:pageBreakBefore w:val="0"/>
        <w:widowControl/>
        <w:kinsoku/>
        <w:wordWrap/>
        <w:overflowPunct/>
        <w:topLinePunct w:val="0"/>
        <w:autoSpaceDE/>
        <w:autoSpaceDN/>
        <w:bidi w:val="0"/>
        <w:snapToGrid/>
        <w:spacing w:before="156" w:beforeLines="50" w:after="156" w:afterLines="50" w:line="280" w:lineRule="exact"/>
        <w:ind w:right="0" w:rightChars="0"/>
        <w:jc w:val="center"/>
        <w:textAlignment w:val="auto"/>
        <w:outlineLvl w:val="9"/>
        <w:rPr>
          <w:rFonts w:hint="eastAsia" w:ascii="宋体" w:hAnsi="宋体" w:eastAsia="宋体" w:cs="宋体"/>
          <w:b/>
          <w:bCs/>
          <w:color w:val="000000" w:themeColor="text1"/>
          <w:kern w:val="0"/>
          <w:sz w:val="30"/>
          <w:szCs w:val="30"/>
          <w14:textFill>
            <w14:solidFill>
              <w14:schemeClr w14:val="tx1"/>
            </w14:solidFill>
          </w14:textFill>
        </w:rPr>
      </w:pPr>
      <w:bookmarkStart w:id="197" w:name="_Toc28361_WPSOffice_Level2"/>
      <w:r>
        <w:rPr>
          <w:rFonts w:hint="eastAsia" w:ascii="宋体" w:hAnsi="宋体" w:eastAsia="宋体" w:cs="宋体"/>
          <w:b/>
          <w:bCs/>
          <w:color w:val="000000" w:themeColor="text1"/>
          <w:kern w:val="0"/>
          <w:sz w:val="30"/>
          <w:szCs w:val="30"/>
          <w14:textFill>
            <w14:solidFill>
              <w14:schemeClr w14:val="tx1"/>
            </w14:solidFill>
          </w14:textFill>
        </w:rPr>
        <w:t>统计上大中小微型企业划分标准</w:t>
      </w:r>
      <w:bookmarkEnd w:id="197"/>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jc w:val="center"/>
        </w:trPr>
        <w:tc>
          <w:tcPr>
            <w:tcW w:w="2113" w:type="dxa"/>
            <w:shd w:val="clear" w:color="auto" w:fill="FFFFFF"/>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b/>
                <w:bCs/>
                <w:color w:val="000000" w:themeColor="text1"/>
                <w:kern w:val="0"/>
                <w:sz w:val="18"/>
                <w:szCs w:val="21"/>
                <w14:textFill>
                  <w14:solidFill>
                    <w14:schemeClr w14:val="tx1"/>
                  </w14:solidFill>
                </w14:textFill>
              </w:rPr>
            </w:pPr>
            <w:r>
              <w:rPr>
                <w:rFonts w:hint="eastAsia" w:ascii="宋体" w:hAnsi="宋体" w:eastAsia="宋体" w:cs="宋体"/>
                <w:b/>
                <w:bCs/>
                <w:color w:val="000000" w:themeColor="text1"/>
                <w:kern w:val="0"/>
                <w:sz w:val="18"/>
                <w:szCs w:val="21"/>
                <w14:textFill>
                  <w14:solidFill>
                    <w14:schemeClr w14:val="tx1"/>
                  </w14:solidFill>
                </w14:textFill>
              </w:rPr>
              <w:t>行业名称</w:t>
            </w:r>
          </w:p>
        </w:tc>
        <w:tc>
          <w:tcPr>
            <w:tcW w:w="1369" w:type="dxa"/>
            <w:shd w:val="clear" w:color="auto" w:fill="FFFFFF"/>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指标名称</w:t>
            </w:r>
          </w:p>
        </w:tc>
        <w:tc>
          <w:tcPr>
            <w:tcW w:w="709" w:type="dxa"/>
            <w:shd w:val="clear" w:color="auto" w:fill="FFFFFF"/>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b/>
                <w:bCs/>
                <w:color w:val="000000" w:themeColor="text1"/>
                <w:kern w:val="0"/>
                <w:sz w:val="18"/>
                <w:szCs w:val="18"/>
                <w:lang w:eastAsia="zh-CN"/>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计量</w:t>
            </w:r>
          </w:p>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单位</w:t>
            </w:r>
          </w:p>
        </w:tc>
        <w:tc>
          <w:tcPr>
            <w:tcW w:w="1125" w:type="dxa"/>
            <w:shd w:val="clear" w:color="auto" w:fill="FFFFFF"/>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大型</w:t>
            </w:r>
          </w:p>
        </w:tc>
        <w:tc>
          <w:tcPr>
            <w:tcW w:w="1701" w:type="dxa"/>
            <w:shd w:val="clear" w:color="auto" w:fill="FFFFFF"/>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中型</w:t>
            </w:r>
          </w:p>
        </w:tc>
        <w:tc>
          <w:tcPr>
            <w:tcW w:w="1426" w:type="dxa"/>
            <w:shd w:val="clear" w:color="auto" w:fill="FFFFFF"/>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小型</w:t>
            </w:r>
          </w:p>
        </w:tc>
        <w:tc>
          <w:tcPr>
            <w:tcW w:w="992" w:type="dxa"/>
            <w:shd w:val="clear" w:color="auto" w:fill="FFFFFF"/>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农、林、牧、渔业</w:t>
            </w: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Y≥20000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500≤Y＜20000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50≤Y＜500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工业 *</w:t>
            </w: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300≤X＜1000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20≤X＜300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000000" w:themeColor="text1"/>
                <w:kern w:val="0"/>
                <w:sz w:val="18"/>
                <w:szCs w:val="18"/>
                <w14:textFill>
                  <w14:solidFill>
                    <w14:schemeClr w14:val="tx1"/>
                  </w14:solidFill>
                </w14:textFill>
              </w:rPr>
            </w:pP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Y≥40000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2000≤Y＜40000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300≤Y＜2000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建筑业</w:t>
            </w: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Y≥80000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6000≤Y＜80000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300≤Y＜6000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000000" w:themeColor="text1"/>
                <w:kern w:val="0"/>
                <w:sz w:val="18"/>
                <w:szCs w:val="18"/>
                <w14:textFill>
                  <w14:solidFill>
                    <w14:schemeClr w14:val="tx1"/>
                  </w14:solidFill>
                </w14:textFill>
              </w:rPr>
            </w:pP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资产总额(Z)</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Z≥80000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5000≤Z＜80000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300≤Z＜5000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批发业</w:t>
            </w: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X≥200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20≤X＜200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5≤X＜20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000000" w:themeColor="text1"/>
                <w:kern w:val="0"/>
                <w:sz w:val="18"/>
                <w:szCs w:val="18"/>
                <w14:textFill>
                  <w14:solidFill>
                    <w14:schemeClr w14:val="tx1"/>
                  </w14:solidFill>
                </w14:textFill>
              </w:rPr>
            </w:pP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Y≥40000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5000≤Y＜40000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left="-1" w:leftChars="-1" w:right="0" w:rightChars="0" w:hanging="1"/>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1000≤Y＜5000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零售业</w:t>
            </w: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X≥300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50≤X＜300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left="-1" w:leftChars="-1" w:right="0" w:rightChars="0" w:hanging="1"/>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10≤X＜50 </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000000" w:themeColor="text1"/>
                <w:kern w:val="0"/>
                <w:sz w:val="18"/>
                <w:szCs w:val="18"/>
                <w14:textFill>
                  <w14:solidFill>
                    <w14:schemeClr w14:val="tx1"/>
                  </w14:solidFill>
                </w14:textFill>
              </w:rPr>
            </w:pP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Y≥20000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500≤Y＜20000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left="-1" w:leftChars="-1" w:right="0" w:rightChars="0" w:hanging="1"/>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100≤Y＜500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交通运输业 *</w:t>
            </w: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300≤X＜1000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20≤X＜300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000000" w:themeColor="text1"/>
                <w:kern w:val="0"/>
                <w:sz w:val="18"/>
                <w:szCs w:val="18"/>
                <w14:textFill>
                  <w14:solidFill>
                    <w14:schemeClr w14:val="tx1"/>
                  </w14:solidFill>
                </w14:textFill>
              </w:rPr>
            </w:pP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Y≥30000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3000≤Y＜30000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200≤Y＜3000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仓储业*</w:t>
            </w: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X≥200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left="1" w:leftChars="-51" w:right="0" w:rightChars="0" w:hanging="108" w:hangingChars="6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100≤X＜200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20≤X＜100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000000" w:themeColor="text1"/>
                <w:kern w:val="0"/>
                <w:sz w:val="18"/>
                <w:szCs w:val="18"/>
                <w14:textFill>
                  <w14:solidFill>
                    <w14:schemeClr w14:val="tx1"/>
                  </w14:solidFill>
                </w14:textFill>
              </w:rPr>
            </w:pP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Y≥30000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1000≤Y＜30000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100≤Y＜1000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邮政业</w:t>
            </w: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300≤X＜1000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20≤X＜300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000000" w:themeColor="text1"/>
                <w:kern w:val="0"/>
                <w:sz w:val="18"/>
                <w:szCs w:val="18"/>
                <w14:textFill>
                  <w14:solidFill>
                    <w14:schemeClr w14:val="tx1"/>
                  </w14:solidFill>
                </w14:textFill>
              </w:rPr>
            </w:pP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Y≥30000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2000≤Y＜30000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100≤Y＜2000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住宿业</w:t>
            </w: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X≥300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left="1" w:leftChars="-51" w:right="0" w:rightChars="0" w:hanging="108" w:hangingChars="6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100≤X＜300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10≤X＜100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000000" w:themeColor="text1"/>
                <w:kern w:val="0"/>
                <w:sz w:val="18"/>
                <w:szCs w:val="18"/>
                <w14:textFill>
                  <w14:solidFill>
                    <w14:schemeClr w14:val="tx1"/>
                  </w14:solidFill>
                </w14:textFill>
              </w:rPr>
            </w:pP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2000≤Y＜10000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100≤Y＜2000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餐饮业</w:t>
            </w: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X≥300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left="1" w:leftChars="-51" w:right="0" w:rightChars="0" w:hanging="108" w:hangingChars="6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100≤X＜300 </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10≤X＜100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000000" w:themeColor="text1"/>
                <w:kern w:val="0"/>
                <w:sz w:val="18"/>
                <w:szCs w:val="18"/>
                <w14:textFill>
                  <w14:solidFill>
                    <w14:schemeClr w14:val="tx1"/>
                  </w14:solidFill>
                </w14:textFill>
              </w:rPr>
            </w:pP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2000≤Y＜10000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100≤Y＜2000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信息传输业 *</w:t>
            </w: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X≥2000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100≤X＜2000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10≤X＜100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000000" w:themeColor="text1"/>
                <w:kern w:val="0"/>
                <w:sz w:val="18"/>
                <w:szCs w:val="18"/>
                <w14:textFill>
                  <w14:solidFill>
                    <w14:schemeClr w14:val="tx1"/>
                  </w14:solidFill>
                </w14:textFill>
              </w:rPr>
            </w:pP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1000≤Y＜100000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100≤Y＜1000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000000" w:themeColor="text1"/>
                <w:spacing w:val="-12"/>
                <w:kern w:val="0"/>
                <w:sz w:val="18"/>
                <w:szCs w:val="18"/>
                <w14:textFill>
                  <w14:solidFill>
                    <w14:schemeClr w14:val="tx1"/>
                  </w14:solidFill>
                </w14:textFill>
              </w:rPr>
            </w:pPr>
            <w:r>
              <w:rPr>
                <w:rFonts w:hint="eastAsia" w:ascii="宋体" w:hAnsi="宋体" w:eastAsia="宋体" w:cs="宋体"/>
                <w:color w:val="000000" w:themeColor="text1"/>
                <w:spacing w:val="-12"/>
                <w:kern w:val="0"/>
                <w:sz w:val="18"/>
                <w:szCs w:val="18"/>
                <w14:textFill>
                  <w14:solidFill>
                    <w14:schemeClr w14:val="tx1"/>
                  </w14:solidFill>
                </w14:textFill>
              </w:rPr>
              <w:t>软件和信息技术服</w:t>
            </w:r>
            <w:r>
              <w:rPr>
                <w:rFonts w:hint="eastAsia" w:ascii="宋体" w:hAnsi="宋体" w:eastAsia="宋体" w:cs="宋体"/>
                <w:color w:val="000000" w:themeColor="text1"/>
                <w:kern w:val="0"/>
                <w:sz w:val="18"/>
                <w:szCs w:val="18"/>
                <w14:textFill>
                  <w14:solidFill>
                    <w14:schemeClr w14:val="tx1"/>
                  </w14:solidFill>
                </w14:textFill>
              </w:rPr>
              <w:t>务业</w:t>
            </w: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X≥300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left="1" w:leftChars="-51" w:right="0" w:rightChars="0" w:hanging="108" w:hangingChars="6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100≤X＜300 </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10≤X＜100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000000" w:themeColor="text1"/>
                <w:spacing w:val="-12"/>
                <w:kern w:val="0"/>
                <w:sz w:val="18"/>
                <w:szCs w:val="18"/>
                <w14:textFill>
                  <w14:solidFill>
                    <w14:schemeClr w14:val="tx1"/>
                  </w14:solidFill>
                </w14:textFill>
              </w:rPr>
            </w:pP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1000≤Y＜10000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50≤Y＜1000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房地产开发经营</w:t>
            </w: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Y≥200000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1000≤Y＜200000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100≤Y＜1000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000000" w:themeColor="text1"/>
                <w:kern w:val="0"/>
                <w:sz w:val="18"/>
                <w:szCs w:val="18"/>
                <w14:textFill>
                  <w14:solidFill>
                    <w14:schemeClr w14:val="tx1"/>
                  </w14:solidFill>
                </w14:textFill>
              </w:rPr>
            </w:pP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资产总额(Z)</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Z≥10000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5000≤Z＜10000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2000≤Z＜5000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物业管理</w:t>
            </w: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300≤X＜1000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100≤X＜300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000000" w:themeColor="text1"/>
                <w:kern w:val="0"/>
                <w:sz w:val="18"/>
                <w:szCs w:val="18"/>
                <w14:textFill>
                  <w14:solidFill>
                    <w14:schemeClr w14:val="tx1"/>
                  </w14:solidFill>
                </w14:textFill>
              </w:rPr>
            </w:pP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营业收入(Y)</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Y≥5000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left="1" w:leftChars="-51" w:right="0" w:rightChars="0" w:hanging="108" w:hangingChars="6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1000≤Y＜5000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500≤Y＜1000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租赁和商务服务业</w:t>
            </w: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X≥300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left="1" w:leftChars="-51" w:right="0" w:rightChars="0" w:hanging="108" w:hangingChars="6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100≤X＜300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10≤X＜100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000000" w:themeColor="text1"/>
                <w:kern w:val="0"/>
                <w:sz w:val="18"/>
                <w:szCs w:val="18"/>
                <w14:textFill>
                  <w14:solidFill>
                    <w14:schemeClr w14:val="tx1"/>
                  </w14:solidFill>
                </w14:textFill>
              </w:rPr>
            </w:pP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资产总额(Z)</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万元</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Z≥120000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8000≤Z＜120000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100≤Z＜8000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其他未列明行业 *</w:t>
            </w:r>
          </w:p>
        </w:tc>
        <w:tc>
          <w:tcPr>
            <w:tcW w:w="136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从业人员(X)</w:t>
            </w:r>
          </w:p>
        </w:tc>
        <w:tc>
          <w:tcPr>
            <w:tcW w:w="709"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人</w:t>
            </w:r>
          </w:p>
        </w:tc>
        <w:tc>
          <w:tcPr>
            <w:tcW w:w="1125"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X≥300</w:t>
            </w:r>
          </w:p>
        </w:tc>
        <w:tc>
          <w:tcPr>
            <w:tcW w:w="1701" w:type="dxa"/>
            <w:noWrap w:val="0"/>
            <w:vAlign w:val="center"/>
          </w:tcPr>
          <w:p>
            <w:pPr>
              <w:keepNext w:val="0"/>
              <w:keepLines w:val="0"/>
              <w:pageBreakBefore w:val="0"/>
              <w:widowControl/>
              <w:kinsoku/>
              <w:wordWrap/>
              <w:overflowPunct/>
              <w:topLinePunct w:val="0"/>
              <w:autoSpaceDE/>
              <w:autoSpaceDN/>
              <w:bidi w:val="0"/>
              <w:snapToGrid/>
              <w:spacing w:line="280" w:lineRule="exact"/>
              <w:ind w:left="1" w:leftChars="-51" w:right="0" w:rightChars="0" w:hanging="108" w:hangingChars="6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100≤X＜300</w:t>
            </w:r>
          </w:p>
        </w:tc>
        <w:tc>
          <w:tcPr>
            <w:tcW w:w="1426"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10≤X＜100</w:t>
            </w:r>
          </w:p>
        </w:tc>
        <w:tc>
          <w:tcPr>
            <w:tcW w:w="992" w:type="dxa"/>
            <w:noWrap w:val="0"/>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X＜10</w:t>
            </w:r>
          </w:p>
        </w:tc>
      </w:tr>
    </w:tbl>
    <w:p>
      <w:pPr>
        <w:keepNext w:val="0"/>
        <w:keepLines w:val="0"/>
        <w:pageBreakBefore w:val="0"/>
        <w:widowControl/>
        <w:kinsoku/>
        <w:wordWrap/>
        <w:overflowPunct/>
        <w:topLinePunct w:val="0"/>
        <w:autoSpaceDE/>
        <w:autoSpaceDN/>
        <w:bidi w:val="0"/>
        <w:snapToGrid/>
        <w:spacing w:beforeLines="0" w:afterLines="0" w:line="280" w:lineRule="exact"/>
        <w:ind w:right="0" w:rightChars="0"/>
        <w:textAlignment w:val="auto"/>
        <w:outlineLvl w:val="9"/>
        <w:rPr>
          <w:rFonts w:hint="eastAsia" w:ascii="宋体" w:hAnsi="宋体" w:eastAsia="宋体" w:cs="宋体"/>
          <w:color w:val="000000" w:themeColor="text1"/>
          <w:spacing w:val="8"/>
          <w:kern w:val="0"/>
          <w:sz w:val="24"/>
          <w14:textFill>
            <w14:solidFill>
              <w14:schemeClr w14:val="tx1"/>
            </w14:solidFill>
          </w14:textFill>
        </w:rPr>
      </w:pPr>
    </w:p>
    <w:p>
      <w:pPr>
        <w:keepNext w:val="0"/>
        <w:keepLines w:val="0"/>
        <w:pageBreakBefore w:val="0"/>
        <w:widowControl/>
        <w:kinsoku/>
        <w:wordWrap/>
        <w:overflowPunct/>
        <w:topLinePunct w:val="0"/>
        <w:autoSpaceDE/>
        <w:autoSpaceDN/>
        <w:bidi w:val="0"/>
        <w:snapToGrid/>
        <w:spacing w:beforeLines="0" w:afterLines="0" w:line="280" w:lineRule="exact"/>
        <w:ind w:right="0" w:rightChars="0"/>
        <w:textAlignment w:val="auto"/>
        <w:outlineLvl w:val="9"/>
        <w:rPr>
          <w:rFonts w:hint="eastAsia" w:ascii="宋体" w:hAnsi="宋体" w:eastAsia="宋体" w:cs="宋体"/>
          <w:color w:val="000000" w:themeColor="text1"/>
          <w:spacing w:val="8"/>
          <w:kern w:val="0"/>
          <w:sz w:val="24"/>
          <w14:textFill>
            <w14:solidFill>
              <w14:schemeClr w14:val="tx1"/>
            </w14:solidFill>
          </w14:textFill>
        </w:rPr>
      </w:pPr>
      <w:r>
        <w:rPr>
          <w:rFonts w:hint="eastAsia" w:ascii="宋体" w:hAnsi="宋体" w:eastAsia="宋体" w:cs="宋体"/>
          <w:color w:val="000000" w:themeColor="text1"/>
          <w:spacing w:val="8"/>
          <w:kern w:val="0"/>
          <w:sz w:val="24"/>
          <w14:textFill>
            <w14:solidFill>
              <w14:schemeClr w14:val="tx1"/>
            </w14:solidFill>
          </w14:textFill>
        </w:rPr>
        <w:t>说明：</w:t>
      </w:r>
    </w:p>
    <w:p>
      <w:pPr>
        <w:pStyle w:val="12"/>
        <w:keepNext w:val="0"/>
        <w:keepLines w:val="0"/>
        <w:pageBreakBefore w:val="0"/>
        <w:kinsoku/>
        <w:wordWrap/>
        <w:overflowPunct/>
        <w:topLinePunct w:val="0"/>
        <w:autoSpaceDE/>
        <w:autoSpaceDN/>
        <w:bidi w:val="0"/>
        <w:adjustRightInd w:val="0"/>
        <w:snapToGrid/>
        <w:spacing w:beforeLines="0" w:afterLines="0" w:line="280" w:lineRule="exact"/>
        <w:ind w:right="0" w:rightChars="0" w:firstLine="512" w:firstLineChars="200"/>
        <w:contextualSpacing/>
        <w:textAlignment w:val="auto"/>
        <w:outlineLvl w:val="9"/>
        <w:rPr>
          <w:rFonts w:hint="eastAsia" w:ascii="宋体" w:hAnsi="宋体" w:eastAsia="宋体" w:cs="宋体"/>
          <w:color w:val="000000" w:themeColor="text1"/>
          <w:spacing w:val="8"/>
          <w:kern w:val="0"/>
          <w:sz w:val="24"/>
          <w:szCs w:val="24"/>
          <w14:textFill>
            <w14:solidFill>
              <w14:schemeClr w14:val="tx1"/>
            </w14:solidFill>
          </w14:textFill>
        </w:rPr>
      </w:pPr>
      <w:r>
        <w:rPr>
          <w:rFonts w:hint="eastAsia" w:ascii="宋体" w:hAnsi="宋体" w:eastAsia="宋体" w:cs="宋体"/>
          <w:color w:val="000000" w:themeColor="text1"/>
          <w:spacing w:val="8"/>
          <w:kern w:val="0"/>
          <w:sz w:val="24"/>
          <w:szCs w:val="24"/>
          <w14:textFill>
            <w14:solidFill>
              <w14:schemeClr w14:val="tx1"/>
            </w14:solidFill>
          </w14:textFill>
        </w:rPr>
        <w:t>1.大型、中型和小型企业须同时满足所列指标的下限，否则下划一档；微型企业只须满足所列指标中的一项即可。</w:t>
      </w:r>
    </w:p>
    <w:p>
      <w:pPr>
        <w:pStyle w:val="12"/>
        <w:keepNext w:val="0"/>
        <w:keepLines w:val="0"/>
        <w:pageBreakBefore w:val="0"/>
        <w:kinsoku/>
        <w:wordWrap/>
        <w:overflowPunct/>
        <w:topLinePunct w:val="0"/>
        <w:autoSpaceDE/>
        <w:autoSpaceDN/>
        <w:bidi w:val="0"/>
        <w:adjustRightInd w:val="0"/>
        <w:snapToGrid/>
        <w:spacing w:beforeLines="0" w:afterLines="0" w:line="280" w:lineRule="exact"/>
        <w:ind w:right="0" w:rightChars="0" w:firstLine="512" w:firstLineChars="200"/>
        <w:contextualSpacing/>
        <w:textAlignment w:val="auto"/>
        <w:outlineLvl w:val="9"/>
        <w:rPr>
          <w:rFonts w:hint="eastAsia" w:ascii="宋体" w:hAnsi="宋体" w:eastAsia="宋体" w:cs="宋体"/>
          <w:color w:val="000000" w:themeColor="text1"/>
          <w:spacing w:val="8"/>
          <w:kern w:val="0"/>
          <w:sz w:val="24"/>
          <w:szCs w:val="24"/>
          <w14:textFill>
            <w14:solidFill>
              <w14:schemeClr w14:val="tx1"/>
            </w14:solidFill>
          </w14:textFill>
        </w:rPr>
      </w:pPr>
      <w:r>
        <w:rPr>
          <w:rFonts w:hint="eastAsia" w:ascii="宋体" w:hAnsi="宋体" w:eastAsia="宋体" w:cs="宋体"/>
          <w:color w:val="000000" w:themeColor="text1"/>
          <w:spacing w:val="8"/>
          <w:kern w:val="0"/>
          <w:sz w:val="24"/>
          <w:szCs w:val="24"/>
          <w14:textFill>
            <w14:solidFill>
              <w14:schemeClr w14:val="tx1"/>
            </w14:solidFill>
          </w14:textFill>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12"/>
        <w:keepNext w:val="0"/>
        <w:keepLines w:val="0"/>
        <w:pageBreakBefore w:val="0"/>
        <w:kinsoku/>
        <w:wordWrap/>
        <w:overflowPunct/>
        <w:topLinePunct w:val="0"/>
        <w:autoSpaceDE/>
        <w:autoSpaceDN/>
        <w:bidi w:val="0"/>
        <w:snapToGrid/>
        <w:spacing w:beforeLines="0" w:afterLines="0" w:line="280" w:lineRule="exact"/>
        <w:ind w:right="0" w:rightChars="0" w:firstLine="512" w:firstLineChars="200"/>
        <w:textAlignment w:val="auto"/>
        <w:outlineLvl w:val="9"/>
        <w:rPr>
          <w:rFonts w:hint="eastAsia" w:ascii="宋体" w:hAnsi="宋体" w:eastAsia="宋体" w:cs="宋体"/>
          <w:color w:val="000000" w:themeColor="text1"/>
          <w:spacing w:val="8"/>
          <w:kern w:val="0"/>
          <w:sz w:val="24"/>
          <w:szCs w:val="24"/>
          <w14:textFill>
            <w14:solidFill>
              <w14:schemeClr w14:val="tx1"/>
            </w14:solidFill>
          </w14:textFill>
        </w:rPr>
      </w:pPr>
      <w:r>
        <w:rPr>
          <w:rFonts w:hint="eastAsia" w:ascii="宋体" w:hAnsi="宋体" w:eastAsia="宋体" w:cs="宋体"/>
          <w:color w:val="000000" w:themeColor="text1"/>
          <w:spacing w:val="8"/>
          <w:kern w:val="0"/>
          <w:sz w:val="24"/>
          <w:szCs w:val="24"/>
          <w14:textFill>
            <w14:solidFill>
              <w14:schemeClr w14:val="tx1"/>
            </w14:solidFill>
          </w14:textFill>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bookmarkStart w:id="198" w:name="_Toc4774"/>
      <w:bookmarkStart w:id="199" w:name="_Toc8466"/>
    </w:p>
    <w:p>
      <w:pPr>
        <w:pStyle w:val="7"/>
        <w:rPr>
          <w:rFonts w:hint="eastAsia" w:ascii="宋体" w:hAnsi="宋体" w:eastAsia="宋体" w:cs="宋体"/>
          <w:color w:val="000000" w:themeColor="text1"/>
          <w:spacing w:val="8"/>
          <w:kern w:val="0"/>
          <w:sz w:val="24"/>
          <w:szCs w:val="24"/>
          <w14:textFill>
            <w14:solidFill>
              <w14:schemeClr w14:val="tx1"/>
            </w14:solidFill>
          </w14:textFill>
        </w:rPr>
      </w:pPr>
    </w:p>
    <w:p>
      <w:pPr>
        <w:rPr>
          <w:rFonts w:hint="eastAsia" w:ascii="宋体" w:hAnsi="宋体" w:eastAsia="宋体" w:cs="宋体"/>
          <w:color w:val="000000" w:themeColor="text1"/>
          <w:spacing w:val="8"/>
          <w:kern w:val="0"/>
          <w:sz w:val="24"/>
          <w:szCs w:val="24"/>
          <w14:textFill>
            <w14:solidFill>
              <w14:schemeClr w14:val="tx1"/>
            </w14:solidFill>
          </w14:textFill>
        </w:rPr>
      </w:pPr>
    </w:p>
    <w:p>
      <w:pPr>
        <w:pStyle w:val="28"/>
        <w:rPr>
          <w:rFonts w:hint="eastAsia" w:ascii="宋体" w:hAnsi="宋体" w:eastAsia="宋体" w:cs="宋体"/>
          <w:color w:val="000000" w:themeColor="text1"/>
          <w14:textFill>
            <w14:solidFill>
              <w14:schemeClr w14:val="tx1"/>
            </w14:solidFill>
          </w14:textFill>
        </w:rPr>
      </w:pPr>
    </w:p>
    <w:p>
      <w:pPr>
        <w:pStyle w:val="28"/>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pStyle w:val="9"/>
        <w:rPr>
          <w:rFonts w:hint="eastAsia"/>
          <w:color w:val="000000" w:themeColor="text1"/>
          <w14:textFill>
            <w14:solidFill>
              <w14:schemeClr w14:val="tx1"/>
            </w14:solidFill>
          </w14:textFill>
        </w:rPr>
      </w:pPr>
    </w:p>
    <w:p>
      <w:pPr>
        <w:rPr>
          <w:rFonts w:hint="eastAsia" w:ascii="宋体" w:hAnsi="宋体" w:eastAsia="宋体" w:cs="宋体"/>
          <w:color w:val="000000" w:themeColor="text1"/>
          <w:sz w:val="32"/>
          <w:szCs w:val="32"/>
          <w:lang w:eastAsia="zh-CN"/>
          <w14:textFill>
            <w14:solidFill>
              <w14:schemeClr w14:val="tx1"/>
            </w14:solidFill>
          </w14:textFill>
        </w:rPr>
      </w:pPr>
      <w:bookmarkStart w:id="200" w:name="_Toc5351"/>
      <w:r>
        <w:rPr>
          <w:rFonts w:hint="eastAsia" w:ascii="宋体" w:hAnsi="宋体" w:eastAsia="宋体" w:cs="宋体"/>
          <w:color w:val="000000" w:themeColor="text1"/>
          <w:sz w:val="32"/>
          <w:szCs w:val="32"/>
          <w:lang w:eastAsia="zh-CN"/>
          <w14:textFill>
            <w14:solidFill>
              <w14:schemeClr w14:val="tx1"/>
            </w14:solidFill>
          </w14:textFill>
        </w:rPr>
        <w:br w:type="page"/>
      </w:r>
    </w:p>
    <w:p>
      <w:pPr>
        <w:pStyle w:val="3"/>
        <w:numPr>
          <w:ilvl w:val="0"/>
          <w:numId w:val="0"/>
        </w:numPr>
        <w:tabs>
          <w:tab w:val="left" w:pos="0"/>
        </w:tabs>
        <w:autoSpaceDE w:val="0"/>
        <w:autoSpaceDN w:val="0"/>
        <w:adjustRightInd w:val="0"/>
        <w:spacing w:before="0" w:after="0" w:line="360" w:lineRule="auto"/>
        <w:jc w:val="center"/>
        <w:rPr>
          <w:rFonts w:hint="eastAsia" w:ascii="宋体" w:hAnsi="宋体" w:eastAsia="宋体" w:cs="宋体"/>
          <w:color w:val="000000" w:themeColor="text1"/>
          <w:sz w:val="32"/>
          <w:szCs w:val="32"/>
          <w14:textFill>
            <w14:solidFill>
              <w14:schemeClr w14:val="tx1"/>
            </w14:solidFill>
          </w14:textFill>
        </w:rPr>
      </w:pPr>
      <w:bookmarkStart w:id="201" w:name="_Toc23657"/>
      <w:r>
        <w:rPr>
          <w:rFonts w:hint="eastAsia" w:ascii="宋体" w:hAnsi="宋体" w:eastAsia="宋体" w:cs="宋体"/>
          <w:color w:val="000000" w:themeColor="text1"/>
          <w:sz w:val="32"/>
          <w:szCs w:val="32"/>
          <w:lang w:eastAsia="zh-CN"/>
          <w14:textFill>
            <w14:solidFill>
              <w14:schemeClr w14:val="tx1"/>
            </w14:solidFill>
          </w14:textFill>
        </w:rPr>
        <w:t>第五章</w:t>
      </w:r>
      <w:r>
        <w:rPr>
          <w:rFonts w:hint="eastAsia" w:ascii="宋体" w:hAnsi="宋体" w:eastAsia="宋体" w:cs="宋体"/>
          <w:color w:val="000000" w:themeColor="text1"/>
          <w:sz w:val="32"/>
          <w:szCs w:val="32"/>
          <w:lang w:val="en-US" w:eastAsia="zh-CN"/>
          <w14:textFill>
            <w14:solidFill>
              <w14:schemeClr w14:val="tx1"/>
            </w14:solidFill>
          </w14:textFill>
        </w:rPr>
        <w:t xml:space="preserve"> </w:t>
      </w:r>
      <w:r>
        <w:rPr>
          <w:rFonts w:hint="eastAsia" w:ascii="宋体" w:hAnsi="宋体" w:eastAsia="宋体" w:cs="宋体"/>
          <w:color w:val="000000" w:themeColor="text1"/>
          <w:sz w:val="32"/>
          <w:szCs w:val="32"/>
          <w14:textFill>
            <w14:solidFill>
              <w14:schemeClr w14:val="tx1"/>
            </w14:solidFill>
          </w14:textFill>
        </w:rPr>
        <w:t>采购合同（合同主要条款及格式）</w:t>
      </w:r>
      <w:bookmarkEnd w:id="198"/>
      <w:bookmarkEnd w:id="199"/>
      <w:bookmarkEnd w:id="200"/>
      <w:bookmarkEnd w:id="201"/>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合同编号：</w:t>
      </w:r>
      <w:r>
        <w:rPr>
          <w:rFonts w:hint="eastAsia" w:ascii="宋体" w:hAnsi="宋体" w:eastAsia="宋体" w:cs="宋体"/>
          <w:color w:val="000000" w:themeColor="text1"/>
          <w:sz w:val="21"/>
          <w:szCs w:val="21"/>
          <w:lang w:val="en-US" w:eastAsia="zh-CN"/>
          <w14:textFill>
            <w14:solidFill>
              <w14:schemeClr w14:val="tx1"/>
            </w14:solidFill>
          </w14:textFill>
        </w:rPr>
        <w:t>GLZC202</w:t>
      </w:r>
      <w:r>
        <w:rPr>
          <w:rFonts w:hint="eastAsia" w:ascii="宋体" w:hAnsi="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lang w:val="en-US" w:eastAsia="zh-CN"/>
          <w14:textFill>
            <w14:solidFill>
              <w14:schemeClr w14:val="tx1"/>
            </w14:solidFill>
          </w14:textFill>
        </w:rPr>
        <w:t>-HTC1-</w:t>
      </w:r>
      <w:r>
        <w:rPr>
          <w:rFonts w:hint="eastAsia" w:ascii="宋体" w:hAnsi="宋体" w:cs="宋体"/>
          <w:color w:val="000000" w:themeColor="text1"/>
          <w:sz w:val="21"/>
          <w:szCs w:val="21"/>
          <w:lang w:val="en-US" w:eastAsia="zh-CN"/>
          <w14:textFill>
            <w14:solidFill>
              <w14:schemeClr w14:val="tx1"/>
            </w14:solidFill>
          </w14:textFill>
        </w:rPr>
        <w:t>990012</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GLJC</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项目名称：</w:t>
      </w:r>
      <w:r>
        <w:rPr>
          <w:rFonts w:hint="eastAsia" w:ascii="宋体" w:hAnsi="宋体" w:cs="宋体"/>
          <w:color w:val="000000" w:themeColor="text1"/>
          <w:sz w:val="21"/>
          <w:szCs w:val="21"/>
          <w:lang w:val="en-US" w:eastAsia="zh-CN"/>
          <w14:textFill>
            <w14:solidFill>
              <w14:schemeClr w14:val="tx1"/>
            </w14:solidFill>
          </w14:textFill>
        </w:rPr>
        <w:t>桂林市财政局信息化设备采购</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项目编号：</w:t>
      </w:r>
      <w:r>
        <w:rPr>
          <w:rFonts w:hint="eastAsia" w:ascii="宋体" w:hAnsi="宋体" w:cs="宋体"/>
          <w:color w:val="000000" w:themeColor="text1"/>
          <w:sz w:val="21"/>
          <w:szCs w:val="21"/>
          <w:lang w:val="en-US" w:eastAsia="zh-CN"/>
          <w14:textFill>
            <w14:solidFill>
              <w14:schemeClr w14:val="tx1"/>
            </w14:solidFill>
          </w14:textFill>
        </w:rPr>
        <w:t>GLZC2024-C1-990012-GLJC</w:t>
      </w:r>
    </w:p>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甲方</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cs="宋体"/>
          <w:color w:val="000000" w:themeColor="text1"/>
          <w:u w:val="single"/>
          <w:lang w:val="en-US" w:eastAsia="zh-CN"/>
          <w14:textFill>
            <w14:solidFill>
              <w14:schemeClr w14:val="tx1"/>
            </w14:solidFill>
          </w14:textFill>
        </w:rPr>
        <w:t>桂林市财政局</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（采购人）</w:t>
      </w:r>
    </w:p>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乙方</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（成交供应商）</w:t>
      </w:r>
    </w:p>
    <w:p>
      <w:pPr>
        <w:keepNext w:val="0"/>
        <w:keepLines w:val="0"/>
        <w:widowControl/>
        <w:suppressLineNumbers w:val="0"/>
        <w:ind w:firstLine="420" w:firstLineChars="20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根据《中华人民共和国政府采购法》</w:t>
      </w:r>
      <w:r>
        <w:rPr>
          <w:rFonts w:hint="eastAsia" w:ascii="宋体" w:hAnsi="宋体" w:eastAsia="宋体" w:cs="宋体"/>
          <w:color w:val="000000" w:themeColor="text1"/>
          <w:lang w:val="en-US" w:eastAsia="zh-CN"/>
          <w14:textFill>
            <w14:solidFill>
              <w14:schemeClr w14:val="tx1"/>
            </w14:solidFill>
          </w14:textFill>
        </w:rPr>
        <w:t>《中华人民共和国政府采购法实施条例》</w:t>
      </w:r>
      <w:r>
        <w:rPr>
          <w:rFonts w:hint="eastAsia" w:ascii="宋体" w:hAnsi="宋体" w:eastAsia="宋体" w:cs="宋体"/>
          <w:color w:val="000000" w:themeColor="text1"/>
          <w14:textFill>
            <w14:solidFill>
              <w14:schemeClr w14:val="tx1"/>
            </w14:solidFill>
          </w14:textFill>
        </w:rPr>
        <w:t>中华人民共和国</w:t>
      </w:r>
      <w:r>
        <w:rPr>
          <w:rFonts w:hint="eastAsia" w:ascii="宋体" w:hAnsi="宋体" w:eastAsia="宋体" w:cs="宋体"/>
          <w:color w:val="000000" w:themeColor="text1"/>
          <w:lang w:val="en-US" w:eastAsia="zh-CN"/>
          <w14:textFill>
            <w14:solidFill>
              <w14:schemeClr w14:val="tx1"/>
            </w14:solidFill>
          </w14:textFill>
        </w:rPr>
        <w:t>民法典</w:t>
      </w:r>
      <w:r>
        <w:rPr>
          <w:rFonts w:hint="eastAsia" w:ascii="宋体" w:hAnsi="宋体" w:eastAsia="宋体" w:cs="宋体"/>
          <w:color w:val="000000" w:themeColor="text1"/>
          <w14:textFill>
            <w14:solidFill>
              <w14:schemeClr w14:val="tx1"/>
            </w14:solidFill>
          </w14:textFill>
        </w:rPr>
        <w:t>》等法律、法规规定，按照竞争性磋商文件（以下简称磋商文件）、竞争性磋商响应文件（以下简称响应文件）规定条款和成交供应商的承诺、甲乙双方签订本合同。</w:t>
      </w:r>
    </w:p>
    <w:p>
      <w:pPr>
        <w:spacing w:line="400" w:lineRule="exact"/>
        <w:ind w:firstLine="411" w:firstLineChars="196"/>
        <w:outlineLvl w:val="1"/>
        <w:rPr>
          <w:color w:val="000000" w:themeColor="text1"/>
          <w14:textFill>
            <w14:solidFill>
              <w14:schemeClr w14:val="tx1"/>
            </w14:solidFill>
          </w14:textFill>
        </w:rPr>
      </w:pPr>
      <w:bookmarkStart w:id="202" w:name="_Toc22268"/>
      <w:bookmarkStart w:id="203" w:name="_Toc495841768"/>
      <w:bookmarkStart w:id="204" w:name="_Toc13005"/>
      <w:bookmarkStart w:id="205" w:name="_Toc7911"/>
      <w:bookmarkStart w:id="206" w:name="_Toc8039"/>
      <w:r>
        <w:rPr>
          <w:rFonts w:hint="eastAsia" w:ascii="宋体" w:hAnsi="宋体" w:cs="宋体"/>
          <w:b/>
          <w:color w:val="000000" w:themeColor="text1"/>
          <w:szCs w:val="21"/>
          <w14:textFill>
            <w14:solidFill>
              <w14:schemeClr w14:val="tx1"/>
            </w14:solidFill>
          </w14:textFill>
        </w:rPr>
        <w:t>第一条  合同标的及合同金额</w:t>
      </w:r>
      <w:bookmarkEnd w:id="202"/>
      <w:bookmarkEnd w:id="203"/>
      <w:bookmarkEnd w:id="204"/>
      <w:bookmarkEnd w:id="205"/>
      <w:bookmarkEnd w:id="206"/>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2"/>
        <w:gridCol w:w="1445"/>
        <w:gridCol w:w="1483"/>
        <w:gridCol w:w="1073"/>
        <w:gridCol w:w="714"/>
        <w:gridCol w:w="154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709" w:type="dxa"/>
            <w:shd w:val="clear" w:color="auto" w:fill="8DB3E2"/>
            <w:noWrap w:val="0"/>
            <w:vAlign w:val="center"/>
          </w:tcPr>
          <w:p>
            <w:pPr>
              <w:snapToGrid w:val="0"/>
              <w:spacing w:line="28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项号</w:t>
            </w:r>
          </w:p>
        </w:tc>
        <w:tc>
          <w:tcPr>
            <w:tcW w:w="1232" w:type="dxa"/>
            <w:shd w:val="clear" w:color="auto" w:fill="8DB3E2"/>
            <w:noWrap w:val="0"/>
            <w:vAlign w:val="center"/>
          </w:tcPr>
          <w:p>
            <w:pPr>
              <w:snapToGrid w:val="0"/>
              <w:spacing w:line="28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货物名称</w:t>
            </w:r>
          </w:p>
        </w:tc>
        <w:tc>
          <w:tcPr>
            <w:tcW w:w="1445" w:type="dxa"/>
            <w:shd w:val="clear" w:color="auto" w:fill="8DB3E2"/>
            <w:noWrap w:val="0"/>
            <w:vAlign w:val="center"/>
          </w:tcPr>
          <w:p>
            <w:pPr>
              <w:snapToGrid w:val="0"/>
              <w:spacing w:line="28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30"/>
                <w14:textFill>
                  <w14:solidFill>
                    <w14:schemeClr w14:val="tx1"/>
                  </w14:solidFill>
                </w14:textFill>
              </w:rPr>
              <w:t>生产厂家、品牌、规格型号</w:t>
            </w:r>
          </w:p>
        </w:tc>
        <w:tc>
          <w:tcPr>
            <w:tcW w:w="1483" w:type="dxa"/>
            <w:shd w:val="clear" w:color="auto" w:fill="8DB3E2"/>
            <w:noWrap w:val="0"/>
            <w:vAlign w:val="center"/>
          </w:tcPr>
          <w:p>
            <w:pPr>
              <w:snapToGrid w:val="0"/>
              <w:spacing w:line="28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技术参数</w:t>
            </w:r>
          </w:p>
        </w:tc>
        <w:tc>
          <w:tcPr>
            <w:tcW w:w="1073" w:type="dxa"/>
            <w:shd w:val="clear" w:color="auto" w:fill="8DB3E2"/>
            <w:noWrap w:val="0"/>
            <w:vAlign w:val="center"/>
          </w:tcPr>
          <w:p>
            <w:pPr>
              <w:snapToGrid w:val="0"/>
              <w:spacing w:line="28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数量</w:t>
            </w:r>
          </w:p>
          <w:p>
            <w:pPr>
              <w:snapToGrid w:val="0"/>
              <w:spacing w:line="28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①</w:t>
            </w:r>
          </w:p>
        </w:tc>
        <w:tc>
          <w:tcPr>
            <w:tcW w:w="714" w:type="dxa"/>
            <w:shd w:val="clear" w:color="auto" w:fill="8DB3E2"/>
            <w:noWrap w:val="0"/>
            <w:vAlign w:val="center"/>
          </w:tcPr>
          <w:p>
            <w:pPr>
              <w:snapToGrid w:val="0"/>
              <w:spacing w:line="28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单位</w:t>
            </w:r>
          </w:p>
        </w:tc>
        <w:tc>
          <w:tcPr>
            <w:tcW w:w="1545" w:type="dxa"/>
            <w:shd w:val="clear" w:color="auto" w:fill="8DB3E2"/>
            <w:noWrap w:val="0"/>
            <w:vAlign w:val="center"/>
          </w:tcPr>
          <w:p>
            <w:pPr>
              <w:snapToGrid w:val="0"/>
              <w:spacing w:line="28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单价（元）</w:t>
            </w:r>
          </w:p>
          <w:p>
            <w:pPr>
              <w:snapToGrid w:val="0"/>
              <w:spacing w:line="28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②</w:t>
            </w:r>
          </w:p>
        </w:tc>
        <w:tc>
          <w:tcPr>
            <w:tcW w:w="1575" w:type="dxa"/>
            <w:shd w:val="clear" w:color="auto" w:fill="8DB3E2"/>
            <w:noWrap w:val="0"/>
            <w:vAlign w:val="center"/>
          </w:tcPr>
          <w:p>
            <w:pPr>
              <w:snapToGrid w:val="0"/>
              <w:spacing w:line="28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单项合计金额（元）</w:t>
            </w:r>
          </w:p>
          <w:p>
            <w:pPr>
              <w:snapToGrid w:val="0"/>
              <w:spacing w:line="28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③＝①×②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noWrap w:val="0"/>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1232" w:type="dxa"/>
            <w:noWrap w:val="0"/>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c>
          <w:tcPr>
            <w:tcW w:w="1445" w:type="dxa"/>
            <w:noWrap w:val="0"/>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c>
          <w:tcPr>
            <w:tcW w:w="1483" w:type="dxa"/>
            <w:noWrap w:val="0"/>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c>
          <w:tcPr>
            <w:tcW w:w="1073" w:type="dxa"/>
            <w:noWrap w:val="0"/>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c>
          <w:tcPr>
            <w:tcW w:w="714" w:type="dxa"/>
            <w:noWrap w:val="0"/>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c>
          <w:tcPr>
            <w:tcW w:w="1545" w:type="dxa"/>
            <w:noWrap w:val="0"/>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c>
          <w:tcPr>
            <w:tcW w:w="1575" w:type="dxa"/>
            <w:noWrap w:val="0"/>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noWrap w:val="0"/>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1232" w:type="dxa"/>
            <w:noWrap w:val="0"/>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c>
          <w:tcPr>
            <w:tcW w:w="1445" w:type="dxa"/>
            <w:noWrap w:val="0"/>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c>
          <w:tcPr>
            <w:tcW w:w="1483" w:type="dxa"/>
            <w:noWrap w:val="0"/>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c>
          <w:tcPr>
            <w:tcW w:w="1073" w:type="dxa"/>
            <w:noWrap w:val="0"/>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c>
          <w:tcPr>
            <w:tcW w:w="714" w:type="dxa"/>
            <w:noWrap w:val="0"/>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c>
          <w:tcPr>
            <w:tcW w:w="1545" w:type="dxa"/>
            <w:noWrap w:val="0"/>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c>
          <w:tcPr>
            <w:tcW w:w="1575" w:type="dxa"/>
            <w:noWrap w:val="0"/>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noWrap w:val="0"/>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232" w:type="dxa"/>
            <w:noWrap w:val="0"/>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c>
          <w:tcPr>
            <w:tcW w:w="1445" w:type="dxa"/>
            <w:noWrap w:val="0"/>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c>
          <w:tcPr>
            <w:tcW w:w="1483" w:type="dxa"/>
            <w:noWrap w:val="0"/>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c>
          <w:tcPr>
            <w:tcW w:w="1073" w:type="dxa"/>
            <w:noWrap w:val="0"/>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c>
          <w:tcPr>
            <w:tcW w:w="714" w:type="dxa"/>
            <w:noWrap w:val="0"/>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c>
          <w:tcPr>
            <w:tcW w:w="1545" w:type="dxa"/>
            <w:noWrap w:val="0"/>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c>
          <w:tcPr>
            <w:tcW w:w="1575" w:type="dxa"/>
            <w:noWrap w:val="0"/>
            <w:vAlign w:val="center"/>
          </w:tcPr>
          <w:p>
            <w:pPr>
              <w:snapToGrid w:val="0"/>
              <w:spacing w:line="40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8201" w:type="dxa"/>
            <w:gridSpan w:val="7"/>
            <w:noWrap w:val="0"/>
            <w:vAlign w:val="center"/>
          </w:tcPr>
          <w:p>
            <w:pPr>
              <w:snapToGrid w:val="0"/>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合     计</w:t>
            </w:r>
          </w:p>
        </w:tc>
        <w:tc>
          <w:tcPr>
            <w:tcW w:w="1575" w:type="dxa"/>
            <w:noWrap w:val="0"/>
            <w:vAlign w:val="center"/>
          </w:tcPr>
          <w:p>
            <w:pPr>
              <w:snapToGrid w:val="0"/>
              <w:spacing w:line="400" w:lineRule="exact"/>
              <w:rPr>
                <w:rFonts w:ascii="宋体" w:hAnsi="宋体" w:cs="宋体"/>
                <w:color w:val="000000" w:themeColor="text1"/>
                <w:szCs w:val="21"/>
                <w14:textFill>
                  <w14:solidFill>
                    <w14:schemeClr w14:val="tx1"/>
                  </w14:solidFill>
                </w14:textFill>
              </w:rPr>
            </w:pPr>
          </w:p>
        </w:tc>
      </w:tr>
    </w:tbl>
    <w:p>
      <w:pPr>
        <w:pStyle w:val="9"/>
        <w:rPr>
          <w:rFonts w:hint="eastAsia" w:ascii="宋体" w:hAnsi="宋体" w:cs="宋体"/>
          <w:color w:val="000000" w:themeColor="text1"/>
          <w:szCs w:val="21"/>
          <w14:textFill>
            <w14:solidFill>
              <w14:schemeClr w14:val="tx1"/>
            </w14:solidFill>
          </w14:textFill>
        </w:rPr>
      </w:pPr>
    </w:p>
    <w:p>
      <w:pPr>
        <w:pStyle w:val="9"/>
        <w:ind w:firstLine="210" w:firstLineChars="100"/>
        <w:rPr>
          <w:rFonts w:hint="eastAsia" w:ascii="宋体" w:hAnsi="宋体" w:eastAsia="宋体" w:cs="宋体"/>
          <w:color w:val="000000" w:themeColor="text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w:t>
      </w:r>
      <w:r>
        <w:rPr>
          <w:rFonts w:hint="eastAsia" w:ascii="宋体" w:hAnsi="宋体" w:eastAsia="宋体" w:cs="宋体"/>
          <w:color w:val="000000" w:themeColor="text1"/>
          <w:szCs w:val="21"/>
          <w14:textFill>
            <w14:solidFill>
              <w14:schemeClr w14:val="tx1"/>
            </w14:solidFill>
          </w14:textFill>
        </w:rPr>
        <w:t>成交</w:t>
      </w:r>
      <w:r>
        <w:rPr>
          <w:rFonts w:hint="eastAsia" w:ascii="宋体" w:hAnsi="宋体" w:cs="宋体"/>
          <w:color w:val="000000" w:themeColor="text1"/>
          <w:szCs w:val="21"/>
          <w14:textFill>
            <w14:solidFill>
              <w14:schemeClr w14:val="tx1"/>
            </w14:solidFill>
          </w14:textFill>
        </w:rPr>
        <w:t>通知书》的中标内容，合同的总金额为：（大写）</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 xml:space="preserve"> </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人民币（¥</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 xml:space="preserve">    </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元）</w:t>
      </w:r>
      <w:r>
        <w:rPr>
          <w:rFonts w:hint="eastAsia" w:ascii="宋体" w:hAnsi="宋体" w:cs="宋体"/>
          <w:color w:val="000000" w:themeColor="text1"/>
          <w:szCs w:val="21"/>
          <w:lang w:eastAsia="zh-CN"/>
          <w14:textFill>
            <w14:solidFill>
              <w14:schemeClr w14:val="tx1"/>
            </w14:solidFill>
          </w14:textFill>
        </w:rPr>
        <w:t>。</w:t>
      </w:r>
    </w:p>
    <w:p>
      <w:pPr>
        <w:spacing w:line="400" w:lineRule="exact"/>
        <w:ind w:firstLine="411" w:firstLineChars="196"/>
        <w:outlineLvl w:val="1"/>
        <w:rPr>
          <w:rFonts w:ascii="宋体" w:hAnsi="宋体" w:cs="宋体"/>
          <w:b/>
          <w:color w:val="000000" w:themeColor="text1"/>
          <w:szCs w:val="21"/>
          <w14:textFill>
            <w14:solidFill>
              <w14:schemeClr w14:val="tx1"/>
            </w14:solidFill>
          </w14:textFill>
        </w:rPr>
      </w:pPr>
      <w:bookmarkStart w:id="207" w:name="_Toc15939"/>
      <w:bookmarkStart w:id="208" w:name="_Toc495841769"/>
      <w:bookmarkStart w:id="209" w:name="_Toc6841"/>
      <w:bookmarkStart w:id="210" w:name="_Toc23870"/>
      <w:bookmarkStart w:id="211" w:name="_Toc12248"/>
      <w:r>
        <w:rPr>
          <w:rFonts w:hint="eastAsia" w:ascii="宋体" w:hAnsi="宋体" w:cs="宋体"/>
          <w:b/>
          <w:color w:val="000000" w:themeColor="text1"/>
          <w:szCs w:val="21"/>
          <w14:textFill>
            <w14:solidFill>
              <w14:schemeClr w14:val="tx1"/>
            </w14:solidFill>
          </w14:textFill>
        </w:rPr>
        <w:t>第二条  质量保证</w:t>
      </w:r>
      <w:bookmarkEnd w:id="207"/>
      <w:bookmarkEnd w:id="208"/>
      <w:bookmarkEnd w:id="209"/>
      <w:bookmarkEnd w:id="210"/>
      <w:bookmarkEnd w:id="211"/>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1.乙方应按</w:t>
      </w:r>
      <w:r>
        <w:rPr>
          <w:rFonts w:hint="eastAsia" w:ascii="宋体" w:hAnsi="宋体" w:eastAsia="宋体" w:cs="宋体"/>
          <w:color w:val="000000" w:themeColor="text1"/>
          <w14:textFill>
            <w14:solidFill>
              <w14:schemeClr w14:val="tx1"/>
            </w14:solidFill>
          </w14:textFill>
        </w:rPr>
        <w:t>响应文件</w:t>
      </w:r>
      <w:r>
        <w:rPr>
          <w:rFonts w:hint="eastAsia" w:ascii="宋体" w:hAnsi="宋体" w:cs="宋体"/>
          <w:color w:val="000000" w:themeColor="text1"/>
          <w:szCs w:val="21"/>
          <w14:textFill>
            <w14:solidFill>
              <w14:schemeClr w14:val="tx1"/>
            </w14:solidFill>
          </w14:textFill>
        </w:rPr>
        <w:t>承诺的货物规格型号、技术参数、质量标准等向甲方提供未经使用的全新原装产品，且在正常安装使用和保养条件下，其使用寿命期内各项指标均达到质量标准。</w:t>
      </w:r>
    </w:p>
    <w:p>
      <w:pPr>
        <w:spacing w:line="400" w:lineRule="exact"/>
        <w:ind w:firstLine="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2.乙方提供货物的质量保证期为</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厂家规定质保期超过一年的，按厂家规定，“货物采购需求”有规定的，按规定执行）。在质保期内因货物本身的质量问题发生故障，乙方应负责免费修理和更换零部件。对达不到技术要求者，根据实际情况，经双方协商，可按以下第（1）款办法处理：</w:t>
      </w:r>
    </w:p>
    <w:p>
      <w:pPr>
        <w:spacing w:line="400" w:lineRule="exact"/>
        <w:ind w:firstLine="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（1）更换：由乙方承担所有发生的全部费用。</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（2）贬值处理：由甲乙双方合议定价。</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（3）退货处理：乙方应退还甲方支付的合同款，同时应承担该货物的直接费用（运输、保险、检验、贷款利息及银行手续费等）。</w:t>
      </w:r>
    </w:p>
    <w:p>
      <w:pPr>
        <w:spacing w:line="400" w:lineRule="exact"/>
        <w:ind w:firstLine="411" w:firstLineChars="196"/>
        <w:outlineLvl w:val="1"/>
        <w:rPr>
          <w:rFonts w:ascii="宋体" w:hAnsi="宋体" w:cs="宋体"/>
          <w:b/>
          <w:color w:val="000000" w:themeColor="text1"/>
          <w:szCs w:val="21"/>
          <w14:textFill>
            <w14:solidFill>
              <w14:schemeClr w14:val="tx1"/>
            </w14:solidFill>
          </w14:textFill>
        </w:rPr>
      </w:pPr>
      <w:bookmarkStart w:id="212" w:name="_Toc22527"/>
      <w:bookmarkStart w:id="213" w:name="_Toc495841770"/>
      <w:bookmarkStart w:id="214" w:name="_Toc28745"/>
      <w:bookmarkStart w:id="215" w:name="_Toc17443"/>
      <w:bookmarkStart w:id="216" w:name="_Toc26807"/>
      <w:r>
        <w:rPr>
          <w:rFonts w:hint="eastAsia" w:ascii="宋体" w:hAnsi="宋体" w:cs="宋体"/>
          <w:b/>
          <w:color w:val="000000" w:themeColor="text1"/>
          <w:szCs w:val="21"/>
          <w14:textFill>
            <w14:solidFill>
              <w14:schemeClr w14:val="tx1"/>
            </w14:solidFill>
          </w14:textFill>
        </w:rPr>
        <w:t>第三条  权利保证</w:t>
      </w:r>
      <w:bookmarkEnd w:id="212"/>
      <w:bookmarkEnd w:id="213"/>
      <w:bookmarkEnd w:id="214"/>
      <w:bookmarkEnd w:id="215"/>
      <w:bookmarkEnd w:id="216"/>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1.乙方应保证所提供货物在使用时不会侵犯任何第三方的专利权、商标权、工业设计权或其他权利。</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2.乙方应按招标文件规定的时间向甲方提供使用货物的有关技术资料。</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3.乙方保证所交付的货物的所有权完全属于乙方且无任何抵押、质押、查封等产权瑕疵。</w:t>
      </w:r>
    </w:p>
    <w:p>
      <w:pPr>
        <w:spacing w:line="400" w:lineRule="exact"/>
        <w:ind w:firstLine="411" w:firstLineChars="196"/>
        <w:outlineLvl w:val="1"/>
        <w:rPr>
          <w:rFonts w:ascii="宋体" w:hAnsi="宋体" w:cs="宋体"/>
          <w:b/>
          <w:color w:val="000000" w:themeColor="text1"/>
          <w:szCs w:val="21"/>
          <w14:textFill>
            <w14:solidFill>
              <w14:schemeClr w14:val="tx1"/>
            </w14:solidFill>
          </w14:textFill>
        </w:rPr>
      </w:pPr>
      <w:bookmarkStart w:id="217" w:name="_Toc17138"/>
      <w:bookmarkStart w:id="218" w:name="_Toc495841771"/>
      <w:bookmarkStart w:id="219" w:name="_Toc24662"/>
      <w:bookmarkStart w:id="220" w:name="_Toc7468"/>
      <w:bookmarkStart w:id="221" w:name="_Toc23611"/>
      <w:r>
        <w:rPr>
          <w:rFonts w:hint="eastAsia" w:ascii="宋体" w:hAnsi="宋体" w:cs="宋体"/>
          <w:b/>
          <w:color w:val="000000" w:themeColor="text1"/>
          <w:szCs w:val="21"/>
          <w14:textFill>
            <w14:solidFill>
              <w14:schemeClr w14:val="tx1"/>
            </w14:solidFill>
          </w14:textFill>
        </w:rPr>
        <w:t>第四条  货物包装、运输</w:t>
      </w:r>
      <w:bookmarkEnd w:id="217"/>
      <w:bookmarkEnd w:id="218"/>
      <w:bookmarkEnd w:id="219"/>
      <w:bookmarkEnd w:id="220"/>
      <w:bookmarkEnd w:id="221"/>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1.乙方应在货物发运前对其进行满足运输距离、防潮、防震、防锈和防破损装卸等要求包装，以保证货物安全运达甲方指定地点。</w:t>
      </w:r>
    </w:p>
    <w:p>
      <w:pPr>
        <w:spacing w:line="400" w:lineRule="exact"/>
        <w:ind w:left="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2.使用中文说明书（货物属于进口产品的，供货时应同时附上中文使用说明书）、质量检验证明书、</w:t>
      </w:r>
    </w:p>
    <w:p>
      <w:pPr>
        <w:spacing w:line="400" w:lineRule="exact"/>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随配附件和工具以及清单一并附于货物内。</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3.乙方在货物发运手续办理完毕后二十四小时内或货到甲方四十八小时前通知甲方，以准备接货。</w:t>
      </w:r>
    </w:p>
    <w:p>
      <w:pPr>
        <w:spacing w:line="400" w:lineRule="exact"/>
        <w:ind w:left="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4.货物在交付甲方前发生的风险均由乙方负责。</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outlineLvl w:val="1"/>
        <w:rPr>
          <w:rFonts w:hint="eastAsia" w:ascii="宋体" w:hAnsi="宋体" w:cs="宋体"/>
          <w:b/>
          <w:color w:val="000000" w:themeColor="text1"/>
          <w:szCs w:val="21"/>
          <w:lang w:val="en-US" w:eastAsia="zh-CN"/>
          <w14:textFill>
            <w14:solidFill>
              <w14:schemeClr w14:val="tx1"/>
            </w14:solidFill>
          </w14:textFill>
        </w:rPr>
      </w:pPr>
      <w:bookmarkStart w:id="222" w:name="_Toc495841772"/>
      <w:bookmarkStart w:id="223" w:name="_Toc581"/>
      <w:bookmarkStart w:id="224" w:name="_Toc2705"/>
      <w:bookmarkStart w:id="225" w:name="_Toc6786"/>
      <w:bookmarkStart w:id="226" w:name="_Toc20794"/>
      <w:r>
        <w:rPr>
          <w:rFonts w:hint="eastAsia" w:ascii="宋体" w:hAnsi="宋体" w:cs="宋体"/>
          <w:b/>
          <w:color w:val="000000" w:themeColor="text1"/>
          <w:szCs w:val="21"/>
          <w:lang w:val="en-US" w:eastAsia="zh-CN"/>
          <w14:textFill>
            <w14:solidFill>
              <w14:schemeClr w14:val="tx1"/>
            </w14:solidFill>
          </w14:textFill>
        </w:rPr>
        <w:t>第五条  交付</w:t>
      </w:r>
      <w:bookmarkEnd w:id="222"/>
      <w:bookmarkEnd w:id="223"/>
      <w:bookmarkEnd w:id="224"/>
      <w:bookmarkEnd w:id="225"/>
      <w:bookmarkEnd w:id="226"/>
    </w:p>
    <w:p>
      <w:pPr>
        <w:spacing w:line="400" w:lineRule="exact"/>
        <w:ind w:firstLine="420" w:firstLineChars="200"/>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1.交付使用时间：自签订合同之日起60个日历日内完成安装调试并交付采购人使用。如服务环境、安装点位不具备施工条件，可经双方协商将交付期顺延。</w:t>
      </w:r>
    </w:p>
    <w:p>
      <w:pPr>
        <w:spacing w:line="400" w:lineRule="exact"/>
        <w:ind w:firstLine="420" w:firstLineChars="200"/>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2.交货地点：采购人指定地点。</w:t>
      </w:r>
    </w:p>
    <w:p>
      <w:pPr>
        <w:keepNext w:val="0"/>
        <w:keepLines w:val="0"/>
        <w:pageBreakBefore w:val="0"/>
        <w:widowControl w:val="0"/>
        <w:numPr>
          <w:ilvl w:val="0"/>
          <w:numId w:val="7"/>
        </w:numPr>
        <w:kinsoku/>
        <w:wordWrap/>
        <w:overflowPunct/>
        <w:topLinePunct w:val="0"/>
        <w:autoSpaceDE/>
        <w:autoSpaceDN/>
        <w:bidi w:val="0"/>
        <w:adjustRightInd/>
        <w:snapToGrid/>
        <w:spacing w:line="400" w:lineRule="exact"/>
        <w:ind w:firstLine="411" w:firstLineChars="196"/>
        <w:textAlignment w:val="auto"/>
        <w:outlineLvl w:val="1"/>
        <w:rPr>
          <w:rFonts w:hint="eastAsia" w:ascii="宋体" w:hAnsi="宋体" w:cs="宋体"/>
          <w:b/>
          <w:color w:val="000000" w:themeColor="text1"/>
          <w:szCs w:val="21"/>
          <w14:textFill>
            <w14:solidFill>
              <w14:schemeClr w14:val="tx1"/>
            </w14:solidFill>
          </w14:textFill>
        </w:rPr>
      </w:pPr>
      <w:bookmarkStart w:id="227" w:name="_Toc495841773"/>
      <w:bookmarkStart w:id="228" w:name="_Toc2045"/>
      <w:bookmarkStart w:id="229" w:name="_Toc14073"/>
      <w:bookmarkStart w:id="230" w:name="_Toc30287"/>
      <w:r>
        <w:rPr>
          <w:rFonts w:hint="eastAsia" w:ascii="宋体" w:hAnsi="宋体" w:cs="宋体"/>
          <w:b/>
          <w:color w:val="000000" w:themeColor="text1"/>
          <w:szCs w:val="21"/>
          <w14:textFill>
            <w14:solidFill>
              <w14:schemeClr w14:val="tx1"/>
            </w14:solidFill>
          </w14:textFill>
        </w:rPr>
        <w:t xml:space="preserve"> </w:t>
      </w:r>
      <w:bookmarkStart w:id="231" w:name="_Toc17868"/>
      <w:r>
        <w:rPr>
          <w:rFonts w:hint="eastAsia" w:ascii="宋体" w:hAnsi="宋体" w:cs="宋体"/>
          <w:b/>
          <w:color w:val="000000" w:themeColor="text1"/>
          <w:szCs w:val="21"/>
          <w14:textFill>
            <w14:solidFill>
              <w14:schemeClr w14:val="tx1"/>
            </w14:solidFill>
          </w14:textFill>
        </w:rPr>
        <w:t>调试和验收</w:t>
      </w:r>
      <w:bookmarkEnd w:id="227"/>
      <w:bookmarkEnd w:id="228"/>
      <w:bookmarkEnd w:id="229"/>
      <w:bookmarkEnd w:id="230"/>
      <w:bookmarkEnd w:id="231"/>
    </w:p>
    <w:p>
      <w:pPr>
        <w:spacing w:line="400" w:lineRule="exact"/>
        <w:ind w:firstLine="420" w:firstLineChars="20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1.现场验收。</w:t>
      </w:r>
    </w:p>
    <w:p>
      <w:pPr>
        <w:spacing w:line="400" w:lineRule="exact"/>
        <w:ind w:firstLine="420" w:firstLineChars="20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2.项目完工后5个工作日内成交供应商提出验收申请，接到验收申请的5个工作日内采购人组织验收，验收所发生费用由成交供应商承担。</w:t>
      </w:r>
    </w:p>
    <w:p>
      <w:pPr>
        <w:spacing w:line="400" w:lineRule="exact"/>
        <w:ind w:firstLine="420" w:firstLineChars="20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成交供应商必须提供原装正品的、全新的、符合国家及采购方提出的有关质量标准的产品，成交供应商在响应文件中提供所投“网线”完工验收时通过福禄克测试，信道测试next值不低于5DB、网络跳线福禄克测试next值不低于20DB</w:t>
      </w:r>
      <w:r>
        <w:rPr>
          <w:rFonts w:hint="eastAsia" w:ascii="宋体" w:hAnsi="宋体" w:eastAsia="宋体" w:cs="宋体"/>
          <w:color w:val="000000" w:themeColor="text1"/>
          <w:szCs w:val="21"/>
          <w:lang w:val="en-US" w:eastAsia="zh-CN"/>
          <w14:textFill>
            <w14:solidFill>
              <w14:schemeClr w14:val="tx1"/>
            </w14:solidFill>
          </w14:textFill>
        </w:rPr>
        <w:t>。</w:t>
      </w:r>
    </w:p>
    <w:p>
      <w:pPr>
        <w:spacing w:line="400" w:lineRule="exact"/>
        <w:ind w:firstLine="420" w:firstLineChars="200"/>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4.合同签订后，采购人如对成交供应商所提供产品有疑问的，采购人有权要求成交供应商对疑问进行书面澄清，必要时有权要求按照招标文件条款对成交供应商所提供产品进行产品性能及对接测试,若成交供应商所提供产品的测试结果不能满足招标条款要求或者成交供应商不能够在规定时间内提供产品进行测试的，判定该成交供应商为虚假应标，并报相关的政府采购监督管理部门进行处理，采购人保留进一步追究其法律责任的权利，由此引发的所有损失由该成交供应商承担。若成交供应商所提供的产品实际性能指标不满足采购文件要求，或为不符合国家知识产权法律法规要求的非正规正版产品或属于假冒伪劣商品的，其合同无效，</w:t>
      </w:r>
      <w:r>
        <w:rPr>
          <w:rFonts w:hint="eastAsia" w:ascii="宋体" w:hAnsi="宋体" w:cs="宋体"/>
          <w:color w:val="000000" w:themeColor="text1"/>
          <w:szCs w:val="21"/>
          <w:lang w:val="en-US" w:eastAsia="zh-CN"/>
          <w14:textFill>
            <w14:solidFill>
              <w14:schemeClr w14:val="tx1"/>
            </w14:solidFill>
          </w14:textFill>
        </w:rPr>
        <w:t>同时</w:t>
      </w:r>
      <w:r>
        <w:rPr>
          <w:rFonts w:hint="eastAsia" w:ascii="宋体" w:hAnsi="宋体" w:eastAsia="宋体" w:cs="宋体"/>
          <w:color w:val="000000" w:themeColor="text1"/>
          <w:szCs w:val="21"/>
          <w:lang w:val="en-US" w:eastAsia="zh-CN"/>
          <w14:textFill>
            <w14:solidFill>
              <w14:schemeClr w14:val="tx1"/>
            </w14:solidFill>
          </w14:textFill>
        </w:rPr>
        <w:t>还将按照国家相关法律法规的规定提请有关政府监管部门对其进行处理。</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5.因产品质量问题发生争议的，应邀请国家认可的质量检测机构对产品质量进行鉴定。产品符合标准的，鉴定费由采购人承担；产品不符合标准的，鉴定费由成交供应商承担。</w:t>
      </w:r>
    </w:p>
    <w:p>
      <w:pPr>
        <w:keepNext w:val="0"/>
        <w:keepLines w:val="0"/>
        <w:pageBreakBefore w:val="0"/>
        <w:widowControl w:val="0"/>
        <w:kinsoku/>
        <w:wordWrap/>
        <w:overflowPunct/>
        <w:topLinePunct w:val="0"/>
        <w:autoSpaceDE/>
        <w:autoSpaceDN/>
        <w:bidi w:val="0"/>
        <w:adjustRightInd/>
        <w:snapToGrid/>
        <w:spacing w:line="400" w:lineRule="exact"/>
        <w:ind w:firstLine="411" w:firstLineChars="196"/>
        <w:textAlignment w:val="auto"/>
        <w:outlineLvl w:val="1"/>
        <w:rPr>
          <w:rFonts w:ascii="宋体" w:hAnsi="宋体" w:cs="宋体"/>
          <w:b/>
          <w:color w:val="000000" w:themeColor="text1"/>
          <w:szCs w:val="21"/>
          <w14:textFill>
            <w14:solidFill>
              <w14:schemeClr w14:val="tx1"/>
            </w14:solidFill>
          </w14:textFill>
        </w:rPr>
      </w:pPr>
      <w:bookmarkStart w:id="232" w:name="_Toc29074"/>
      <w:bookmarkStart w:id="233" w:name="_Toc11427"/>
      <w:bookmarkStart w:id="234" w:name="_Toc26326"/>
      <w:r>
        <w:rPr>
          <w:rFonts w:hint="eastAsia" w:ascii="宋体" w:hAnsi="宋体" w:cs="宋体"/>
          <w:b/>
          <w:color w:val="000000" w:themeColor="text1"/>
          <w:szCs w:val="21"/>
          <w14:textFill>
            <w14:solidFill>
              <w14:schemeClr w14:val="tx1"/>
            </w14:solidFill>
          </w14:textFill>
        </w:rPr>
        <w:t>第七条  安装和培训</w:t>
      </w:r>
      <w:bookmarkEnd w:id="232"/>
      <w:bookmarkEnd w:id="233"/>
      <w:bookmarkEnd w:id="234"/>
    </w:p>
    <w:p>
      <w:pPr>
        <w:keepNext w:val="0"/>
        <w:keepLines w:val="0"/>
        <w:pageBreakBefore w:val="0"/>
        <w:widowControl w:val="0"/>
        <w:tabs>
          <w:tab w:val="left" w:pos="0"/>
        </w:tabs>
        <w:kinsoku/>
        <w:wordWrap/>
        <w:overflowPunct/>
        <w:topLinePunct w:val="0"/>
        <w:autoSpaceDE/>
        <w:autoSpaceDN/>
        <w:bidi w:val="0"/>
        <w:adjustRightInd/>
        <w:snapToGrid/>
        <w:spacing w:line="400" w:lineRule="exact"/>
        <w:ind w:firstLine="420" w:firstLineChars="200"/>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1.甲方应提供必要安装条件（如场地、电源、水源等）。</w:t>
      </w:r>
    </w:p>
    <w:p>
      <w:pPr>
        <w:keepNext w:val="0"/>
        <w:keepLines w:val="0"/>
        <w:pageBreakBefore w:val="0"/>
        <w:widowControl w:val="0"/>
        <w:tabs>
          <w:tab w:val="left" w:pos="0"/>
        </w:tabs>
        <w:kinsoku/>
        <w:wordWrap/>
        <w:overflowPunct/>
        <w:topLinePunct w:val="0"/>
        <w:autoSpaceDE/>
        <w:autoSpaceDN/>
        <w:bidi w:val="0"/>
        <w:adjustRightInd/>
        <w:snapToGrid/>
        <w:spacing w:line="400" w:lineRule="exact"/>
        <w:ind w:firstLine="420" w:firstLineChars="200"/>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2.乙方负责甲方有关人员的培训。培训时间、地点：</w:t>
      </w:r>
      <w:r>
        <w:rPr>
          <w:rFonts w:hint="eastAsia" w:ascii="宋体" w:hAnsi="宋体" w:cs="宋体"/>
          <w:bCs/>
          <w:color w:val="000000" w:themeColor="text1"/>
          <w:kern w:val="0"/>
          <w:szCs w:val="21"/>
          <w14:textFill>
            <w14:solidFill>
              <w14:schemeClr w14:val="tx1"/>
            </w14:solidFill>
          </w14:textFill>
        </w:rPr>
        <w:t>采购人指定地点。</w:t>
      </w:r>
    </w:p>
    <w:p>
      <w:pPr>
        <w:keepNext w:val="0"/>
        <w:keepLines w:val="0"/>
        <w:pageBreakBefore w:val="0"/>
        <w:widowControl w:val="0"/>
        <w:kinsoku/>
        <w:wordWrap/>
        <w:overflowPunct/>
        <w:topLinePunct w:val="0"/>
        <w:autoSpaceDE/>
        <w:autoSpaceDN/>
        <w:bidi w:val="0"/>
        <w:adjustRightInd/>
        <w:snapToGrid/>
        <w:spacing w:line="400" w:lineRule="exact"/>
        <w:ind w:firstLine="411" w:firstLineChars="196"/>
        <w:textAlignment w:val="auto"/>
        <w:outlineLvl w:val="1"/>
        <w:rPr>
          <w:rFonts w:ascii="宋体" w:hAnsi="宋体" w:cs="宋体"/>
          <w:b/>
          <w:color w:val="000000" w:themeColor="text1"/>
          <w:szCs w:val="21"/>
          <w14:textFill>
            <w14:solidFill>
              <w14:schemeClr w14:val="tx1"/>
            </w14:solidFill>
          </w14:textFill>
        </w:rPr>
      </w:pPr>
      <w:bookmarkStart w:id="235" w:name="_Toc29939"/>
      <w:bookmarkStart w:id="236" w:name="_Toc495841775"/>
      <w:bookmarkStart w:id="237" w:name="_Toc13114"/>
      <w:bookmarkStart w:id="238" w:name="_Toc7422"/>
      <w:bookmarkStart w:id="239" w:name="_Toc23334"/>
      <w:r>
        <w:rPr>
          <w:rFonts w:hint="eastAsia" w:ascii="宋体" w:hAnsi="宋体" w:cs="宋体"/>
          <w:b/>
          <w:color w:val="000000" w:themeColor="text1"/>
          <w:szCs w:val="21"/>
          <w14:textFill>
            <w14:solidFill>
              <w14:schemeClr w14:val="tx1"/>
            </w14:solidFill>
          </w14:textFill>
        </w:rPr>
        <w:t>第八条  售后服务、保修期</w:t>
      </w:r>
      <w:bookmarkEnd w:id="235"/>
      <w:bookmarkEnd w:id="236"/>
      <w:bookmarkEnd w:id="237"/>
      <w:bookmarkEnd w:id="238"/>
      <w:bookmarkEnd w:id="239"/>
    </w:p>
    <w:p>
      <w:pPr>
        <w:spacing w:line="400" w:lineRule="exact"/>
        <w:ind w:firstLine="411" w:firstLineChars="196"/>
        <w:rPr>
          <w:rFonts w:hint="eastAsia" w:ascii="宋体" w:hAnsi="宋体" w:eastAsia="宋体" w:cs="宋体"/>
          <w:color w:val="000000" w:themeColor="text1"/>
          <w:szCs w:val="21"/>
          <w:highlight w:val="none"/>
          <w:lang w:eastAsia="zh-CN"/>
          <w14:textFill>
            <w14:solidFill>
              <w14:schemeClr w14:val="tx1"/>
            </w14:solidFill>
          </w14:textFill>
        </w:rPr>
      </w:pPr>
      <w:bookmarkStart w:id="240" w:name="_Toc12595"/>
      <w:bookmarkStart w:id="241" w:name="_Toc495841776"/>
      <w:bookmarkStart w:id="242" w:name="_Toc29143"/>
      <w:bookmarkStart w:id="243" w:name="_Toc18235"/>
      <w:r>
        <w:rPr>
          <w:rFonts w:hint="eastAsia" w:ascii="宋体" w:hAnsi="宋体" w:eastAsia="宋体" w:cs="宋体"/>
          <w:color w:val="000000" w:themeColor="text1"/>
          <w:szCs w:val="21"/>
          <w:highlight w:val="none"/>
          <w:lang w:val="en-US" w:eastAsia="zh-CN"/>
          <w14:textFill>
            <w14:solidFill>
              <w14:schemeClr w14:val="tx1"/>
            </w14:solidFill>
          </w14:textFill>
        </w:rPr>
        <w:t>1.</w:t>
      </w:r>
      <w:r>
        <w:rPr>
          <w:rFonts w:hint="eastAsia" w:ascii="宋体" w:hAnsi="宋体" w:eastAsia="宋体" w:cs="宋体"/>
          <w:color w:val="000000" w:themeColor="text1"/>
          <w:szCs w:val="21"/>
          <w:highlight w:val="none"/>
          <w:lang w:eastAsia="zh-CN"/>
          <w14:textFill>
            <w14:solidFill>
              <w14:schemeClr w14:val="tx1"/>
            </w14:solidFill>
          </w14:textFill>
        </w:rPr>
        <w:t>免费保修期：按国家有关产品“三包”规定执行“三包”，货物免费保修期最短不得少于3年（需求参数中另有要求的按照需求要求，自验收合格之日起计算）。</w:t>
      </w:r>
    </w:p>
    <w:p>
      <w:pPr>
        <w:spacing w:line="400" w:lineRule="exact"/>
        <w:ind w:firstLine="411" w:firstLineChars="196"/>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lang w:eastAsia="zh-CN"/>
          <w14:textFill>
            <w14:solidFill>
              <w14:schemeClr w14:val="tx1"/>
            </w14:solidFill>
          </w14:textFill>
        </w:rPr>
        <w:t>2.实施人员要求：供应商须具有专业实施团队，实施人员不少于5人；售后人员要求：供应商须具有售后服务团队，售后人员不少于2人。</w:t>
      </w:r>
    </w:p>
    <w:p>
      <w:pPr>
        <w:spacing w:line="400" w:lineRule="exact"/>
        <w:ind w:firstLine="411" w:firstLineChars="196"/>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lang w:eastAsia="zh-CN"/>
          <w14:textFill>
            <w14:solidFill>
              <w14:schemeClr w14:val="tx1"/>
            </w14:solidFill>
          </w14:textFill>
        </w:rPr>
        <w:t>3.故障响应要求：在接到采购人故障报修后1小时内响应，4小时内到达故障现场，一般故障（不需要更换设备的）修复时间24小时以内，重大故障（需要更换设备的）的修复时间48小时以内。如故障不能在48小时内解决，免费保修(质保)期内成交供应商必须提供与原设备技术参数要求相同或高于原设备技术参数要求的备用产品供采购人使用，且不收取任何费用。</w:t>
      </w:r>
    </w:p>
    <w:p>
      <w:pPr>
        <w:spacing w:line="400" w:lineRule="exact"/>
        <w:ind w:firstLine="411" w:firstLineChars="196"/>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4</w:t>
      </w:r>
      <w:r>
        <w:rPr>
          <w:rFonts w:hint="eastAsia" w:ascii="宋体" w:hAnsi="宋体" w:eastAsia="宋体" w:cs="宋体"/>
          <w:color w:val="000000" w:themeColor="text1"/>
          <w:szCs w:val="21"/>
          <w:highlight w:val="none"/>
          <w:lang w:eastAsia="zh-CN"/>
          <w14:textFill>
            <w14:solidFill>
              <w14:schemeClr w14:val="tx1"/>
            </w14:solidFill>
          </w14:textFill>
        </w:rPr>
        <w:t>.技术服务及培训：采购范围内免费技术培训。设备安装完成后进行不少于2次使用培训。</w:t>
      </w:r>
    </w:p>
    <w:p>
      <w:pPr>
        <w:keepNext w:val="0"/>
        <w:keepLines w:val="0"/>
        <w:pageBreakBefore w:val="0"/>
        <w:widowControl w:val="0"/>
        <w:numPr>
          <w:ilvl w:val="-1"/>
          <w:numId w:val="0"/>
        </w:numPr>
        <w:kinsoku/>
        <w:wordWrap/>
        <w:overflowPunct/>
        <w:topLinePunct w:val="0"/>
        <w:autoSpaceDE/>
        <w:autoSpaceDN/>
        <w:bidi w:val="0"/>
        <w:adjustRightInd/>
        <w:snapToGrid/>
        <w:spacing w:line="400" w:lineRule="exact"/>
        <w:ind w:firstLine="420" w:firstLineChars="200"/>
        <w:textAlignment w:val="auto"/>
        <w:outlineLvl w:val="1"/>
        <w:rPr>
          <w:rFonts w:ascii="宋体" w:hAnsi="宋体" w:cs="宋体"/>
          <w:b/>
          <w:color w:val="000000" w:themeColor="text1"/>
          <w:szCs w:val="21"/>
          <w14:textFill>
            <w14:solidFill>
              <w14:schemeClr w14:val="tx1"/>
            </w14:solidFill>
          </w14:textFill>
        </w:rPr>
      </w:pPr>
      <w:bookmarkStart w:id="244" w:name="_Toc15585"/>
      <w:r>
        <w:rPr>
          <w:rFonts w:hint="eastAsia" w:ascii="宋体" w:hAnsi="宋体" w:cs="宋体"/>
          <w:b/>
          <w:color w:val="000000" w:themeColor="text1"/>
          <w:szCs w:val="21"/>
          <w14:textFill>
            <w14:solidFill>
              <w14:schemeClr w14:val="tx1"/>
            </w14:solidFill>
          </w14:textFill>
        </w:rPr>
        <w:t>第九条  税费</w:t>
      </w:r>
      <w:bookmarkEnd w:id="240"/>
      <w:bookmarkEnd w:id="241"/>
      <w:bookmarkEnd w:id="242"/>
      <w:bookmarkEnd w:id="243"/>
      <w:bookmarkEnd w:id="244"/>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本合同执行中相关的一切税费均由乙方负担。</w:t>
      </w:r>
    </w:p>
    <w:p>
      <w:pPr>
        <w:numPr>
          <w:ilvl w:val="0"/>
          <w:numId w:val="8"/>
        </w:numPr>
        <w:spacing w:line="400" w:lineRule="exact"/>
        <w:ind w:firstLine="411" w:firstLineChars="196"/>
        <w:outlineLvl w:val="1"/>
        <w:rPr>
          <w:rFonts w:hint="eastAsia" w:ascii="宋体" w:hAnsi="宋体" w:cs="宋体"/>
          <w:b/>
          <w:color w:val="000000" w:themeColor="text1"/>
          <w:szCs w:val="21"/>
          <w14:textFill>
            <w14:solidFill>
              <w14:schemeClr w14:val="tx1"/>
            </w14:solidFill>
          </w14:textFill>
        </w:rPr>
      </w:pPr>
      <w:bookmarkStart w:id="245" w:name="_Toc495841777"/>
      <w:bookmarkStart w:id="246" w:name="_Toc17338"/>
      <w:bookmarkStart w:id="247" w:name="_Toc18828"/>
      <w:bookmarkStart w:id="248" w:name="_Toc8637"/>
      <w:r>
        <w:rPr>
          <w:rFonts w:hint="eastAsia" w:ascii="宋体" w:hAnsi="宋体" w:cs="宋体"/>
          <w:b/>
          <w:color w:val="000000" w:themeColor="text1"/>
          <w:szCs w:val="21"/>
          <w14:textFill>
            <w14:solidFill>
              <w14:schemeClr w14:val="tx1"/>
            </w14:solidFill>
          </w14:textFill>
        </w:rPr>
        <w:t xml:space="preserve"> </w:t>
      </w:r>
      <w:bookmarkStart w:id="249" w:name="_Toc19679"/>
      <w:r>
        <w:rPr>
          <w:rFonts w:hint="eastAsia" w:ascii="宋体" w:hAnsi="宋体" w:cs="宋体"/>
          <w:b/>
          <w:color w:val="000000" w:themeColor="text1"/>
          <w:szCs w:val="21"/>
          <w14:textFill>
            <w14:solidFill>
              <w14:schemeClr w14:val="tx1"/>
            </w14:solidFill>
          </w14:textFill>
        </w:rPr>
        <w:t>付款方式</w:t>
      </w:r>
      <w:bookmarkEnd w:id="245"/>
      <w:bookmarkEnd w:id="246"/>
      <w:bookmarkEnd w:id="247"/>
      <w:bookmarkEnd w:id="248"/>
      <w:bookmarkEnd w:id="249"/>
    </w:p>
    <w:p>
      <w:pPr>
        <w:keepNext w:val="0"/>
        <w:keepLines w:val="0"/>
        <w:pageBreakBefore w:val="0"/>
        <w:widowControl w:val="0"/>
        <w:tabs>
          <w:tab w:val="left" w:pos="0"/>
        </w:tabs>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1.付款方式：采购人在与成交供应商签订合同后7天内支付合同金额的30%货款给成交供应商；本项目主要货物（网线、光纤、24口交换机、8口POE交换机、网络摄像机、网络硬盘录像机、LED显示单元、音柱、功率放大器、调音台、数字音频矩阵处理器、无线主席单元、无线代表单元、天线放大器、AI智能增益器、无线会议麦克风、电源时序器、多点控制系统、高清视频终端）到货后，硬件设备规格型号经过检验合格后，采购人支付合同总金额的50%货款给成交供应商；其余20%合同款在全部货物交货、安装调试完毕、验收合格交付使用之日起7个工作日内支付给成交供应商。</w:t>
      </w:r>
    </w:p>
    <w:p>
      <w:pPr>
        <w:spacing w:line="400" w:lineRule="exact"/>
        <w:ind w:firstLine="411" w:firstLineChars="196"/>
        <w:outlineLvl w:val="1"/>
        <w:rPr>
          <w:rFonts w:ascii="宋体" w:hAnsi="宋体" w:cs="宋体"/>
          <w:b/>
          <w:color w:val="000000" w:themeColor="text1"/>
          <w:szCs w:val="21"/>
          <w14:textFill>
            <w14:solidFill>
              <w14:schemeClr w14:val="tx1"/>
            </w14:solidFill>
          </w14:textFill>
        </w:rPr>
      </w:pPr>
      <w:bookmarkStart w:id="250" w:name="_Toc27076"/>
      <w:r>
        <w:rPr>
          <w:rFonts w:hint="eastAsia" w:ascii="宋体" w:hAnsi="宋体" w:cs="宋体"/>
          <w:b/>
          <w:color w:val="000000" w:themeColor="text1"/>
          <w:szCs w:val="21"/>
          <w14:textFill>
            <w14:solidFill>
              <w14:schemeClr w14:val="tx1"/>
            </w14:solidFill>
          </w14:textFill>
        </w:rPr>
        <w:t>第十一条  违约责任</w:t>
      </w:r>
      <w:bookmarkEnd w:id="250"/>
    </w:p>
    <w:p>
      <w:pPr>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14:textFill>
            <w14:solidFill>
              <w14:schemeClr w14:val="tx1"/>
            </w14:solidFill>
          </w14:textFill>
        </w:rPr>
        <w:t>1. 乙方所提供的货物</w:t>
      </w:r>
      <w:r>
        <w:rPr>
          <w:rFonts w:hint="eastAsia" w:ascii="宋体" w:hAnsi="宋体" w:cs="宋体"/>
          <w:color w:val="000000" w:themeColor="text1"/>
          <w:szCs w:val="21"/>
          <w:highlight w:val="none"/>
          <w14:textFill>
            <w14:solidFill>
              <w14:schemeClr w14:val="tx1"/>
            </w14:solidFill>
          </w14:textFill>
        </w:rPr>
        <w:t>规格、技术标准、材料等质量不合格的，应及时更换，更换不及时的按逾期交货处罚，乙方应向甲方支付合同金额</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%违约金并赔偿甲方经济损失。</w:t>
      </w:r>
    </w:p>
    <w:p>
      <w:pPr>
        <w:spacing w:line="400" w:lineRule="exact"/>
        <w:ind w:firstLine="411" w:firstLineChars="196"/>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 乙方提供的货物如果侵犯了第三方合法权益而引发的任何纠纷或诉讼，均由乙方负责交涉并承担全部责任。</w:t>
      </w:r>
    </w:p>
    <w:p>
      <w:pPr>
        <w:spacing w:line="400" w:lineRule="exact"/>
        <w:ind w:firstLine="411" w:firstLineChars="196"/>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 因包装、运输引起的货物损坏，按质量不合格处理。</w:t>
      </w:r>
    </w:p>
    <w:p>
      <w:pPr>
        <w:spacing w:line="400" w:lineRule="exact"/>
        <w:ind w:firstLine="411" w:firstLineChars="196"/>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 甲方无故延期接收货物、乙方逾期交货的，每天向对方偿付违约货款额</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违约金，但违约金累计不得超过违约货款额</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，超过</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天对方有权解除合同，违约方承担因此给对方造成经济损失；甲方延期付货款的，每天向乙方偿付延期货款额</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‰滞纳金，但滞纳金累计不得超过延期货款额</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w:t>
      </w:r>
    </w:p>
    <w:p>
      <w:pPr>
        <w:spacing w:line="400" w:lineRule="exact"/>
        <w:ind w:firstLine="411" w:firstLineChars="196"/>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 乙方未按本合同和投标文件中规定的服务承诺提供售后服务的，乙方应按本合同合同金额</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%向甲方支付违约金。</w:t>
      </w:r>
    </w:p>
    <w:p>
      <w:pPr>
        <w:spacing w:line="400" w:lineRule="exact"/>
        <w:ind w:firstLine="411" w:firstLineChars="196"/>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 乙方提供的货物在质保期内，因设计、工艺或材料的缺陷和其他质量原因造成的问题，由乙方负责。</w:t>
      </w:r>
    </w:p>
    <w:p>
      <w:pPr>
        <w:spacing w:line="400" w:lineRule="exact"/>
        <w:ind w:firstLine="411" w:firstLineChars="196"/>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 其他违约行为按违约货款额</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%收取</w:t>
      </w:r>
      <w:r>
        <w:rPr>
          <w:rFonts w:hint="eastAsia" w:ascii="宋体" w:hAnsi="宋体" w:cs="宋体"/>
          <w:color w:val="000000" w:themeColor="text1"/>
          <w:szCs w:val="21"/>
          <w14:textFill>
            <w14:solidFill>
              <w14:schemeClr w14:val="tx1"/>
            </w14:solidFill>
          </w14:textFill>
        </w:rPr>
        <w:t>违约金并赔偿经济损失。</w:t>
      </w:r>
    </w:p>
    <w:p>
      <w:pPr>
        <w:spacing w:line="400" w:lineRule="exact"/>
        <w:ind w:firstLine="411" w:firstLineChars="196"/>
        <w:outlineLvl w:val="1"/>
        <w:rPr>
          <w:rFonts w:ascii="宋体" w:hAnsi="宋体" w:cs="宋体"/>
          <w:b/>
          <w:color w:val="000000" w:themeColor="text1"/>
          <w:szCs w:val="21"/>
          <w14:textFill>
            <w14:solidFill>
              <w14:schemeClr w14:val="tx1"/>
            </w14:solidFill>
          </w14:textFill>
        </w:rPr>
      </w:pPr>
      <w:bookmarkStart w:id="251" w:name="_Toc495841779"/>
      <w:bookmarkStart w:id="252" w:name="_Toc5808"/>
      <w:bookmarkStart w:id="253" w:name="_Toc15932"/>
      <w:bookmarkStart w:id="254" w:name="_Toc4299"/>
      <w:bookmarkStart w:id="255" w:name="_Toc10024"/>
      <w:r>
        <w:rPr>
          <w:rFonts w:hint="eastAsia" w:ascii="宋体" w:hAnsi="宋体" w:cs="宋体"/>
          <w:b/>
          <w:color w:val="000000" w:themeColor="text1"/>
          <w:szCs w:val="21"/>
          <w14:textFill>
            <w14:solidFill>
              <w14:schemeClr w14:val="tx1"/>
            </w14:solidFill>
          </w14:textFill>
        </w:rPr>
        <w:t>第十二条  不可抗力事件处理</w:t>
      </w:r>
      <w:bookmarkEnd w:id="251"/>
      <w:bookmarkEnd w:id="252"/>
      <w:bookmarkEnd w:id="253"/>
      <w:bookmarkEnd w:id="254"/>
      <w:bookmarkEnd w:id="255"/>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1.在合同有效期内，乙方因不可抗力事件导致不能履行合同，则合同履行期可延长，其延长期与不可抗力影响期相同。</w:t>
      </w:r>
    </w:p>
    <w:p>
      <w:pPr>
        <w:spacing w:line="400" w:lineRule="exact"/>
        <w:ind w:left="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2.不可抗力事件发生后，应立即通知对方，并寄送有关权威机构出具的证明。</w:t>
      </w:r>
    </w:p>
    <w:p>
      <w:pPr>
        <w:spacing w:line="400" w:lineRule="exact"/>
        <w:ind w:left="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3.不可抗力事件延续一百二十天以上，双方应通过友好协商，确定是否继续履行合同。</w:t>
      </w:r>
    </w:p>
    <w:p>
      <w:pPr>
        <w:spacing w:line="400" w:lineRule="exact"/>
        <w:ind w:firstLine="411" w:firstLineChars="196"/>
        <w:outlineLvl w:val="1"/>
        <w:rPr>
          <w:rFonts w:ascii="宋体" w:hAnsi="宋体" w:cs="宋体"/>
          <w:b/>
          <w:color w:val="000000" w:themeColor="text1"/>
          <w:szCs w:val="21"/>
          <w14:textFill>
            <w14:solidFill>
              <w14:schemeClr w14:val="tx1"/>
            </w14:solidFill>
          </w14:textFill>
        </w:rPr>
      </w:pPr>
      <w:bookmarkStart w:id="256" w:name="_Toc495841780"/>
      <w:bookmarkStart w:id="257" w:name="_Toc9"/>
      <w:bookmarkStart w:id="258" w:name="_Toc8423"/>
      <w:bookmarkStart w:id="259" w:name="_Toc24966"/>
      <w:bookmarkStart w:id="260" w:name="_Toc690"/>
      <w:r>
        <w:rPr>
          <w:rFonts w:hint="eastAsia" w:ascii="宋体" w:hAnsi="宋体" w:cs="宋体"/>
          <w:b/>
          <w:color w:val="000000" w:themeColor="text1"/>
          <w:szCs w:val="21"/>
          <w14:textFill>
            <w14:solidFill>
              <w14:schemeClr w14:val="tx1"/>
            </w14:solidFill>
          </w14:textFill>
        </w:rPr>
        <w:t>第十三条  合同争议解决</w:t>
      </w:r>
      <w:bookmarkEnd w:id="256"/>
      <w:bookmarkEnd w:id="257"/>
      <w:bookmarkEnd w:id="258"/>
      <w:bookmarkEnd w:id="259"/>
      <w:bookmarkEnd w:id="260"/>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1.因货物质量问题发生争议的，应邀请国家认可的质量检测机构对货物质量进行鉴定。货物符合标准的，鉴定费由甲方承担；货物不符合标准的，鉴定费由乙方承担。</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2.因履行本合同引起的或与本合同有关的争议，甲乙双方应首先通过友好协商解决，如果协商不能解决，可向项目所在地辖区人民法院提起诉讼。</w:t>
      </w:r>
    </w:p>
    <w:p>
      <w:pPr>
        <w:spacing w:line="400" w:lineRule="exact"/>
        <w:ind w:left="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3.诉讼期间，本合同继续履行。</w:t>
      </w:r>
    </w:p>
    <w:p>
      <w:pPr>
        <w:spacing w:line="400" w:lineRule="exact"/>
        <w:ind w:firstLine="411" w:firstLineChars="196"/>
        <w:outlineLvl w:val="1"/>
        <w:rPr>
          <w:rFonts w:ascii="宋体" w:hAnsi="宋体" w:cs="宋体"/>
          <w:b/>
          <w:color w:val="000000" w:themeColor="text1"/>
          <w:szCs w:val="21"/>
          <w14:textFill>
            <w14:solidFill>
              <w14:schemeClr w14:val="tx1"/>
            </w14:solidFill>
          </w14:textFill>
        </w:rPr>
      </w:pPr>
      <w:bookmarkStart w:id="261" w:name="_Toc10780"/>
      <w:bookmarkStart w:id="262" w:name="_Toc495841781"/>
      <w:bookmarkStart w:id="263" w:name="_Toc26480"/>
      <w:bookmarkStart w:id="264" w:name="_Toc26915"/>
      <w:bookmarkStart w:id="265" w:name="_Toc1313"/>
      <w:r>
        <w:rPr>
          <w:rFonts w:hint="eastAsia" w:ascii="宋体" w:hAnsi="宋体" w:cs="宋体"/>
          <w:b/>
          <w:color w:val="000000" w:themeColor="text1"/>
          <w:szCs w:val="21"/>
          <w14:textFill>
            <w14:solidFill>
              <w14:schemeClr w14:val="tx1"/>
            </w14:solidFill>
          </w14:textFill>
        </w:rPr>
        <w:t>第十四条  合同生效及其它</w:t>
      </w:r>
      <w:bookmarkEnd w:id="261"/>
      <w:bookmarkEnd w:id="262"/>
      <w:bookmarkEnd w:id="263"/>
      <w:bookmarkEnd w:id="264"/>
      <w:bookmarkEnd w:id="265"/>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1.合同经甲乙双方法定代表人、负责人、自然人或相应的授权代表签字并加盖投标人公章后生效。</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2.合同执行中涉及采购资金和采购内容修改或补充的，需经同级财政部门审批，并签订书面补充协议报同级财政部门备案，方可作为主合同不可分割的一部分。</w:t>
      </w:r>
    </w:p>
    <w:p>
      <w:pPr>
        <w:spacing w:line="400" w:lineRule="exact"/>
        <w:ind w:left="43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3.本合同未尽事宜，遵照《中华人民共和国民法典》有关条文执行。</w:t>
      </w:r>
    </w:p>
    <w:p>
      <w:pPr>
        <w:spacing w:line="400" w:lineRule="exact"/>
        <w:ind w:firstLine="411" w:firstLineChars="196"/>
        <w:outlineLvl w:val="1"/>
        <w:rPr>
          <w:rFonts w:ascii="宋体" w:hAnsi="宋体" w:cs="宋体"/>
          <w:b/>
          <w:color w:val="000000" w:themeColor="text1"/>
          <w:szCs w:val="21"/>
          <w14:textFill>
            <w14:solidFill>
              <w14:schemeClr w14:val="tx1"/>
            </w14:solidFill>
          </w14:textFill>
        </w:rPr>
      </w:pPr>
      <w:bookmarkStart w:id="266" w:name="_Toc495841782"/>
      <w:bookmarkStart w:id="267" w:name="_Toc20115"/>
      <w:bookmarkStart w:id="268" w:name="_Toc31400"/>
      <w:bookmarkStart w:id="269" w:name="_Toc23733"/>
      <w:bookmarkStart w:id="270" w:name="_Toc3615"/>
      <w:r>
        <w:rPr>
          <w:rFonts w:hint="eastAsia" w:ascii="宋体" w:hAnsi="宋体" w:cs="宋体"/>
          <w:b/>
          <w:color w:val="000000" w:themeColor="text1"/>
          <w:szCs w:val="21"/>
          <w14:textFill>
            <w14:solidFill>
              <w14:schemeClr w14:val="tx1"/>
            </w14:solidFill>
          </w14:textFill>
        </w:rPr>
        <w:t>第十五条  合同的变更、终止与转让</w:t>
      </w:r>
      <w:bookmarkEnd w:id="266"/>
      <w:bookmarkEnd w:id="267"/>
      <w:bookmarkEnd w:id="268"/>
      <w:bookmarkEnd w:id="269"/>
      <w:bookmarkEnd w:id="270"/>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1.除《中华人民共和国政府采购法》第五十条规定的情形外，本合同一经签订，甲乙双方不得擅自变更，中止或终止。</w:t>
      </w:r>
    </w:p>
    <w:p>
      <w:pPr>
        <w:spacing w:line="400" w:lineRule="exact"/>
        <w:ind w:left="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2.乙方不得擅自转让(无进口资格的供应商委托进口货物除外)其应履行的合同义务。</w:t>
      </w:r>
    </w:p>
    <w:p>
      <w:pPr>
        <w:spacing w:line="400" w:lineRule="exact"/>
        <w:ind w:firstLine="411" w:firstLineChars="196"/>
        <w:outlineLvl w:val="1"/>
        <w:rPr>
          <w:rFonts w:ascii="宋体" w:hAnsi="宋体" w:cs="宋体"/>
          <w:b/>
          <w:color w:val="000000" w:themeColor="text1"/>
          <w:szCs w:val="21"/>
          <w14:textFill>
            <w14:solidFill>
              <w14:schemeClr w14:val="tx1"/>
            </w14:solidFill>
          </w14:textFill>
        </w:rPr>
      </w:pPr>
      <w:bookmarkStart w:id="271" w:name="_Toc10700"/>
      <w:bookmarkStart w:id="272" w:name="_Toc495841783"/>
      <w:bookmarkStart w:id="273" w:name="_Toc13625"/>
      <w:bookmarkStart w:id="274" w:name="_Toc19322"/>
      <w:bookmarkStart w:id="275" w:name="_Toc5115"/>
      <w:r>
        <w:rPr>
          <w:rFonts w:hint="eastAsia" w:ascii="宋体" w:hAnsi="宋体" w:cs="宋体"/>
          <w:b/>
          <w:color w:val="000000" w:themeColor="text1"/>
          <w:szCs w:val="21"/>
          <w14:textFill>
            <w14:solidFill>
              <w14:schemeClr w14:val="tx1"/>
            </w14:solidFill>
          </w14:textFill>
        </w:rPr>
        <w:t>第十六条  签订本合同依据</w:t>
      </w:r>
      <w:bookmarkEnd w:id="271"/>
      <w:bookmarkEnd w:id="272"/>
      <w:bookmarkEnd w:id="273"/>
      <w:bookmarkEnd w:id="274"/>
      <w:bookmarkEnd w:id="275"/>
    </w:p>
    <w:p>
      <w:pPr>
        <w:spacing w:line="360" w:lineRule="auto"/>
        <w:ind w:left="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竞争性磋商文件；</w:t>
      </w:r>
    </w:p>
    <w:p>
      <w:pPr>
        <w:spacing w:line="360" w:lineRule="auto"/>
        <w:ind w:left="224" w:leftChars="107" w:firstLine="210" w:firstLineChars="1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成交供应商</w:t>
      </w:r>
      <w:r>
        <w:rPr>
          <w:rFonts w:hint="eastAsia" w:ascii="宋体" w:hAnsi="宋体" w:eastAsia="宋体" w:cs="宋体"/>
          <w:color w:val="000000" w:themeColor="text1"/>
          <w:szCs w:val="21"/>
          <w:lang w:eastAsia="zh-CN"/>
          <w14:textFill>
            <w14:solidFill>
              <w14:schemeClr w14:val="tx1"/>
            </w14:solidFill>
          </w14:textFill>
        </w:rPr>
        <w:t>的响应（或应答）文件；</w:t>
      </w:r>
    </w:p>
    <w:p>
      <w:pPr>
        <w:spacing w:line="360" w:lineRule="auto"/>
        <w:ind w:left="224" w:leftChars="107" w:firstLine="210" w:firstLineChars="1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lang w:eastAsia="zh-CN"/>
          <w14:textFill>
            <w14:solidFill>
              <w14:schemeClr w14:val="tx1"/>
            </w14:solidFill>
          </w14:textFill>
        </w:rPr>
        <w:t>服务</w:t>
      </w:r>
      <w:r>
        <w:rPr>
          <w:rFonts w:hint="eastAsia" w:ascii="宋体" w:hAnsi="宋体" w:eastAsia="宋体" w:cs="宋体"/>
          <w:color w:val="000000" w:themeColor="text1"/>
          <w:szCs w:val="21"/>
          <w14:textFill>
            <w14:solidFill>
              <w14:schemeClr w14:val="tx1"/>
            </w14:solidFill>
          </w14:textFill>
        </w:rPr>
        <w:t>承诺书；</w:t>
      </w:r>
    </w:p>
    <w:p>
      <w:pPr>
        <w:spacing w:line="360" w:lineRule="auto"/>
        <w:ind w:left="224" w:leftChars="107" w:firstLine="210" w:firstLineChars="1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4</w:t>
      </w:r>
      <w:r>
        <w:rPr>
          <w:rFonts w:hint="eastAsia" w:ascii="宋体" w:hAnsi="宋体" w:cs="宋体"/>
          <w:color w:val="000000" w:themeColor="text1"/>
          <w:szCs w:val="21"/>
          <w:lang w:val="en-US" w:eastAsia="zh-CN"/>
          <w14:textFill>
            <w14:solidFill>
              <w14:schemeClr w14:val="tx1"/>
            </w14:solidFill>
          </w14:textFill>
        </w:rPr>
        <w:t>.</w:t>
      </w:r>
      <w:r>
        <w:rPr>
          <w:rFonts w:hint="eastAsia" w:ascii="宋体" w:hAnsi="宋体" w:eastAsia="宋体" w:cs="宋体"/>
          <w:color w:val="000000" w:themeColor="text1"/>
          <w:szCs w:val="21"/>
          <w:lang w:eastAsia="zh-CN"/>
          <w14:textFill>
            <w14:solidFill>
              <w14:schemeClr w14:val="tx1"/>
            </w14:solidFill>
          </w14:textFill>
        </w:rPr>
        <w:t>磋商中的磋商记录；</w:t>
      </w:r>
    </w:p>
    <w:p>
      <w:pPr>
        <w:spacing w:line="360" w:lineRule="auto"/>
        <w:ind w:left="224" w:leftChars="107" w:firstLine="210" w:firstLineChars="1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5</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成交通知书。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color w:val="000000" w:themeColor="text1"/>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政府采购合同双方自签订之日起</w:t>
      </w:r>
      <w:r>
        <w:rPr>
          <w:rFonts w:hint="eastAsia" w:ascii="宋体" w:hAnsi="宋体" w:cs="宋体"/>
          <w:color w:val="000000" w:themeColor="text1"/>
          <w:highlight w:val="none"/>
          <w:lang w:val="en-US" w:eastAsia="zh-CN"/>
          <w14:textFill>
            <w14:solidFill>
              <w14:schemeClr w14:val="tx1"/>
            </w14:solidFill>
          </w14:textFill>
        </w:rPr>
        <w:t>将自动存档于“政采云平台”上</w:t>
      </w:r>
      <w:r>
        <w:rPr>
          <w:rFonts w:hint="eastAsia" w:ascii="宋体" w:hAnsi="宋体" w:eastAsia="宋体" w:cs="宋体"/>
          <w:color w:val="000000" w:themeColor="text1"/>
          <w14:textFill>
            <w14:solidFill>
              <w14:schemeClr w14:val="tx1"/>
            </w14:solidFill>
          </w14:textFill>
        </w:rPr>
        <w:t>。采购人于合同签订之日起</w:t>
      </w:r>
      <w:r>
        <w:rPr>
          <w:rFonts w:hint="eastAsia" w:ascii="宋体" w:hAnsi="宋体" w:eastAsia="宋体" w:cs="宋体"/>
          <w:color w:val="000000" w:themeColor="text1"/>
          <w:lang w:val="en-US" w:eastAsia="zh-CN"/>
          <w14:textFill>
            <w14:solidFill>
              <w14:schemeClr w14:val="tx1"/>
            </w14:solidFill>
          </w14:textFill>
        </w:rPr>
        <w:t>七</w:t>
      </w:r>
      <w:r>
        <w:rPr>
          <w:rFonts w:hint="eastAsia" w:ascii="宋体" w:hAnsi="宋体" w:eastAsia="宋体" w:cs="宋体"/>
          <w:color w:val="000000" w:themeColor="text1"/>
          <w14:textFill>
            <w14:solidFill>
              <w14:schemeClr w14:val="tx1"/>
            </w14:solidFill>
          </w14:textFill>
        </w:rPr>
        <w:t>个工作日内将</w:t>
      </w:r>
      <w:r>
        <w:rPr>
          <w:rFonts w:hint="eastAsia" w:ascii="宋体" w:hAnsi="宋体" w:eastAsia="宋体" w:cs="宋体"/>
          <w:color w:val="000000" w:themeColor="text1"/>
          <w:lang w:val="en-US" w:eastAsia="zh-CN"/>
          <w14:textFill>
            <w14:solidFill>
              <w14:schemeClr w14:val="tx1"/>
            </w14:solidFill>
          </w14:textFill>
        </w:rPr>
        <w:t>一</w:t>
      </w:r>
      <w:r>
        <w:rPr>
          <w:rFonts w:hint="eastAsia" w:ascii="宋体" w:hAnsi="宋体" w:eastAsia="宋体" w:cs="宋体"/>
          <w:color w:val="000000" w:themeColor="text1"/>
          <w14:textFill>
            <w14:solidFill>
              <w14:schemeClr w14:val="tx1"/>
            </w14:solidFill>
          </w14:textFill>
        </w:rPr>
        <w:t>份合同原件送</w:t>
      </w:r>
      <w:r>
        <w:rPr>
          <w:rFonts w:hint="eastAsia" w:ascii="宋体" w:hAnsi="宋体" w:eastAsia="宋体" w:cs="宋体"/>
          <w:color w:val="000000" w:themeColor="text1"/>
          <w:lang w:val="en-US" w:eastAsia="zh-CN"/>
          <w14:textFill>
            <w14:solidFill>
              <w14:schemeClr w14:val="tx1"/>
            </w14:solidFill>
          </w14:textFill>
        </w:rPr>
        <w:t>本级财政部门</w:t>
      </w:r>
      <w:r>
        <w:rPr>
          <w:rFonts w:hint="eastAsia" w:ascii="宋体" w:hAnsi="宋体" w:eastAsia="宋体" w:cs="宋体"/>
          <w:color w:val="000000" w:themeColor="text1"/>
          <w14:textFill>
            <w14:solidFill>
              <w14:schemeClr w14:val="tx1"/>
            </w14:solidFill>
          </w14:textFill>
        </w:rPr>
        <w:t>备案。</w:t>
      </w:r>
    </w:p>
    <w:p>
      <w:pPr>
        <w:spacing w:line="400" w:lineRule="exact"/>
        <w:rPr>
          <w:rFonts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甲方（公章）：</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乙方（公章，自然人除外）：</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400" w:lineRule="exact"/>
        <w:ind w:left="4620" w:hanging="4620" w:hangingChars="2200"/>
        <w:rPr>
          <w:rFonts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法定代表人签字：</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法定代表人（负责人、自然人）签字（属自然人的应在签名处加盖大拇指指印）</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u w:val="single"/>
          <w14:textFill>
            <w14:solidFill>
              <w14:schemeClr w14:val="tx1"/>
            </w14:solidFill>
          </w14:textFill>
        </w:rPr>
        <w:t xml:space="preserve">                          </w:t>
      </w:r>
    </w:p>
    <w:p>
      <w:pPr>
        <w:tabs>
          <w:tab w:val="left" w:pos="4680"/>
        </w:tabs>
        <w:spacing w:line="400" w:lineRule="exact"/>
        <w:rPr>
          <w:rFonts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委托代理人：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委托代理人：</w:t>
      </w:r>
      <w:r>
        <w:rPr>
          <w:rFonts w:hint="eastAsia" w:ascii="宋体" w:hAnsi="宋体" w:cs="宋体"/>
          <w:color w:val="000000" w:themeColor="text1"/>
          <w:szCs w:val="21"/>
          <w:highlight w:val="none"/>
          <w:u w:val="single"/>
          <w14:textFill>
            <w14:solidFill>
              <w14:schemeClr w14:val="tx1"/>
            </w14:solidFill>
          </w14:textFill>
        </w:rPr>
        <w:t xml:space="preserve">                                     </w:t>
      </w:r>
    </w:p>
    <w:p>
      <w:pPr>
        <w:tabs>
          <w:tab w:val="left" w:pos="5040"/>
        </w:tabs>
        <w:spacing w:line="400" w:lineRule="exact"/>
        <w:rPr>
          <w:rFonts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电  话：</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电   话： </w:t>
      </w:r>
      <w:r>
        <w:rPr>
          <w:rFonts w:hint="eastAsia" w:ascii="宋体" w:hAnsi="宋体" w:cs="宋体"/>
          <w:color w:val="000000" w:themeColor="text1"/>
          <w:szCs w:val="21"/>
          <w:highlight w:val="none"/>
          <w:u w:val="single"/>
          <w14:textFill>
            <w14:solidFill>
              <w14:schemeClr w14:val="tx1"/>
            </w14:solidFill>
          </w14:textFill>
        </w:rPr>
        <w:t xml:space="preserve">                                       </w:t>
      </w:r>
    </w:p>
    <w:p>
      <w:pPr>
        <w:tabs>
          <w:tab w:val="left" w:pos="5040"/>
        </w:tabs>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开户名称：</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开户名称：</w:t>
      </w:r>
      <w:r>
        <w:rPr>
          <w:rFonts w:hint="eastAsia" w:ascii="宋体" w:hAnsi="宋体" w:cs="宋体"/>
          <w:color w:val="000000" w:themeColor="text1"/>
          <w:szCs w:val="21"/>
          <w:highlight w:val="none"/>
          <w:u w:val="single"/>
          <w14:textFill>
            <w14:solidFill>
              <w14:schemeClr w14:val="tx1"/>
            </w14:solidFill>
          </w14:textFill>
        </w:rPr>
        <w:t xml:space="preserve">                                       </w:t>
      </w:r>
    </w:p>
    <w:p>
      <w:pPr>
        <w:tabs>
          <w:tab w:val="left" w:pos="5040"/>
        </w:tabs>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开户银行：</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开户银行：</w:t>
      </w:r>
      <w:r>
        <w:rPr>
          <w:rFonts w:hint="eastAsia" w:ascii="宋体" w:hAnsi="宋体" w:cs="宋体"/>
          <w:color w:val="000000" w:themeColor="text1"/>
          <w:szCs w:val="21"/>
          <w:highlight w:val="none"/>
          <w:u w:val="single"/>
          <w14:textFill>
            <w14:solidFill>
              <w14:schemeClr w14:val="tx1"/>
            </w14:solidFill>
          </w14:textFill>
        </w:rPr>
        <w:t xml:space="preserve">                                       </w:t>
      </w:r>
    </w:p>
    <w:p>
      <w:pPr>
        <w:tabs>
          <w:tab w:val="left" w:pos="5040"/>
        </w:tabs>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银行账号：</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银行账号：</w:t>
      </w:r>
      <w:r>
        <w:rPr>
          <w:rFonts w:hint="eastAsia" w:ascii="宋体" w:hAnsi="宋体" w:cs="宋体"/>
          <w:color w:val="000000" w:themeColor="text1"/>
          <w:szCs w:val="21"/>
          <w:highlight w:val="none"/>
          <w:u w:val="single"/>
          <w14:textFill>
            <w14:solidFill>
              <w14:schemeClr w14:val="tx1"/>
            </w14:solidFill>
          </w14:textFill>
        </w:rPr>
        <w:t xml:space="preserve">                                       </w:t>
      </w:r>
    </w:p>
    <w:p>
      <w:pPr>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日    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日    期：</w:t>
      </w:r>
      <w:r>
        <w:rPr>
          <w:rFonts w:hint="eastAsia" w:ascii="宋体" w:hAnsi="宋体" w:cs="宋体"/>
          <w:color w:val="000000" w:themeColor="text1"/>
          <w:szCs w:val="21"/>
          <w:highlight w:val="none"/>
          <w:u w:val="single"/>
          <w14:textFill>
            <w14:solidFill>
              <w14:schemeClr w14:val="tx1"/>
            </w14:solidFill>
          </w14:textFill>
        </w:rPr>
        <w:t xml:space="preserve">                                       </w:t>
      </w:r>
    </w:p>
    <w:p>
      <w:pPr>
        <w:pStyle w:val="9"/>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b/>
          <w:bCs/>
          <w:color w:val="000000" w:themeColor="text1"/>
          <w:kern w:val="44"/>
          <w:sz w:val="32"/>
          <w:szCs w:val="32"/>
          <w14:textFill>
            <w14:solidFill>
              <w14:schemeClr w14:val="tx1"/>
            </w14:solidFill>
          </w14:textFill>
        </w:rPr>
      </w:pPr>
      <w:bookmarkStart w:id="276" w:name="_Toc497927069"/>
      <w:bookmarkStart w:id="277" w:name="_Toc18351"/>
      <w:bookmarkStart w:id="278" w:name="_Toc21496"/>
      <w:r>
        <w:rPr>
          <w:rFonts w:hint="eastAsia" w:ascii="宋体" w:hAnsi="宋体" w:eastAsia="宋体" w:cs="宋体"/>
          <w:b/>
          <w:bCs/>
          <w:color w:val="000000" w:themeColor="text1"/>
          <w:kern w:val="44"/>
          <w:sz w:val="32"/>
          <w:szCs w:val="32"/>
          <w14:textFill>
            <w14:solidFill>
              <w14:schemeClr w14:val="tx1"/>
            </w14:solidFill>
          </w14:textFill>
        </w:rPr>
        <w:br w:type="page"/>
      </w:r>
    </w:p>
    <w:p>
      <w:pPr>
        <w:pStyle w:val="4"/>
        <w:ind w:left="0" w:leftChars="0" w:firstLine="3200" w:firstLineChars="1000"/>
        <w:jc w:val="both"/>
        <w:rPr>
          <w:rFonts w:hint="eastAsia" w:ascii="宋体" w:hAnsi="宋体" w:eastAsia="宋体" w:cs="宋体"/>
          <w:b/>
          <w:bCs/>
          <w:color w:val="000000" w:themeColor="text1"/>
          <w14:textFill>
            <w14:solidFill>
              <w14:schemeClr w14:val="tx1"/>
            </w14:solidFill>
          </w14:textFill>
        </w:rPr>
      </w:pPr>
      <w:bookmarkStart w:id="279" w:name="_Toc27348"/>
      <w:r>
        <w:rPr>
          <w:rFonts w:hint="eastAsia" w:ascii="宋体" w:hAnsi="宋体" w:eastAsia="宋体" w:cs="宋体"/>
          <w:b/>
          <w:bCs/>
          <w:color w:val="000000" w:themeColor="text1"/>
          <w:kern w:val="44"/>
          <w:sz w:val="32"/>
          <w:szCs w:val="32"/>
          <w14:textFill>
            <w14:solidFill>
              <w14:schemeClr w14:val="tx1"/>
            </w14:solidFill>
          </w14:textFill>
        </w:rPr>
        <w:t xml:space="preserve">第六章  </w:t>
      </w:r>
      <w:r>
        <w:rPr>
          <w:rFonts w:hint="eastAsia" w:ascii="宋体" w:hAnsi="宋体" w:eastAsia="宋体" w:cs="宋体"/>
          <w:b/>
          <w:bCs/>
          <w:color w:val="000000" w:themeColor="text1"/>
          <w:sz w:val="32"/>
          <w:szCs w:val="32"/>
          <w:highlight w:val="none"/>
          <w14:textFill>
            <w14:solidFill>
              <w14:schemeClr w14:val="tx1"/>
            </w14:solidFill>
          </w14:textFill>
        </w:rPr>
        <w:t>响应文件（格式）</w:t>
      </w:r>
      <w:bookmarkEnd w:id="279"/>
    </w:p>
    <w:p>
      <w:pPr>
        <w:pStyle w:val="12"/>
        <w:jc w:val="both"/>
        <w:rPr>
          <w:rFonts w:hint="eastAsia" w:ascii="宋体" w:hAnsi="宋体" w:eastAsia="宋体" w:cs="宋体"/>
          <w:b/>
          <w:color w:val="000000" w:themeColor="text1"/>
          <w:sz w:val="32"/>
          <w:highlight w:val="none"/>
          <w:lang w:eastAsia="zh-CN"/>
          <w14:textFill>
            <w14:solidFill>
              <w14:schemeClr w14:val="tx1"/>
            </w14:solidFill>
          </w14:textFill>
        </w:rPr>
      </w:pPr>
    </w:p>
    <w:p>
      <w:pPr>
        <w:pStyle w:val="12"/>
        <w:jc w:val="both"/>
        <w:rPr>
          <w:rFonts w:hint="eastAsia" w:ascii="宋体" w:hAnsi="宋体" w:eastAsia="宋体" w:cs="宋体"/>
          <w:b/>
          <w:color w:val="000000" w:themeColor="text1"/>
          <w:sz w:val="32"/>
          <w:highlight w:val="none"/>
          <w:lang w:eastAsia="zh-CN"/>
          <w14:textFill>
            <w14:solidFill>
              <w14:schemeClr w14:val="tx1"/>
            </w14:solidFill>
          </w14:textFill>
        </w:rPr>
      </w:pPr>
      <w:r>
        <w:rPr>
          <w:rFonts w:hint="eastAsia" w:ascii="宋体" w:hAnsi="宋体" w:eastAsia="宋体" w:cs="宋体"/>
          <w:b/>
          <w:color w:val="000000" w:themeColor="text1"/>
          <w:sz w:val="32"/>
          <w:highlight w:val="none"/>
          <w:lang w:eastAsia="zh-CN"/>
          <w14:textFill>
            <w14:solidFill>
              <w14:schemeClr w14:val="tx1"/>
            </w14:solidFill>
          </w14:textFill>
        </w:rPr>
        <w:t>一、响应文件袋（盒、箱）标记</w:t>
      </w:r>
      <w:bookmarkEnd w:id="276"/>
      <w:bookmarkEnd w:id="277"/>
      <w:bookmarkEnd w:id="278"/>
    </w:p>
    <w:p>
      <w:pPr>
        <w:adjustRightInd w:val="0"/>
        <w:snapToGrid w:val="0"/>
        <w:rPr>
          <w:rFonts w:hint="eastAsia" w:ascii="宋体" w:hAnsi="宋体" w:eastAsia="宋体" w:cs="宋体"/>
          <w:b/>
          <w:color w:val="000000" w:themeColor="text1"/>
          <w:sz w:val="44"/>
          <w:szCs w:val="44"/>
          <w14:textFill>
            <w14:solidFill>
              <w14:schemeClr w14:val="tx1"/>
            </w14:solidFill>
          </w14:textFill>
        </w:rPr>
      </w:pPr>
    </w:p>
    <w:p>
      <w:pPr>
        <w:pStyle w:val="28"/>
        <w:rPr>
          <w:rFonts w:hint="eastAsia" w:ascii="宋体" w:hAnsi="宋体" w:eastAsia="宋体" w:cs="宋体"/>
          <w:color w:val="000000" w:themeColor="text1"/>
          <w14:textFill>
            <w14:solidFill>
              <w14:schemeClr w14:val="tx1"/>
            </w14:solidFill>
          </w14:textFill>
        </w:rPr>
      </w:pPr>
    </w:p>
    <w:p>
      <w:pPr>
        <w:snapToGrid w:val="0"/>
        <w:spacing w:before="156" w:beforeLines="50" w:after="50"/>
        <w:jc w:val="center"/>
        <w:rPr>
          <w:rFonts w:hint="eastAsia" w:ascii="宋体" w:hAnsi="宋体" w:eastAsia="宋体" w:cs="宋体"/>
          <w:b/>
          <w:color w:val="000000" w:themeColor="text1"/>
          <w:sz w:val="36"/>
          <w:szCs w:val="36"/>
          <w:highlight w:val="none"/>
          <w14:textFill>
            <w14:solidFill>
              <w14:schemeClr w14:val="tx1"/>
            </w14:solidFill>
          </w14:textFill>
        </w:rPr>
      </w:pPr>
      <w:r>
        <w:rPr>
          <w:rFonts w:hint="eastAsia" w:ascii="宋体" w:hAnsi="宋体" w:eastAsia="宋体" w:cs="宋体"/>
          <w:b/>
          <w:color w:val="000000" w:themeColor="text1"/>
          <w:sz w:val="36"/>
          <w:szCs w:val="36"/>
          <w:highlight w:val="none"/>
          <w14:textFill>
            <w14:solidFill>
              <w14:schemeClr w14:val="tx1"/>
            </w14:solidFill>
          </w14:textFill>
        </w:rPr>
        <w:t>响 应 文 件</w:t>
      </w:r>
    </w:p>
    <w:p>
      <w:pPr>
        <w:snapToGrid w:val="0"/>
        <w:spacing w:before="156" w:beforeLines="50" w:after="50"/>
        <w:ind w:firstLine="480" w:firstLineChars="150"/>
        <w:jc w:val="both"/>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 xml:space="preserve">                       </w:t>
      </w:r>
    </w:p>
    <w:p>
      <w:pPr>
        <w:snapToGrid w:val="0"/>
        <w:spacing w:before="156" w:beforeLines="50" w:after="50"/>
        <w:ind w:firstLine="420" w:firstLineChars="150"/>
        <w:rPr>
          <w:rFonts w:hint="eastAsia" w:ascii="宋体" w:hAnsi="宋体" w:eastAsia="宋体" w:cs="宋体"/>
          <w:b/>
          <w:color w:val="000000" w:themeColor="text1"/>
          <w:sz w:val="28"/>
          <w:szCs w:val="28"/>
          <w14:textFill>
            <w14:solidFill>
              <w14:schemeClr w14:val="tx1"/>
            </w14:solidFill>
          </w14:textFill>
        </w:rPr>
      </w:pPr>
    </w:p>
    <w:p>
      <w:pPr>
        <w:snapToGrid w:val="0"/>
        <w:spacing w:before="156" w:beforeLines="50" w:after="50"/>
        <w:ind w:firstLine="420" w:firstLineChars="150"/>
        <w:rPr>
          <w:rFonts w:hint="eastAsia" w:ascii="宋体" w:hAnsi="宋体" w:eastAsia="宋体" w:cs="宋体"/>
          <w:b/>
          <w:color w:val="000000" w:themeColor="text1"/>
          <w:sz w:val="28"/>
          <w:szCs w:val="28"/>
          <w14:textFill>
            <w14:solidFill>
              <w14:schemeClr w14:val="tx1"/>
            </w14:solidFill>
          </w14:textFill>
        </w:rPr>
      </w:pPr>
    </w:p>
    <w:p>
      <w:pPr>
        <w:ind w:left="3913" w:leftChars="1197" w:hanging="1400" w:hangingChars="500"/>
        <w:rPr>
          <w:rStyle w:val="31"/>
          <w:rFonts w:hint="eastAsia" w:ascii="宋体"/>
          <w:color w:val="000000" w:themeColor="text1"/>
          <w:szCs w:val="21"/>
          <w:lang w:val="en-US" w:eastAsia="zh-CN"/>
          <w14:textFill>
            <w14:solidFill>
              <w14:schemeClr w14:val="tx1"/>
            </w14:solidFill>
          </w14:textFill>
        </w:rPr>
      </w:pPr>
      <w:r>
        <w:rPr>
          <w:rFonts w:hint="eastAsia" w:ascii="宋体" w:hAnsi="宋体" w:eastAsia="宋体" w:cs="宋体"/>
          <w:b/>
          <w:bCs w:val="0"/>
          <w:color w:val="000000" w:themeColor="text1"/>
          <w:sz w:val="28"/>
          <w:szCs w:val="28"/>
          <w14:textFill>
            <w14:solidFill>
              <w14:schemeClr w14:val="tx1"/>
            </w14:solidFill>
          </w14:textFill>
        </w:rPr>
        <w:t>项目名称：</w:t>
      </w:r>
      <w:r>
        <w:rPr>
          <w:rFonts w:hint="eastAsia" w:ascii="宋体" w:hAnsi="宋体" w:cs="宋体"/>
          <w:b/>
          <w:bCs w:val="0"/>
          <w:color w:val="000000" w:themeColor="text1"/>
          <w:sz w:val="28"/>
          <w:szCs w:val="28"/>
          <w:u w:val="single"/>
          <w:lang w:val="en-US" w:eastAsia="zh-CN"/>
          <w14:textFill>
            <w14:solidFill>
              <w14:schemeClr w14:val="tx1"/>
            </w14:solidFill>
          </w14:textFill>
        </w:rPr>
        <w:t>桂林市财政局信息化设备采购</w:t>
      </w:r>
    </w:p>
    <w:p>
      <w:pPr>
        <w:snapToGrid w:val="0"/>
        <w:spacing w:before="156" w:beforeLines="50" w:after="50"/>
        <w:ind w:left="4310" w:leftChars="1330" w:hanging="1517" w:hangingChars="542"/>
        <w:rPr>
          <w:rFonts w:hint="eastAsia" w:ascii="宋体" w:hAnsi="宋体" w:eastAsia="宋体" w:cs="宋体"/>
          <w:b/>
          <w:bCs w:val="0"/>
          <w:color w:val="000000" w:themeColor="text1"/>
          <w:sz w:val="28"/>
          <w:szCs w:val="28"/>
          <w:u w:val="single"/>
          <w:lang w:eastAsia="zh-CN"/>
          <w14:textFill>
            <w14:solidFill>
              <w14:schemeClr w14:val="tx1"/>
            </w14:solidFill>
          </w14:textFill>
        </w:rPr>
      </w:pPr>
    </w:p>
    <w:p>
      <w:pPr>
        <w:snapToGrid w:val="0"/>
        <w:spacing w:before="156" w:beforeLines="50" w:after="50"/>
        <w:ind w:firstLine="2693" w:firstLineChars="962"/>
        <w:rPr>
          <w:rFonts w:hint="eastAsia" w:ascii="宋体" w:hAnsi="宋体" w:eastAsia="宋体" w:cs="宋体"/>
          <w:b/>
          <w:bCs w:val="0"/>
          <w:color w:val="000000" w:themeColor="text1"/>
          <w:sz w:val="28"/>
          <w:szCs w:val="28"/>
          <w14:textFill>
            <w14:solidFill>
              <w14:schemeClr w14:val="tx1"/>
            </w14:solidFill>
          </w14:textFill>
        </w:rPr>
      </w:pPr>
    </w:p>
    <w:p>
      <w:pPr>
        <w:snapToGrid w:val="0"/>
        <w:spacing w:before="156" w:beforeLines="50" w:after="50"/>
        <w:ind w:firstLine="2693" w:firstLineChars="962"/>
        <w:rPr>
          <w:rFonts w:hint="eastAsia" w:ascii="宋体" w:hAnsi="宋体" w:eastAsia="宋体" w:cs="宋体"/>
          <w:b/>
          <w:bCs w:val="0"/>
          <w:color w:val="000000" w:themeColor="text1"/>
          <w:sz w:val="28"/>
          <w:szCs w:val="28"/>
          <w:lang w:eastAsia="zh-CN"/>
          <w14:textFill>
            <w14:solidFill>
              <w14:schemeClr w14:val="tx1"/>
            </w14:solidFill>
          </w14:textFill>
        </w:rPr>
      </w:pPr>
      <w:r>
        <w:rPr>
          <w:rFonts w:hint="eastAsia" w:ascii="宋体" w:hAnsi="宋体" w:eastAsia="宋体" w:cs="宋体"/>
          <w:b/>
          <w:bCs w:val="0"/>
          <w:color w:val="000000" w:themeColor="text1"/>
          <w:sz w:val="28"/>
          <w:szCs w:val="28"/>
          <w14:textFill>
            <w14:solidFill>
              <w14:schemeClr w14:val="tx1"/>
            </w14:solidFill>
          </w14:textFill>
        </w:rPr>
        <w:t>项目编号：</w:t>
      </w:r>
      <w:r>
        <w:rPr>
          <w:rFonts w:hint="eastAsia" w:ascii="宋体" w:hAnsi="宋体" w:cs="宋体"/>
          <w:b/>
          <w:bCs w:val="0"/>
          <w:color w:val="000000" w:themeColor="text1"/>
          <w:sz w:val="28"/>
          <w:szCs w:val="28"/>
          <w:u w:val="single"/>
          <w:lang w:val="en-US" w:eastAsia="zh-CN"/>
          <w14:textFill>
            <w14:solidFill>
              <w14:schemeClr w14:val="tx1"/>
            </w14:solidFill>
          </w14:textFill>
        </w:rPr>
        <w:t>GLZC2024-C1-990012-GLJC</w:t>
      </w:r>
    </w:p>
    <w:p>
      <w:pPr>
        <w:rPr>
          <w:rFonts w:hint="eastAsia" w:ascii="宋体" w:hAnsi="宋体" w:eastAsia="宋体" w:cs="宋体"/>
          <w:b/>
          <w:color w:val="000000" w:themeColor="text1"/>
          <w14:textFill>
            <w14:solidFill>
              <w14:schemeClr w14:val="tx1"/>
            </w14:solidFill>
          </w14:textFill>
        </w:rPr>
      </w:pPr>
    </w:p>
    <w:p>
      <w:pPr>
        <w:pStyle w:val="28"/>
        <w:rPr>
          <w:rFonts w:hint="eastAsia" w:ascii="宋体" w:hAnsi="宋体" w:eastAsia="宋体" w:cs="宋体"/>
          <w:b/>
          <w:color w:val="000000" w:themeColor="text1"/>
          <w:sz w:val="28"/>
          <w:szCs w:val="28"/>
          <w14:textFill>
            <w14:solidFill>
              <w14:schemeClr w14:val="tx1"/>
            </w14:solidFill>
          </w14:textFill>
        </w:rPr>
      </w:pPr>
    </w:p>
    <w:p>
      <w:pPr>
        <w:pStyle w:val="28"/>
        <w:rPr>
          <w:rFonts w:hint="eastAsia" w:ascii="宋体" w:hAnsi="宋体" w:eastAsia="宋体" w:cs="宋体"/>
          <w:b/>
          <w:color w:val="000000" w:themeColor="text1"/>
          <w:sz w:val="28"/>
          <w:szCs w:val="28"/>
          <w14:textFill>
            <w14:solidFill>
              <w14:schemeClr w14:val="tx1"/>
            </w14:solidFill>
          </w14:textFill>
        </w:rPr>
      </w:pPr>
    </w:p>
    <w:p>
      <w:pPr>
        <w:snapToGrid w:val="0"/>
        <w:spacing w:before="156" w:beforeLines="50" w:after="50"/>
        <w:ind w:firstLine="2693" w:firstLineChars="962"/>
        <w:rPr>
          <w:rFonts w:hint="eastAsia" w:ascii="宋体" w:hAnsi="宋体" w:eastAsia="宋体" w:cs="宋体"/>
          <w:b/>
          <w:color w:val="000000" w:themeColor="text1"/>
          <w:sz w:val="28"/>
          <w:szCs w:val="28"/>
          <w:u w:val="single"/>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采购代理机构：</w:t>
      </w:r>
      <w:r>
        <w:rPr>
          <w:rFonts w:hint="eastAsia" w:ascii="宋体" w:hAnsi="宋体" w:eastAsia="宋体" w:cs="宋体"/>
          <w:b/>
          <w:color w:val="000000" w:themeColor="text1"/>
          <w:sz w:val="28"/>
          <w:szCs w:val="28"/>
          <w:u w:val="single"/>
          <w14:textFill>
            <w14:solidFill>
              <w14:schemeClr w14:val="tx1"/>
            </w14:solidFill>
          </w14:textFill>
        </w:rPr>
        <w:t xml:space="preserve"> 桂林市政府集中采购中心   </w:t>
      </w:r>
    </w:p>
    <w:p>
      <w:pPr>
        <w:pStyle w:val="10"/>
        <w:ind w:left="980" w:hanging="560" w:hangingChars="200"/>
        <w:rPr>
          <w:rFonts w:hint="eastAsia" w:ascii="宋体" w:hAnsi="宋体" w:eastAsia="宋体" w:cs="宋体"/>
          <w:bCs/>
          <w:color w:val="000000" w:themeColor="text1"/>
          <w:sz w:val="28"/>
          <w:szCs w:val="28"/>
          <w14:textFill>
            <w14:solidFill>
              <w14:schemeClr w14:val="tx1"/>
            </w14:solidFill>
          </w14:textFill>
        </w:rPr>
      </w:pPr>
      <w:bookmarkStart w:id="280" w:name="_Toc20319_WPSOffice_Level2"/>
      <w:bookmarkStart w:id="281" w:name="_Toc4932_WPSOffice_Level2"/>
      <w:r>
        <w:rPr>
          <w:rFonts w:hint="eastAsia" w:ascii="宋体" w:hAnsi="宋体" w:eastAsia="宋体" w:cs="宋体"/>
          <w:bCs/>
          <w:color w:val="000000" w:themeColor="text1"/>
          <w:sz w:val="28"/>
          <w:szCs w:val="28"/>
          <w:lang w:eastAsia="zh-CN"/>
          <w14:textFill>
            <w14:solidFill>
              <w14:schemeClr w14:val="tx1"/>
            </w14:solidFill>
          </w14:textFill>
        </w:rPr>
        <w:t>磋商供应商</w:t>
      </w:r>
      <w:r>
        <w:rPr>
          <w:rFonts w:hint="eastAsia" w:ascii="宋体" w:hAnsi="宋体" w:eastAsia="宋体" w:cs="宋体"/>
          <w:bCs/>
          <w:color w:val="000000" w:themeColor="text1"/>
          <w:sz w:val="28"/>
          <w:szCs w:val="28"/>
          <w:lang w:val="en-US" w:eastAsia="zh-CN"/>
          <w14:textFill>
            <w14:solidFill>
              <w14:schemeClr w14:val="tx1"/>
            </w14:solidFill>
          </w14:textFill>
        </w:rPr>
        <w:t>[</w:t>
      </w:r>
      <w:r>
        <w:rPr>
          <w:rFonts w:hint="eastAsia" w:ascii="宋体" w:hAnsi="宋体" w:eastAsia="宋体" w:cs="宋体"/>
          <w:bCs/>
          <w:color w:val="000000" w:themeColor="text1"/>
          <w:sz w:val="28"/>
          <w:szCs w:val="28"/>
          <w14:textFill>
            <w14:solidFill>
              <w14:schemeClr w14:val="tx1"/>
            </w14:solidFill>
          </w14:textFill>
        </w:rPr>
        <w:t>公章</w:t>
      </w:r>
      <w:r>
        <w:rPr>
          <w:rFonts w:hint="eastAsia" w:ascii="宋体" w:hAnsi="宋体" w:eastAsia="宋体" w:cs="宋体"/>
          <w:bCs/>
          <w:color w:val="000000" w:themeColor="text1"/>
          <w:sz w:val="28"/>
          <w:szCs w:val="28"/>
          <w:lang w:val="en-US" w:eastAsia="zh-CN"/>
          <w14:textFill>
            <w14:solidFill>
              <w14:schemeClr w14:val="tx1"/>
            </w14:solidFill>
          </w14:textFill>
        </w:rPr>
        <w:t>(CA签章)</w:t>
      </w:r>
      <w:r>
        <w:rPr>
          <w:rFonts w:hint="eastAsia" w:ascii="宋体" w:hAnsi="宋体" w:eastAsia="宋体" w:cs="宋体"/>
          <w:bCs/>
          <w:color w:val="000000" w:themeColor="text1"/>
          <w:sz w:val="28"/>
          <w:szCs w:val="28"/>
          <w14:textFill>
            <w14:solidFill>
              <w14:schemeClr w14:val="tx1"/>
            </w14:solidFill>
          </w14:textFill>
        </w:rPr>
        <w:t>、自然人除外</w:t>
      </w:r>
      <w:r>
        <w:rPr>
          <w:rFonts w:hint="eastAsia" w:ascii="宋体" w:hAnsi="宋体" w:eastAsia="宋体" w:cs="宋体"/>
          <w:bCs/>
          <w:color w:val="000000" w:themeColor="text1"/>
          <w:sz w:val="28"/>
          <w:szCs w:val="28"/>
          <w:lang w:val="en-US" w:eastAsia="zh-CN"/>
          <w14:textFill>
            <w14:solidFill>
              <w14:schemeClr w14:val="tx1"/>
            </w14:solidFill>
          </w14:textFill>
        </w:rPr>
        <w:t>]</w:t>
      </w:r>
      <w:r>
        <w:rPr>
          <w:rFonts w:hint="eastAsia" w:ascii="宋体" w:hAnsi="宋体" w:eastAsia="宋体" w:cs="宋体"/>
          <w:bCs/>
          <w:color w:val="000000" w:themeColor="text1"/>
          <w:sz w:val="28"/>
          <w:szCs w:val="28"/>
          <w14:textFill>
            <w14:solidFill>
              <w14:schemeClr w14:val="tx1"/>
            </w14:solidFill>
          </w14:textFill>
        </w:rPr>
        <w:t>：</w:t>
      </w:r>
      <w:r>
        <w:rPr>
          <w:rFonts w:hint="eastAsia" w:ascii="宋体" w:hAnsi="宋体" w:eastAsia="宋体" w:cs="宋体"/>
          <w:bCs/>
          <w:color w:val="000000" w:themeColor="text1"/>
          <w:sz w:val="28"/>
          <w:szCs w:val="28"/>
          <w:u w:val="single"/>
          <w14:textFill>
            <w14:solidFill>
              <w14:schemeClr w14:val="tx1"/>
            </w14:solidFill>
          </w14:textFill>
        </w:rPr>
        <w:t xml:space="preserve">                       </w:t>
      </w:r>
      <w:bookmarkEnd w:id="280"/>
      <w:bookmarkEnd w:id="281"/>
      <w:r>
        <w:rPr>
          <w:rFonts w:hint="eastAsia" w:ascii="宋体" w:hAnsi="宋体" w:eastAsia="宋体" w:cs="宋体"/>
          <w:bCs/>
          <w:color w:val="000000" w:themeColor="text1"/>
          <w:sz w:val="28"/>
          <w:szCs w:val="28"/>
          <w:u w:val="single"/>
          <w14:textFill>
            <w14:solidFill>
              <w14:schemeClr w14:val="tx1"/>
            </w14:solidFill>
          </w14:textFill>
        </w:rPr>
        <w:t xml:space="preserve">       </w:t>
      </w:r>
    </w:p>
    <w:p>
      <w:pPr>
        <w:pStyle w:val="12"/>
        <w:spacing w:line="320" w:lineRule="exact"/>
        <w:ind w:firstLine="420"/>
        <w:rPr>
          <w:rFonts w:hint="eastAsia" w:ascii="宋体" w:hAnsi="宋体" w:eastAsia="宋体" w:cs="宋体"/>
          <w:color w:val="000000" w:themeColor="text1"/>
          <w:sz w:val="28"/>
          <w:szCs w:val="28"/>
          <w:lang w:val="en-US" w:eastAsia="zh-CN"/>
          <w14:textFill>
            <w14:solidFill>
              <w14:schemeClr w14:val="tx1"/>
            </w14:solidFill>
          </w14:textFill>
        </w:rPr>
      </w:pPr>
      <w:bookmarkStart w:id="282" w:name="_Toc9622_WPSOffice_Level2"/>
      <w:bookmarkStart w:id="283" w:name="_Toc32056_WPSOffice_Level2"/>
      <w:r>
        <w:rPr>
          <w:rFonts w:hint="eastAsia" w:ascii="宋体" w:hAnsi="宋体" w:eastAsia="宋体" w:cs="宋体"/>
          <w:color w:val="000000" w:themeColor="text1"/>
          <w:sz w:val="28"/>
          <w:szCs w:val="28"/>
          <w14:textFill>
            <w14:solidFill>
              <w14:schemeClr w14:val="tx1"/>
            </w14:solidFill>
          </w14:textFill>
        </w:rPr>
        <w:t>法定代表人、负责人、自然人或相应的委托代理人签字</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或盖章</w:t>
      </w:r>
      <w:r>
        <w:rPr>
          <w:rFonts w:hint="eastAsia" w:ascii="宋体" w:hAnsi="宋体" w:eastAsia="宋体" w:cs="宋体"/>
          <w:color w:val="000000" w:themeColor="text1"/>
          <w:sz w:val="28"/>
          <w:szCs w:val="28"/>
          <w:lang w:val="en-US" w:eastAsia="zh-CN"/>
          <w14:textFill>
            <w14:solidFill>
              <w14:schemeClr w14:val="tx1"/>
            </w14:solidFill>
          </w14:textFill>
        </w:rPr>
        <w:t>(CA签章)]</w:t>
      </w:r>
    </w:p>
    <w:p>
      <w:pPr>
        <w:pStyle w:val="10"/>
        <w:ind w:left="980" w:hanging="560" w:hangingChars="200"/>
        <w:rPr>
          <w:rFonts w:hint="eastAsia" w:ascii="宋体" w:hAnsi="宋体" w:eastAsia="宋体" w:cs="宋体"/>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（属自然人的应在签名处加盖大拇指指印</w:t>
      </w:r>
      <w:r>
        <w:rPr>
          <w:rFonts w:hint="eastAsia" w:ascii="宋体" w:hAnsi="宋体" w:eastAsia="宋体" w:cs="宋体"/>
          <w:color w:val="000000" w:themeColor="text1"/>
          <w:sz w:val="28"/>
          <w:szCs w:val="28"/>
          <w:lang w:eastAsia="zh-CN"/>
          <w14:textFill>
            <w14:solidFill>
              <w14:schemeClr w14:val="tx1"/>
            </w14:solidFill>
          </w14:textFill>
        </w:rPr>
        <w:t>或</w:t>
      </w:r>
      <w:r>
        <w:rPr>
          <w:rFonts w:hint="eastAsia" w:ascii="宋体" w:hAnsi="宋体" w:eastAsia="宋体" w:cs="宋体"/>
          <w:color w:val="000000" w:themeColor="text1"/>
          <w:sz w:val="28"/>
          <w:szCs w:val="28"/>
          <w:lang w:val="en-US" w:eastAsia="zh-CN"/>
          <w14:textFill>
            <w14:solidFill>
              <w14:schemeClr w14:val="tx1"/>
            </w14:solidFill>
          </w14:textFill>
        </w:rPr>
        <w:t>个人CA签章</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u w:val="single"/>
          <w14:textFill>
            <w14:solidFill>
              <w14:schemeClr w14:val="tx1"/>
            </w14:solidFill>
          </w14:textFill>
        </w:rPr>
        <w:t xml:space="preserve">              </w:t>
      </w:r>
    </w:p>
    <w:p>
      <w:pPr>
        <w:pStyle w:val="10"/>
        <w:ind w:left="980" w:hanging="560" w:hangingChars="200"/>
        <w:rPr>
          <w:rFonts w:hint="eastAsia" w:ascii="宋体" w:hAnsi="宋体" w:eastAsia="宋体" w:cs="宋体"/>
          <w:bCs/>
          <w:color w:val="000000" w:themeColor="text1"/>
          <w:sz w:val="28"/>
          <w:szCs w:val="28"/>
          <w:u w:val="single"/>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联系电话：</w:t>
      </w:r>
      <w:bookmarkEnd w:id="282"/>
      <w:bookmarkEnd w:id="283"/>
      <w:r>
        <w:rPr>
          <w:rFonts w:hint="eastAsia" w:ascii="宋体" w:hAnsi="宋体" w:eastAsia="宋体" w:cs="宋体"/>
          <w:bCs/>
          <w:color w:val="000000" w:themeColor="text1"/>
          <w:sz w:val="28"/>
          <w:szCs w:val="28"/>
          <w:u w:val="single"/>
          <w14:textFill>
            <w14:solidFill>
              <w14:schemeClr w14:val="tx1"/>
            </w14:solidFill>
          </w14:textFill>
        </w:rPr>
        <w:t xml:space="preserve">                                                </w:t>
      </w:r>
    </w:p>
    <w:p>
      <w:pPr>
        <w:pStyle w:val="10"/>
        <w:ind w:left="980" w:hanging="560" w:hangingChars="200"/>
        <w:rPr>
          <w:rFonts w:hint="eastAsia" w:ascii="宋体" w:hAnsi="宋体" w:eastAsia="宋体" w:cs="宋体"/>
          <w:b/>
          <w:bCs/>
          <w:color w:val="000000" w:themeColor="text1"/>
          <w:sz w:val="32"/>
          <w:szCs w:val="32"/>
          <w14:textFill>
            <w14:solidFill>
              <w14:schemeClr w14:val="tx1"/>
            </w14:solidFill>
          </w14:textFill>
        </w:rPr>
      </w:pPr>
      <w:bookmarkStart w:id="284" w:name="_Toc26465_WPSOffice_Level2"/>
      <w:bookmarkStart w:id="285" w:name="_Toc15933_WPSOffice_Level2"/>
      <w:r>
        <w:rPr>
          <w:rFonts w:hint="eastAsia" w:ascii="宋体" w:hAnsi="宋体" w:eastAsia="宋体" w:cs="宋体"/>
          <w:bCs/>
          <w:color w:val="000000" w:themeColor="text1"/>
          <w:sz w:val="28"/>
          <w:szCs w:val="28"/>
          <w14:textFill>
            <w14:solidFill>
              <w14:schemeClr w14:val="tx1"/>
            </w14:solidFill>
          </w14:textFill>
        </w:rPr>
        <w:t>日期：</w:t>
      </w:r>
      <w:r>
        <w:rPr>
          <w:rFonts w:hint="eastAsia" w:ascii="宋体" w:hAnsi="宋体" w:eastAsia="宋体" w:cs="宋体"/>
          <w:bCs/>
          <w:color w:val="000000" w:themeColor="text1"/>
          <w:sz w:val="28"/>
          <w:szCs w:val="28"/>
          <w:u w:val="single"/>
          <w14:textFill>
            <w14:solidFill>
              <w14:schemeClr w14:val="tx1"/>
            </w14:solidFill>
          </w14:textFill>
        </w:rPr>
        <w:t xml:space="preserve">              </w:t>
      </w:r>
      <w:r>
        <w:rPr>
          <w:rFonts w:hint="eastAsia" w:ascii="宋体" w:hAnsi="宋体" w:eastAsia="宋体" w:cs="宋体"/>
          <w:bCs/>
          <w:color w:val="000000" w:themeColor="text1"/>
          <w:sz w:val="28"/>
          <w:szCs w:val="28"/>
          <w14:textFill>
            <w14:solidFill>
              <w14:schemeClr w14:val="tx1"/>
            </w14:solidFill>
          </w14:textFill>
        </w:rPr>
        <w:t>年</w:t>
      </w:r>
      <w:r>
        <w:rPr>
          <w:rFonts w:hint="eastAsia" w:ascii="宋体" w:hAnsi="宋体" w:eastAsia="宋体" w:cs="宋体"/>
          <w:bCs/>
          <w:color w:val="000000" w:themeColor="text1"/>
          <w:sz w:val="28"/>
          <w:szCs w:val="28"/>
          <w:u w:val="single"/>
          <w14:textFill>
            <w14:solidFill>
              <w14:schemeClr w14:val="tx1"/>
            </w14:solidFill>
          </w14:textFill>
        </w:rPr>
        <w:t xml:space="preserve">           </w:t>
      </w:r>
      <w:r>
        <w:rPr>
          <w:rFonts w:hint="eastAsia" w:ascii="宋体" w:hAnsi="宋体" w:eastAsia="宋体" w:cs="宋体"/>
          <w:bCs/>
          <w:color w:val="000000" w:themeColor="text1"/>
          <w:sz w:val="28"/>
          <w:szCs w:val="28"/>
          <w14:textFill>
            <w14:solidFill>
              <w14:schemeClr w14:val="tx1"/>
            </w14:solidFill>
          </w14:textFill>
        </w:rPr>
        <w:t>月</w:t>
      </w:r>
      <w:r>
        <w:rPr>
          <w:rFonts w:hint="eastAsia" w:ascii="宋体" w:hAnsi="宋体" w:eastAsia="宋体" w:cs="宋体"/>
          <w:bCs/>
          <w:color w:val="000000" w:themeColor="text1"/>
          <w:sz w:val="28"/>
          <w:szCs w:val="28"/>
          <w:u w:val="single"/>
          <w14:textFill>
            <w14:solidFill>
              <w14:schemeClr w14:val="tx1"/>
            </w14:solidFill>
          </w14:textFill>
        </w:rPr>
        <w:t xml:space="preserve">           </w:t>
      </w:r>
      <w:r>
        <w:rPr>
          <w:rFonts w:hint="eastAsia" w:ascii="宋体" w:hAnsi="宋体" w:eastAsia="宋体" w:cs="宋体"/>
          <w:bCs/>
          <w:color w:val="000000" w:themeColor="text1"/>
          <w:sz w:val="28"/>
          <w:szCs w:val="28"/>
          <w14:textFill>
            <w14:solidFill>
              <w14:schemeClr w14:val="tx1"/>
            </w14:solidFill>
          </w14:textFill>
        </w:rPr>
        <w:t>日</w:t>
      </w:r>
      <w:bookmarkEnd w:id="284"/>
      <w:bookmarkEnd w:id="285"/>
      <w:bookmarkStart w:id="286" w:name="_Toc21615"/>
      <w:bookmarkStart w:id="287" w:name="_Toc19430"/>
      <w:bookmarkStart w:id="288" w:name="_Toc497927070"/>
    </w:p>
    <w:p>
      <w:pPr>
        <w:numPr>
          <w:ilvl w:val="0"/>
          <w:numId w:val="9"/>
        </w:numP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响应文件组成</w:t>
      </w:r>
      <w:bookmarkEnd w:id="286"/>
      <w:bookmarkEnd w:id="287"/>
      <w:bookmarkEnd w:id="288"/>
    </w:p>
    <w:p>
      <w:pPr>
        <w:pStyle w:val="9"/>
        <w:numPr>
          <w:ilvl w:val="0"/>
          <w:numId w:val="0"/>
        </w:numPr>
        <w:rPr>
          <w:rFonts w:hint="eastAsia" w:ascii="宋体" w:hAnsi="宋体" w:eastAsia="宋体" w:cs="宋体"/>
          <w:color w:val="000000" w:themeColor="text1"/>
          <w14:textFill>
            <w14:solidFill>
              <w14:schemeClr w14:val="tx1"/>
            </w14:solidFill>
          </w14:textFill>
        </w:rPr>
      </w:pPr>
    </w:p>
    <w:p>
      <w:pPr>
        <w:pStyle w:val="9"/>
        <w:numPr>
          <w:ilvl w:val="0"/>
          <w:numId w:val="0"/>
        </w:numPr>
        <w:rPr>
          <w:rFonts w:hint="eastAsia" w:ascii="宋体" w:hAnsi="宋体" w:eastAsia="宋体" w:cs="宋体"/>
          <w:color w:val="000000" w:themeColor="text1"/>
          <w14:textFill>
            <w14:solidFill>
              <w14:schemeClr w14:val="tx1"/>
            </w14:solidFill>
          </w14:textFill>
        </w:rPr>
      </w:pPr>
    </w:p>
    <w:p>
      <w:pPr>
        <w:numPr>
          <w:ilvl w:val="0"/>
          <w:numId w:val="0"/>
        </w:numPr>
        <w:spacing w:line="400" w:lineRule="exact"/>
        <w:rPr>
          <w:rFonts w:hint="eastAsia" w:ascii="宋体" w:hAnsi="宋体" w:eastAsia="宋体" w:cs="宋体"/>
          <w:b/>
          <w:bCs/>
          <w:color w:val="000000" w:themeColor="text1"/>
          <w:sz w:val="28"/>
          <w:szCs w:val="28"/>
          <w14:textFill>
            <w14:solidFill>
              <w14:schemeClr w14:val="tx1"/>
            </w14:solidFill>
          </w14:textFill>
        </w:rPr>
      </w:pPr>
    </w:p>
    <w:p>
      <w:pPr>
        <w:pStyle w:val="9"/>
        <w:rPr>
          <w:rFonts w:hint="eastAsia" w:ascii="宋体" w:hAnsi="宋体" w:eastAsia="宋体" w:cs="宋体"/>
          <w:b/>
          <w:bCs/>
          <w:color w:val="000000" w:themeColor="text1"/>
          <w:sz w:val="28"/>
          <w:szCs w:val="28"/>
          <w:lang w:eastAsia="zh-CN"/>
          <w14:textFill>
            <w14:solidFill>
              <w14:schemeClr w14:val="tx1"/>
            </w14:solidFill>
          </w14:textFill>
        </w:rPr>
      </w:pPr>
    </w:p>
    <w:p>
      <w:pPr>
        <w:numPr>
          <w:ilvl w:val="0"/>
          <w:numId w:val="10"/>
        </w:numPr>
        <w:spacing w:line="400" w:lineRule="exact"/>
        <w:ind w:firstLine="565" w:firstLineChars="202"/>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资格性响应证明材料</w:t>
      </w:r>
    </w:p>
    <w:p>
      <w:pPr>
        <w:pStyle w:val="9"/>
        <w:rPr>
          <w:rFonts w:hint="eastAsia" w:ascii="宋体" w:hAnsi="宋体" w:eastAsia="宋体" w:cs="宋体"/>
          <w:b/>
          <w:bCs/>
          <w:color w:val="000000" w:themeColor="text1"/>
          <w:sz w:val="28"/>
          <w:szCs w:val="28"/>
          <w14:textFill>
            <w14:solidFill>
              <w14:schemeClr w14:val="tx1"/>
            </w14:solidFill>
          </w14:textFill>
        </w:rPr>
      </w:pPr>
    </w:p>
    <w:p>
      <w:pPr>
        <w:pStyle w:val="9"/>
        <w:rPr>
          <w:rFonts w:hint="eastAsia" w:ascii="宋体" w:hAnsi="宋体" w:eastAsia="宋体" w:cs="宋体"/>
          <w:b/>
          <w:bCs/>
          <w:color w:val="000000" w:themeColor="text1"/>
          <w:sz w:val="28"/>
          <w:szCs w:val="28"/>
          <w14:textFill>
            <w14:solidFill>
              <w14:schemeClr w14:val="tx1"/>
            </w14:solidFill>
          </w14:textFill>
        </w:rPr>
      </w:pPr>
    </w:p>
    <w:p>
      <w:pPr>
        <w:numPr>
          <w:ilvl w:val="0"/>
          <w:numId w:val="10"/>
        </w:numPr>
        <w:spacing w:line="400" w:lineRule="exact"/>
        <w:ind w:firstLine="565" w:firstLineChars="202"/>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符合性响应证明材料</w:t>
      </w:r>
    </w:p>
    <w:p>
      <w:pPr>
        <w:pStyle w:val="9"/>
        <w:rPr>
          <w:rFonts w:hint="eastAsia" w:ascii="宋体" w:hAnsi="宋体" w:eastAsia="宋体" w:cs="宋体"/>
          <w:b/>
          <w:bCs/>
          <w:color w:val="000000" w:themeColor="text1"/>
          <w:sz w:val="28"/>
          <w:szCs w:val="28"/>
          <w14:textFill>
            <w14:solidFill>
              <w14:schemeClr w14:val="tx1"/>
            </w14:solidFill>
          </w14:textFill>
        </w:rPr>
      </w:pPr>
    </w:p>
    <w:p>
      <w:pPr>
        <w:pStyle w:val="9"/>
        <w:rPr>
          <w:rFonts w:hint="eastAsia" w:ascii="宋体" w:hAnsi="宋体" w:eastAsia="宋体" w:cs="宋体"/>
          <w:b/>
          <w:bCs/>
          <w:color w:val="000000" w:themeColor="text1"/>
          <w:sz w:val="28"/>
          <w:szCs w:val="28"/>
          <w14:textFill>
            <w14:solidFill>
              <w14:schemeClr w14:val="tx1"/>
            </w14:solidFill>
          </w14:textFill>
        </w:rPr>
      </w:pPr>
    </w:p>
    <w:p>
      <w:pPr>
        <w:numPr>
          <w:ilvl w:val="0"/>
          <w:numId w:val="10"/>
        </w:numPr>
        <w:spacing w:line="400" w:lineRule="exact"/>
        <w:ind w:firstLine="565" w:firstLineChars="202"/>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其</w:t>
      </w:r>
      <w:r>
        <w:rPr>
          <w:rFonts w:hint="eastAsia" w:ascii="宋体" w:hAnsi="宋体" w:eastAsia="宋体" w:cs="宋体"/>
          <w:b/>
          <w:bCs/>
          <w:color w:val="000000" w:themeColor="text1"/>
          <w:sz w:val="28"/>
          <w:szCs w:val="28"/>
          <w:lang w:eastAsia="zh-CN"/>
          <w14:textFill>
            <w14:solidFill>
              <w14:schemeClr w14:val="tx1"/>
            </w14:solidFill>
          </w14:textFill>
        </w:rPr>
        <w:t>他</w:t>
      </w:r>
      <w:r>
        <w:rPr>
          <w:rFonts w:hint="eastAsia" w:ascii="宋体" w:hAnsi="宋体" w:eastAsia="宋体" w:cs="宋体"/>
          <w:b/>
          <w:bCs/>
          <w:color w:val="000000" w:themeColor="text1"/>
          <w:sz w:val="28"/>
          <w:szCs w:val="28"/>
          <w14:textFill>
            <w14:solidFill>
              <w14:schemeClr w14:val="tx1"/>
            </w14:solidFill>
          </w14:textFill>
        </w:rPr>
        <w:t>有效证明材料</w:t>
      </w:r>
    </w:p>
    <w:p>
      <w:pPr>
        <w:pStyle w:val="28"/>
        <w:rPr>
          <w:rFonts w:hint="eastAsia" w:ascii="宋体" w:hAnsi="宋体" w:eastAsia="宋体" w:cs="宋体"/>
          <w:color w:val="000000" w:themeColor="text1"/>
          <w14:textFill>
            <w14:solidFill>
              <w14:schemeClr w14:val="tx1"/>
            </w14:solidFill>
          </w14:textFill>
        </w:rPr>
      </w:pPr>
    </w:p>
    <w:p>
      <w:pPr>
        <w:tabs>
          <w:tab w:val="left" w:pos="5040"/>
        </w:tabs>
        <w:spacing w:line="400" w:lineRule="exact"/>
        <w:rPr>
          <w:rFonts w:hint="eastAsia" w:ascii="宋体" w:hAnsi="宋体" w:eastAsia="宋体" w:cs="宋体"/>
          <w:color w:val="000000" w:themeColor="text1"/>
          <w:szCs w:val="21"/>
          <w14:textFill>
            <w14:solidFill>
              <w14:schemeClr w14:val="tx1"/>
            </w14:solidFill>
          </w14:textFill>
        </w:rPr>
      </w:pPr>
    </w:p>
    <w:p>
      <w:pPr>
        <w:pStyle w:val="9"/>
        <w:rPr>
          <w:rFonts w:hint="eastAsia" w:ascii="宋体" w:hAnsi="宋体" w:eastAsia="宋体" w:cs="宋体"/>
          <w:color w:val="000000" w:themeColor="text1"/>
          <w:szCs w:val="21"/>
          <w14:textFill>
            <w14:solidFill>
              <w14:schemeClr w14:val="tx1"/>
            </w14:solidFill>
          </w14:textFill>
        </w:rPr>
      </w:pPr>
    </w:p>
    <w:p>
      <w:pPr>
        <w:pStyle w:val="9"/>
        <w:rPr>
          <w:rFonts w:hint="eastAsia" w:ascii="宋体" w:hAnsi="宋体" w:eastAsia="宋体" w:cs="宋体"/>
          <w:color w:val="000000" w:themeColor="text1"/>
          <w:szCs w:val="21"/>
          <w14:textFill>
            <w14:solidFill>
              <w14:schemeClr w14:val="tx1"/>
            </w14:solidFill>
          </w14:textFill>
        </w:rPr>
      </w:pPr>
    </w:p>
    <w:p>
      <w:pPr>
        <w:pStyle w:val="9"/>
        <w:rPr>
          <w:rFonts w:hint="eastAsia" w:ascii="宋体" w:hAnsi="宋体" w:eastAsia="宋体" w:cs="宋体"/>
          <w:color w:val="000000" w:themeColor="text1"/>
          <w:szCs w:val="21"/>
          <w14:textFill>
            <w14:solidFill>
              <w14:schemeClr w14:val="tx1"/>
            </w14:solidFill>
          </w14:textFill>
        </w:rPr>
      </w:pPr>
    </w:p>
    <w:p>
      <w:pPr>
        <w:pStyle w:val="9"/>
        <w:rPr>
          <w:rFonts w:hint="eastAsia" w:ascii="宋体" w:hAnsi="宋体" w:eastAsia="宋体" w:cs="宋体"/>
          <w:color w:val="000000" w:themeColor="text1"/>
          <w:szCs w:val="21"/>
          <w14:textFill>
            <w14:solidFill>
              <w14:schemeClr w14:val="tx1"/>
            </w14:solidFill>
          </w14:textFill>
        </w:rPr>
      </w:pPr>
    </w:p>
    <w:p>
      <w:pPr>
        <w:rPr>
          <w:rFonts w:hint="eastAsia" w:ascii="宋体" w:hAnsi="宋体" w:eastAsia="宋体" w:cs="宋体"/>
          <w:color w:val="000000" w:themeColor="text1"/>
          <w:szCs w:val="21"/>
          <w14:textFill>
            <w14:solidFill>
              <w14:schemeClr w14:val="tx1"/>
            </w14:solidFill>
          </w14:textFill>
        </w:rPr>
      </w:pPr>
    </w:p>
    <w:p>
      <w:pPr>
        <w:pStyle w:val="28"/>
        <w:rPr>
          <w:rFonts w:hint="eastAsia" w:ascii="宋体" w:hAnsi="宋体" w:eastAsia="宋体" w:cs="宋体"/>
          <w:color w:val="000000" w:themeColor="text1"/>
          <w:szCs w:val="21"/>
          <w14:textFill>
            <w14:solidFill>
              <w14:schemeClr w14:val="tx1"/>
            </w14:solidFill>
          </w14:textFill>
        </w:rPr>
      </w:pPr>
    </w:p>
    <w:p>
      <w:pPr>
        <w:pStyle w:val="28"/>
        <w:rPr>
          <w:rFonts w:hint="eastAsia" w:ascii="宋体" w:hAnsi="宋体" w:eastAsia="宋体" w:cs="宋体"/>
          <w:color w:val="000000" w:themeColor="text1"/>
          <w:szCs w:val="21"/>
          <w14:textFill>
            <w14:solidFill>
              <w14:schemeClr w14:val="tx1"/>
            </w14:solidFill>
          </w14:textFill>
        </w:rPr>
      </w:pPr>
    </w:p>
    <w:p>
      <w:pPr>
        <w:pStyle w:val="28"/>
        <w:rPr>
          <w:rFonts w:hint="eastAsia" w:ascii="宋体" w:hAnsi="宋体" w:eastAsia="宋体" w:cs="宋体"/>
          <w:color w:val="000000" w:themeColor="text1"/>
          <w:szCs w:val="21"/>
          <w14:textFill>
            <w14:solidFill>
              <w14:schemeClr w14:val="tx1"/>
            </w14:solidFill>
          </w14:textFill>
        </w:rPr>
      </w:pPr>
    </w:p>
    <w:p>
      <w:pPr>
        <w:pStyle w:val="28"/>
        <w:rPr>
          <w:rFonts w:hint="eastAsia" w:ascii="宋体" w:hAnsi="宋体" w:eastAsia="宋体" w:cs="宋体"/>
          <w:color w:val="000000" w:themeColor="text1"/>
          <w:szCs w:val="21"/>
          <w14:textFill>
            <w14:solidFill>
              <w14:schemeClr w14:val="tx1"/>
            </w14:solidFill>
          </w14:textFill>
        </w:rPr>
      </w:pPr>
    </w:p>
    <w:p>
      <w:pPr>
        <w:pStyle w:val="28"/>
        <w:rPr>
          <w:rFonts w:hint="eastAsia" w:ascii="宋体" w:hAnsi="宋体" w:eastAsia="宋体" w:cs="宋体"/>
          <w:color w:val="000000" w:themeColor="text1"/>
          <w:szCs w:val="21"/>
          <w14:textFill>
            <w14:solidFill>
              <w14:schemeClr w14:val="tx1"/>
            </w14:solidFill>
          </w14:textFill>
        </w:rPr>
      </w:pPr>
    </w:p>
    <w:p>
      <w:pPr>
        <w:pStyle w:val="28"/>
        <w:rPr>
          <w:rFonts w:hint="eastAsia" w:ascii="宋体" w:hAnsi="宋体" w:eastAsia="宋体" w:cs="宋体"/>
          <w:color w:val="000000" w:themeColor="text1"/>
          <w:szCs w:val="21"/>
          <w14:textFill>
            <w14:solidFill>
              <w14:schemeClr w14:val="tx1"/>
            </w14:solidFill>
          </w14:textFill>
        </w:rPr>
      </w:pPr>
    </w:p>
    <w:p>
      <w:pPr>
        <w:pStyle w:val="28"/>
        <w:rPr>
          <w:rFonts w:hint="eastAsia" w:ascii="宋体" w:hAnsi="宋体" w:eastAsia="宋体" w:cs="宋体"/>
          <w:color w:val="000000" w:themeColor="text1"/>
          <w:szCs w:val="21"/>
          <w14:textFill>
            <w14:solidFill>
              <w14:schemeClr w14:val="tx1"/>
            </w14:solidFill>
          </w14:textFill>
        </w:rPr>
      </w:pPr>
    </w:p>
    <w:p>
      <w:pPr>
        <w:pStyle w:val="28"/>
        <w:rPr>
          <w:rFonts w:hint="eastAsia" w:ascii="宋体" w:hAnsi="宋体" w:eastAsia="宋体" w:cs="宋体"/>
          <w:color w:val="000000" w:themeColor="text1"/>
          <w:szCs w:val="21"/>
          <w14:textFill>
            <w14:solidFill>
              <w14:schemeClr w14:val="tx1"/>
            </w14:solidFill>
          </w14:textFill>
        </w:rPr>
      </w:pPr>
    </w:p>
    <w:p>
      <w:pPr>
        <w:pStyle w:val="28"/>
        <w:rPr>
          <w:rFonts w:hint="eastAsia" w:ascii="宋体" w:hAnsi="宋体" w:eastAsia="宋体" w:cs="宋体"/>
          <w:color w:val="000000" w:themeColor="text1"/>
          <w:szCs w:val="21"/>
          <w14:textFill>
            <w14:solidFill>
              <w14:schemeClr w14:val="tx1"/>
            </w14:solidFill>
          </w14:textFill>
        </w:rPr>
      </w:pPr>
    </w:p>
    <w:p>
      <w:pPr>
        <w:pStyle w:val="28"/>
        <w:rPr>
          <w:rFonts w:hint="eastAsia" w:ascii="宋体" w:hAnsi="宋体" w:eastAsia="宋体" w:cs="宋体"/>
          <w:color w:val="000000" w:themeColor="text1"/>
          <w:szCs w:val="21"/>
          <w14:textFill>
            <w14:solidFill>
              <w14:schemeClr w14:val="tx1"/>
            </w14:solidFill>
          </w14:textFill>
        </w:rPr>
      </w:pPr>
    </w:p>
    <w:p>
      <w:pPr>
        <w:pStyle w:val="28"/>
        <w:rPr>
          <w:rFonts w:hint="eastAsia" w:ascii="宋体" w:hAnsi="宋体" w:eastAsia="宋体" w:cs="宋体"/>
          <w:color w:val="000000" w:themeColor="text1"/>
          <w:szCs w:val="21"/>
          <w14:textFill>
            <w14:solidFill>
              <w14:schemeClr w14:val="tx1"/>
            </w14:solidFill>
          </w14:textFill>
        </w:rPr>
      </w:pPr>
    </w:p>
    <w:p>
      <w:pPr>
        <w:pStyle w:val="28"/>
        <w:rPr>
          <w:rFonts w:hint="eastAsia" w:ascii="宋体" w:hAnsi="宋体" w:eastAsia="宋体" w:cs="宋体"/>
          <w:color w:val="000000" w:themeColor="text1"/>
          <w:szCs w:val="21"/>
          <w14:textFill>
            <w14:solidFill>
              <w14:schemeClr w14:val="tx1"/>
            </w14:solidFill>
          </w14:textFill>
        </w:rPr>
      </w:pPr>
    </w:p>
    <w:p>
      <w:pPr>
        <w:pStyle w:val="28"/>
        <w:rPr>
          <w:rFonts w:hint="eastAsia" w:ascii="宋体" w:hAnsi="宋体" w:eastAsia="宋体" w:cs="宋体"/>
          <w:color w:val="000000" w:themeColor="text1"/>
          <w:szCs w:val="21"/>
          <w14:textFill>
            <w14:solidFill>
              <w14:schemeClr w14:val="tx1"/>
            </w14:solidFill>
          </w14:textFill>
        </w:rPr>
      </w:pPr>
    </w:p>
    <w:p>
      <w:pPr>
        <w:pStyle w:val="28"/>
        <w:rPr>
          <w:rFonts w:hint="eastAsia" w:ascii="宋体" w:hAnsi="宋体" w:eastAsia="宋体" w:cs="宋体"/>
          <w:color w:val="000000" w:themeColor="text1"/>
          <w:szCs w:val="21"/>
          <w14:textFill>
            <w14:solidFill>
              <w14:schemeClr w14:val="tx1"/>
            </w14:solidFill>
          </w14:textFill>
        </w:rPr>
      </w:pPr>
    </w:p>
    <w:p>
      <w:pPr>
        <w:rPr>
          <w:rFonts w:hint="eastAsia" w:ascii="宋体" w:hAnsi="宋体" w:eastAsia="宋体" w:cs="宋体"/>
          <w:color w:val="000000" w:themeColor="text1"/>
          <w:lang w:eastAsia="zh-CN"/>
          <w14:textFill>
            <w14:solidFill>
              <w14:schemeClr w14:val="tx1"/>
            </w14:solidFill>
          </w14:textFill>
        </w:rPr>
      </w:pPr>
      <w:bookmarkStart w:id="289" w:name="_Toc11067"/>
      <w:bookmarkStart w:id="290" w:name="_Toc497927071"/>
      <w:bookmarkStart w:id="291" w:name="_Toc7185"/>
    </w:p>
    <w:p>
      <w:pPr>
        <w:rPr>
          <w:rFonts w:hint="eastAsia" w:ascii="宋体" w:hAnsi="宋体" w:eastAsia="宋体" w:cs="宋体"/>
          <w:color w:val="000000" w:themeColor="text1"/>
          <w:sz w:val="32"/>
          <w:szCs w:val="32"/>
          <w:lang w:eastAsia="zh-CN"/>
          <w14:textFill>
            <w14:solidFill>
              <w14:schemeClr w14:val="tx1"/>
            </w14:solidFill>
          </w14:textFill>
        </w:rPr>
      </w:pPr>
      <w:r>
        <w:rPr>
          <w:rFonts w:hint="eastAsia" w:ascii="宋体" w:hAnsi="宋体" w:eastAsia="宋体" w:cs="宋体"/>
          <w:color w:val="000000" w:themeColor="text1"/>
          <w:sz w:val="32"/>
          <w:szCs w:val="32"/>
          <w:lang w:eastAsia="zh-CN"/>
          <w14:textFill>
            <w14:solidFill>
              <w14:schemeClr w14:val="tx1"/>
            </w14:solidFill>
          </w14:textFill>
        </w:rPr>
        <w:br w:type="page"/>
      </w:r>
    </w:p>
    <w:p>
      <w:pPr>
        <w:pStyle w:val="6"/>
        <w:numPr>
          <w:ilvl w:val="0"/>
          <w:numId w:val="0"/>
        </w:numPr>
        <w:jc w:val="center"/>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lang w:eastAsia="zh-CN"/>
          <w14:textFill>
            <w14:solidFill>
              <w14:schemeClr w14:val="tx1"/>
            </w14:solidFill>
          </w14:textFill>
        </w:rPr>
        <w:t>（</w:t>
      </w:r>
      <w:r>
        <w:rPr>
          <w:rFonts w:hint="eastAsia" w:ascii="宋体" w:hAnsi="宋体" w:cs="宋体"/>
          <w:color w:val="000000" w:themeColor="text1"/>
          <w:sz w:val="32"/>
          <w:szCs w:val="32"/>
          <w:lang w:eastAsia="zh-CN"/>
          <w14:textFill>
            <w14:solidFill>
              <w14:schemeClr w14:val="tx1"/>
            </w14:solidFill>
          </w14:textFill>
        </w:rPr>
        <w:t>一</w:t>
      </w:r>
      <w:r>
        <w:rPr>
          <w:rFonts w:hint="eastAsia" w:ascii="宋体" w:hAnsi="宋体" w:eastAsia="宋体" w:cs="宋体"/>
          <w:color w:val="000000" w:themeColor="text1"/>
          <w:sz w:val="32"/>
          <w:szCs w:val="32"/>
          <w:lang w:eastAsia="zh-CN"/>
          <w14:textFill>
            <w14:solidFill>
              <w14:schemeClr w14:val="tx1"/>
            </w14:solidFill>
          </w14:textFill>
        </w:rPr>
        <w:t>）</w:t>
      </w:r>
      <w:r>
        <w:rPr>
          <w:rFonts w:hint="eastAsia" w:ascii="宋体" w:hAnsi="宋体" w:eastAsia="宋体" w:cs="宋体"/>
          <w:color w:val="000000" w:themeColor="text1"/>
          <w:sz w:val="32"/>
          <w:szCs w:val="32"/>
          <w14:textFill>
            <w14:solidFill>
              <w14:schemeClr w14:val="tx1"/>
            </w14:solidFill>
          </w14:textFill>
        </w:rPr>
        <w:t>资格性响应证明材料目录</w:t>
      </w:r>
      <w:bookmarkEnd w:id="289"/>
      <w:bookmarkEnd w:id="290"/>
      <w:bookmarkEnd w:id="291"/>
    </w:p>
    <w:p>
      <w:pPr>
        <w:rPr>
          <w:rFonts w:hint="eastAsia" w:ascii="宋体" w:hAnsi="宋体" w:eastAsia="宋体" w:cs="宋体"/>
          <w:color w:val="000000" w:themeColor="text1"/>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w:t>
      </w:r>
      <w:r>
        <w:rPr>
          <w:rFonts w:hint="eastAsia" w:ascii="宋体" w:hAnsi="宋体" w:eastAsia="宋体" w:cs="宋体"/>
          <w:color w:val="000000" w:themeColor="text1"/>
          <w:sz w:val="24"/>
          <w14:textFill>
            <w14:solidFill>
              <w14:schemeClr w14:val="tx1"/>
            </w14:solidFill>
          </w14:textFill>
        </w:rPr>
        <w:t>.供应商相应的法定代表人、负责人、自然人身份证正反两面复印件</w:t>
      </w:r>
      <w:r>
        <w:rPr>
          <w:rFonts w:hint="eastAsia" w:ascii="宋体" w:hAnsi="宋体" w:eastAsia="宋体" w:cs="宋体"/>
          <w:b/>
          <w:bCs/>
          <w:color w:val="000000" w:themeColor="text1"/>
          <w:sz w:val="24"/>
          <w14:textFill>
            <w14:solidFill>
              <w14:schemeClr w14:val="tx1"/>
            </w14:solidFill>
          </w14:textFill>
        </w:rPr>
        <w:t>（必须提供）</w:t>
      </w:r>
      <w:r>
        <w:rPr>
          <w:rFonts w:hint="eastAsia" w:ascii="宋体" w:hAnsi="宋体" w:eastAsia="宋体" w:cs="宋体"/>
          <w:color w:val="000000" w:themeColor="text1"/>
          <w:sz w:val="24"/>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2</w:t>
      </w:r>
      <w:r>
        <w:rPr>
          <w:rFonts w:hint="eastAsia" w:ascii="宋体" w:hAnsi="宋体" w:eastAsia="宋体" w:cs="宋体"/>
          <w:color w:val="000000" w:themeColor="text1"/>
          <w:sz w:val="24"/>
          <w14:textFill>
            <w14:solidFill>
              <w14:schemeClr w14:val="tx1"/>
            </w14:solidFill>
          </w14:textFill>
        </w:rPr>
        <w:t>.供应商的授权委托书原件、委托代理人身份证正反面复印件以及由县级以上（含县级）社会养老保险经办机构出具的供应商为委托代理人交纳的响应文件递交截止时间前</w:t>
      </w:r>
      <w:r>
        <w:rPr>
          <w:rFonts w:hint="eastAsia" w:ascii="宋体" w:hAnsi="宋体" w:cs="宋体"/>
          <w:color w:val="000000" w:themeColor="text1"/>
          <w:sz w:val="24"/>
          <w:lang w:eastAsia="zh-CN"/>
          <w14:textFill>
            <w14:solidFill>
              <w14:schemeClr w14:val="tx1"/>
            </w14:solidFill>
          </w14:textFill>
        </w:rPr>
        <w:t>三个月内任意一个月养老保险证明</w:t>
      </w:r>
      <w:r>
        <w:rPr>
          <w:rFonts w:hint="eastAsia" w:ascii="宋体" w:hAnsi="宋体" w:eastAsia="宋体" w:cs="宋体"/>
          <w:color w:val="000000" w:themeColor="text1"/>
          <w:sz w:val="24"/>
          <w14:textFill>
            <w14:solidFill>
              <w14:schemeClr w14:val="tx1"/>
            </w14:solidFill>
          </w14:textFill>
        </w:rPr>
        <w:t>复印件</w:t>
      </w:r>
      <w:r>
        <w:rPr>
          <w:rFonts w:hint="eastAsia" w:ascii="宋体" w:hAnsi="宋体" w:eastAsia="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除供应商为以下</w:t>
      </w:r>
      <w:r>
        <w:rPr>
          <w:rFonts w:hint="eastAsia" w:ascii="宋体" w:hAnsi="宋体" w:cs="宋体"/>
          <w:color w:val="000000" w:themeColor="text1"/>
          <w:sz w:val="24"/>
          <w:lang w:val="en-US" w:eastAsia="zh-CN"/>
          <w14:textFill>
            <w14:solidFill>
              <w14:schemeClr w14:val="tx1"/>
            </w14:solidFill>
          </w14:textFill>
        </w:rPr>
        <w:t>四</w:t>
      </w:r>
      <w:r>
        <w:rPr>
          <w:rFonts w:hint="eastAsia" w:ascii="宋体" w:hAnsi="宋体" w:eastAsia="宋体" w:cs="宋体"/>
          <w:color w:val="000000" w:themeColor="text1"/>
          <w:sz w:val="24"/>
          <w14:textFill>
            <w14:solidFill>
              <w14:schemeClr w14:val="tx1"/>
            </w14:solidFill>
          </w14:textFill>
        </w:rPr>
        <w:t>种情形的：</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 如供应商为截标时间前60日以内成立的公司，可以提供供应商与委托代理人签订的劳动合同复印件代替</w:t>
      </w:r>
      <w:r>
        <w:rPr>
          <w:rFonts w:hint="eastAsia" w:ascii="宋体" w:hAnsi="宋体" w:cs="宋体"/>
          <w:color w:val="000000" w:themeColor="text1"/>
          <w:sz w:val="24"/>
          <w:lang w:eastAsia="zh-CN"/>
          <w14:textFill>
            <w14:solidFill>
              <w14:schemeClr w14:val="tx1"/>
            </w14:solidFill>
          </w14:textFill>
        </w:rPr>
        <w:t>养老保险证明</w:t>
      </w:r>
      <w:r>
        <w:rPr>
          <w:rFonts w:hint="eastAsia" w:ascii="宋体" w:hAnsi="宋体" w:eastAsia="宋体" w:cs="宋体"/>
          <w:color w:val="000000" w:themeColor="text1"/>
          <w:sz w:val="24"/>
          <w14:textFill>
            <w14:solidFill>
              <w14:schemeClr w14:val="tx1"/>
            </w14:solidFill>
          </w14:textFill>
        </w:rPr>
        <w:t>复印件；</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（2）如供应商为事业单位，可以提供事业单位机构编制管理证复印件或事业单位机构为其发放工资的工资条复印件代替</w:t>
      </w:r>
      <w:r>
        <w:rPr>
          <w:rFonts w:hint="eastAsia" w:ascii="宋体" w:hAnsi="宋体" w:cs="宋体"/>
          <w:color w:val="000000" w:themeColor="text1"/>
          <w:sz w:val="24"/>
          <w:lang w:eastAsia="zh-CN"/>
          <w14:textFill>
            <w14:solidFill>
              <w14:schemeClr w14:val="tx1"/>
            </w14:solidFill>
          </w14:textFill>
        </w:rPr>
        <w:t>养老保险证明</w:t>
      </w:r>
      <w:r>
        <w:rPr>
          <w:rFonts w:hint="eastAsia" w:ascii="宋体" w:hAnsi="宋体" w:eastAsia="宋体" w:cs="宋体"/>
          <w:color w:val="000000" w:themeColor="text1"/>
          <w:sz w:val="24"/>
          <w14:textFill>
            <w14:solidFill>
              <w14:schemeClr w14:val="tx1"/>
            </w14:solidFill>
          </w14:textFill>
        </w:rPr>
        <w:t>复印件；</w:t>
      </w:r>
    </w:p>
    <w:p>
      <w:pPr>
        <w:spacing w:line="360" w:lineRule="auto"/>
        <w:ind w:firstLine="480" w:firstLineChars="200"/>
        <w:rPr>
          <w:rFonts w:hint="eastAsia"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w:t>
      </w:r>
      <w:r>
        <w:rPr>
          <w:rFonts w:hint="eastAsia" w:ascii="宋体" w:hAnsi="宋体" w:eastAsia="宋体" w:cs="宋体"/>
          <w:color w:val="000000" w:themeColor="text1"/>
          <w:sz w:val="24"/>
          <w:lang w:eastAsia="zh-CN"/>
          <w14:textFill>
            <w14:solidFill>
              <w14:schemeClr w14:val="tx1"/>
            </w14:solidFill>
          </w14:textFill>
        </w:rPr>
        <w:t>如委托代理人为免缴纳养老保险人员，提供免缴纳养老保险的证明材料复印件</w:t>
      </w:r>
      <w:r>
        <w:rPr>
          <w:rFonts w:hint="eastAsia" w:ascii="宋体" w:hAnsi="宋体" w:eastAsia="宋体" w:cs="宋体"/>
          <w:color w:val="000000" w:themeColor="text1"/>
          <w:sz w:val="24"/>
          <w14:textFill>
            <w14:solidFill>
              <w14:schemeClr w14:val="tx1"/>
            </w14:solidFill>
          </w14:textFill>
        </w:rPr>
        <w:t>及投标人与委托代理人签订的劳动合同复印件代替</w:t>
      </w:r>
      <w:r>
        <w:rPr>
          <w:rFonts w:hint="eastAsia" w:ascii="宋体" w:hAnsi="宋体" w:eastAsia="宋体" w:cs="宋体"/>
          <w:color w:val="000000" w:themeColor="text1"/>
          <w:sz w:val="24"/>
          <w:lang w:val="en-US" w:eastAsia="zh-CN"/>
          <w14:textFill>
            <w14:solidFill>
              <w14:schemeClr w14:val="tx1"/>
            </w14:solidFill>
          </w14:textFill>
        </w:rPr>
        <w:t>养老保险</w:t>
      </w:r>
      <w:r>
        <w:rPr>
          <w:rFonts w:hint="eastAsia" w:ascii="宋体" w:hAnsi="宋体" w:eastAsia="宋体" w:cs="宋体"/>
          <w:color w:val="000000" w:themeColor="text1"/>
          <w:sz w:val="24"/>
          <w14:textFill>
            <w14:solidFill>
              <w14:schemeClr w14:val="tx1"/>
            </w14:solidFill>
          </w14:textFill>
        </w:rPr>
        <w:t>证明复印件</w:t>
      </w:r>
      <w:r>
        <w:rPr>
          <w:rFonts w:hint="eastAsia" w:ascii="宋体" w:hAnsi="宋体" w:cs="宋体"/>
          <w:color w:val="000000" w:themeColor="text1"/>
          <w:sz w:val="24"/>
          <w:lang w:eastAsia="zh-CN"/>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lang w:val="en-US" w:eastAsia="zh-CN"/>
          <w14:textFill>
            <w14:solidFill>
              <w14:schemeClr w14:val="tx1"/>
            </w14:solidFill>
          </w14:textFill>
        </w:rPr>
        <w:t>如因社会养老保险经办机构系统升级等原因，暂时无法向供应商提供社会养老保险缴纳情况查询服务时，供应商可以提供已为委托代理人缴纳社会养老保险的承诺书。（须同时提供无法查询的相关证明材料，包括但不限于查询网站截图、公告等。）</w:t>
      </w:r>
    </w:p>
    <w:p>
      <w:pPr>
        <w:spacing w:line="360" w:lineRule="auto"/>
        <w:ind w:firstLine="480" w:firstLineChars="200"/>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w:t>
      </w:r>
      <w:r>
        <w:rPr>
          <w:rFonts w:hint="eastAsia" w:ascii="宋体" w:hAnsi="宋体" w:eastAsia="宋体" w:cs="宋体"/>
          <w:b/>
          <w:bCs/>
          <w:color w:val="000000" w:themeColor="text1"/>
          <w:sz w:val="24"/>
          <w:lang w:eastAsia="zh-CN"/>
          <w14:textFill>
            <w14:solidFill>
              <w14:schemeClr w14:val="tx1"/>
            </w14:solidFill>
          </w14:textFill>
        </w:rPr>
        <w:t>属</w:t>
      </w:r>
      <w:r>
        <w:rPr>
          <w:rFonts w:hint="eastAsia" w:ascii="宋体" w:hAnsi="宋体" w:eastAsia="宋体" w:cs="宋体"/>
          <w:b/>
          <w:bCs/>
          <w:color w:val="000000" w:themeColor="text1"/>
          <w:sz w:val="24"/>
          <w14:textFill>
            <w14:solidFill>
              <w14:schemeClr w14:val="tx1"/>
            </w14:solidFill>
          </w14:textFill>
        </w:rPr>
        <w:t>自然人的应提供由县级以上（含县级）社会养老保险经办机构出具的自然人本人及委托代理人所交纳的响应文件递交截止时间前</w:t>
      </w:r>
      <w:r>
        <w:rPr>
          <w:rFonts w:hint="eastAsia" w:ascii="宋体" w:hAnsi="宋体" w:cs="宋体"/>
          <w:b/>
          <w:bCs/>
          <w:color w:val="000000" w:themeColor="text1"/>
          <w:sz w:val="24"/>
          <w:lang w:eastAsia="zh-CN"/>
          <w14:textFill>
            <w14:solidFill>
              <w14:schemeClr w14:val="tx1"/>
            </w14:solidFill>
          </w14:textFill>
        </w:rPr>
        <w:t>三个月内任意一个月养老保险证明</w:t>
      </w:r>
      <w:r>
        <w:rPr>
          <w:rFonts w:hint="eastAsia" w:ascii="宋体" w:hAnsi="宋体" w:eastAsia="宋体" w:cs="宋体"/>
          <w:b/>
          <w:bCs/>
          <w:color w:val="000000" w:themeColor="text1"/>
          <w:sz w:val="24"/>
          <w14:textFill>
            <w14:solidFill>
              <w14:schemeClr w14:val="tx1"/>
            </w14:solidFill>
          </w14:textFill>
        </w:rPr>
        <w:t>复印件</w:t>
      </w:r>
      <w:r>
        <w:rPr>
          <w:rFonts w:hint="eastAsia" w:ascii="宋体" w:hAnsi="宋体" w:eastAsia="宋体" w:cs="宋体"/>
          <w:b/>
          <w:bCs/>
          <w:color w:val="000000" w:themeColor="text1"/>
          <w:sz w:val="24"/>
          <w:lang w:eastAsia="zh-CN"/>
          <w14:textFill>
            <w14:solidFill>
              <w14:schemeClr w14:val="tx1"/>
            </w14:solidFill>
          </w14:textFill>
        </w:rPr>
        <w:t>，</w:t>
      </w:r>
      <w:r>
        <w:rPr>
          <w:rFonts w:hint="eastAsia" w:ascii="宋体" w:hAnsi="宋体" w:eastAsia="宋体" w:cs="宋体"/>
          <w:b/>
          <w:bCs/>
          <w:color w:val="000000" w:themeColor="text1"/>
          <w:sz w:val="24"/>
          <w:lang w:val="en-US" w:eastAsia="zh-CN"/>
          <w14:textFill>
            <w14:solidFill>
              <w14:schemeClr w14:val="tx1"/>
            </w14:solidFill>
          </w14:textFill>
        </w:rPr>
        <w:t>如因社会养老保险经办机构系统升级等原因，暂时无法向供应商提供社会养老保险缴纳情况查询服务时，供应商可以提供已为委托代理人缴纳社会养老保险的承诺书。（须同时提供无法查询的相关证明材料，包括但不限于查询网站截图、公告等。）</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b/>
          <w:bCs/>
          <w:color w:val="000000" w:themeColor="text1"/>
          <w:sz w:val="24"/>
          <w14:textFill>
            <w14:solidFill>
              <w14:schemeClr w14:val="tx1"/>
            </w14:solidFill>
          </w14:textFill>
        </w:rPr>
        <w:t>（委托代理时必须提供）</w:t>
      </w:r>
      <w:r>
        <w:rPr>
          <w:rFonts w:hint="eastAsia" w:ascii="宋体" w:hAnsi="宋体" w:eastAsia="宋体" w:cs="宋体"/>
          <w:b/>
          <w:bCs/>
          <w:color w:val="000000" w:themeColor="text1"/>
          <w:sz w:val="24"/>
          <w:lang w:eastAsia="zh-CN"/>
          <w14:textFill>
            <w14:solidFill>
              <w14:schemeClr w14:val="tx1"/>
            </w14:solidFill>
          </w14:textFill>
        </w:rPr>
        <w:t>；</w:t>
      </w:r>
    </w:p>
    <w:p>
      <w:pPr>
        <w:spacing w:line="360" w:lineRule="auto"/>
        <w:ind w:firstLine="480" w:firstLineChars="200"/>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3</w:t>
      </w:r>
      <w:r>
        <w:rPr>
          <w:rFonts w:hint="eastAsia" w:ascii="宋体" w:hAnsi="宋体" w:eastAsia="宋体" w:cs="宋体"/>
          <w:color w:val="000000" w:themeColor="text1"/>
          <w:sz w:val="24"/>
          <w14:textFill>
            <w14:solidFill>
              <w14:schemeClr w14:val="tx1"/>
            </w14:solidFill>
          </w14:textFill>
        </w:rPr>
        <w:t>.供应商参加政府采购活动前3年内在经营活动中没有重大违法记录及有关信用信息的书面声明</w:t>
      </w:r>
      <w:r>
        <w:rPr>
          <w:rFonts w:hint="eastAsia" w:ascii="宋体" w:hAnsi="宋体" w:eastAsia="宋体" w:cs="宋体"/>
          <w:b/>
          <w:bCs/>
          <w:color w:val="000000" w:themeColor="text1"/>
          <w:sz w:val="24"/>
          <w14:textFill>
            <w14:solidFill>
              <w14:schemeClr w14:val="tx1"/>
            </w14:solidFill>
          </w14:textFill>
        </w:rPr>
        <w:t>（必须提供）；</w:t>
      </w:r>
    </w:p>
    <w:p>
      <w:pPr>
        <w:spacing w:line="360" w:lineRule="auto"/>
        <w:ind w:firstLine="480" w:firstLineChars="200"/>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4</w:t>
      </w:r>
      <w:r>
        <w:rPr>
          <w:rFonts w:hint="eastAsia" w:ascii="宋体" w:hAnsi="宋体" w:eastAsia="宋体" w:cs="宋体"/>
          <w:color w:val="000000" w:themeColor="text1"/>
          <w:sz w:val="24"/>
          <w14:textFill>
            <w14:solidFill>
              <w14:schemeClr w14:val="tx1"/>
            </w14:solidFill>
          </w14:textFill>
        </w:rPr>
        <w:t>.供应商的法人或者其他组织营业执照等证明文件复印件</w:t>
      </w:r>
      <w:r>
        <w:rPr>
          <w:rFonts w:hint="eastAsia" w:ascii="宋体" w:hAnsi="宋体" w:eastAsia="宋体" w:cs="宋体"/>
          <w:b/>
          <w:bCs/>
          <w:color w:val="000000" w:themeColor="text1"/>
          <w:sz w:val="24"/>
          <w14:textFill>
            <w14:solidFill>
              <w14:schemeClr w14:val="tx1"/>
            </w14:solidFill>
          </w14:textFill>
        </w:rPr>
        <w:t>（必须提供，自然人除外）；</w:t>
      </w:r>
    </w:p>
    <w:p>
      <w:pPr>
        <w:spacing w:line="360" w:lineRule="auto"/>
        <w:ind w:firstLine="480" w:firstLineChars="200"/>
        <w:rPr>
          <w:rFonts w:hint="eastAsia" w:ascii="宋体" w:hAnsi="宋体" w:eastAsia="宋体" w:cs="宋体"/>
          <w:b/>
          <w:bCs/>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5.</w:t>
      </w:r>
      <w:r>
        <w:rPr>
          <w:rFonts w:hint="eastAsia" w:ascii="宋体" w:hAnsi="宋体" w:cs="宋体"/>
          <w:color w:val="000000" w:themeColor="text1"/>
          <w:sz w:val="24"/>
          <w:lang w:val="en-US" w:eastAsia="zh-CN"/>
          <w14:textFill>
            <w14:solidFill>
              <w14:schemeClr w14:val="tx1"/>
            </w14:solidFill>
          </w14:textFill>
        </w:rPr>
        <w:t>财务状况报告【即“四表一注”: 资产负债表、利润表、现金流量表、所有者权益变动表及其附注（四表可以为供应商提供的第三方出具的财务审计报告，或供应商出具的财务报表，或供应商出具的承诺函），或其基本开户银行出具的资信证明，或专业担保机构出具的担保函。】</w:t>
      </w:r>
      <w:r>
        <w:rPr>
          <w:rFonts w:hint="eastAsia" w:ascii="宋体" w:hAnsi="宋体" w:eastAsia="宋体" w:cs="宋体"/>
          <w:b/>
          <w:bCs/>
          <w:color w:val="000000" w:themeColor="text1"/>
          <w:sz w:val="24"/>
          <w:lang w:val="en-US" w:eastAsia="zh-CN"/>
          <w14:textFill>
            <w14:solidFill>
              <w14:schemeClr w14:val="tx1"/>
            </w14:solidFill>
          </w14:textFill>
        </w:rPr>
        <w:t>（必须提供）；</w:t>
      </w:r>
    </w:p>
    <w:p>
      <w:pPr>
        <w:spacing w:line="360" w:lineRule="auto"/>
        <w:ind w:firstLine="480" w:firstLineChars="200"/>
        <w:rPr>
          <w:rFonts w:hint="eastAsia" w:ascii="宋体" w:hAnsi="宋体" w:eastAsia="宋体" w:cs="宋体"/>
          <w:b/>
          <w:bCs/>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6.供应商在磋商当天前近半年内任意一个月或任一季度依法缴纳税收的证明材料（增值税发票(税收完税证明)或企业所得税完税证明或税务部门出具的免税证明）复印件</w:t>
      </w:r>
      <w:r>
        <w:rPr>
          <w:rFonts w:hint="eastAsia" w:ascii="宋体" w:hAnsi="宋体" w:eastAsia="宋体" w:cs="宋体"/>
          <w:b/>
          <w:bCs/>
          <w:color w:val="000000" w:themeColor="text1"/>
          <w:sz w:val="24"/>
          <w:lang w:val="en-US" w:eastAsia="zh-CN"/>
          <w14:textFill>
            <w14:solidFill>
              <w14:schemeClr w14:val="tx1"/>
            </w14:solidFill>
          </w14:textFill>
        </w:rPr>
        <w:t>（必须提供）。</w:t>
      </w:r>
    </w:p>
    <w:p>
      <w:pPr>
        <w:pStyle w:val="4"/>
        <w:rPr>
          <w:rFonts w:hint="eastAsia" w:ascii="宋体" w:hAnsi="宋体" w:eastAsia="宋体" w:cs="宋体"/>
          <w:color w:val="000000" w:themeColor="text1"/>
          <w:sz w:val="24"/>
          <w14:textFill>
            <w14:solidFill>
              <w14:schemeClr w14:val="tx1"/>
            </w14:solidFill>
          </w14:textFill>
        </w:rPr>
      </w:pPr>
    </w:p>
    <w:p>
      <w:pPr>
        <w:pStyle w:val="28"/>
        <w:rPr>
          <w:rFonts w:hint="eastAsia" w:ascii="宋体" w:hAnsi="宋体" w:eastAsia="宋体" w:cs="宋体"/>
          <w:color w:val="000000" w:themeColor="text1"/>
          <w14:textFill>
            <w14:solidFill>
              <w14:schemeClr w14:val="tx1"/>
            </w14:solidFill>
          </w14:textFill>
        </w:rPr>
      </w:pPr>
    </w:p>
    <w:p>
      <w:pPr>
        <w:spacing w:line="440" w:lineRule="atLeast"/>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lang w:val="en-US" w:eastAsia="zh-CN"/>
          <w14:textFill>
            <w14:solidFill>
              <w14:schemeClr w14:val="tx1"/>
            </w14:solidFill>
          </w14:textFill>
        </w:rPr>
        <w:t>1</w:t>
      </w:r>
      <w:r>
        <w:rPr>
          <w:rFonts w:hint="eastAsia" w:ascii="宋体" w:hAnsi="宋体" w:eastAsia="宋体" w:cs="宋体"/>
          <w:b/>
          <w:color w:val="000000" w:themeColor="text1"/>
          <w:sz w:val="28"/>
          <w:szCs w:val="28"/>
          <w14:textFill>
            <w14:solidFill>
              <w14:schemeClr w14:val="tx1"/>
            </w14:solidFill>
          </w14:textFill>
        </w:rPr>
        <w:t>.供应商相应的法定代表人、负责人、自然人身份证正反两面复印件（必须提供）；</w:t>
      </w:r>
    </w:p>
    <w:p>
      <w:pPr>
        <w:spacing w:line="440" w:lineRule="atLeast"/>
        <w:rPr>
          <w:rFonts w:hint="eastAsia" w:ascii="宋体" w:hAnsi="宋体" w:eastAsia="宋体" w:cs="宋体"/>
          <w:b/>
          <w:color w:val="000000" w:themeColor="text1"/>
          <w:sz w:val="28"/>
          <w:szCs w:val="28"/>
          <w14:textFill>
            <w14:solidFill>
              <w14:schemeClr w14:val="tx1"/>
            </w14:solidFill>
          </w14:textFill>
        </w:rPr>
      </w:pPr>
    </w:p>
    <w:p>
      <w:pPr>
        <w:spacing w:line="440" w:lineRule="atLeast"/>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lang w:val="en-US" w:eastAsia="zh-CN"/>
          <w14:textFill>
            <w14:solidFill>
              <w14:schemeClr w14:val="tx1"/>
            </w14:solidFill>
          </w14:textFill>
        </w:rPr>
        <w:t>2</w:t>
      </w:r>
      <w:r>
        <w:rPr>
          <w:rFonts w:hint="eastAsia" w:ascii="宋体" w:hAnsi="宋体" w:eastAsia="宋体" w:cs="宋体"/>
          <w:b/>
          <w:color w:val="000000" w:themeColor="text1"/>
          <w:sz w:val="28"/>
          <w:szCs w:val="28"/>
          <w14:textFill>
            <w14:solidFill>
              <w14:schemeClr w14:val="tx1"/>
            </w14:solidFill>
          </w14:textFill>
        </w:rPr>
        <w:t>.供应商的授权委托书原件、委托代理人身份证正反面复印件以及由县级以上（含县级）社会养老保险经办机构出具的供应商为委托代理人交纳的响应文件递交截止时间前</w:t>
      </w:r>
      <w:r>
        <w:rPr>
          <w:rFonts w:hint="eastAsia" w:ascii="宋体" w:hAnsi="宋体" w:cs="宋体"/>
          <w:b/>
          <w:color w:val="000000" w:themeColor="text1"/>
          <w:sz w:val="28"/>
          <w:szCs w:val="28"/>
          <w:lang w:eastAsia="zh-CN"/>
          <w14:textFill>
            <w14:solidFill>
              <w14:schemeClr w14:val="tx1"/>
            </w14:solidFill>
          </w14:textFill>
        </w:rPr>
        <w:t>三个月内任意一个月养老保险证明</w:t>
      </w:r>
      <w:r>
        <w:rPr>
          <w:rFonts w:hint="eastAsia" w:ascii="宋体" w:hAnsi="宋体" w:eastAsia="宋体" w:cs="宋体"/>
          <w:b/>
          <w:color w:val="000000" w:themeColor="text1"/>
          <w:sz w:val="28"/>
          <w:szCs w:val="28"/>
          <w14:textFill>
            <w14:solidFill>
              <w14:schemeClr w14:val="tx1"/>
            </w14:solidFill>
          </w14:textFill>
        </w:rPr>
        <w:t>复印件</w:t>
      </w:r>
      <w:r>
        <w:rPr>
          <w:rFonts w:hint="eastAsia" w:ascii="宋体" w:hAnsi="宋体" w:eastAsia="宋体" w:cs="宋体"/>
          <w:b/>
          <w:color w:val="000000" w:themeColor="text1"/>
          <w:sz w:val="28"/>
          <w:szCs w:val="28"/>
          <w:lang w:eastAsia="zh-CN"/>
          <w14:textFill>
            <w14:solidFill>
              <w14:schemeClr w14:val="tx1"/>
            </w14:solidFill>
          </w14:textFill>
        </w:rPr>
        <w:t>，</w:t>
      </w:r>
      <w:r>
        <w:rPr>
          <w:rFonts w:hint="eastAsia" w:ascii="宋体" w:hAnsi="宋体" w:eastAsia="宋体" w:cs="宋体"/>
          <w:b/>
          <w:color w:val="000000" w:themeColor="text1"/>
          <w:sz w:val="28"/>
          <w:szCs w:val="28"/>
          <w14:textFill>
            <w14:solidFill>
              <w14:schemeClr w14:val="tx1"/>
            </w14:solidFill>
          </w14:textFill>
        </w:rPr>
        <w:t>除供应商为以下</w:t>
      </w:r>
      <w:r>
        <w:rPr>
          <w:rFonts w:hint="eastAsia" w:ascii="宋体" w:hAnsi="宋体" w:cs="宋体"/>
          <w:b/>
          <w:color w:val="000000" w:themeColor="text1"/>
          <w:sz w:val="28"/>
          <w:szCs w:val="28"/>
          <w:lang w:val="en-US" w:eastAsia="zh-CN"/>
          <w14:textFill>
            <w14:solidFill>
              <w14:schemeClr w14:val="tx1"/>
            </w14:solidFill>
          </w14:textFill>
        </w:rPr>
        <w:t>四</w:t>
      </w:r>
      <w:r>
        <w:rPr>
          <w:rFonts w:hint="eastAsia" w:ascii="宋体" w:hAnsi="宋体" w:eastAsia="宋体" w:cs="宋体"/>
          <w:b/>
          <w:color w:val="000000" w:themeColor="text1"/>
          <w:sz w:val="28"/>
          <w:szCs w:val="28"/>
          <w14:textFill>
            <w14:solidFill>
              <w14:schemeClr w14:val="tx1"/>
            </w14:solidFill>
          </w14:textFill>
        </w:rPr>
        <w:t>种情形的：</w:t>
      </w:r>
    </w:p>
    <w:p>
      <w:pPr>
        <w:spacing w:line="440" w:lineRule="atLeast"/>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（1） 如供应商为截标时间前60日以内成立的公司，可以提供供应商与委托代理人签订的劳动合同复印件代替</w:t>
      </w:r>
      <w:r>
        <w:rPr>
          <w:rFonts w:hint="eastAsia" w:ascii="宋体" w:hAnsi="宋体" w:cs="宋体"/>
          <w:b/>
          <w:color w:val="000000" w:themeColor="text1"/>
          <w:sz w:val="28"/>
          <w:szCs w:val="28"/>
          <w:lang w:eastAsia="zh-CN"/>
          <w14:textFill>
            <w14:solidFill>
              <w14:schemeClr w14:val="tx1"/>
            </w14:solidFill>
          </w14:textFill>
        </w:rPr>
        <w:t>养老保险证明</w:t>
      </w:r>
      <w:r>
        <w:rPr>
          <w:rFonts w:hint="eastAsia" w:ascii="宋体" w:hAnsi="宋体" w:eastAsia="宋体" w:cs="宋体"/>
          <w:b/>
          <w:color w:val="000000" w:themeColor="text1"/>
          <w:sz w:val="28"/>
          <w:szCs w:val="28"/>
          <w14:textFill>
            <w14:solidFill>
              <w14:schemeClr w14:val="tx1"/>
            </w14:solidFill>
          </w14:textFill>
        </w:rPr>
        <w:t>复印件；</w:t>
      </w:r>
    </w:p>
    <w:p>
      <w:pPr>
        <w:spacing w:line="440" w:lineRule="atLeast"/>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（2）如供应商为事业单位，可以提供事业单位机构编制管理证复印件或事业单位机构为其发放工资的工资条复印件代替</w:t>
      </w:r>
      <w:r>
        <w:rPr>
          <w:rFonts w:hint="eastAsia" w:ascii="宋体" w:hAnsi="宋体" w:cs="宋体"/>
          <w:b/>
          <w:color w:val="000000" w:themeColor="text1"/>
          <w:sz w:val="28"/>
          <w:szCs w:val="28"/>
          <w:lang w:eastAsia="zh-CN"/>
          <w14:textFill>
            <w14:solidFill>
              <w14:schemeClr w14:val="tx1"/>
            </w14:solidFill>
          </w14:textFill>
        </w:rPr>
        <w:t>养老保险证明</w:t>
      </w:r>
      <w:r>
        <w:rPr>
          <w:rFonts w:hint="eastAsia" w:ascii="宋体" w:hAnsi="宋体" w:eastAsia="宋体" w:cs="宋体"/>
          <w:b/>
          <w:color w:val="000000" w:themeColor="text1"/>
          <w:sz w:val="28"/>
          <w:szCs w:val="28"/>
          <w14:textFill>
            <w14:solidFill>
              <w14:schemeClr w14:val="tx1"/>
            </w14:solidFill>
          </w14:textFill>
        </w:rPr>
        <w:t>复印件；</w:t>
      </w:r>
    </w:p>
    <w:p>
      <w:pPr>
        <w:spacing w:line="440" w:lineRule="atLeast"/>
        <w:rPr>
          <w:rFonts w:hint="eastAsia" w:ascii="宋体" w:hAnsi="宋体" w:cs="宋体"/>
          <w:b/>
          <w:color w:val="000000" w:themeColor="text1"/>
          <w:sz w:val="28"/>
          <w:szCs w:val="28"/>
          <w:lang w:eastAsia="zh-CN"/>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w:t>
      </w:r>
      <w:r>
        <w:rPr>
          <w:rFonts w:hint="eastAsia" w:ascii="宋体" w:hAnsi="宋体" w:eastAsia="宋体" w:cs="宋体"/>
          <w:b/>
          <w:color w:val="000000" w:themeColor="text1"/>
          <w:sz w:val="28"/>
          <w:szCs w:val="28"/>
          <w:lang w:eastAsia="zh-CN"/>
          <w14:textFill>
            <w14:solidFill>
              <w14:schemeClr w14:val="tx1"/>
            </w14:solidFill>
          </w14:textFill>
        </w:rPr>
        <w:t>如委托代理人为免缴纳养老保险人员，提供免缴纳养老保险的证明材料复印件</w:t>
      </w:r>
      <w:r>
        <w:rPr>
          <w:rFonts w:hint="eastAsia" w:ascii="宋体" w:hAnsi="宋体" w:eastAsia="宋体" w:cs="宋体"/>
          <w:b/>
          <w:color w:val="000000" w:themeColor="text1"/>
          <w:sz w:val="28"/>
          <w:szCs w:val="28"/>
          <w14:textFill>
            <w14:solidFill>
              <w14:schemeClr w14:val="tx1"/>
            </w14:solidFill>
          </w14:textFill>
        </w:rPr>
        <w:t>及投标人与委托代理人签订的劳动合同复印件代替</w:t>
      </w:r>
      <w:r>
        <w:rPr>
          <w:rFonts w:hint="eastAsia" w:ascii="宋体" w:hAnsi="宋体" w:eastAsia="宋体" w:cs="宋体"/>
          <w:b/>
          <w:color w:val="000000" w:themeColor="text1"/>
          <w:sz w:val="28"/>
          <w:szCs w:val="28"/>
          <w:lang w:val="en-US" w:eastAsia="zh-CN"/>
          <w14:textFill>
            <w14:solidFill>
              <w14:schemeClr w14:val="tx1"/>
            </w14:solidFill>
          </w14:textFill>
        </w:rPr>
        <w:t>养老保险</w:t>
      </w:r>
      <w:r>
        <w:rPr>
          <w:rFonts w:hint="eastAsia" w:ascii="宋体" w:hAnsi="宋体" w:eastAsia="宋体" w:cs="宋体"/>
          <w:b/>
          <w:color w:val="000000" w:themeColor="text1"/>
          <w:sz w:val="28"/>
          <w:szCs w:val="28"/>
          <w14:textFill>
            <w14:solidFill>
              <w14:schemeClr w14:val="tx1"/>
            </w14:solidFill>
          </w14:textFill>
        </w:rPr>
        <w:t>证明复印件</w:t>
      </w:r>
      <w:r>
        <w:rPr>
          <w:rFonts w:hint="eastAsia" w:ascii="宋体" w:hAnsi="宋体" w:cs="宋体"/>
          <w:b/>
          <w:color w:val="000000" w:themeColor="text1"/>
          <w:sz w:val="28"/>
          <w:szCs w:val="28"/>
          <w:lang w:eastAsia="zh-CN"/>
          <w14:textFill>
            <w14:solidFill>
              <w14:schemeClr w14:val="tx1"/>
            </w14:solidFill>
          </w14:textFill>
        </w:rPr>
        <w:t>；</w:t>
      </w:r>
    </w:p>
    <w:p>
      <w:pPr>
        <w:pStyle w:val="9"/>
        <w:rPr>
          <w:rFonts w:hint="eastAsia" w:ascii="宋体" w:hAnsi="宋体" w:cs="宋体"/>
          <w:b/>
          <w:color w:val="000000" w:themeColor="text1"/>
          <w:sz w:val="28"/>
          <w:szCs w:val="28"/>
          <w:lang w:eastAsia="zh-CN"/>
          <w14:textFill>
            <w14:solidFill>
              <w14:schemeClr w14:val="tx1"/>
            </w14:solidFill>
          </w14:textFill>
        </w:rPr>
      </w:pPr>
      <w:r>
        <w:rPr>
          <w:rFonts w:hint="eastAsia" w:ascii="宋体" w:hAnsi="宋体" w:cs="宋体"/>
          <w:b/>
          <w:color w:val="000000" w:themeColor="text1"/>
          <w:sz w:val="28"/>
          <w:szCs w:val="28"/>
          <w:lang w:val="en-US" w:eastAsia="zh-CN"/>
          <w14:textFill>
            <w14:solidFill>
              <w14:schemeClr w14:val="tx1"/>
            </w14:solidFill>
          </w14:textFill>
        </w:rPr>
        <w:t>（4）如因社会养老保险经办机构系统升级等原因，暂时无法向供应商提供社会养老保险缴纳情况查询服务时，供应商可以提供已为委托代理人缴纳社会养老保险的承诺书。（须同时提供无法查询的相关证明材料，包括但不限于查询网站截图、公告等。）</w:t>
      </w:r>
    </w:p>
    <w:p>
      <w:pPr>
        <w:pStyle w:val="9"/>
        <w:rPr>
          <w:rFonts w:hint="eastAsia"/>
          <w:color w:val="000000" w:themeColor="text1"/>
          <w:lang w:eastAsia="zh-CN"/>
          <w14:textFill>
            <w14:solidFill>
              <w14:schemeClr w14:val="tx1"/>
            </w14:solidFill>
          </w14:textFill>
        </w:rPr>
      </w:pPr>
    </w:p>
    <w:p>
      <w:pPr>
        <w:spacing w:line="440" w:lineRule="atLeast"/>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w:t>
      </w:r>
      <w:r>
        <w:rPr>
          <w:rFonts w:hint="eastAsia" w:ascii="宋体" w:hAnsi="宋体" w:eastAsia="宋体" w:cs="宋体"/>
          <w:b/>
          <w:color w:val="000000" w:themeColor="text1"/>
          <w:sz w:val="28"/>
          <w:szCs w:val="28"/>
          <w:lang w:eastAsia="zh-CN"/>
          <w14:textFill>
            <w14:solidFill>
              <w14:schemeClr w14:val="tx1"/>
            </w14:solidFill>
          </w14:textFill>
        </w:rPr>
        <w:t>属</w:t>
      </w:r>
      <w:r>
        <w:rPr>
          <w:rFonts w:hint="eastAsia" w:ascii="宋体" w:hAnsi="宋体" w:eastAsia="宋体" w:cs="宋体"/>
          <w:b/>
          <w:color w:val="000000" w:themeColor="text1"/>
          <w:sz w:val="28"/>
          <w:szCs w:val="28"/>
          <w14:textFill>
            <w14:solidFill>
              <w14:schemeClr w14:val="tx1"/>
            </w14:solidFill>
          </w14:textFill>
        </w:rPr>
        <w:t>自然人的应提供由县级以上（含县级）社会养老保险经办机构出具的自然人本人及委托代理人所交纳的响应文件递交截止时间前</w:t>
      </w:r>
      <w:r>
        <w:rPr>
          <w:rFonts w:hint="eastAsia" w:ascii="宋体" w:hAnsi="宋体" w:cs="宋体"/>
          <w:b/>
          <w:color w:val="000000" w:themeColor="text1"/>
          <w:sz w:val="28"/>
          <w:szCs w:val="28"/>
          <w:lang w:eastAsia="zh-CN"/>
          <w14:textFill>
            <w14:solidFill>
              <w14:schemeClr w14:val="tx1"/>
            </w14:solidFill>
          </w14:textFill>
        </w:rPr>
        <w:t>三个月内任意一个月养老保险证明</w:t>
      </w:r>
      <w:r>
        <w:rPr>
          <w:rFonts w:hint="eastAsia" w:ascii="宋体" w:hAnsi="宋体" w:eastAsia="宋体" w:cs="宋体"/>
          <w:b/>
          <w:color w:val="000000" w:themeColor="text1"/>
          <w:sz w:val="28"/>
          <w:szCs w:val="28"/>
          <w14:textFill>
            <w14:solidFill>
              <w14:schemeClr w14:val="tx1"/>
            </w14:solidFill>
          </w14:textFill>
        </w:rPr>
        <w:t>复印件</w:t>
      </w:r>
      <w:r>
        <w:rPr>
          <w:rFonts w:hint="eastAsia" w:ascii="宋体" w:hAnsi="宋体" w:eastAsia="宋体" w:cs="宋体"/>
          <w:b/>
          <w:color w:val="000000" w:themeColor="text1"/>
          <w:sz w:val="28"/>
          <w:szCs w:val="28"/>
          <w:lang w:eastAsia="zh-CN"/>
          <w14:textFill>
            <w14:solidFill>
              <w14:schemeClr w14:val="tx1"/>
            </w14:solidFill>
          </w14:textFill>
        </w:rPr>
        <w:t>，</w:t>
      </w:r>
      <w:r>
        <w:rPr>
          <w:rFonts w:hint="eastAsia" w:ascii="宋体" w:hAnsi="宋体" w:eastAsia="宋体" w:cs="宋体"/>
          <w:b/>
          <w:color w:val="000000" w:themeColor="text1"/>
          <w:sz w:val="28"/>
          <w:szCs w:val="28"/>
          <w:lang w:val="en-US" w:eastAsia="zh-CN"/>
          <w14:textFill>
            <w14:solidFill>
              <w14:schemeClr w14:val="tx1"/>
            </w14:solidFill>
          </w14:textFill>
        </w:rPr>
        <w:t>如因社会养老保险经办机构系统升级等原因，暂时无法向供应商提供社会养老保险缴纳情况查询服务时，供应商可以提供已为委托代理人缴纳社会养老保险的承诺书。（须同时提供无法查询的相关证明材料，包括但不限于查询网站截图、公告等。）</w:t>
      </w:r>
      <w:r>
        <w:rPr>
          <w:rFonts w:hint="eastAsia" w:ascii="宋体" w:hAnsi="宋体" w:eastAsia="宋体" w:cs="宋体"/>
          <w:b/>
          <w:color w:val="000000" w:themeColor="text1"/>
          <w:sz w:val="28"/>
          <w:szCs w:val="28"/>
          <w14:textFill>
            <w14:solidFill>
              <w14:schemeClr w14:val="tx1"/>
            </w14:solidFill>
          </w14:textFill>
        </w:rPr>
        <w:t>】（委托代理时必须提供；如为联合体的，授权委托书原件须由牵头人出具）</w:t>
      </w:r>
    </w:p>
    <w:p>
      <w:pPr>
        <w:pStyle w:val="12"/>
        <w:rPr>
          <w:rFonts w:hint="eastAsia" w:ascii="宋体" w:hAnsi="宋体" w:eastAsia="宋体" w:cs="宋体"/>
          <w:b/>
          <w:color w:val="000000" w:themeColor="text1"/>
          <w:sz w:val="32"/>
          <w14:textFill>
            <w14:solidFill>
              <w14:schemeClr w14:val="tx1"/>
            </w14:solidFill>
          </w14:textFill>
        </w:rPr>
      </w:pPr>
      <w:r>
        <w:rPr>
          <w:rFonts w:hint="eastAsia" w:ascii="宋体" w:hAnsi="宋体" w:eastAsia="宋体" w:cs="宋体"/>
          <w:b/>
          <w:color w:val="000000" w:themeColor="text1"/>
          <w:sz w:val="32"/>
          <w14:textFill>
            <w14:solidFill>
              <w14:schemeClr w14:val="tx1"/>
            </w14:solidFill>
          </w14:textFill>
        </w:rPr>
        <w:t xml:space="preserve">附件：            </w:t>
      </w:r>
    </w:p>
    <w:p>
      <w:pPr>
        <w:pStyle w:val="12"/>
        <w:ind w:firstLine="627" w:firstLineChars="196"/>
        <w:jc w:val="center"/>
        <w:rPr>
          <w:rFonts w:hint="eastAsia" w:ascii="宋体" w:hAnsi="宋体" w:eastAsia="宋体" w:cs="宋体"/>
          <w:b/>
          <w:color w:val="000000" w:themeColor="text1"/>
          <w:sz w:val="32"/>
          <w14:textFill>
            <w14:solidFill>
              <w14:schemeClr w14:val="tx1"/>
            </w14:solidFill>
          </w14:textFill>
        </w:rPr>
      </w:pPr>
      <w:bookmarkStart w:id="292" w:name="_Toc5420_WPSOffice_Level1"/>
      <w:bookmarkStart w:id="293" w:name="_Toc964_WPSOffice_Level1"/>
      <w:r>
        <w:rPr>
          <w:rFonts w:hint="eastAsia" w:ascii="宋体" w:hAnsi="宋体" w:eastAsia="宋体" w:cs="宋体"/>
          <w:b/>
          <w:color w:val="000000" w:themeColor="text1"/>
          <w:sz w:val="32"/>
          <w14:textFill>
            <w14:solidFill>
              <w14:schemeClr w14:val="tx1"/>
            </w14:solidFill>
          </w14:textFill>
        </w:rPr>
        <w:t>授权委托书（格式一）</w:t>
      </w:r>
      <w:bookmarkEnd w:id="292"/>
      <w:bookmarkEnd w:id="293"/>
    </w:p>
    <w:p>
      <w:pPr>
        <w:pStyle w:val="12"/>
        <w:rPr>
          <w:rFonts w:hint="eastAsia" w:ascii="宋体" w:hAnsi="宋体" w:eastAsia="宋体" w:cs="宋体"/>
          <w:color w:val="000000" w:themeColor="text1"/>
          <w14:textFill>
            <w14:solidFill>
              <w14:schemeClr w14:val="tx1"/>
            </w14:solidFill>
          </w14:textFill>
        </w:rPr>
      </w:pPr>
    </w:p>
    <w:p>
      <w:pPr>
        <w:spacing w:line="40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致：</w:t>
      </w:r>
      <w:r>
        <w:rPr>
          <w:rFonts w:hint="eastAsia" w:ascii="宋体" w:hAnsi="宋体" w:eastAsia="宋体" w:cs="宋体"/>
          <w:color w:val="000000" w:themeColor="text1"/>
          <w:szCs w:val="21"/>
          <w:u w:val="single"/>
          <w14:textFill>
            <w14:solidFill>
              <w14:schemeClr w14:val="tx1"/>
            </w14:solidFill>
          </w14:textFill>
        </w:rPr>
        <w:t xml:space="preserve"> 桂林市政府集中采购中心 </w:t>
      </w:r>
    </w:p>
    <w:p>
      <w:pPr>
        <w:spacing w:line="400" w:lineRule="exact"/>
        <w:rPr>
          <w:rFonts w:hint="eastAsia" w:ascii="宋体" w:hAnsi="宋体" w:eastAsia="宋体" w:cs="宋体"/>
          <w:color w:val="000000" w:themeColor="text1"/>
          <w:szCs w:val="21"/>
          <w14:textFill>
            <w14:solidFill>
              <w14:schemeClr w14:val="tx1"/>
            </w14:solidFill>
          </w14:textFill>
        </w:rPr>
      </w:pPr>
    </w:p>
    <w:p>
      <w:pPr>
        <w:pStyle w:val="12"/>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我</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（姓名）系</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（供应商名称）的法定代表人（负责人），现授权委托本单位在职职工</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（姓 名）以我公司名义参加</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u w:val="single"/>
          <w14:textFill>
            <w14:solidFill>
              <w14:schemeClr w14:val="tx1"/>
            </w14:solidFill>
          </w14:textFill>
        </w:rPr>
        <w:t xml:space="preserve">（项目名称及项目编号）        </w:t>
      </w:r>
      <w:r>
        <w:rPr>
          <w:rFonts w:hint="eastAsia" w:ascii="宋体" w:hAnsi="宋体" w:eastAsia="宋体" w:cs="宋体"/>
          <w:color w:val="000000" w:themeColor="text1"/>
          <w14:textFill>
            <w14:solidFill>
              <w14:schemeClr w14:val="tx1"/>
            </w14:solidFill>
          </w14:textFill>
        </w:rPr>
        <w:t>项目的磋商活动，并代表我方全权办理针对上述项目的磋商、签约等具体事务和签署相关文件。</w:t>
      </w:r>
    </w:p>
    <w:p>
      <w:pPr>
        <w:pStyle w:val="12"/>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我方对被授权人的签字事项负全部责任。</w:t>
      </w:r>
    </w:p>
    <w:p>
      <w:pPr>
        <w:pStyle w:val="12"/>
        <w:spacing w:line="400" w:lineRule="exact"/>
        <w:ind w:firstLine="420" w:firstLineChars="200"/>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授权委托代理期限：从</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年</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 xml:space="preserve">月 </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 xml:space="preserve"> 日起至</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年</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 xml:space="preserve">月 </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日止。</w:t>
      </w:r>
    </w:p>
    <w:p>
      <w:pPr>
        <w:pStyle w:val="12"/>
        <w:spacing w:line="400" w:lineRule="exact"/>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p>
    <w:p>
      <w:pPr>
        <w:spacing w:line="400" w:lineRule="exact"/>
        <w:ind w:firstLine="420" w:firstLineChars="200"/>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 xml:space="preserve">代理人无转委托权,特此委托。 </w:t>
      </w:r>
    </w:p>
    <w:p>
      <w:pPr>
        <w:spacing w:line="400" w:lineRule="exact"/>
        <w:ind w:firstLine="420" w:firstLineChars="200"/>
        <w:rPr>
          <w:rFonts w:hint="eastAsia" w:ascii="宋体" w:hAnsi="宋体" w:eastAsia="宋体" w:cs="宋体"/>
          <w:color w:val="000000" w:themeColor="text1"/>
          <w:kern w:val="0"/>
          <w14:textFill>
            <w14:solidFill>
              <w14:schemeClr w14:val="tx1"/>
            </w14:solidFill>
          </w14:textFill>
        </w:rPr>
      </w:pP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我已在下面签字，以资证明。</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p>
    <w:p>
      <w:pPr>
        <w:snapToGrid w:val="0"/>
        <w:spacing w:line="400" w:lineRule="exact"/>
        <w:ind w:firstLine="42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lang w:eastAsia="zh-CN"/>
          <w14:textFill>
            <w14:solidFill>
              <w14:schemeClr w14:val="tx1"/>
            </w14:solidFill>
          </w14:textFill>
        </w:rPr>
        <w:t>磋商供应商</w:t>
      </w:r>
      <w:r>
        <w:rPr>
          <w:rFonts w:hint="eastAsia" w:ascii="宋体" w:hAnsi="宋体" w:eastAsia="宋体" w:cs="宋体"/>
          <w:color w:val="000000" w:themeColor="text1"/>
          <w:szCs w:val="21"/>
          <w:lang w:val="en-US" w:eastAsia="zh-CN"/>
          <w14:textFill>
            <w14:solidFill>
              <w14:schemeClr w14:val="tx1"/>
            </w14:solidFill>
          </w14:textFill>
        </w:rPr>
        <w:t>[公章</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lang w:val="en-US" w:eastAsia="zh-CN"/>
          <w14:textFill>
            <w14:solidFill>
              <w14:schemeClr w14:val="tx1"/>
            </w14:solidFill>
          </w14:textFill>
        </w:rPr>
        <w:t>CA签章</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u w:val="single"/>
          <w14:textFill>
            <w14:solidFill>
              <w14:schemeClr w14:val="tx1"/>
            </w14:solidFill>
          </w14:textFill>
        </w:rPr>
        <w:t xml:space="preserve">                                   </w:t>
      </w:r>
    </w:p>
    <w:p>
      <w:pPr>
        <w:snapToGrid w:val="0"/>
        <w:spacing w:line="400" w:lineRule="exact"/>
        <w:ind w:firstLine="420"/>
        <w:rPr>
          <w:rFonts w:hint="eastAsia" w:ascii="宋体" w:hAnsi="宋体" w:eastAsia="宋体" w:cs="宋体"/>
          <w:color w:val="000000" w:themeColor="text1"/>
          <w:szCs w:val="21"/>
          <w14:textFill>
            <w14:solidFill>
              <w14:schemeClr w14:val="tx1"/>
            </w14:solidFill>
          </w14:textFill>
        </w:rPr>
      </w:pPr>
    </w:p>
    <w:p>
      <w:pPr>
        <w:snapToGrid w:val="0"/>
        <w:spacing w:line="400" w:lineRule="exact"/>
        <w:ind w:firstLine="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法定代表人（负责人）签字（或</w:t>
      </w:r>
      <w:r>
        <w:rPr>
          <w:rFonts w:hint="eastAsia" w:ascii="宋体" w:hAnsi="宋体" w:eastAsia="宋体" w:cs="宋体"/>
          <w:color w:val="000000" w:themeColor="text1"/>
          <w:szCs w:val="21"/>
          <w:lang w:eastAsia="zh-CN"/>
          <w14:textFill>
            <w14:solidFill>
              <w14:schemeClr w14:val="tx1"/>
            </w14:solidFill>
          </w14:textFill>
        </w:rPr>
        <w:t>个人</w:t>
      </w:r>
      <w:r>
        <w:rPr>
          <w:rFonts w:hint="eastAsia" w:ascii="宋体" w:hAnsi="宋体" w:eastAsia="宋体" w:cs="宋体"/>
          <w:color w:val="000000" w:themeColor="text1"/>
          <w:szCs w:val="21"/>
          <w:lang w:val="en-US" w:eastAsia="zh-CN"/>
          <w14:textFill>
            <w14:solidFill>
              <w14:schemeClr w14:val="tx1"/>
            </w14:solidFill>
          </w14:textFill>
        </w:rPr>
        <w:t>CA签章</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年</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月</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日</w:t>
      </w:r>
    </w:p>
    <w:p>
      <w:pPr>
        <w:snapToGrid w:val="0"/>
        <w:spacing w:line="400" w:lineRule="exact"/>
        <w:ind w:firstLine="420"/>
        <w:rPr>
          <w:rFonts w:hint="eastAsia" w:ascii="宋体" w:hAnsi="宋体" w:eastAsia="宋体" w:cs="宋体"/>
          <w:color w:val="000000" w:themeColor="text1"/>
          <w:szCs w:val="21"/>
          <w14:textFill>
            <w14:solidFill>
              <w14:schemeClr w14:val="tx1"/>
            </w14:solidFill>
          </w14:textFill>
        </w:rPr>
      </w:pPr>
    </w:p>
    <w:p>
      <w:pPr>
        <w:pStyle w:val="9"/>
        <w:rPr>
          <w:rFonts w:hint="eastAsia" w:ascii="宋体" w:hAnsi="宋体" w:eastAsia="宋体" w:cs="宋体"/>
          <w:color w:val="000000" w:themeColor="text1"/>
          <w14:textFill>
            <w14:solidFill>
              <w14:schemeClr w14:val="tx1"/>
            </w14:solidFill>
          </w14:textFill>
        </w:rPr>
      </w:pPr>
    </w:p>
    <w:p>
      <w:pPr>
        <w:pStyle w:val="12"/>
        <w:spacing w:line="34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 w:val="24"/>
          <w:lang w:val="en-US" w:eastAsia="zh-CN"/>
          <w14:textFill>
            <w14:solidFill>
              <w14:schemeClr w14:val="tx1"/>
            </w14:solidFill>
          </w14:textFill>
        </w:rPr>
        <w:t>注：投标人的授权委托书原件、委托代理人身份证正反面复印件以及由县级以上（含县级）社会养老保险经办机构出具的投标人为委托代理人交纳的开标截止时间前</w:t>
      </w:r>
      <w:r>
        <w:rPr>
          <w:rFonts w:hint="eastAsia" w:hAnsi="宋体" w:cs="宋体"/>
          <w:b/>
          <w:color w:val="000000" w:themeColor="text1"/>
          <w:sz w:val="24"/>
          <w:lang w:val="en-US" w:eastAsia="zh-CN"/>
          <w14:textFill>
            <w14:solidFill>
              <w14:schemeClr w14:val="tx1"/>
            </w14:solidFill>
          </w14:textFill>
        </w:rPr>
        <w:t>三个月内任意一个月养老保险证明</w:t>
      </w:r>
      <w:r>
        <w:rPr>
          <w:rFonts w:hint="eastAsia" w:ascii="宋体" w:hAnsi="宋体" w:eastAsia="宋体" w:cs="宋体"/>
          <w:b/>
          <w:color w:val="000000" w:themeColor="text1"/>
          <w:sz w:val="24"/>
          <w:lang w:val="en-US" w:eastAsia="zh-CN"/>
          <w14:textFill>
            <w14:solidFill>
              <w14:schemeClr w14:val="tx1"/>
            </w14:solidFill>
          </w14:textFill>
        </w:rPr>
        <w:t>复印件（如投标人为截标时间前60日以内成立的公司，可以提供投标人与委托代理人签订的劳动合同复印件代替</w:t>
      </w:r>
      <w:r>
        <w:rPr>
          <w:rFonts w:hint="eastAsia" w:hAnsi="宋体" w:cs="宋体"/>
          <w:b/>
          <w:color w:val="000000" w:themeColor="text1"/>
          <w:sz w:val="24"/>
          <w:lang w:val="en-US" w:eastAsia="zh-CN"/>
          <w14:textFill>
            <w14:solidFill>
              <w14:schemeClr w14:val="tx1"/>
            </w14:solidFill>
          </w14:textFill>
        </w:rPr>
        <w:t>养老保险证明</w:t>
      </w:r>
      <w:r>
        <w:rPr>
          <w:rFonts w:hint="eastAsia" w:ascii="宋体" w:hAnsi="宋体" w:eastAsia="宋体" w:cs="宋体"/>
          <w:b/>
          <w:color w:val="000000" w:themeColor="text1"/>
          <w:sz w:val="24"/>
          <w:lang w:val="en-US" w:eastAsia="zh-CN"/>
          <w14:textFill>
            <w14:solidFill>
              <w14:schemeClr w14:val="tx1"/>
            </w14:solidFill>
          </w14:textFill>
        </w:rPr>
        <w:t>复印件；如投标人为事业单位，可以提供事业单位机构编制管理证复印件或事业单位机构为其发放工资的工资条复印件代替</w:t>
      </w:r>
      <w:r>
        <w:rPr>
          <w:rFonts w:hint="eastAsia" w:hAnsi="宋体" w:cs="宋体"/>
          <w:b/>
          <w:color w:val="000000" w:themeColor="text1"/>
          <w:sz w:val="24"/>
          <w:lang w:val="en-US" w:eastAsia="zh-CN"/>
          <w14:textFill>
            <w14:solidFill>
              <w14:schemeClr w14:val="tx1"/>
            </w14:solidFill>
          </w14:textFill>
        </w:rPr>
        <w:t>养老保险证明</w:t>
      </w:r>
      <w:r>
        <w:rPr>
          <w:rFonts w:hint="eastAsia" w:ascii="宋体" w:hAnsi="宋体" w:eastAsia="宋体" w:cs="宋体"/>
          <w:b/>
          <w:color w:val="000000" w:themeColor="text1"/>
          <w:sz w:val="24"/>
          <w:lang w:val="en-US" w:eastAsia="zh-CN"/>
          <w14:textFill>
            <w14:solidFill>
              <w14:schemeClr w14:val="tx1"/>
            </w14:solidFill>
          </w14:textFill>
        </w:rPr>
        <w:t>复印件；如委托代理人为免缴纳</w:t>
      </w:r>
      <w:r>
        <w:rPr>
          <w:rFonts w:hint="eastAsia" w:hAnsi="宋体" w:cs="宋体"/>
          <w:b/>
          <w:color w:val="000000" w:themeColor="text1"/>
          <w:sz w:val="24"/>
          <w:lang w:val="en-US" w:eastAsia="zh-CN"/>
          <w14:textFill>
            <w14:solidFill>
              <w14:schemeClr w14:val="tx1"/>
            </w14:solidFill>
          </w14:textFill>
        </w:rPr>
        <w:t>养老保险</w:t>
      </w:r>
      <w:r>
        <w:rPr>
          <w:rFonts w:hint="eastAsia" w:ascii="宋体" w:hAnsi="宋体" w:eastAsia="宋体" w:cs="宋体"/>
          <w:b/>
          <w:color w:val="000000" w:themeColor="text1"/>
          <w:sz w:val="24"/>
          <w:lang w:val="en-US" w:eastAsia="zh-CN"/>
          <w14:textFill>
            <w14:solidFill>
              <w14:schemeClr w14:val="tx1"/>
            </w14:solidFill>
          </w14:textFill>
        </w:rPr>
        <w:t>人员，提供免缴纳</w:t>
      </w:r>
      <w:r>
        <w:rPr>
          <w:rFonts w:hint="eastAsia" w:hAnsi="宋体" w:cs="宋体"/>
          <w:b/>
          <w:color w:val="000000" w:themeColor="text1"/>
          <w:sz w:val="24"/>
          <w:lang w:val="en-US" w:eastAsia="zh-CN"/>
          <w14:textFill>
            <w14:solidFill>
              <w14:schemeClr w14:val="tx1"/>
            </w14:solidFill>
          </w14:textFill>
        </w:rPr>
        <w:t>养老保险</w:t>
      </w:r>
      <w:r>
        <w:rPr>
          <w:rFonts w:hint="eastAsia" w:ascii="宋体" w:hAnsi="宋体" w:eastAsia="宋体" w:cs="宋体"/>
          <w:b/>
          <w:color w:val="000000" w:themeColor="text1"/>
          <w:sz w:val="24"/>
          <w:lang w:val="en-US" w:eastAsia="zh-CN"/>
          <w14:textFill>
            <w14:solidFill>
              <w14:schemeClr w14:val="tx1"/>
            </w14:solidFill>
          </w14:textFill>
        </w:rPr>
        <w:t>的证明材料复印件及投标人与委托代理人签订的劳动合同复印件代替</w:t>
      </w:r>
      <w:r>
        <w:rPr>
          <w:rFonts w:hint="eastAsia" w:hAnsi="宋体" w:cs="宋体"/>
          <w:b/>
          <w:color w:val="000000" w:themeColor="text1"/>
          <w:sz w:val="24"/>
          <w:lang w:val="en-US" w:eastAsia="zh-CN"/>
          <w14:textFill>
            <w14:solidFill>
              <w14:schemeClr w14:val="tx1"/>
            </w14:solidFill>
          </w14:textFill>
        </w:rPr>
        <w:t>养老保险证明</w:t>
      </w:r>
      <w:r>
        <w:rPr>
          <w:rFonts w:hint="eastAsia" w:ascii="宋体" w:hAnsi="宋体" w:eastAsia="宋体" w:cs="宋体"/>
          <w:b/>
          <w:color w:val="000000" w:themeColor="text1"/>
          <w:sz w:val="24"/>
          <w:lang w:val="en-US" w:eastAsia="zh-CN"/>
          <w14:textFill>
            <w14:solidFill>
              <w14:schemeClr w14:val="tx1"/>
            </w14:solidFill>
          </w14:textFill>
        </w:rPr>
        <w:t>复印件</w:t>
      </w:r>
      <w:r>
        <w:rPr>
          <w:rFonts w:hint="eastAsia" w:ascii="宋体" w:hAnsi="宋体" w:cs="宋体"/>
          <w:b/>
          <w:color w:val="000000" w:themeColor="text1"/>
          <w:sz w:val="24"/>
          <w:lang w:eastAsia="zh-CN"/>
          <w14:textFill>
            <w14:solidFill>
              <w14:schemeClr w14:val="tx1"/>
            </w14:solidFill>
          </w14:textFill>
        </w:rPr>
        <w:t>；</w:t>
      </w:r>
      <w:r>
        <w:rPr>
          <w:rFonts w:hint="eastAsia" w:ascii="宋体" w:hAnsi="宋体" w:cs="宋体"/>
          <w:b/>
          <w:color w:val="000000" w:themeColor="text1"/>
          <w:sz w:val="24"/>
          <w:lang w:val="en-US" w:eastAsia="zh-CN"/>
          <w14:textFill>
            <w14:solidFill>
              <w14:schemeClr w14:val="tx1"/>
            </w14:solidFill>
          </w14:textFill>
        </w:rPr>
        <w:t>如因社会养老保险经办机构系统升级等原因，暂时无法向供应商提供社会养老保险缴纳情况查询服务时，供应商可以提供已为委托代理人缴纳社会养老保险的承诺书，须同时提供无法查询的相关证明材料，包括但不限于查询网站截图、公告等。</w:t>
      </w:r>
      <w:r>
        <w:rPr>
          <w:rFonts w:hint="eastAsia" w:ascii="宋体" w:hAnsi="宋体" w:eastAsia="宋体" w:cs="宋体"/>
          <w:b/>
          <w:color w:val="000000" w:themeColor="text1"/>
          <w:sz w:val="24"/>
          <w:lang w:val="en-US" w:eastAsia="zh-CN"/>
          <w14:textFill>
            <w14:solidFill>
              <w14:schemeClr w14:val="tx1"/>
            </w14:solidFill>
          </w14:textFill>
        </w:rPr>
        <w:t>）委托代理时必须提供。</w:t>
      </w:r>
    </w:p>
    <w:p>
      <w:pPr>
        <w:pStyle w:val="9"/>
        <w:rPr>
          <w:rFonts w:hint="eastAsia" w:ascii="宋体" w:hAnsi="宋体" w:eastAsia="宋体" w:cs="宋体"/>
          <w:color w:val="000000" w:themeColor="text1"/>
          <w14:textFill>
            <w14:solidFill>
              <w14:schemeClr w14:val="tx1"/>
            </w14:solidFill>
          </w14:textFill>
        </w:rPr>
      </w:pPr>
    </w:p>
    <w:p>
      <w:pPr>
        <w:pStyle w:val="9"/>
        <w:rPr>
          <w:rFonts w:hint="eastAsia" w:ascii="宋体" w:hAnsi="宋体" w:eastAsia="宋体" w:cs="宋体"/>
          <w:color w:val="000000" w:themeColor="text1"/>
          <w14:textFill>
            <w14:solidFill>
              <w14:schemeClr w14:val="tx1"/>
            </w14:solidFill>
          </w14:textFill>
        </w:rPr>
      </w:pPr>
    </w:p>
    <w:p>
      <w:pPr>
        <w:pStyle w:val="9"/>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pStyle w:val="9"/>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pStyle w:val="9"/>
        <w:rPr>
          <w:rFonts w:hint="eastAsia" w:ascii="宋体" w:hAnsi="宋体" w:eastAsia="宋体" w:cs="宋体"/>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12"/>
        <w:jc w:val="center"/>
        <w:rPr>
          <w:rFonts w:hint="eastAsia" w:ascii="宋体" w:hAnsi="宋体" w:eastAsia="宋体" w:cs="宋体"/>
          <w:b/>
          <w:color w:val="000000" w:themeColor="text1"/>
          <w:sz w:val="32"/>
          <w14:textFill>
            <w14:solidFill>
              <w14:schemeClr w14:val="tx1"/>
            </w14:solidFill>
          </w14:textFill>
        </w:rPr>
      </w:pPr>
      <w:bookmarkStart w:id="294" w:name="_Toc21370_WPSOffice_Level1"/>
      <w:bookmarkStart w:id="295" w:name="_Toc6975_WPSOffice_Level1"/>
      <w:r>
        <w:rPr>
          <w:rFonts w:hint="eastAsia" w:ascii="宋体" w:hAnsi="宋体" w:eastAsia="宋体" w:cs="宋体"/>
          <w:b/>
          <w:color w:val="000000" w:themeColor="text1"/>
          <w:sz w:val="32"/>
          <w14:textFill>
            <w14:solidFill>
              <w14:schemeClr w14:val="tx1"/>
            </w14:solidFill>
          </w14:textFill>
        </w:rPr>
        <w:t>授权委托书（格式二）</w:t>
      </w:r>
      <w:bookmarkEnd w:id="294"/>
      <w:bookmarkEnd w:id="295"/>
    </w:p>
    <w:p>
      <w:pPr>
        <w:pStyle w:val="12"/>
        <w:jc w:val="both"/>
        <w:rPr>
          <w:rFonts w:hint="eastAsia" w:ascii="宋体" w:hAnsi="宋体" w:eastAsia="宋体" w:cs="宋体"/>
          <w:b/>
          <w:color w:val="000000" w:themeColor="text1"/>
          <w:sz w:val="32"/>
          <w14:textFill>
            <w14:solidFill>
              <w14:schemeClr w14:val="tx1"/>
            </w14:solidFill>
          </w14:textFill>
        </w:rPr>
      </w:pPr>
    </w:p>
    <w:p>
      <w:pPr>
        <w:pStyle w:val="12"/>
        <w:jc w:val="both"/>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致</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u w:val="single"/>
          <w14:textFill>
            <w14:solidFill>
              <w14:schemeClr w14:val="tx1"/>
            </w14:solidFill>
          </w14:textFill>
        </w:rPr>
        <w:t xml:space="preserve"> 桂林市政府集中采购中心 </w:t>
      </w:r>
    </w:p>
    <w:p>
      <w:pPr>
        <w:rPr>
          <w:rFonts w:hint="eastAsia" w:ascii="宋体" w:hAnsi="宋体" w:eastAsia="宋体" w:cs="宋体"/>
          <w:color w:val="000000" w:themeColor="text1"/>
          <w14:textFill>
            <w14:solidFill>
              <w14:schemeClr w14:val="tx1"/>
            </w14:solidFill>
          </w14:textFill>
        </w:rPr>
      </w:pPr>
    </w:p>
    <w:p>
      <w:pPr>
        <w:pStyle w:val="12"/>
        <w:spacing w:line="34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我</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（姓名）系自然人，现授权委托</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kern w:val="0"/>
          <w14:textFill>
            <w14:solidFill>
              <w14:schemeClr w14:val="tx1"/>
            </w14:solidFill>
          </w14:textFill>
        </w:rPr>
        <w:t>（姓 名）以本人名义参加</w:t>
      </w:r>
      <w:r>
        <w:rPr>
          <w:rFonts w:hint="eastAsia" w:ascii="宋体" w:hAnsi="宋体" w:eastAsia="宋体" w:cs="宋体"/>
          <w:color w:val="000000" w:themeColor="text1"/>
          <w:kern w:val="0"/>
          <w:u w:val="single"/>
          <w14:textFill>
            <w14:solidFill>
              <w14:schemeClr w14:val="tx1"/>
            </w14:solidFill>
          </w14:textFill>
        </w:rPr>
        <w:t xml:space="preserve">      </w:t>
      </w:r>
      <w:r>
        <w:rPr>
          <w:rFonts w:hint="eastAsia" w:ascii="宋体" w:hAnsi="宋体" w:eastAsia="宋体" w:cs="宋体"/>
          <w:color w:val="000000" w:themeColor="text1"/>
          <w:u w:val="single"/>
          <w14:textFill>
            <w14:solidFill>
              <w14:schemeClr w14:val="tx1"/>
            </w14:solidFill>
          </w14:textFill>
        </w:rPr>
        <w:t xml:space="preserve">（项目名称及项目编号）        </w:t>
      </w:r>
      <w:r>
        <w:rPr>
          <w:rFonts w:hint="eastAsia" w:ascii="宋体" w:hAnsi="宋体" w:eastAsia="宋体" w:cs="宋体"/>
          <w:color w:val="000000" w:themeColor="text1"/>
          <w14:textFill>
            <w14:solidFill>
              <w14:schemeClr w14:val="tx1"/>
            </w14:solidFill>
          </w14:textFill>
        </w:rPr>
        <w:t>项目的磋商活动，并代表本人全权办理针对上述项目的磋商、签约等具体事务和签署相关文件。</w:t>
      </w:r>
    </w:p>
    <w:p>
      <w:pPr>
        <w:pStyle w:val="12"/>
        <w:spacing w:line="34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本人对被授权人的签字事项负全部责任。</w:t>
      </w:r>
    </w:p>
    <w:p>
      <w:pPr>
        <w:pStyle w:val="12"/>
        <w:spacing w:line="340" w:lineRule="exact"/>
        <w:ind w:firstLine="420" w:firstLineChars="200"/>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授权委托代理期限：从</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年</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 xml:space="preserve">月 </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 xml:space="preserve"> 日起至</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年</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 xml:space="preserve">月 </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日止。</w:t>
      </w:r>
    </w:p>
    <w:p>
      <w:pPr>
        <w:pStyle w:val="12"/>
        <w:spacing w:line="340" w:lineRule="exact"/>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p>
    <w:p>
      <w:pPr>
        <w:spacing w:line="340" w:lineRule="exact"/>
        <w:ind w:firstLine="420" w:firstLineChars="200"/>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 xml:space="preserve">代理人无转委托权,特此委托。 </w:t>
      </w:r>
    </w:p>
    <w:p>
      <w:pPr>
        <w:spacing w:line="340" w:lineRule="exact"/>
        <w:ind w:firstLine="420" w:firstLineChars="200"/>
        <w:rPr>
          <w:rFonts w:hint="eastAsia" w:ascii="宋体" w:hAnsi="宋体" w:eastAsia="宋体" w:cs="宋体"/>
          <w:color w:val="000000" w:themeColor="text1"/>
          <w:kern w:val="0"/>
          <w14:textFill>
            <w14:solidFill>
              <w14:schemeClr w14:val="tx1"/>
            </w14:solidFill>
          </w14:textFill>
        </w:rPr>
      </w:pPr>
    </w:p>
    <w:p>
      <w:pPr>
        <w:spacing w:line="34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我已在下面签字，以资证明。</w:t>
      </w:r>
    </w:p>
    <w:p>
      <w:pPr>
        <w:spacing w:line="340" w:lineRule="exact"/>
        <w:ind w:firstLine="420" w:firstLineChars="200"/>
        <w:rPr>
          <w:rFonts w:hint="eastAsia" w:ascii="宋体" w:hAnsi="宋体" w:eastAsia="宋体" w:cs="宋体"/>
          <w:color w:val="000000" w:themeColor="text1"/>
          <w:szCs w:val="21"/>
          <w14:textFill>
            <w14:solidFill>
              <w14:schemeClr w14:val="tx1"/>
            </w14:solidFill>
          </w14:textFill>
        </w:rPr>
      </w:pPr>
    </w:p>
    <w:p>
      <w:pPr>
        <w:snapToGrid w:val="0"/>
        <w:spacing w:line="340" w:lineRule="exact"/>
        <w:ind w:firstLine="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自然人签字并在签名处加盖大拇指指印</w:t>
      </w:r>
      <w:r>
        <w:rPr>
          <w:rFonts w:hint="eastAsia" w:ascii="宋体" w:hAnsi="宋体" w:eastAsia="宋体" w:cs="宋体"/>
          <w:color w:val="000000" w:themeColor="text1"/>
          <w:szCs w:val="21"/>
          <w:lang w:eastAsia="zh-CN"/>
          <w14:textFill>
            <w14:solidFill>
              <w14:schemeClr w14:val="tx1"/>
            </w14:solidFill>
          </w14:textFill>
        </w:rPr>
        <w:t>或个人</w:t>
      </w:r>
      <w:r>
        <w:rPr>
          <w:rFonts w:hint="eastAsia" w:ascii="宋体" w:hAnsi="宋体" w:eastAsia="宋体" w:cs="宋体"/>
          <w:color w:val="000000" w:themeColor="text1"/>
          <w:szCs w:val="21"/>
          <w:lang w:val="en-US" w:eastAsia="zh-CN"/>
          <w14:textFill>
            <w14:solidFill>
              <w14:schemeClr w14:val="tx1"/>
            </w14:solidFill>
          </w14:textFill>
        </w:rPr>
        <w:t>CA签章</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年</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月</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日</w:t>
      </w:r>
    </w:p>
    <w:p>
      <w:pPr>
        <w:pStyle w:val="12"/>
        <w:spacing w:line="400" w:lineRule="exact"/>
        <w:ind w:left="420" w:leftChars="200"/>
        <w:rPr>
          <w:rFonts w:hint="eastAsia" w:ascii="宋体" w:hAnsi="宋体" w:eastAsia="宋体" w:cs="宋体"/>
          <w:color w:val="000000" w:themeColor="text1"/>
          <w:szCs w:val="21"/>
          <w14:textFill>
            <w14:solidFill>
              <w14:schemeClr w14:val="tx1"/>
            </w14:solidFill>
          </w14:textFill>
        </w:rPr>
      </w:pPr>
    </w:p>
    <w:p>
      <w:pPr>
        <w:pStyle w:val="12"/>
        <w:spacing w:line="400" w:lineRule="exac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附：委托代理人身份证正反面复印件</w:t>
      </w:r>
    </w:p>
    <w:p>
      <w:pPr>
        <w:rPr>
          <w:rFonts w:hint="eastAsia" w:ascii="宋体" w:hAnsi="宋体" w:eastAsia="宋体" w:cs="宋体"/>
          <w:b/>
          <w:color w:val="000000" w:themeColor="text1"/>
          <w:szCs w:val="21"/>
          <w14:textFill>
            <w14:solidFill>
              <w14:schemeClr w14:val="tx1"/>
            </w14:solidFill>
          </w14:textFill>
        </w:rPr>
      </w:pPr>
    </w:p>
    <w:p>
      <w:pPr>
        <w:pStyle w:val="9"/>
        <w:rPr>
          <w:rFonts w:hint="eastAsia" w:ascii="宋体" w:hAnsi="宋体" w:eastAsia="宋体" w:cs="宋体"/>
          <w:b/>
          <w:color w:val="000000" w:themeColor="text1"/>
          <w:szCs w:val="21"/>
          <w14:textFill>
            <w14:solidFill>
              <w14:schemeClr w14:val="tx1"/>
            </w14:solidFill>
          </w14:textFill>
        </w:rPr>
      </w:pPr>
    </w:p>
    <w:p>
      <w:pPr>
        <w:pStyle w:val="9"/>
        <w:rPr>
          <w:rFonts w:hint="eastAsia" w:ascii="宋体" w:hAnsi="宋体" w:eastAsia="宋体" w:cs="宋体"/>
          <w:b/>
          <w:color w:val="000000" w:themeColor="text1"/>
          <w:szCs w:val="21"/>
          <w14:textFill>
            <w14:solidFill>
              <w14:schemeClr w14:val="tx1"/>
            </w14:solidFill>
          </w14:textFill>
        </w:rPr>
      </w:pPr>
    </w:p>
    <w:p>
      <w:pPr>
        <w:pStyle w:val="9"/>
        <w:rPr>
          <w:rFonts w:hint="eastAsia" w:ascii="宋体" w:hAnsi="宋体" w:eastAsia="宋体" w:cs="宋体"/>
          <w:b/>
          <w:color w:val="000000" w:themeColor="text1"/>
          <w:szCs w:val="21"/>
          <w14:textFill>
            <w14:solidFill>
              <w14:schemeClr w14:val="tx1"/>
            </w14:solidFill>
          </w14:textFill>
        </w:rPr>
      </w:pPr>
    </w:p>
    <w:p>
      <w:pPr>
        <w:pStyle w:val="9"/>
        <w:rPr>
          <w:rFonts w:hint="eastAsia" w:ascii="宋体" w:hAnsi="宋体" w:eastAsia="宋体" w:cs="宋体"/>
          <w:b/>
          <w:color w:val="000000" w:themeColor="text1"/>
          <w:szCs w:val="21"/>
          <w14:textFill>
            <w14:solidFill>
              <w14:schemeClr w14:val="tx1"/>
            </w14:solidFill>
          </w14:textFill>
        </w:rPr>
      </w:pPr>
    </w:p>
    <w:p>
      <w:pPr>
        <w:pStyle w:val="9"/>
        <w:rPr>
          <w:rFonts w:hint="eastAsia" w:ascii="宋体" w:hAnsi="宋体" w:eastAsia="宋体" w:cs="宋体"/>
          <w:b/>
          <w:color w:val="000000" w:themeColor="text1"/>
          <w:szCs w:val="21"/>
          <w14:textFill>
            <w14:solidFill>
              <w14:schemeClr w14:val="tx1"/>
            </w14:solidFill>
          </w14:textFill>
        </w:rPr>
      </w:pPr>
    </w:p>
    <w:p>
      <w:pPr>
        <w:pStyle w:val="9"/>
        <w:rPr>
          <w:rFonts w:hint="eastAsia" w:ascii="宋体" w:hAnsi="宋体" w:eastAsia="宋体" w:cs="宋体"/>
          <w:b/>
          <w:color w:val="000000" w:themeColor="text1"/>
          <w:szCs w:val="21"/>
          <w14:textFill>
            <w14:solidFill>
              <w14:schemeClr w14:val="tx1"/>
            </w14:solidFill>
          </w14:textFill>
        </w:rPr>
      </w:pPr>
    </w:p>
    <w:p>
      <w:pPr>
        <w:pStyle w:val="9"/>
        <w:rPr>
          <w:rFonts w:hint="eastAsia" w:ascii="宋体" w:hAnsi="宋体" w:eastAsia="宋体" w:cs="宋体"/>
          <w:b/>
          <w:color w:val="000000" w:themeColor="text1"/>
          <w:szCs w:val="21"/>
          <w14:textFill>
            <w14:solidFill>
              <w14:schemeClr w14:val="tx1"/>
            </w14:solidFill>
          </w14:textFill>
        </w:rPr>
      </w:pPr>
    </w:p>
    <w:p>
      <w:pPr>
        <w:pStyle w:val="9"/>
        <w:rPr>
          <w:rFonts w:hint="eastAsia" w:ascii="宋体" w:hAnsi="宋体" w:eastAsia="宋体" w:cs="宋体"/>
          <w:b/>
          <w:color w:val="000000" w:themeColor="text1"/>
          <w:szCs w:val="21"/>
          <w14:textFill>
            <w14:solidFill>
              <w14:schemeClr w14:val="tx1"/>
            </w14:solidFill>
          </w14:textFill>
        </w:rPr>
      </w:pPr>
    </w:p>
    <w:p>
      <w:pPr>
        <w:pStyle w:val="9"/>
        <w:rPr>
          <w:rFonts w:hint="eastAsia" w:ascii="宋体" w:hAnsi="宋体" w:eastAsia="宋体" w:cs="宋体"/>
          <w:b/>
          <w:color w:val="000000" w:themeColor="text1"/>
          <w:szCs w:val="21"/>
          <w14:textFill>
            <w14:solidFill>
              <w14:schemeClr w14:val="tx1"/>
            </w14:solidFill>
          </w14:textFill>
        </w:rPr>
      </w:pPr>
    </w:p>
    <w:p>
      <w:pPr>
        <w:pStyle w:val="9"/>
        <w:rPr>
          <w:rFonts w:hint="eastAsia" w:ascii="宋体" w:hAnsi="宋体" w:eastAsia="宋体" w:cs="宋体"/>
          <w:b/>
          <w:color w:val="000000" w:themeColor="text1"/>
          <w:szCs w:val="21"/>
          <w14:textFill>
            <w14:solidFill>
              <w14:schemeClr w14:val="tx1"/>
            </w14:solidFill>
          </w14:textFill>
        </w:rPr>
      </w:pPr>
    </w:p>
    <w:p>
      <w:pPr>
        <w:pStyle w:val="9"/>
        <w:rPr>
          <w:rFonts w:hint="eastAsia" w:ascii="宋体" w:hAnsi="宋体" w:eastAsia="宋体" w:cs="宋体"/>
          <w:b/>
          <w:color w:val="000000" w:themeColor="text1"/>
          <w:szCs w:val="21"/>
          <w14:textFill>
            <w14:solidFill>
              <w14:schemeClr w14:val="tx1"/>
            </w14:solidFill>
          </w14:textFill>
        </w:rPr>
      </w:pPr>
    </w:p>
    <w:p>
      <w:pPr>
        <w:pStyle w:val="9"/>
        <w:rPr>
          <w:rFonts w:hint="eastAsia" w:ascii="宋体" w:hAnsi="宋体" w:eastAsia="宋体" w:cs="宋体"/>
          <w:b/>
          <w:color w:val="000000" w:themeColor="text1"/>
          <w:szCs w:val="21"/>
          <w14:textFill>
            <w14:solidFill>
              <w14:schemeClr w14:val="tx1"/>
            </w14:solidFill>
          </w14:textFill>
        </w:rPr>
      </w:pPr>
    </w:p>
    <w:p>
      <w:pPr>
        <w:pStyle w:val="9"/>
        <w:rPr>
          <w:rFonts w:hint="eastAsia" w:ascii="宋体" w:hAnsi="宋体" w:eastAsia="宋体" w:cs="宋体"/>
          <w:b/>
          <w:color w:val="000000" w:themeColor="text1"/>
          <w:szCs w:val="21"/>
          <w14:textFill>
            <w14:solidFill>
              <w14:schemeClr w14:val="tx1"/>
            </w14:solidFill>
          </w14:textFill>
        </w:rPr>
      </w:pPr>
    </w:p>
    <w:p>
      <w:pPr>
        <w:pStyle w:val="9"/>
        <w:rPr>
          <w:rFonts w:hint="eastAsia" w:ascii="宋体" w:hAnsi="宋体" w:eastAsia="宋体" w:cs="宋体"/>
          <w:b/>
          <w:color w:val="000000" w:themeColor="text1"/>
          <w:szCs w:val="21"/>
          <w14:textFill>
            <w14:solidFill>
              <w14:schemeClr w14:val="tx1"/>
            </w14:solidFill>
          </w14:textFill>
        </w:rPr>
      </w:pPr>
    </w:p>
    <w:p>
      <w:pPr>
        <w:pStyle w:val="9"/>
        <w:rPr>
          <w:rFonts w:hint="eastAsia" w:ascii="宋体" w:hAnsi="宋体" w:eastAsia="宋体" w:cs="宋体"/>
          <w:b/>
          <w:color w:val="000000" w:themeColor="text1"/>
          <w:szCs w:val="21"/>
          <w14:textFill>
            <w14:solidFill>
              <w14:schemeClr w14:val="tx1"/>
            </w14:solidFill>
          </w14:textFill>
        </w:rPr>
      </w:pPr>
    </w:p>
    <w:p>
      <w:pPr>
        <w:pStyle w:val="9"/>
        <w:rPr>
          <w:rFonts w:hint="eastAsia" w:ascii="宋体" w:hAnsi="宋体" w:eastAsia="宋体" w:cs="宋体"/>
          <w:b/>
          <w:color w:val="000000" w:themeColor="text1"/>
          <w:szCs w:val="21"/>
          <w14:textFill>
            <w14:solidFill>
              <w14:schemeClr w14:val="tx1"/>
            </w14:solidFill>
          </w14:textFill>
        </w:rPr>
      </w:pPr>
    </w:p>
    <w:p>
      <w:pPr>
        <w:pStyle w:val="9"/>
        <w:rPr>
          <w:rFonts w:hint="eastAsia" w:ascii="宋体" w:hAnsi="宋体" w:eastAsia="宋体" w:cs="宋体"/>
          <w:b/>
          <w:color w:val="000000" w:themeColor="text1"/>
          <w:szCs w:val="21"/>
          <w14:textFill>
            <w14:solidFill>
              <w14:schemeClr w14:val="tx1"/>
            </w14:solidFill>
          </w14:textFill>
        </w:rPr>
      </w:pPr>
    </w:p>
    <w:p>
      <w:pPr>
        <w:pStyle w:val="9"/>
        <w:rPr>
          <w:rFonts w:hint="eastAsia" w:ascii="宋体" w:hAnsi="宋体" w:eastAsia="宋体" w:cs="宋体"/>
          <w:b/>
          <w:color w:val="000000" w:themeColor="text1"/>
          <w:szCs w:val="21"/>
          <w14:textFill>
            <w14:solidFill>
              <w14:schemeClr w14:val="tx1"/>
            </w14:solidFill>
          </w14:textFill>
        </w:rPr>
      </w:pPr>
    </w:p>
    <w:p>
      <w:pPr>
        <w:pStyle w:val="9"/>
        <w:rPr>
          <w:rFonts w:hint="eastAsia" w:ascii="宋体" w:hAnsi="宋体" w:eastAsia="宋体" w:cs="宋体"/>
          <w:b/>
          <w:color w:val="000000" w:themeColor="text1"/>
          <w:szCs w:val="21"/>
          <w14:textFill>
            <w14:solidFill>
              <w14:schemeClr w14:val="tx1"/>
            </w14:solidFill>
          </w14:textFill>
        </w:rPr>
      </w:pPr>
    </w:p>
    <w:p>
      <w:pPr>
        <w:pStyle w:val="9"/>
        <w:rPr>
          <w:rFonts w:hint="eastAsia" w:ascii="宋体" w:hAnsi="宋体" w:eastAsia="宋体" w:cs="宋体"/>
          <w:b/>
          <w:color w:val="000000" w:themeColor="text1"/>
          <w:szCs w:val="2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spacing w:line="440" w:lineRule="atLeast"/>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lang w:val="en-US" w:eastAsia="zh-CN"/>
          <w14:textFill>
            <w14:solidFill>
              <w14:schemeClr w14:val="tx1"/>
            </w14:solidFill>
          </w14:textFill>
        </w:rPr>
        <w:t>3</w:t>
      </w:r>
      <w:r>
        <w:rPr>
          <w:rFonts w:hint="eastAsia" w:ascii="宋体" w:hAnsi="宋体" w:eastAsia="宋体" w:cs="宋体"/>
          <w:b/>
          <w:color w:val="000000" w:themeColor="text1"/>
          <w:sz w:val="28"/>
          <w:szCs w:val="28"/>
          <w14:textFill>
            <w14:solidFill>
              <w14:schemeClr w14:val="tx1"/>
            </w14:solidFill>
          </w14:textFill>
        </w:rPr>
        <w:t>.供应商参加政府采购活动前3年内在经营活动中没有重大违法记录及有关信用信息的书面声明（必须提供）；</w:t>
      </w:r>
    </w:p>
    <w:p>
      <w:pPr>
        <w:pStyle w:val="12"/>
        <w:spacing w:line="400" w:lineRule="exact"/>
        <w:ind w:left="420" w:leftChars="200" w:firstLine="156" w:firstLineChars="49"/>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 xml:space="preserve">                       </w:t>
      </w:r>
    </w:p>
    <w:p>
      <w:pPr>
        <w:pStyle w:val="12"/>
        <w:spacing w:line="400" w:lineRule="exact"/>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附件：</w:t>
      </w:r>
    </w:p>
    <w:p>
      <w:pPr>
        <w:pStyle w:val="12"/>
        <w:spacing w:line="400" w:lineRule="exact"/>
        <w:jc w:val="center"/>
        <w:rPr>
          <w:rFonts w:hint="eastAsia" w:ascii="宋体" w:hAnsi="宋体" w:eastAsia="宋体" w:cs="宋体"/>
          <w:b/>
          <w:color w:val="000000" w:themeColor="text1"/>
          <w:sz w:val="32"/>
          <w:szCs w:val="32"/>
          <w14:textFill>
            <w14:solidFill>
              <w14:schemeClr w14:val="tx1"/>
            </w14:solidFill>
          </w14:textFill>
        </w:rPr>
      </w:pPr>
      <w:bookmarkStart w:id="296" w:name="_Toc30890_WPSOffice_Level1"/>
      <w:bookmarkStart w:id="297" w:name="_Toc30304_WPSOffice_Level1"/>
      <w:r>
        <w:rPr>
          <w:rFonts w:hint="eastAsia" w:ascii="宋体" w:hAnsi="宋体" w:eastAsia="宋体" w:cs="宋体"/>
          <w:b/>
          <w:color w:val="000000" w:themeColor="text1"/>
          <w:sz w:val="32"/>
          <w:szCs w:val="32"/>
          <w14:textFill>
            <w14:solidFill>
              <w14:schemeClr w14:val="tx1"/>
            </w14:solidFill>
          </w14:textFill>
        </w:rPr>
        <w:t>声   明</w:t>
      </w:r>
      <w:bookmarkEnd w:id="296"/>
      <w:bookmarkEnd w:id="297"/>
    </w:p>
    <w:p>
      <w:pPr>
        <w:pStyle w:val="12"/>
        <w:spacing w:line="400" w:lineRule="exact"/>
        <w:jc w:val="both"/>
        <w:rPr>
          <w:rFonts w:hint="eastAsia" w:ascii="宋体" w:hAnsi="宋体" w:eastAsia="宋体" w:cs="宋体"/>
          <w:b/>
          <w:color w:val="000000" w:themeColor="text1"/>
          <w:sz w:val="32"/>
          <w:szCs w:val="32"/>
          <w14:textFill>
            <w14:solidFill>
              <w14:schemeClr w14:val="tx1"/>
            </w14:solidFill>
          </w14:textFill>
        </w:rPr>
      </w:pPr>
    </w:p>
    <w:p>
      <w:pPr>
        <w:pStyle w:val="12"/>
        <w:spacing w:line="400" w:lineRule="exact"/>
        <w:jc w:val="both"/>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致</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u w:val="single"/>
          <w14:textFill>
            <w14:solidFill>
              <w14:schemeClr w14:val="tx1"/>
            </w14:solidFill>
          </w14:textFill>
        </w:rPr>
        <w:t xml:space="preserve"> 桂林市政府集中采购中心 </w:t>
      </w:r>
    </w:p>
    <w:p>
      <w:pPr>
        <w:rPr>
          <w:rFonts w:hint="eastAsia" w:ascii="宋体" w:hAnsi="宋体" w:eastAsia="宋体" w:cs="宋体"/>
          <w:color w:val="000000" w:themeColor="text1"/>
          <w:szCs w:val="21"/>
          <w:u w:val="single"/>
          <w14:textFill>
            <w14:solidFill>
              <w14:schemeClr w14:val="tx1"/>
            </w14:solidFill>
          </w14:textFill>
        </w:rPr>
      </w:pPr>
    </w:p>
    <w:p>
      <w:pPr>
        <w:pStyle w:val="9"/>
        <w:rPr>
          <w:rFonts w:hint="eastAsia" w:ascii="宋体" w:hAnsi="宋体" w:eastAsia="宋体" w:cs="宋体"/>
          <w:color w:val="000000" w:themeColor="text1"/>
          <w14:textFill>
            <w14:solidFill>
              <w14:schemeClr w14:val="tx1"/>
            </w14:solidFill>
          </w14:textFill>
        </w:rPr>
      </w:pPr>
    </w:p>
    <w:p>
      <w:pPr>
        <w:pStyle w:val="12"/>
        <w:spacing w:line="400" w:lineRule="exact"/>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rPr>
          <w:rFonts w:hint="eastAsia" w:ascii="宋体" w:hAnsi="宋体" w:eastAsia="宋体" w:cs="宋体"/>
          <w:color w:val="000000" w:themeColor="text1"/>
          <w14:textFill>
            <w14:solidFill>
              <w14:schemeClr w14:val="tx1"/>
            </w14:solidFill>
          </w14:textFill>
        </w:rPr>
      </w:pPr>
    </w:p>
    <w:p>
      <w:pPr>
        <w:snapToGrid w:val="0"/>
        <w:spacing w:line="400" w:lineRule="exact"/>
        <w:ind w:firstLine="1890" w:firstLineChars="9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lang w:eastAsia="zh-CN"/>
          <w14:textFill>
            <w14:solidFill>
              <w14:schemeClr w14:val="tx1"/>
            </w14:solidFill>
          </w14:textFill>
        </w:rPr>
        <w:t>磋商供应商</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公章</w:t>
      </w:r>
      <w:r>
        <w:rPr>
          <w:rFonts w:hint="eastAsia" w:ascii="宋体" w:hAnsi="宋体" w:eastAsia="宋体" w:cs="宋体"/>
          <w:color w:val="000000" w:themeColor="text1"/>
          <w:szCs w:val="21"/>
          <w:lang w:val="en-US" w:eastAsia="zh-CN"/>
          <w14:textFill>
            <w14:solidFill>
              <w14:schemeClr w14:val="tx1"/>
            </w14:solidFill>
          </w14:textFill>
        </w:rPr>
        <w:t>(CA签章)</w:t>
      </w:r>
      <w:r>
        <w:rPr>
          <w:rFonts w:hint="eastAsia" w:ascii="宋体" w:hAnsi="宋体" w:eastAsia="宋体" w:cs="宋体"/>
          <w:color w:val="000000" w:themeColor="text1"/>
          <w:szCs w:val="21"/>
          <w14:textFill>
            <w14:solidFill>
              <w14:schemeClr w14:val="tx1"/>
            </w14:solidFill>
          </w14:textFill>
        </w:rPr>
        <w:t>，自然人</w:t>
      </w:r>
      <w:r>
        <w:rPr>
          <w:rFonts w:hint="eastAsia" w:ascii="宋体" w:hAnsi="宋体" w:eastAsia="宋体" w:cs="宋体"/>
          <w:color w:val="000000" w:themeColor="text1"/>
          <w:szCs w:val="21"/>
          <w:lang w:eastAsia="zh-CN"/>
          <w14:textFill>
            <w14:solidFill>
              <w14:schemeClr w14:val="tx1"/>
            </w14:solidFill>
          </w14:textFill>
        </w:rPr>
        <w:t>签字或个人</w:t>
      </w:r>
      <w:r>
        <w:rPr>
          <w:rFonts w:hint="eastAsia" w:ascii="宋体" w:hAnsi="宋体" w:eastAsia="宋体" w:cs="宋体"/>
          <w:color w:val="000000" w:themeColor="text1"/>
          <w:szCs w:val="21"/>
          <w:lang w:val="en-US" w:eastAsia="zh-CN"/>
          <w14:textFill>
            <w14:solidFill>
              <w14:schemeClr w14:val="tx1"/>
            </w14:solidFill>
          </w14:textFill>
        </w:rPr>
        <w:t>CA签章]</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u w:val="single"/>
          <w14:textFill>
            <w14:solidFill>
              <w14:schemeClr w14:val="tx1"/>
            </w14:solidFill>
          </w14:textFill>
        </w:rPr>
        <w:t xml:space="preserve">                                         </w:t>
      </w:r>
    </w:p>
    <w:p>
      <w:pPr>
        <w:pStyle w:val="12"/>
        <w:ind w:firstLine="3990" w:firstLineChars="1900"/>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日          期：</w:t>
      </w:r>
      <w:r>
        <w:rPr>
          <w:rFonts w:hint="eastAsia" w:ascii="宋体" w:hAnsi="宋体" w:eastAsia="宋体" w:cs="宋体"/>
          <w:color w:val="000000" w:themeColor="text1"/>
          <w:u w:val="single"/>
          <w14:textFill>
            <w14:solidFill>
              <w14:schemeClr w14:val="tx1"/>
            </w14:solidFill>
          </w14:textFill>
        </w:rPr>
        <w:t xml:space="preserve">                            </w:t>
      </w:r>
    </w:p>
    <w:p>
      <w:pPr>
        <w:pStyle w:val="12"/>
        <w:spacing w:line="340" w:lineRule="exact"/>
        <w:rPr>
          <w:rFonts w:hint="eastAsia" w:ascii="宋体" w:hAnsi="宋体" w:eastAsia="宋体" w:cs="宋体"/>
          <w:b/>
          <w:color w:val="000000" w:themeColor="text1"/>
          <w:sz w:val="28"/>
          <w:szCs w:val="28"/>
          <w14:textFill>
            <w14:solidFill>
              <w14:schemeClr w14:val="tx1"/>
            </w14:solidFill>
          </w14:textFill>
        </w:rPr>
      </w:pPr>
    </w:p>
    <w:p>
      <w:pPr>
        <w:pStyle w:val="12"/>
        <w:spacing w:line="340" w:lineRule="exact"/>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lang w:val="en-US" w:eastAsia="zh-CN"/>
          <w14:textFill>
            <w14:solidFill>
              <w14:schemeClr w14:val="tx1"/>
            </w14:solidFill>
          </w14:textFill>
        </w:rPr>
        <w:t>4</w:t>
      </w:r>
      <w:r>
        <w:rPr>
          <w:rFonts w:hint="eastAsia" w:ascii="宋体" w:hAnsi="宋体" w:eastAsia="宋体" w:cs="宋体"/>
          <w:b/>
          <w:color w:val="000000" w:themeColor="text1"/>
          <w:sz w:val="28"/>
          <w:szCs w:val="28"/>
          <w14:textFill>
            <w14:solidFill>
              <w14:schemeClr w14:val="tx1"/>
            </w14:solidFill>
          </w14:textFill>
        </w:rPr>
        <w:t>.供应商的法人或者其他组织营业执照等证明文件复印件（必须提供，自然人除外）；</w:t>
      </w:r>
    </w:p>
    <w:p>
      <w:pPr>
        <w:tabs>
          <w:tab w:val="left" w:pos="1305"/>
        </w:tabs>
        <w:spacing w:line="340" w:lineRule="exact"/>
        <w:rPr>
          <w:rFonts w:hint="eastAsia" w:ascii="宋体" w:hAnsi="宋体" w:eastAsia="宋体" w:cs="宋体"/>
          <w:b/>
          <w:color w:val="000000" w:themeColor="text1"/>
          <w:szCs w:val="21"/>
          <w14:textFill>
            <w14:solidFill>
              <w14:schemeClr w14:val="tx1"/>
            </w14:solidFill>
          </w14:textFill>
        </w:rPr>
      </w:pPr>
    </w:p>
    <w:p>
      <w:pPr>
        <w:tabs>
          <w:tab w:val="left" w:pos="1305"/>
        </w:tabs>
        <w:spacing w:line="400" w:lineRule="exact"/>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w:t>
      </w:r>
      <w:r>
        <w:rPr>
          <w:rFonts w:hint="eastAsia" w:ascii="宋体" w:hAnsi="宋体" w:eastAsia="宋体" w:cs="宋体"/>
          <w:b/>
          <w:color w:val="000000" w:themeColor="text1"/>
          <w:szCs w:val="21"/>
          <w:lang w:eastAsia="zh-CN"/>
          <w14:textFill>
            <w14:solidFill>
              <w14:schemeClr w14:val="tx1"/>
            </w14:solidFill>
          </w14:textFill>
        </w:rPr>
        <w:t>”</w:t>
      </w:r>
      <w:r>
        <w:rPr>
          <w:rFonts w:hint="eastAsia" w:ascii="宋体" w:hAnsi="宋体" w:eastAsia="宋体" w:cs="宋体"/>
          <w:b/>
          <w:color w:val="000000" w:themeColor="text1"/>
          <w:szCs w:val="21"/>
          <w14:textFill>
            <w14:solidFill>
              <w14:schemeClr w14:val="tx1"/>
            </w14:solidFill>
          </w14:textFill>
        </w:rPr>
        <w:t>；供应商为事业单位，应提供有效的“事业单位法人证书”；供应商为非企业专业服务机构的，应提供执业许可证等证明文件；供应商为个体工商户，应提供有效的“个体工商户营业执照”。</w:t>
      </w:r>
    </w:p>
    <w:p>
      <w:pPr>
        <w:rPr>
          <w:rFonts w:hint="eastAsia" w:ascii="宋体" w:hAnsi="宋体" w:eastAsia="宋体" w:cs="宋体"/>
          <w:b/>
          <w:bCs/>
          <w:color w:val="000000" w:themeColor="text1"/>
          <w:sz w:val="28"/>
          <w:szCs w:val="28"/>
          <w14:textFill>
            <w14:solidFill>
              <w14:schemeClr w14:val="tx1"/>
            </w14:solidFill>
          </w14:textFill>
        </w:rPr>
      </w:pPr>
    </w:p>
    <w:p>
      <w:pPr>
        <w:pStyle w:val="12"/>
        <w:spacing w:line="340" w:lineRule="exact"/>
        <w:rPr>
          <w:rFonts w:hint="eastAsia" w:ascii="宋体" w:hAnsi="宋体" w:eastAsia="宋体" w:cs="宋体"/>
          <w:b/>
          <w:color w:val="000000" w:themeColor="text1"/>
          <w:sz w:val="28"/>
          <w:szCs w:val="28"/>
          <w:lang w:val="en-US" w:eastAsia="zh-CN"/>
          <w14:textFill>
            <w14:solidFill>
              <w14:schemeClr w14:val="tx1"/>
            </w14:solidFill>
          </w14:textFill>
        </w:rPr>
      </w:pPr>
      <w:r>
        <w:rPr>
          <w:rFonts w:hint="eastAsia" w:ascii="宋体" w:hAnsi="宋体" w:eastAsia="宋体" w:cs="宋体"/>
          <w:b/>
          <w:color w:val="000000" w:themeColor="text1"/>
          <w:sz w:val="28"/>
          <w:szCs w:val="28"/>
          <w:lang w:val="en-US" w:eastAsia="zh-CN"/>
          <w14:textFill>
            <w14:solidFill>
              <w14:schemeClr w14:val="tx1"/>
            </w14:solidFill>
          </w14:textFill>
        </w:rPr>
        <w:t>5.</w:t>
      </w:r>
      <w:r>
        <w:rPr>
          <w:rFonts w:hint="eastAsia" w:hAnsi="宋体" w:cs="宋体"/>
          <w:b/>
          <w:color w:val="000000" w:themeColor="text1"/>
          <w:sz w:val="28"/>
          <w:szCs w:val="28"/>
          <w:lang w:val="en-US" w:eastAsia="zh-CN"/>
          <w14:textFill>
            <w14:solidFill>
              <w14:schemeClr w14:val="tx1"/>
            </w14:solidFill>
          </w14:textFill>
        </w:rPr>
        <w:t>财务状况报告【即“四表一注”: 资产负债表、利润表、现金流量表、所有者权益变动表及其附注（四表可以为供应商提供的第三方出具的财务审计报告，或供应商出具的财务报表，或供应商出具的承诺函），或其基本开户银行出具的资信证明，或专业担保机构出具的担保函。】</w:t>
      </w:r>
      <w:r>
        <w:rPr>
          <w:rFonts w:hint="eastAsia" w:ascii="宋体" w:hAnsi="宋体" w:eastAsia="宋体" w:cs="宋体"/>
          <w:b/>
          <w:color w:val="000000" w:themeColor="text1"/>
          <w:sz w:val="28"/>
          <w:szCs w:val="28"/>
          <w:lang w:val="en-US" w:eastAsia="zh-CN"/>
          <w14:textFill>
            <w14:solidFill>
              <w14:schemeClr w14:val="tx1"/>
            </w14:solidFill>
          </w14:textFill>
        </w:rPr>
        <w:t>（必须提供）；</w:t>
      </w:r>
    </w:p>
    <w:p>
      <w:pPr>
        <w:pStyle w:val="12"/>
        <w:spacing w:line="340" w:lineRule="exact"/>
        <w:rPr>
          <w:rFonts w:hint="eastAsia" w:ascii="宋体" w:hAnsi="宋体" w:eastAsia="宋体" w:cs="宋体"/>
          <w:b/>
          <w:color w:val="000000" w:themeColor="text1"/>
          <w:sz w:val="28"/>
          <w:szCs w:val="28"/>
          <w14:textFill>
            <w14:solidFill>
              <w14:schemeClr w14:val="tx1"/>
            </w14:solidFill>
          </w14:textFill>
        </w:rPr>
      </w:pPr>
    </w:p>
    <w:p>
      <w:pPr>
        <w:pStyle w:val="7"/>
        <w:rPr>
          <w:rFonts w:hint="eastAsia" w:ascii="宋体" w:hAnsi="宋体" w:eastAsia="宋体" w:cs="宋体"/>
          <w:color w:val="000000" w:themeColor="text1"/>
          <w14:textFill>
            <w14:solidFill>
              <w14:schemeClr w14:val="tx1"/>
            </w14:solidFill>
          </w14:textFill>
        </w:rPr>
      </w:pPr>
    </w:p>
    <w:p>
      <w:pPr>
        <w:pStyle w:val="7"/>
        <w:numPr>
          <w:ilvl w:val="0"/>
          <w:numId w:val="0"/>
        </w:numPr>
        <w:rPr>
          <w:rFonts w:hint="eastAsia" w:ascii="宋体" w:hAnsi="宋体" w:eastAsia="宋体" w:cs="宋体"/>
          <w:b/>
          <w:color w:val="000000" w:themeColor="text1"/>
          <w:sz w:val="28"/>
          <w:szCs w:val="28"/>
          <w:lang w:val="en-US" w:eastAsia="zh-CN"/>
          <w14:textFill>
            <w14:solidFill>
              <w14:schemeClr w14:val="tx1"/>
            </w14:solidFill>
          </w14:textFill>
        </w:rPr>
      </w:pPr>
      <w:r>
        <w:rPr>
          <w:rFonts w:hint="eastAsia" w:ascii="宋体" w:hAnsi="宋体" w:eastAsia="宋体" w:cs="宋体"/>
          <w:b/>
          <w:color w:val="000000" w:themeColor="text1"/>
          <w:sz w:val="28"/>
          <w:szCs w:val="28"/>
          <w:lang w:val="en-US" w:eastAsia="zh-CN"/>
          <w14:textFill>
            <w14:solidFill>
              <w14:schemeClr w14:val="tx1"/>
            </w14:solidFill>
          </w14:textFill>
        </w:rPr>
        <w:t>6.供应商在磋商当天前近半年内任意一个月或任一季度依法缴纳税收的证明材料（增值税发票(税收完税证明)或企业所得税完税证明或税务部门出具的免税证明）复印件（必须提供）。</w:t>
      </w:r>
    </w:p>
    <w:p>
      <w:pPr>
        <w:pStyle w:val="6"/>
        <w:numPr>
          <w:ilvl w:val="0"/>
          <w:numId w:val="0"/>
        </w:numPr>
        <w:jc w:val="center"/>
        <w:rPr>
          <w:rFonts w:hint="eastAsia" w:ascii="宋体" w:hAnsi="宋体" w:eastAsia="宋体" w:cs="宋体"/>
          <w:color w:val="000000" w:themeColor="text1"/>
          <w:sz w:val="32"/>
          <w:szCs w:val="32"/>
          <w:lang w:eastAsia="zh-CN"/>
          <w14:textFill>
            <w14:solidFill>
              <w14:schemeClr w14:val="tx1"/>
            </w14:solidFill>
          </w14:textFill>
        </w:rPr>
      </w:pPr>
      <w:r>
        <w:rPr>
          <w:rFonts w:hint="eastAsia" w:ascii="宋体" w:hAnsi="宋体" w:eastAsia="宋体" w:cs="宋体"/>
          <w:color w:val="000000" w:themeColor="text1"/>
          <w:sz w:val="32"/>
          <w:szCs w:val="32"/>
          <w:lang w:eastAsia="zh-CN"/>
          <w14:textFill>
            <w14:solidFill>
              <w14:schemeClr w14:val="tx1"/>
            </w14:solidFill>
          </w14:textFill>
        </w:rPr>
        <w:t>（二）符合性响应证明材料目录</w:t>
      </w:r>
    </w:p>
    <w:p>
      <w:pPr>
        <w:numPr>
          <w:ilvl w:val="0"/>
          <w:numId w:val="0"/>
        </w:num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w:t>
      </w:r>
      <w:r>
        <w:rPr>
          <w:rFonts w:hint="eastAsia" w:ascii="宋体" w:hAnsi="宋体" w:eastAsia="宋体" w:cs="宋体"/>
          <w:color w:val="000000" w:themeColor="text1"/>
          <w:sz w:val="24"/>
          <w14:textFill>
            <w14:solidFill>
              <w14:schemeClr w14:val="tx1"/>
            </w14:solidFill>
          </w14:textFill>
        </w:rPr>
        <w:t>响应函</w:t>
      </w:r>
      <w:r>
        <w:rPr>
          <w:rFonts w:hint="eastAsia" w:ascii="宋体" w:hAnsi="宋体" w:eastAsia="宋体" w:cs="宋体"/>
          <w:b/>
          <w:bCs/>
          <w:color w:val="000000" w:themeColor="text1"/>
          <w:sz w:val="24"/>
          <w14:textFill>
            <w14:solidFill>
              <w14:schemeClr w14:val="tx1"/>
            </w14:solidFill>
          </w14:textFill>
        </w:rPr>
        <w:t>（格式见附件）（必须提供</w:t>
      </w:r>
      <w:r>
        <w:rPr>
          <w:b/>
          <w:bCs/>
          <w:color w:val="000000" w:themeColor="text1"/>
          <w:highlight w:val="none"/>
          <w14:textFill>
            <w14:solidFill>
              <w14:schemeClr w14:val="tx1"/>
            </w14:solidFill>
          </w14:textFill>
        </w:rPr>
        <w:t>）</w:t>
      </w:r>
      <w:r>
        <w:rPr>
          <w:rFonts w:hint="eastAsia" w:ascii="宋体" w:hAnsi="宋体" w:eastAsia="宋体" w:cs="宋体"/>
          <w:b/>
          <w:bCs/>
          <w:color w:val="000000" w:themeColor="text1"/>
          <w:sz w:val="24"/>
          <w:lang w:eastAsia="zh-CN"/>
          <w14:textFill>
            <w14:solidFill>
              <w14:schemeClr w14:val="tx1"/>
            </w14:solidFill>
          </w14:textFill>
        </w:rPr>
        <w:t>；</w:t>
      </w:r>
    </w:p>
    <w:p>
      <w:pPr>
        <w:spacing w:line="360" w:lineRule="auto"/>
        <w:rPr>
          <w:rFonts w:hint="default" w:ascii="宋体" w:hAnsi="宋体" w:eastAsia="宋体" w:cs="宋体"/>
          <w:color w:val="000000" w:themeColor="text1"/>
          <w:sz w:val="24"/>
          <w:lang w:val="en-US" w:eastAsia="zh-CN"/>
          <w14:textFill>
            <w14:solidFill>
              <w14:schemeClr w14:val="tx1"/>
            </w14:solidFill>
          </w14:textFill>
        </w:rPr>
      </w:pPr>
    </w:p>
    <w:p>
      <w:pPr>
        <w:numPr>
          <w:ilvl w:val="0"/>
          <w:numId w:val="0"/>
        </w:numPr>
        <w:spacing w:line="360" w:lineRule="auto"/>
        <w:ind w:firstLine="480" w:firstLineChars="200"/>
        <w:rPr>
          <w:rFonts w:hint="eastAsia" w:ascii="宋体" w:hAnsi="宋体" w:eastAsia="宋体" w:cs="宋体"/>
          <w:b/>
          <w:bCs/>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eastAsia="宋体" w:cs="宋体"/>
          <w:color w:val="000000" w:themeColor="text1"/>
          <w:sz w:val="24"/>
          <w14:textFill>
            <w14:solidFill>
              <w14:schemeClr w14:val="tx1"/>
            </w14:solidFill>
          </w14:textFill>
        </w:rPr>
        <w:t>磋商报价表</w:t>
      </w:r>
      <w:r>
        <w:rPr>
          <w:rFonts w:hint="eastAsia" w:ascii="宋体" w:hAnsi="宋体" w:eastAsia="宋体" w:cs="宋体"/>
          <w:b/>
          <w:bCs/>
          <w:color w:val="000000" w:themeColor="text1"/>
          <w:sz w:val="24"/>
          <w14:textFill>
            <w14:solidFill>
              <w14:schemeClr w14:val="tx1"/>
            </w14:solidFill>
          </w14:textFill>
        </w:rPr>
        <w:t>（格式见附件）（必须提供）；</w:t>
      </w:r>
    </w:p>
    <w:p>
      <w:pPr>
        <w:pStyle w:val="9"/>
        <w:rPr>
          <w:rFonts w:hint="eastAsia" w:ascii="宋体" w:hAnsi="宋体" w:eastAsia="宋体" w:cs="宋体"/>
          <w:color w:val="000000" w:themeColor="text1"/>
          <w14:textFill>
            <w14:solidFill>
              <w14:schemeClr w14:val="tx1"/>
            </w14:solidFill>
          </w14:textFill>
        </w:rPr>
      </w:pPr>
    </w:p>
    <w:p>
      <w:pPr>
        <w:numPr>
          <w:ilvl w:val="0"/>
          <w:numId w:val="0"/>
        </w:numPr>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eastAsia="宋体" w:cs="宋体"/>
          <w:color w:val="000000" w:themeColor="text1"/>
          <w:sz w:val="24"/>
          <w14:textFill>
            <w14:solidFill>
              <w14:schemeClr w14:val="tx1"/>
            </w14:solidFill>
          </w14:textFill>
        </w:rPr>
        <w:t>服务（技术）响应、商务偏离情况说明表</w:t>
      </w:r>
      <w:r>
        <w:rPr>
          <w:rFonts w:hint="eastAsia" w:ascii="宋体" w:hAnsi="宋体" w:eastAsia="宋体" w:cs="宋体"/>
          <w:b/>
          <w:bCs/>
          <w:color w:val="000000" w:themeColor="text1"/>
          <w:sz w:val="24"/>
          <w14:textFill>
            <w14:solidFill>
              <w14:schemeClr w14:val="tx1"/>
            </w14:solidFill>
          </w14:textFill>
        </w:rPr>
        <w:t>（格式见附件）（必须提供）；</w:t>
      </w:r>
    </w:p>
    <w:p>
      <w:pPr>
        <w:pStyle w:val="9"/>
        <w:rPr>
          <w:rFonts w:hint="eastAsia" w:ascii="宋体" w:hAnsi="宋体" w:eastAsia="宋体" w:cs="宋体"/>
          <w:b/>
          <w:bCs/>
          <w:color w:val="000000" w:themeColor="text1"/>
          <w:sz w:val="24"/>
          <w14:textFill>
            <w14:solidFill>
              <w14:schemeClr w14:val="tx1"/>
            </w14:solidFill>
          </w14:textFill>
        </w:rPr>
      </w:pPr>
    </w:p>
    <w:p>
      <w:pPr>
        <w:numPr>
          <w:ilvl w:val="0"/>
          <w:numId w:val="0"/>
        </w:numPr>
        <w:spacing w:line="360" w:lineRule="auto"/>
        <w:ind w:firstLine="480" w:firstLineChars="200"/>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4.“货物采购需求”需提供的有效证明文件</w:t>
      </w:r>
      <w:r>
        <w:rPr>
          <w:rFonts w:hint="eastAsia" w:ascii="宋体" w:hAnsi="宋体" w:eastAsia="宋体" w:cs="宋体"/>
          <w:b/>
          <w:bCs/>
          <w:color w:val="000000" w:themeColor="text1"/>
          <w:sz w:val="24"/>
          <w:lang w:val="en-US" w:eastAsia="zh-CN"/>
          <w14:textFill>
            <w14:solidFill>
              <w14:schemeClr w14:val="tx1"/>
            </w14:solidFill>
          </w14:textFill>
        </w:rPr>
        <w:t>（按其要求提供）；</w:t>
      </w:r>
    </w:p>
    <w:p>
      <w:pPr>
        <w:numPr>
          <w:ilvl w:val="0"/>
          <w:numId w:val="0"/>
        </w:numPr>
        <w:spacing w:line="360" w:lineRule="auto"/>
        <w:ind w:left="420" w:leftChars="0"/>
        <w:rPr>
          <w:rFonts w:hint="eastAsia" w:ascii="宋体" w:hAnsi="宋体" w:eastAsia="宋体" w:cs="宋体"/>
          <w:b/>
          <w:bCs/>
          <w:color w:val="000000" w:themeColor="text1"/>
          <w:sz w:val="24"/>
          <w14:textFill>
            <w14:solidFill>
              <w14:schemeClr w14:val="tx1"/>
            </w14:solidFill>
          </w14:textFill>
        </w:rPr>
      </w:pPr>
    </w:p>
    <w:p>
      <w:pPr>
        <w:numPr>
          <w:ilvl w:val="0"/>
          <w:numId w:val="0"/>
        </w:numPr>
        <w:spacing w:line="360" w:lineRule="auto"/>
        <w:ind w:firstLine="480" w:firstLineChars="200"/>
        <w:rPr>
          <w:rFonts w:hint="eastAsia" w:ascii="宋体" w:hAnsi="宋体" w:eastAsia="宋体" w:cs="宋体"/>
          <w:b/>
          <w:bCs/>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5.</w:t>
      </w:r>
      <w:r>
        <w:rPr>
          <w:rFonts w:hint="eastAsia" w:ascii="宋体" w:hAnsi="宋体" w:cs="宋体"/>
          <w:color w:val="000000" w:themeColor="text1"/>
          <w:sz w:val="24"/>
          <w:lang w:eastAsia="zh-CN"/>
          <w14:textFill>
            <w14:solidFill>
              <w14:schemeClr w14:val="tx1"/>
            </w14:solidFill>
          </w14:textFill>
        </w:rPr>
        <w:t>售后</w:t>
      </w:r>
      <w:r>
        <w:rPr>
          <w:rFonts w:hint="eastAsia" w:ascii="宋体" w:hAnsi="宋体" w:eastAsia="宋体" w:cs="宋体"/>
          <w:color w:val="000000" w:themeColor="text1"/>
          <w:sz w:val="24"/>
          <w:lang w:eastAsia="zh-CN"/>
          <w14:textFill>
            <w14:solidFill>
              <w14:schemeClr w14:val="tx1"/>
            </w14:solidFill>
          </w14:textFill>
        </w:rPr>
        <w:t>服务承诺书</w:t>
      </w:r>
      <w:r>
        <w:rPr>
          <w:rFonts w:hint="eastAsia" w:ascii="宋体" w:hAnsi="宋体" w:eastAsia="宋体" w:cs="宋体"/>
          <w:color w:val="000000" w:themeColor="text1"/>
          <w:sz w:val="24"/>
          <w14:textFill>
            <w14:solidFill>
              <w14:schemeClr w14:val="tx1"/>
            </w14:solidFill>
          </w14:textFill>
        </w:rPr>
        <w:t>（由供应商根据本项目采购需求、特点及供应商自身的处理能力自行编写，承诺书内容至少应包括“采购需求”的所有服务条款）</w:t>
      </w:r>
      <w:r>
        <w:rPr>
          <w:rFonts w:hint="eastAsia" w:ascii="宋体" w:hAnsi="宋体" w:eastAsia="宋体" w:cs="宋体"/>
          <w:b/>
          <w:bCs/>
          <w:color w:val="000000" w:themeColor="text1"/>
          <w:sz w:val="24"/>
          <w14:textFill>
            <w14:solidFill>
              <w14:schemeClr w14:val="tx1"/>
            </w14:solidFill>
          </w14:textFill>
        </w:rPr>
        <w:t>（格式见附件）（必须提供）；</w:t>
      </w:r>
    </w:p>
    <w:p>
      <w:pPr>
        <w:pStyle w:val="28"/>
        <w:rPr>
          <w:rFonts w:hint="eastAsia" w:ascii="宋体" w:hAnsi="宋体" w:eastAsia="宋体" w:cs="宋体"/>
          <w:color w:val="000000" w:themeColor="text1"/>
          <w14:textFill>
            <w14:solidFill>
              <w14:schemeClr w14:val="tx1"/>
            </w14:solidFill>
          </w14:textFill>
        </w:rPr>
      </w:pPr>
    </w:p>
    <w:p>
      <w:pPr>
        <w:pStyle w:val="9"/>
        <w:rPr>
          <w:rFonts w:hint="eastAsia" w:ascii="宋体" w:hAnsi="宋体" w:eastAsia="宋体" w:cs="宋体"/>
          <w:color w:val="000000" w:themeColor="text1"/>
          <w14:textFill>
            <w14:solidFill>
              <w14:schemeClr w14:val="tx1"/>
            </w14:solidFill>
          </w14:textFill>
        </w:rPr>
      </w:pPr>
    </w:p>
    <w:p>
      <w:pPr>
        <w:pStyle w:val="12"/>
        <w:numPr>
          <w:ilvl w:val="0"/>
          <w:numId w:val="0"/>
        </w:numPr>
        <w:spacing w:line="340" w:lineRule="exact"/>
        <w:rPr>
          <w:rFonts w:hint="eastAsia" w:ascii="宋体" w:hAnsi="宋体" w:eastAsia="宋体" w:cs="宋体"/>
          <w:b/>
          <w:color w:val="000000" w:themeColor="text1"/>
          <w:sz w:val="28"/>
          <w:szCs w:val="28"/>
          <w:lang w:val="en-US" w:eastAsia="zh-CN"/>
          <w14:textFill>
            <w14:solidFill>
              <w14:schemeClr w14:val="tx1"/>
            </w14:solidFill>
          </w14:textFill>
        </w:rPr>
      </w:pPr>
    </w:p>
    <w:p>
      <w:pPr>
        <w:pStyle w:val="12"/>
        <w:numPr>
          <w:ilvl w:val="0"/>
          <w:numId w:val="0"/>
        </w:numPr>
        <w:spacing w:line="340" w:lineRule="exact"/>
        <w:rPr>
          <w:rFonts w:hint="eastAsia" w:ascii="宋体" w:hAnsi="宋体" w:eastAsia="宋体" w:cs="宋体"/>
          <w:b/>
          <w:color w:val="000000" w:themeColor="text1"/>
          <w:sz w:val="28"/>
          <w:szCs w:val="28"/>
          <w:lang w:val="en-US" w:eastAsia="zh-CN"/>
          <w14:textFill>
            <w14:solidFill>
              <w14:schemeClr w14:val="tx1"/>
            </w14:solidFill>
          </w14:textFill>
        </w:rPr>
      </w:pPr>
    </w:p>
    <w:p>
      <w:pPr>
        <w:rPr>
          <w:rFonts w:hint="eastAsia" w:ascii="宋体" w:hAnsi="宋体" w:eastAsia="宋体" w:cs="宋体"/>
          <w:b/>
          <w:color w:val="000000" w:themeColor="text1"/>
          <w:sz w:val="28"/>
          <w:szCs w:val="28"/>
          <w:lang w:val="en-US" w:eastAsia="zh-CN"/>
          <w14:textFill>
            <w14:solidFill>
              <w14:schemeClr w14:val="tx1"/>
            </w14:solidFill>
          </w14:textFill>
        </w:rPr>
      </w:pPr>
    </w:p>
    <w:p>
      <w:pPr>
        <w:pStyle w:val="9"/>
        <w:rPr>
          <w:rFonts w:hint="eastAsia" w:ascii="宋体" w:hAnsi="宋体" w:eastAsia="宋体" w:cs="宋体"/>
          <w:b/>
          <w:color w:val="000000" w:themeColor="text1"/>
          <w:sz w:val="28"/>
          <w:szCs w:val="28"/>
          <w:lang w:val="en-US" w:eastAsia="zh-CN"/>
          <w14:textFill>
            <w14:solidFill>
              <w14:schemeClr w14:val="tx1"/>
            </w14:solidFill>
          </w14:textFill>
        </w:rPr>
      </w:pPr>
    </w:p>
    <w:p>
      <w:pPr>
        <w:rPr>
          <w:rFonts w:hint="eastAsia" w:ascii="宋体" w:hAnsi="宋体" w:eastAsia="宋体" w:cs="宋体"/>
          <w:b/>
          <w:color w:val="000000" w:themeColor="text1"/>
          <w:sz w:val="28"/>
          <w:szCs w:val="28"/>
          <w:lang w:val="en-US" w:eastAsia="zh-CN"/>
          <w14:textFill>
            <w14:solidFill>
              <w14:schemeClr w14:val="tx1"/>
            </w14:solidFill>
          </w14:textFill>
        </w:rPr>
      </w:pPr>
    </w:p>
    <w:p>
      <w:pPr>
        <w:pStyle w:val="9"/>
        <w:rPr>
          <w:rFonts w:hint="eastAsia" w:ascii="宋体" w:hAnsi="宋体" w:eastAsia="宋体" w:cs="宋体"/>
          <w:b/>
          <w:color w:val="000000" w:themeColor="text1"/>
          <w:sz w:val="28"/>
          <w:szCs w:val="28"/>
          <w:lang w:val="en-US" w:eastAsia="zh-CN"/>
          <w14:textFill>
            <w14:solidFill>
              <w14:schemeClr w14:val="tx1"/>
            </w14:solidFill>
          </w14:textFill>
        </w:rPr>
      </w:pPr>
    </w:p>
    <w:p>
      <w:pPr>
        <w:rPr>
          <w:rFonts w:hint="eastAsia" w:ascii="宋体" w:hAnsi="宋体" w:eastAsia="宋体" w:cs="宋体"/>
          <w:b/>
          <w:color w:val="000000" w:themeColor="text1"/>
          <w:sz w:val="28"/>
          <w:szCs w:val="28"/>
          <w:lang w:val="en-US" w:eastAsia="zh-CN"/>
          <w14:textFill>
            <w14:solidFill>
              <w14:schemeClr w14:val="tx1"/>
            </w14:solidFill>
          </w14:textFill>
        </w:rPr>
      </w:pPr>
    </w:p>
    <w:p>
      <w:pPr>
        <w:pStyle w:val="9"/>
        <w:rPr>
          <w:rFonts w:hint="eastAsia" w:ascii="宋体" w:hAnsi="宋体" w:eastAsia="宋体" w:cs="宋体"/>
          <w:b/>
          <w:color w:val="000000" w:themeColor="text1"/>
          <w:sz w:val="28"/>
          <w:szCs w:val="28"/>
          <w:lang w:val="en-US" w:eastAsia="zh-CN"/>
          <w14:textFill>
            <w14:solidFill>
              <w14:schemeClr w14:val="tx1"/>
            </w14:solidFill>
          </w14:textFill>
        </w:rPr>
      </w:pPr>
    </w:p>
    <w:p>
      <w:pPr>
        <w:rPr>
          <w:rFonts w:hint="eastAsia" w:ascii="宋体" w:hAnsi="宋体" w:eastAsia="宋体" w:cs="宋体"/>
          <w:b/>
          <w:color w:val="000000" w:themeColor="text1"/>
          <w:sz w:val="28"/>
          <w:szCs w:val="28"/>
          <w:lang w:val="en-US" w:eastAsia="zh-CN"/>
          <w14:textFill>
            <w14:solidFill>
              <w14:schemeClr w14:val="tx1"/>
            </w14:solidFill>
          </w14:textFill>
        </w:rPr>
      </w:pPr>
    </w:p>
    <w:p>
      <w:pPr>
        <w:pStyle w:val="9"/>
        <w:rPr>
          <w:rFonts w:hint="eastAsia" w:ascii="宋体" w:hAnsi="宋体" w:eastAsia="宋体" w:cs="宋体"/>
          <w:b/>
          <w:color w:val="000000" w:themeColor="text1"/>
          <w:sz w:val="28"/>
          <w:szCs w:val="28"/>
          <w:lang w:val="en-US" w:eastAsia="zh-CN"/>
          <w14:textFill>
            <w14:solidFill>
              <w14:schemeClr w14:val="tx1"/>
            </w14:solidFill>
          </w14:textFill>
        </w:rPr>
      </w:pPr>
    </w:p>
    <w:p>
      <w:pPr>
        <w:rPr>
          <w:rFonts w:hint="eastAsia" w:ascii="宋体" w:hAnsi="宋体" w:eastAsia="宋体" w:cs="宋体"/>
          <w:b/>
          <w:color w:val="000000" w:themeColor="text1"/>
          <w:sz w:val="28"/>
          <w:szCs w:val="28"/>
          <w:lang w:val="en-US" w:eastAsia="zh-CN"/>
          <w14:textFill>
            <w14:solidFill>
              <w14:schemeClr w14:val="tx1"/>
            </w14:solidFill>
          </w14:textFill>
        </w:rPr>
      </w:pPr>
    </w:p>
    <w:p>
      <w:pPr>
        <w:pStyle w:val="9"/>
        <w:rPr>
          <w:rFonts w:hint="eastAsia" w:ascii="宋体" w:hAnsi="宋体" w:eastAsia="宋体" w:cs="宋体"/>
          <w:b/>
          <w:color w:val="000000" w:themeColor="text1"/>
          <w:sz w:val="28"/>
          <w:szCs w:val="28"/>
          <w:lang w:val="en-US" w:eastAsia="zh-CN"/>
          <w14:textFill>
            <w14:solidFill>
              <w14:schemeClr w14:val="tx1"/>
            </w14:solidFill>
          </w14:textFill>
        </w:rPr>
      </w:pPr>
    </w:p>
    <w:p>
      <w:pPr>
        <w:rPr>
          <w:rFonts w:hint="eastAsia" w:ascii="宋体" w:hAnsi="宋体" w:eastAsia="宋体" w:cs="宋体"/>
          <w:b/>
          <w:color w:val="000000" w:themeColor="text1"/>
          <w:sz w:val="28"/>
          <w:szCs w:val="28"/>
          <w:lang w:val="en-US" w:eastAsia="zh-CN"/>
          <w14:textFill>
            <w14:solidFill>
              <w14:schemeClr w14:val="tx1"/>
            </w14:solidFill>
          </w14:textFill>
        </w:rPr>
      </w:pPr>
    </w:p>
    <w:p>
      <w:pPr>
        <w:pStyle w:val="9"/>
        <w:rPr>
          <w:rFonts w:hint="eastAsia" w:ascii="宋体" w:hAnsi="宋体" w:eastAsia="宋体" w:cs="宋体"/>
          <w:b/>
          <w:color w:val="000000" w:themeColor="text1"/>
          <w:sz w:val="28"/>
          <w:szCs w:val="28"/>
          <w:lang w:val="en-US" w:eastAsia="zh-CN"/>
          <w14:textFill>
            <w14:solidFill>
              <w14:schemeClr w14:val="tx1"/>
            </w14:solidFill>
          </w14:textFill>
        </w:rPr>
      </w:pPr>
    </w:p>
    <w:p>
      <w:pPr>
        <w:pStyle w:val="9"/>
        <w:rPr>
          <w:rFonts w:hint="eastAsia"/>
          <w:color w:val="000000" w:themeColor="text1"/>
          <w:lang w:val="en-US" w:eastAsia="zh-CN"/>
          <w14:textFill>
            <w14:solidFill>
              <w14:schemeClr w14:val="tx1"/>
            </w14:solidFill>
          </w14:textFill>
        </w:rPr>
      </w:pPr>
    </w:p>
    <w:p>
      <w:pPr>
        <w:numPr>
          <w:ilvl w:val="0"/>
          <w:numId w:val="0"/>
        </w:numPr>
        <w:spacing w:line="400" w:lineRule="exact"/>
        <w:rPr>
          <w:rFonts w:hint="eastAsia" w:ascii="宋体" w:hAnsi="宋体" w:eastAsia="宋体" w:cs="宋体"/>
          <w:b/>
          <w:bCs/>
          <w:color w:val="000000" w:themeColor="text1"/>
          <w:sz w:val="28"/>
          <w:szCs w:val="28"/>
          <w:highlight w:val="none"/>
          <w14:textFill>
            <w14:solidFill>
              <w14:schemeClr w14:val="tx1"/>
            </w14:solidFill>
          </w14:textFill>
        </w:rPr>
      </w:pPr>
      <w:bookmarkStart w:id="298" w:name="_Toc17617"/>
      <w:bookmarkStart w:id="299" w:name="_Toc12920"/>
      <w:bookmarkStart w:id="300" w:name="_Toc497927072"/>
      <w:r>
        <w:rPr>
          <w:rFonts w:hint="eastAsia" w:ascii="宋体" w:hAnsi="宋体" w:cs="宋体"/>
          <w:b/>
          <w:bCs/>
          <w:color w:val="000000" w:themeColor="text1"/>
          <w:sz w:val="28"/>
          <w:szCs w:val="28"/>
          <w:highlight w:val="none"/>
          <w:lang w:val="en-US" w:eastAsia="zh-CN"/>
          <w14:textFill>
            <w14:solidFill>
              <w14:schemeClr w14:val="tx1"/>
            </w14:solidFill>
          </w14:textFill>
        </w:rPr>
        <w:t>1.</w:t>
      </w:r>
      <w:r>
        <w:rPr>
          <w:rFonts w:hint="eastAsia" w:ascii="宋体" w:hAnsi="宋体" w:eastAsia="宋体" w:cs="宋体"/>
          <w:b/>
          <w:bCs/>
          <w:color w:val="000000" w:themeColor="text1"/>
          <w:sz w:val="28"/>
          <w:szCs w:val="28"/>
          <w:highlight w:val="none"/>
          <w14:textFill>
            <w14:solidFill>
              <w14:schemeClr w14:val="tx1"/>
            </w14:solidFill>
          </w14:textFill>
        </w:rPr>
        <w:t>响应函（格式见附件）（必须提供）</w:t>
      </w:r>
      <w:bookmarkEnd w:id="298"/>
      <w:bookmarkEnd w:id="299"/>
      <w:bookmarkEnd w:id="300"/>
    </w:p>
    <w:p>
      <w:pPr>
        <w:pStyle w:val="28"/>
        <w:rPr>
          <w:rFonts w:hint="eastAsia" w:ascii="宋体" w:hAnsi="宋体" w:eastAsia="宋体" w:cs="宋体"/>
          <w:color w:val="000000" w:themeColor="text1"/>
          <w14:textFill>
            <w14:solidFill>
              <w14:schemeClr w14:val="tx1"/>
            </w14:solidFill>
          </w14:textFill>
        </w:rPr>
      </w:pPr>
    </w:p>
    <w:p>
      <w:pPr>
        <w:pStyle w:val="12"/>
        <w:rPr>
          <w:rFonts w:hint="eastAsia" w:ascii="宋体" w:hAnsi="宋体" w:eastAsia="宋体" w:cs="宋体"/>
          <w:b/>
          <w:color w:val="000000" w:themeColor="text1"/>
          <w:sz w:val="32"/>
          <w:highlight w:val="none"/>
          <w14:textFill>
            <w14:solidFill>
              <w14:schemeClr w14:val="tx1"/>
            </w14:solidFill>
          </w14:textFill>
        </w:rPr>
      </w:pPr>
      <w:r>
        <w:rPr>
          <w:rFonts w:hint="eastAsia" w:ascii="宋体" w:hAnsi="宋体" w:eastAsia="宋体" w:cs="宋体"/>
          <w:b/>
          <w:color w:val="000000" w:themeColor="text1"/>
          <w:sz w:val="32"/>
          <w:highlight w:val="none"/>
          <w14:textFill>
            <w14:solidFill>
              <w14:schemeClr w14:val="tx1"/>
            </w14:solidFill>
          </w14:textFill>
        </w:rPr>
        <w:t>附件：</w:t>
      </w:r>
    </w:p>
    <w:p>
      <w:pPr>
        <w:pStyle w:val="12"/>
        <w:ind w:firstLine="800" w:firstLineChars="250"/>
        <w:jc w:val="center"/>
        <w:rPr>
          <w:rFonts w:hint="eastAsia" w:ascii="宋体" w:hAnsi="宋体" w:eastAsia="宋体" w:cs="宋体"/>
          <w:b/>
          <w:color w:val="000000" w:themeColor="text1"/>
          <w:sz w:val="32"/>
          <w:highlight w:val="none"/>
          <w14:textFill>
            <w14:solidFill>
              <w14:schemeClr w14:val="tx1"/>
            </w14:solidFill>
          </w14:textFill>
        </w:rPr>
      </w:pPr>
      <w:bookmarkStart w:id="301" w:name="_Toc7273_WPSOffice_Level1"/>
      <w:bookmarkStart w:id="302" w:name="_Toc17832_WPSOffice_Level1"/>
      <w:r>
        <w:rPr>
          <w:rFonts w:hint="eastAsia" w:ascii="宋体" w:hAnsi="宋体" w:eastAsia="宋体" w:cs="宋体"/>
          <w:b/>
          <w:color w:val="000000" w:themeColor="text1"/>
          <w:sz w:val="32"/>
          <w:highlight w:val="none"/>
          <w14:textFill>
            <w14:solidFill>
              <w14:schemeClr w14:val="tx1"/>
            </w14:solidFill>
          </w14:textFill>
        </w:rPr>
        <w:t>响 应 函 （格 式）</w:t>
      </w:r>
      <w:bookmarkEnd w:id="301"/>
      <w:bookmarkEnd w:id="302"/>
    </w:p>
    <w:p>
      <w:pPr>
        <w:spacing w:line="240" w:lineRule="exact"/>
        <w:jc w:val="center"/>
        <w:rPr>
          <w:rFonts w:hint="eastAsia" w:ascii="宋体" w:hAnsi="宋体" w:eastAsia="宋体" w:cs="宋体"/>
          <w:color w:val="000000" w:themeColor="text1"/>
          <w:sz w:val="32"/>
          <w:highlight w:val="none"/>
          <w14:textFill>
            <w14:solidFill>
              <w14:schemeClr w14:val="tx1"/>
            </w14:solidFill>
          </w14:textFill>
        </w:rPr>
      </w:pPr>
    </w:p>
    <w:p>
      <w:pPr>
        <w:spacing w:line="400" w:lineRule="exact"/>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致</w:t>
      </w:r>
      <w:r>
        <w:rPr>
          <w:rFonts w:hint="eastAsia" w:ascii="宋体" w:hAnsi="宋体" w:eastAsia="宋体" w:cs="宋体"/>
          <w:color w:val="000000" w:themeColor="text1"/>
          <w:szCs w:val="21"/>
          <w:highlight w:val="none"/>
          <w:u w:val="single"/>
          <w14:textFill>
            <w14:solidFill>
              <w14:schemeClr w14:val="tx1"/>
            </w14:solidFill>
          </w14:textFill>
        </w:rPr>
        <w:t>：桂林市政府集中采购中心</w:t>
      </w:r>
    </w:p>
    <w:p>
      <w:pPr>
        <w:spacing w:line="400" w:lineRule="exact"/>
        <w:rPr>
          <w:rFonts w:hint="eastAsia" w:ascii="宋体" w:hAnsi="宋体" w:eastAsia="宋体" w:cs="宋体"/>
          <w:color w:val="000000" w:themeColor="text1"/>
          <w:szCs w:val="21"/>
          <w:highlight w:val="none"/>
          <w14:textFill>
            <w14:solidFill>
              <w14:schemeClr w14:val="tx1"/>
            </w14:solidFill>
          </w14:textFill>
        </w:rPr>
      </w:pPr>
    </w:p>
    <w:p>
      <w:pPr>
        <w:pStyle w:val="12"/>
        <w:spacing w:line="360" w:lineRule="exact"/>
        <w:ind w:firstLine="420"/>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根据贵方</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项目竞争性磋商文件，项目编号：</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，签字代表</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 xml:space="preserve">（姓名）经正式授权并代表供应商 </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供应商单位名称），提交</w:t>
      </w:r>
      <w:r>
        <w:rPr>
          <w:rFonts w:hint="eastAsia" w:ascii="宋体" w:hAnsi="宋体" w:eastAsia="宋体" w:cs="宋体"/>
          <w:color w:val="000000" w:themeColor="text1"/>
          <w:highlight w:val="none"/>
          <w:lang w:eastAsia="zh-CN"/>
          <w14:textFill>
            <w14:solidFill>
              <w14:schemeClr w14:val="tx1"/>
            </w14:solidFill>
          </w14:textFill>
        </w:rPr>
        <w:t>电子</w:t>
      </w:r>
      <w:r>
        <w:rPr>
          <w:rFonts w:hint="eastAsia" w:ascii="宋体" w:hAnsi="宋体" w:eastAsia="宋体" w:cs="宋体"/>
          <w:color w:val="000000" w:themeColor="text1"/>
          <w:highlight w:val="none"/>
          <w14:textFill>
            <w14:solidFill>
              <w14:schemeClr w14:val="tx1"/>
            </w14:solidFill>
          </w14:textFill>
        </w:rPr>
        <w:t>响应文件</w:t>
      </w:r>
      <w:r>
        <w:rPr>
          <w:rFonts w:hint="eastAsia" w:ascii="宋体" w:hAnsi="宋体" w:eastAsia="宋体" w:cs="宋体"/>
          <w:color w:val="000000" w:themeColor="text1"/>
          <w:highlight w:val="none"/>
          <w:lang w:eastAsia="zh-CN"/>
          <w14:textFill>
            <w14:solidFill>
              <w14:schemeClr w14:val="tx1"/>
            </w14:solidFill>
          </w14:textFill>
        </w:rPr>
        <w:t>。</w:t>
      </w:r>
    </w:p>
    <w:p>
      <w:pPr>
        <w:pStyle w:val="12"/>
        <w:spacing w:line="360" w:lineRule="exact"/>
        <w:ind w:firstLine="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据此函，签字代表宣布同意如下：</w:t>
      </w:r>
    </w:p>
    <w:p>
      <w:pPr>
        <w:pStyle w:val="12"/>
        <w:spacing w:line="360" w:lineRule="exact"/>
        <w:ind w:firstLine="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 按磋商文件采购需求和磋商报价表：</w:t>
      </w:r>
    </w:p>
    <w:p>
      <w:pPr>
        <w:pStyle w:val="12"/>
        <w:spacing w:line="360" w:lineRule="exact"/>
        <w:ind w:firstLine="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磋商总报价（大写）</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元人民币(</w:t>
      </w:r>
      <w:r>
        <w:rPr>
          <w:rFonts w:hint="eastAsia" w:hAnsi="宋体" w:cs="宋体"/>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w:t>
      </w:r>
    </w:p>
    <w:p>
      <w:pPr>
        <w:pStyle w:val="12"/>
        <w:spacing w:line="360" w:lineRule="exact"/>
        <w:ind w:firstLine="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2.我方承诺已具备磋商文件规定的供应商资格条件。</w:t>
      </w:r>
    </w:p>
    <w:p>
      <w:pPr>
        <w:pStyle w:val="12"/>
        <w:spacing w:line="360" w:lineRule="exact"/>
        <w:ind w:firstLine="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3.我方已详细审核磋商文件，包括修改文件（如有的话）和有关附件，将自行承担因对全部磋商文件理解不正确或误解而产生的相应后果。</w:t>
      </w:r>
    </w:p>
    <w:p>
      <w:pPr>
        <w:pStyle w:val="12"/>
        <w:spacing w:line="360" w:lineRule="exact"/>
        <w:ind w:firstLine="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 响应文件有效期为</w:t>
      </w:r>
      <w:r>
        <w:rPr>
          <w:rFonts w:hint="eastAsia" w:ascii="宋体" w:hAnsi="宋体" w:eastAsia="宋体" w:cs="宋体"/>
          <w:color w:val="000000" w:themeColor="text1"/>
          <w:szCs w:val="21"/>
          <w:highlight w:val="none"/>
          <w14:textFill>
            <w14:solidFill>
              <w14:schemeClr w14:val="tx1"/>
            </w14:solidFill>
          </w14:textFill>
        </w:rPr>
        <w:t>响应文件递交截止时间之日起90天。</w:t>
      </w:r>
    </w:p>
    <w:p>
      <w:pPr>
        <w:pStyle w:val="12"/>
        <w:spacing w:line="360" w:lineRule="exact"/>
        <w:ind w:firstLine="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 如我方成交：</w:t>
      </w:r>
    </w:p>
    <w:p>
      <w:pPr>
        <w:pStyle w:val="12"/>
        <w:spacing w:line="360" w:lineRule="exact"/>
        <w:ind w:firstLine="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（1）我方承诺在收到成交通知书后，在成交通知书规定的期限内与采购人签订合同。</w:t>
      </w:r>
    </w:p>
    <w:p>
      <w:pPr>
        <w:pStyle w:val="12"/>
        <w:spacing w:line="360" w:lineRule="exact"/>
        <w:ind w:firstLine="42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（2）我方承诺按照磋商文件规定递交履约担保。</w:t>
      </w:r>
    </w:p>
    <w:p>
      <w:pPr>
        <w:pStyle w:val="12"/>
        <w:spacing w:line="360" w:lineRule="exact"/>
        <w:ind w:firstLine="42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（3）我方承诺本响应文件至本项目合同履行完毕止均保持有效，按磋商文件及政府采购法律、法规的规定履行合同责任和义务。</w:t>
      </w:r>
    </w:p>
    <w:p>
      <w:pPr>
        <w:pStyle w:val="12"/>
        <w:spacing w:line="360" w:lineRule="exact"/>
        <w:ind w:firstLine="42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与本项目有关的正式通讯地址为：</w:t>
      </w:r>
    </w:p>
    <w:p>
      <w:pPr>
        <w:rPr>
          <w:rFonts w:hint="eastAsia" w:ascii="宋体" w:hAnsi="宋体" w:eastAsia="宋体" w:cs="宋体"/>
          <w:color w:val="000000" w:themeColor="text1"/>
          <w:sz w:val="21"/>
          <w:szCs w:val="21"/>
          <w:highlight w:val="none"/>
          <w14:textFill>
            <w14:solidFill>
              <w14:schemeClr w14:val="tx1"/>
            </w14:solidFill>
          </w14:textFill>
        </w:rPr>
      </w:pPr>
    </w:p>
    <w:p>
      <w:pPr>
        <w:pStyle w:val="12"/>
        <w:spacing w:line="320" w:lineRule="exact"/>
        <w:ind w:firstLine="420"/>
        <w:rPr>
          <w:rFonts w:hint="eastAsia" w:ascii="宋体" w:hAnsi="宋体" w:eastAsia="宋体" w:cs="宋体"/>
          <w:color w:val="000000" w:themeColor="text1"/>
          <w:sz w:val="21"/>
          <w:szCs w:val="21"/>
          <w:highlight w:val="none"/>
          <w:u w:val="singl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地址：</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 xml:space="preserve"> 邮编：</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 xml:space="preserve">  电话、传真：</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p>
    <w:p>
      <w:pPr>
        <w:pStyle w:val="12"/>
        <w:spacing w:line="320" w:lineRule="exact"/>
        <w:ind w:firstLine="42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开户名称：</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p>
    <w:p>
      <w:pPr>
        <w:pStyle w:val="12"/>
        <w:spacing w:line="320" w:lineRule="exact"/>
        <w:ind w:firstLine="42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开户银行：</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p>
    <w:p>
      <w:pPr>
        <w:pStyle w:val="12"/>
        <w:spacing w:line="320" w:lineRule="exact"/>
        <w:ind w:firstLine="42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账号：</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p>
    <w:p>
      <w:pPr>
        <w:pStyle w:val="12"/>
        <w:spacing w:line="320" w:lineRule="exact"/>
        <w:ind w:firstLine="420"/>
        <w:rPr>
          <w:rFonts w:hint="eastAsia" w:ascii="宋体" w:hAnsi="宋体" w:eastAsia="宋体" w:cs="宋体"/>
          <w:bCs/>
          <w:color w:val="000000" w:themeColor="text1"/>
          <w:sz w:val="21"/>
          <w:szCs w:val="21"/>
          <w:u w:val="single"/>
          <w14:textFill>
            <w14:solidFill>
              <w14:schemeClr w14:val="tx1"/>
            </w14:solidFill>
          </w14:textFill>
        </w:rPr>
      </w:pPr>
      <w:r>
        <w:rPr>
          <w:rFonts w:hint="eastAsia" w:ascii="宋体" w:hAnsi="宋体" w:eastAsia="宋体" w:cs="宋体"/>
          <w:bCs/>
          <w:color w:val="000000" w:themeColor="text1"/>
          <w:sz w:val="21"/>
          <w:szCs w:val="21"/>
          <w:lang w:val="en-US" w:eastAsia="zh-CN"/>
          <w14:textFill>
            <w14:solidFill>
              <w14:schemeClr w14:val="tx1"/>
            </w14:solidFill>
          </w14:textFill>
        </w:rPr>
        <w:t>供应商[</w:t>
      </w:r>
      <w:r>
        <w:rPr>
          <w:rFonts w:hint="eastAsia" w:ascii="宋体" w:hAnsi="宋体" w:eastAsia="宋体" w:cs="宋体"/>
          <w:bCs/>
          <w:color w:val="000000" w:themeColor="text1"/>
          <w:sz w:val="21"/>
          <w:szCs w:val="21"/>
          <w14:textFill>
            <w14:solidFill>
              <w14:schemeClr w14:val="tx1"/>
            </w14:solidFill>
          </w14:textFill>
        </w:rPr>
        <w:t>公章</w:t>
      </w:r>
      <w:r>
        <w:rPr>
          <w:rFonts w:hint="eastAsia" w:ascii="宋体" w:hAnsi="宋体" w:eastAsia="宋体" w:cs="宋体"/>
          <w:bCs/>
          <w:color w:val="000000" w:themeColor="text1"/>
          <w:sz w:val="21"/>
          <w:szCs w:val="21"/>
          <w:lang w:val="en-US" w:eastAsia="zh-CN"/>
          <w14:textFill>
            <w14:solidFill>
              <w14:schemeClr w14:val="tx1"/>
            </w14:solidFill>
          </w14:textFill>
        </w:rPr>
        <w:t>(CA签章)</w:t>
      </w:r>
      <w:r>
        <w:rPr>
          <w:rFonts w:hint="eastAsia" w:ascii="宋体" w:hAnsi="宋体" w:eastAsia="宋体" w:cs="宋体"/>
          <w:bCs/>
          <w:color w:val="000000" w:themeColor="text1"/>
          <w:sz w:val="21"/>
          <w:szCs w:val="21"/>
          <w14:textFill>
            <w14:solidFill>
              <w14:schemeClr w14:val="tx1"/>
            </w14:solidFill>
          </w14:textFill>
        </w:rPr>
        <w:t>、自然人除外</w:t>
      </w:r>
      <w:r>
        <w:rPr>
          <w:rFonts w:hint="eastAsia" w:ascii="宋体" w:hAnsi="宋体" w:eastAsia="宋体" w:cs="宋体"/>
          <w:bCs/>
          <w:color w:val="000000" w:themeColor="text1"/>
          <w:sz w:val="21"/>
          <w:szCs w:val="21"/>
          <w:lang w:val="en-US" w:eastAsia="zh-CN"/>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u w:val="single"/>
          <w14:textFill>
            <w14:solidFill>
              <w14:schemeClr w14:val="tx1"/>
            </w14:solidFill>
          </w14:textFill>
        </w:rPr>
        <w:t xml:space="preserve">                              </w:t>
      </w:r>
    </w:p>
    <w:p>
      <w:pPr>
        <w:pStyle w:val="12"/>
        <w:spacing w:line="320" w:lineRule="exact"/>
        <w:ind w:firstLine="420"/>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法定代表人、负责人、自然人或相应的委托代理人签字</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或盖章</w:t>
      </w:r>
      <w:r>
        <w:rPr>
          <w:rFonts w:hint="eastAsia" w:ascii="宋体" w:hAnsi="宋体" w:eastAsia="宋体" w:cs="宋体"/>
          <w:color w:val="000000" w:themeColor="text1"/>
          <w:sz w:val="21"/>
          <w:szCs w:val="21"/>
          <w:lang w:val="en-US" w:eastAsia="zh-CN"/>
          <w14:textFill>
            <w14:solidFill>
              <w14:schemeClr w14:val="tx1"/>
            </w14:solidFill>
          </w14:textFill>
        </w:rPr>
        <w:t>(CA签章)]</w:t>
      </w:r>
      <w:r>
        <w:rPr>
          <w:rFonts w:hint="eastAsia" w:ascii="宋体" w:hAnsi="宋体" w:eastAsia="宋体" w:cs="宋体"/>
          <w:color w:val="000000" w:themeColor="text1"/>
          <w:sz w:val="21"/>
          <w:szCs w:val="21"/>
          <w14:textFill>
            <w14:solidFill>
              <w14:schemeClr w14:val="tx1"/>
            </w14:solidFill>
          </w14:textFill>
        </w:rPr>
        <w:t>（属自然人的应在签名处加盖大拇指指印</w:t>
      </w:r>
      <w:r>
        <w:rPr>
          <w:rFonts w:hint="eastAsia" w:ascii="宋体" w:hAnsi="宋体" w:eastAsia="宋体" w:cs="宋体"/>
          <w:color w:val="000000" w:themeColor="text1"/>
          <w:sz w:val="21"/>
          <w:szCs w:val="21"/>
          <w:lang w:eastAsia="zh-CN"/>
          <w14:textFill>
            <w14:solidFill>
              <w14:schemeClr w14:val="tx1"/>
            </w14:solidFill>
          </w14:textFill>
        </w:rPr>
        <w:t>或</w:t>
      </w:r>
      <w:r>
        <w:rPr>
          <w:rFonts w:hint="eastAsia" w:ascii="宋体" w:hAnsi="宋体" w:eastAsia="宋体" w:cs="宋体"/>
          <w:color w:val="000000" w:themeColor="text1"/>
          <w:sz w:val="21"/>
          <w:szCs w:val="21"/>
          <w:lang w:val="en-US" w:eastAsia="zh-CN"/>
          <w14:textFill>
            <w14:solidFill>
              <w14:schemeClr w14:val="tx1"/>
            </w14:solidFill>
          </w14:textFill>
        </w:rPr>
        <w:t>个人CA签章</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u w:val="single"/>
          <w14:textFill>
            <w14:solidFill>
              <w14:schemeClr w14:val="tx1"/>
            </w14:solidFill>
          </w14:textFill>
        </w:rPr>
        <w:t xml:space="preserve">              </w:t>
      </w:r>
    </w:p>
    <w:p>
      <w:pPr>
        <w:pStyle w:val="12"/>
        <w:spacing w:line="320" w:lineRule="exact"/>
        <w:ind w:firstLine="420"/>
        <w:rPr>
          <w:rFonts w:hint="eastAsia" w:ascii="宋体" w:hAnsi="宋体" w:eastAsia="宋体" w:cs="宋体"/>
          <w:color w:val="000000" w:themeColor="text1"/>
          <w:sz w:val="21"/>
          <w:szCs w:val="21"/>
          <w:highlight w:val="none"/>
          <w:u w:val="singl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响应</w:t>
      </w:r>
      <w:r>
        <w:rPr>
          <w:rFonts w:hint="eastAsia" w:ascii="宋体" w:hAnsi="宋体" w:eastAsia="宋体" w:cs="宋体"/>
          <w:color w:val="000000" w:themeColor="text1"/>
          <w:sz w:val="21"/>
          <w:szCs w:val="21"/>
          <w:highlight w:val="none"/>
          <w14:textFill>
            <w14:solidFill>
              <w14:schemeClr w14:val="tx1"/>
            </w14:solidFill>
          </w14:textFill>
        </w:rPr>
        <w:t>日期：</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p>
    <w:p>
      <w:pPr>
        <w:pStyle w:val="7"/>
        <w:rPr>
          <w:rFonts w:hint="eastAsia" w:ascii="宋体" w:hAnsi="宋体" w:eastAsia="宋体" w:cs="宋体"/>
          <w:color w:val="000000" w:themeColor="text1"/>
          <w:sz w:val="21"/>
          <w:szCs w:val="21"/>
          <w:highlight w:val="none"/>
          <w:u w:val="single"/>
          <w14:textFill>
            <w14:solidFill>
              <w14:schemeClr w14:val="tx1"/>
            </w14:solidFill>
          </w14:textFill>
        </w:rPr>
      </w:pPr>
    </w:p>
    <w:p>
      <w:pPr>
        <w:rPr>
          <w:rFonts w:hint="eastAsia" w:ascii="宋体" w:hAnsi="宋体" w:eastAsia="宋体" w:cs="宋体"/>
          <w:color w:val="000000" w:themeColor="text1"/>
          <w:sz w:val="21"/>
          <w:szCs w:val="21"/>
          <w:highlight w:val="none"/>
          <w:u w:val="single"/>
          <w14:textFill>
            <w14:solidFill>
              <w14:schemeClr w14:val="tx1"/>
            </w14:solidFill>
          </w14:textFill>
        </w:rPr>
      </w:pPr>
    </w:p>
    <w:p>
      <w:pPr>
        <w:pStyle w:val="4"/>
        <w:rPr>
          <w:rFonts w:hint="eastAsia" w:ascii="宋体" w:hAnsi="宋体" w:eastAsia="宋体" w:cs="宋体"/>
          <w:color w:val="000000" w:themeColor="text1"/>
          <w:sz w:val="21"/>
          <w:szCs w:val="21"/>
          <w:highlight w:val="none"/>
          <w:u w:val="single"/>
          <w14:textFill>
            <w14:solidFill>
              <w14:schemeClr w14:val="tx1"/>
            </w14:solidFill>
          </w14:textFill>
        </w:rPr>
      </w:pPr>
    </w:p>
    <w:p>
      <w:pPr>
        <w:rPr>
          <w:rFonts w:hint="eastAsia" w:ascii="宋体" w:hAnsi="宋体" w:eastAsia="宋体" w:cs="宋体"/>
          <w:color w:val="000000" w:themeColor="text1"/>
          <w:sz w:val="21"/>
          <w:szCs w:val="21"/>
          <w:highlight w:val="none"/>
          <w:u w:val="single"/>
          <w14:textFill>
            <w14:solidFill>
              <w14:schemeClr w14:val="tx1"/>
            </w14:solidFill>
          </w14:textFill>
        </w:rPr>
      </w:pPr>
    </w:p>
    <w:p>
      <w:pPr>
        <w:pStyle w:val="4"/>
        <w:rPr>
          <w:rFonts w:hint="eastAsia"/>
          <w:color w:val="000000" w:themeColor="text1"/>
          <w14:textFill>
            <w14:solidFill>
              <w14:schemeClr w14:val="tx1"/>
            </w14:solidFill>
          </w14:textFill>
        </w:rPr>
      </w:pPr>
    </w:p>
    <w:p>
      <w:pPr>
        <w:pStyle w:val="12"/>
        <w:numPr>
          <w:ilvl w:val="0"/>
          <w:numId w:val="0"/>
        </w:numPr>
        <w:spacing w:line="340" w:lineRule="exact"/>
        <w:rPr>
          <w:rFonts w:hint="eastAsia" w:ascii="宋体" w:hAnsi="宋体" w:eastAsia="宋体" w:cs="宋体"/>
          <w:b/>
          <w:color w:val="000000" w:themeColor="text1"/>
          <w:sz w:val="28"/>
          <w:szCs w:val="28"/>
          <w:lang w:val="en-US" w:eastAsia="zh-CN"/>
          <w14:textFill>
            <w14:solidFill>
              <w14:schemeClr w14:val="tx1"/>
            </w14:solidFill>
          </w14:textFill>
        </w:rPr>
      </w:pPr>
    </w:p>
    <w:p>
      <w:pPr>
        <w:pStyle w:val="12"/>
        <w:numPr>
          <w:ilvl w:val="0"/>
          <w:numId w:val="0"/>
        </w:numPr>
        <w:spacing w:line="340" w:lineRule="exact"/>
        <w:rPr>
          <w:rFonts w:hint="eastAsia" w:ascii="宋体" w:hAnsi="宋体" w:eastAsia="宋体" w:cs="宋体"/>
          <w:color w:val="000000" w:themeColor="text1"/>
          <w14:textFill>
            <w14:solidFill>
              <w14:schemeClr w14:val="tx1"/>
            </w14:solidFill>
          </w14:textFill>
        </w:rPr>
      </w:pPr>
      <w:r>
        <w:rPr>
          <w:rFonts w:hint="eastAsia" w:hAnsi="宋体" w:cs="宋体"/>
          <w:b/>
          <w:color w:val="000000" w:themeColor="text1"/>
          <w:sz w:val="28"/>
          <w:szCs w:val="28"/>
          <w:lang w:val="en-US" w:eastAsia="zh-CN"/>
          <w14:textFill>
            <w14:solidFill>
              <w14:schemeClr w14:val="tx1"/>
            </w14:solidFill>
          </w14:textFill>
        </w:rPr>
        <w:t>2</w:t>
      </w:r>
      <w:r>
        <w:rPr>
          <w:rFonts w:hint="eastAsia" w:ascii="宋体" w:hAnsi="宋体" w:eastAsia="宋体" w:cs="宋体"/>
          <w:b/>
          <w:color w:val="000000" w:themeColor="text1"/>
          <w:sz w:val="28"/>
          <w:szCs w:val="28"/>
          <w:lang w:val="en-US" w:eastAsia="zh-CN"/>
          <w14:textFill>
            <w14:solidFill>
              <w14:schemeClr w14:val="tx1"/>
            </w14:solidFill>
          </w14:textFill>
        </w:rPr>
        <w:t xml:space="preserve">. </w:t>
      </w:r>
      <w:r>
        <w:rPr>
          <w:rFonts w:hint="eastAsia" w:ascii="宋体" w:hAnsi="宋体" w:eastAsia="宋体" w:cs="宋体"/>
          <w:b/>
          <w:color w:val="000000" w:themeColor="text1"/>
          <w:sz w:val="28"/>
          <w:szCs w:val="28"/>
          <w14:textFill>
            <w14:solidFill>
              <w14:schemeClr w14:val="tx1"/>
            </w14:solidFill>
          </w14:textFill>
        </w:rPr>
        <w:t>磋商报价表（必须提供）；</w:t>
      </w:r>
    </w:p>
    <w:p>
      <w:pPr>
        <w:pStyle w:val="12"/>
        <w:spacing w:line="320" w:lineRule="exact"/>
        <w:jc w:val="left"/>
        <w:rPr>
          <w:rFonts w:hint="eastAsia" w:ascii="宋体" w:hAnsi="宋体" w:eastAsia="宋体" w:cs="宋体"/>
          <w:b/>
          <w:color w:val="000000" w:themeColor="text1"/>
          <w:sz w:val="28"/>
          <w:szCs w:val="28"/>
          <w14:textFill>
            <w14:solidFill>
              <w14:schemeClr w14:val="tx1"/>
            </w14:solidFill>
          </w14:textFill>
        </w:rPr>
      </w:pPr>
    </w:p>
    <w:p>
      <w:pPr>
        <w:pStyle w:val="7"/>
        <w:ind w:left="0" w:leftChars="0" w:firstLine="0" w:firstLineChars="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b/>
          <w:bCs/>
          <w:color w:val="000000" w:themeColor="text1"/>
          <w:sz w:val="30"/>
          <w:szCs w:val="30"/>
          <w14:textFill>
            <w14:solidFill>
              <w14:schemeClr w14:val="tx1"/>
            </w14:solidFill>
          </w14:textFill>
        </w:rPr>
        <w:t>附件：</w:t>
      </w:r>
    </w:p>
    <w:p>
      <w:pPr>
        <w:pStyle w:val="12"/>
        <w:keepNext w:val="0"/>
        <w:keepLines w:val="0"/>
        <w:pageBreakBefore w:val="0"/>
        <w:widowControl w:val="0"/>
        <w:kinsoku/>
        <w:wordWrap/>
        <w:overflowPunct/>
        <w:topLinePunct w:val="0"/>
        <w:autoSpaceDE/>
        <w:autoSpaceDN/>
        <w:bidi w:val="0"/>
        <w:adjustRightInd/>
        <w:snapToGrid/>
        <w:spacing w:line="480" w:lineRule="exact"/>
        <w:ind w:left="420"/>
        <w:jc w:val="center"/>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kern w:val="2"/>
          <w:sz w:val="21"/>
          <w:szCs w:val="21"/>
          <w:lang w:val="en-US" w:eastAsia="zh-CN" w:bidi="ar-SA"/>
          <w14:textFill>
            <w14:solidFill>
              <w14:schemeClr w14:val="tx1"/>
            </w14:solidFill>
          </w14:textFill>
        </w:rPr>
        <w:t>磋商报价表（格式）</w:t>
      </w:r>
    </w:p>
    <w:tbl>
      <w:tblPr>
        <w:tblStyle w:val="2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6"/>
        <w:gridCol w:w="2728"/>
        <w:gridCol w:w="1275"/>
        <w:gridCol w:w="1215"/>
        <w:gridCol w:w="1157"/>
        <w:gridCol w:w="426"/>
        <w:gridCol w:w="427"/>
        <w:gridCol w:w="427"/>
        <w:gridCol w:w="1113"/>
        <w:gridCol w:w="7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trPr>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项号</w:t>
            </w:r>
          </w:p>
        </w:tc>
        <w:tc>
          <w:tcPr>
            <w:tcW w:w="272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lang w:eastAsia="zh-CN"/>
                <w14:textFill>
                  <w14:solidFill>
                    <w14:schemeClr w14:val="tx1"/>
                  </w14:solidFill>
                </w14:textFill>
              </w:rPr>
              <w:t>采购货物</w:t>
            </w:r>
            <w:r>
              <w:rPr>
                <w:rFonts w:hint="eastAsia" w:ascii="宋体" w:hAnsi="宋体"/>
                <w:color w:val="000000" w:themeColor="text1"/>
                <w14:textFill>
                  <w14:solidFill>
                    <w14:schemeClr w14:val="tx1"/>
                  </w14:solidFill>
                </w14:textFill>
              </w:rPr>
              <w:t>名称</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生产厂家</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品牌</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规格型号</w:t>
            </w: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数量</w:t>
            </w:r>
          </w:p>
          <w:p>
            <w:pPr>
              <w:spacing w:line="3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①</w:t>
            </w:r>
          </w:p>
        </w:tc>
        <w:tc>
          <w:tcPr>
            <w:tcW w:w="42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单位</w:t>
            </w:r>
          </w:p>
        </w:tc>
        <w:tc>
          <w:tcPr>
            <w:tcW w:w="42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单价</w:t>
            </w:r>
          </w:p>
          <w:p>
            <w:pPr>
              <w:spacing w:line="3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②</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单项合计=数量×单价</w:t>
            </w:r>
          </w:p>
          <w:p>
            <w:pPr>
              <w:spacing w:line="3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③＝①×②</w:t>
            </w:r>
          </w:p>
        </w:tc>
        <w:tc>
          <w:tcPr>
            <w:tcW w:w="730" w:type="dxa"/>
            <w:tcBorders>
              <w:bottom w:val="single" w:color="auto" w:sz="4" w:space="0"/>
            </w:tcBorders>
            <w:noWrap w:val="0"/>
            <w:vAlign w:val="center"/>
          </w:tcPr>
          <w:p>
            <w:pPr>
              <w:spacing w:line="30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4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72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000000" w:themeColor="text1"/>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000000" w:themeColor="text1"/>
                <w14:textFill>
                  <w14:solidFill>
                    <w14:schemeClr w14:val="tx1"/>
                  </w14:solidFill>
                </w14:textFill>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000000" w:themeColor="text1"/>
                <w14:textFill>
                  <w14:solidFill>
                    <w14:schemeClr w14:val="tx1"/>
                  </w14:solidFill>
                </w14:textFill>
              </w:rPr>
            </w:pPr>
          </w:p>
        </w:tc>
        <w:tc>
          <w:tcPr>
            <w:tcW w:w="11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000000" w:themeColor="text1"/>
                <w14:textFill>
                  <w14:solidFill>
                    <w14:schemeClr w14:val="tx1"/>
                  </w14:solidFill>
                </w14:textFill>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themeColor="text1"/>
                <w:szCs w:val="21"/>
                <w14:textFill>
                  <w14:solidFill>
                    <w14:schemeClr w14:val="tx1"/>
                  </w14:solidFill>
                </w14:textFill>
              </w:rPr>
            </w:pPr>
          </w:p>
        </w:tc>
        <w:tc>
          <w:tcPr>
            <w:tcW w:w="4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themeColor="text1"/>
                <w:szCs w:val="21"/>
                <w14:textFill>
                  <w14:solidFill>
                    <w14:schemeClr w14:val="tx1"/>
                  </w14:solidFill>
                </w14:textFill>
              </w:rPr>
            </w:pPr>
          </w:p>
        </w:tc>
        <w:tc>
          <w:tcPr>
            <w:tcW w:w="42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b/>
                <w:bCs/>
                <w:color w:val="000000" w:themeColor="text1"/>
                <w14:textFill>
                  <w14:solidFill>
                    <w14:schemeClr w14:val="tx1"/>
                  </w14:solidFill>
                </w14:textFill>
              </w:rPr>
            </w:pPr>
          </w:p>
        </w:tc>
        <w:tc>
          <w:tcPr>
            <w:tcW w:w="11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b/>
                <w:bCs/>
                <w:color w:val="000000" w:themeColor="text1"/>
                <w14:textFill>
                  <w14:solidFill>
                    <w14:schemeClr w14:val="tx1"/>
                  </w14:solidFill>
                </w14:textFill>
              </w:rPr>
            </w:pPr>
          </w:p>
        </w:tc>
        <w:tc>
          <w:tcPr>
            <w:tcW w:w="730" w:type="dxa"/>
            <w:tcBorders>
              <w:top w:val="single" w:color="auto" w:sz="4" w:space="0"/>
              <w:bottom w:val="single" w:color="auto" w:sz="4" w:space="0"/>
            </w:tcBorders>
            <w:noWrap w:val="0"/>
            <w:vAlign w:val="center"/>
          </w:tcPr>
          <w:p>
            <w:pPr>
              <w:spacing w:line="300" w:lineRule="exact"/>
              <w:jc w:val="center"/>
              <w:rPr>
                <w:rFonts w:ascii="宋体" w:hAnsi="宋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426" w:type="dxa"/>
            <w:tcBorders>
              <w:top w:val="single" w:color="auto" w:sz="4" w:space="0"/>
              <w:left w:val="single" w:color="auto" w:sz="4" w:space="0"/>
              <w:right w:val="single" w:color="auto" w:sz="4" w:space="0"/>
            </w:tcBorders>
            <w:noWrap w:val="0"/>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272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000000" w:themeColor="text1"/>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000000" w:themeColor="text1"/>
                <w14:textFill>
                  <w14:solidFill>
                    <w14:schemeClr w14:val="tx1"/>
                  </w14:solidFill>
                </w14:textFill>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000000" w:themeColor="text1"/>
                <w14:textFill>
                  <w14:solidFill>
                    <w14:schemeClr w14:val="tx1"/>
                  </w14:solidFill>
                </w14:textFill>
              </w:rPr>
            </w:pPr>
          </w:p>
        </w:tc>
        <w:tc>
          <w:tcPr>
            <w:tcW w:w="11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000000" w:themeColor="text1"/>
                <w14:textFill>
                  <w14:solidFill>
                    <w14:schemeClr w14:val="tx1"/>
                  </w14:solidFill>
                </w14:textFill>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themeColor="text1"/>
                <w:szCs w:val="21"/>
                <w14:textFill>
                  <w14:solidFill>
                    <w14:schemeClr w14:val="tx1"/>
                  </w14:solidFill>
                </w14:textFill>
              </w:rPr>
            </w:pPr>
          </w:p>
        </w:tc>
        <w:tc>
          <w:tcPr>
            <w:tcW w:w="4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themeColor="text1"/>
                <w:szCs w:val="21"/>
                <w14:textFill>
                  <w14:solidFill>
                    <w14:schemeClr w14:val="tx1"/>
                  </w14:solidFill>
                </w14:textFill>
              </w:rPr>
            </w:pPr>
          </w:p>
        </w:tc>
        <w:tc>
          <w:tcPr>
            <w:tcW w:w="42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b/>
                <w:bCs/>
                <w:color w:val="000000" w:themeColor="text1"/>
                <w14:textFill>
                  <w14:solidFill>
                    <w14:schemeClr w14:val="tx1"/>
                  </w14:solidFill>
                </w14:textFill>
              </w:rPr>
            </w:pPr>
          </w:p>
        </w:tc>
        <w:tc>
          <w:tcPr>
            <w:tcW w:w="11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b/>
                <w:bCs/>
                <w:color w:val="000000" w:themeColor="text1"/>
                <w14:textFill>
                  <w14:solidFill>
                    <w14:schemeClr w14:val="tx1"/>
                  </w14:solidFill>
                </w14:textFill>
              </w:rPr>
            </w:pPr>
          </w:p>
        </w:tc>
        <w:tc>
          <w:tcPr>
            <w:tcW w:w="730" w:type="dxa"/>
            <w:tcBorders>
              <w:top w:val="single" w:color="auto" w:sz="4" w:space="0"/>
              <w:bottom w:val="single" w:color="auto" w:sz="4" w:space="0"/>
            </w:tcBorders>
            <w:noWrap w:val="0"/>
            <w:vAlign w:val="center"/>
          </w:tcPr>
          <w:p>
            <w:pPr>
              <w:spacing w:line="300" w:lineRule="exact"/>
              <w:jc w:val="center"/>
              <w:rPr>
                <w:rFonts w:ascii="宋体" w:hAnsi="宋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426" w:type="dxa"/>
            <w:tcBorders>
              <w:top w:val="single" w:color="auto" w:sz="4" w:space="0"/>
              <w:left w:val="single" w:color="auto" w:sz="4" w:space="0"/>
              <w:right w:val="single" w:color="auto" w:sz="4" w:space="0"/>
            </w:tcBorders>
            <w:noWrap w:val="0"/>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272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000000" w:themeColor="text1"/>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000000" w:themeColor="text1"/>
                <w14:textFill>
                  <w14:solidFill>
                    <w14:schemeClr w14:val="tx1"/>
                  </w14:solidFill>
                </w14:textFill>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000000" w:themeColor="text1"/>
                <w14:textFill>
                  <w14:solidFill>
                    <w14:schemeClr w14:val="tx1"/>
                  </w14:solidFill>
                </w14:textFill>
              </w:rPr>
            </w:pPr>
          </w:p>
        </w:tc>
        <w:tc>
          <w:tcPr>
            <w:tcW w:w="11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000000" w:themeColor="text1"/>
                <w14:textFill>
                  <w14:solidFill>
                    <w14:schemeClr w14:val="tx1"/>
                  </w14:solidFill>
                </w14:textFill>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themeColor="text1"/>
                <w:szCs w:val="21"/>
                <w14:textFill>
                  <w14:solidFill>
                    <w14:schemeClr w14:val="tx1"/>
                  </w14:solidFill>
                </w14:textFill>
              </w:rPr>
            </w:pPr>
          </w:p>
        </w:tc>
        <w:tc>
          <w:tcPr>
            <w:tcW w:w="4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themeColor="text1"/>
                <w:szCs w:val="21"/>
                <w14:textFill>
                  <w14:solidFill>
                    <w14:schemeClr w14:val="tx1"/>
                  </w14:solidFill>
                </w14:textFill>
              </w:rPr>
            </w:pPr>
          </w:p>
        </w:tc>
        <w:tc>
          <w:tcPr>
            <w:tcW w:w="42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b/>
                <w:bCs/>
                <w:color w:val="000000" w:themeColor="text1"/>
                <w14:textFill>
                  <w14:solidFill>
                    <w14:schemeClr w14:val="tx1"/>
                  </w14:solidFill>
                </w14:textFill>
              </w:rPr>
            </w:pPr>
          </w:p>
        </w:tc>
        <w:tc>
          <w:tcPr>
            <w:tcW w:w="11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b/>
                <w:bCs/>
                <w:color w:val="000000" w:themeColor="text1"/>
                <w14:textFill>
                  <w14:solidFill>
                    <w14:schemeClr w14:val="tx1"/>
                  </w14:solidFill>
                </w14:textFill>
              </w:rPr>
            </w:pPr>
          </w:p>
        </w:tc>
        <w:tc>
          <w:tcPr>
            <w:tcW w:w="730" w:type="dxa"/>
            <w:tcBorders>
              <w:top w:val="single" w:color="auto" w:sz="4" w:space="0"/>
              <w:bottom w:val="single" w:color="auto" w:sz="4" w:space="0"/>
            </w:tcBorders>
            <w:noWrap w:val="0"/>
            <w:vAlign w:val="center"/>
          </w:tcPr>
          <w:p>
            <w:pPr>
              <w:spacing w:line="300" w:lineRule="exact"/>
              <w:jc w:val="center"/>
              <w:rPr>
                <w:rFonts w:ascii="宋体" w:hAnsi="宋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426" w:type="dxa"/>
            <w:tcBorders>
              <w:top w:val="single" w:color="auto" w:sz="4" w:space="0"/>
              <w:left w:val="single" w:color="auto" w:sz="4" w:space="0"/>
              <w:right w:val="single" w:color="auto" w:sz="4" w:space="0"/>
            </w:tcBorders>
            <w:noWrap w:val="0"/>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N</w:t>
            </w:r>
          </w:p>
        </w:tc>
        <w:tc>
          <w:tcPr>
            <w:tcW w:w="272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b/>
                <w:bCs/>
                <w:color w:val="000000" w:themeColor="text1"/>
                <w14:textFill>
                  <w14:solidFill>
                    <w14:schemeClr w14:val="tx1"/>
                  </w14:solidFill>
                </w14:textFill>
              </w:rPr>
            </w:pPr>
            <w:r>
              <w:rPr>
                <w:rFonts w:ascii="宋体" w:hAnsi="宋体" w:cs="宋体"/>
                <w:color w:val="000000" w:themeColor="text1"/>
                <w:szCs w:val="21"/>
                <w14:textFill>
                  <w14:solidFill>
                    <w14:schemeClr w14:val="tx1"/>
                  </w14:solidFill>
                </w14:textFill>
              </w:rPr>
              <w:t>…</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b/>
                <w:bCs/>
                <w:color w:val="000000" w:themeColor="text1"/>
                <w14:textFill>
                  <w14:solidFill>
                    <w14:schemeClr w14:val="tx1"/>
                  </w14:solidFill>
                </w14:textFill>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b/>
                <w:bCs/>
                <w:color w:val="000000" w:themeColor="text1"/>
                <w14:textFill>
                  <w14:solidFill>
                    <w14:schemeClr w14:val="tx1"/>
                  </w14:solidFill>
                </w14:textFill>
              </w:rPr>
            </w:pPr>
          </w:p>
        </w:tc>
        <w:tc>
          <w:tcPr>
            <w:tcW w:w="11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b/>
                <w:bCs/>
                <w:color w:val="000000" w:themeColor="text1"/>
                <w14:textFill>
                  <w14:solidFill>
                    <w14:schemeClr w14:val="tx1"/>
                  </w14:solidFill>
                </w14:textFill>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w:t>
            </w:r>
          </w:p>
        </w:tc>
        <w:tc>
          <w:tcPr>
            <w:tcW w:w="4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themeColor="text1"/>
                <w:szCs w:val="21"/>
                <w14:textFill>
                  <w14:solidFill>
                    <w14:schemeClr w14:val="tx1"/>
                  </w14:solidFill>
                </w14:textFill>
              </w:rPr>
            </w:pPr>
          </w:p>
        </w:tc>
        <w:tc>
          <w:tcPr>
            <w:tcW w:w="42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b/>
                <w:bCs/>
                <w:color w:val="000000" w:themeColor="text1"/>
                <w14:textFill>
                  <w14:solidFill>
                    <w14:schemeClr w14:val="tx1"/>
                  </w14:solidFill>
                </w14:textFill>
              </w:rPr>
            </w:pPr>
          </w:p>
        </w:tc>
        <w:tc>
          <w:tcPr>
            <w:tcW w:w="11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b/>
                <w:bCs/>
                <w:color w:val="000000" w:themeColor="text1"/>
                <w14:textFill>
                  <w14:solidFill>
                    <w14:schemeClr w14:val="tx1"/>
                  </w14:solidFill>
                </w14:textFill>
              </w:rPr>
            </w:pPr>
          </w:p>
        </w:tc>
        <w:tc>
          <w:tcPr>
            <w:tcW w:w="730" w:type="dxa"/>
            <w:tcBorders>
              <w:top w:val="single" w:color="auto" w:sz="4" w:space="0"/>
              <w:bottom w:val="single" w:color="auto" w:sz="4" w:space="0"/>
            </w:tcBorders>
            <w:noWrap w:val="0"/>
            <w:vAlign w:val="center"/>
          </w:tcPr>
          <w:p>
            <w:pPr>
              <w:spacing w:line="300" w:lineRule="exact"/>
              <w:jc w:val="center"/>
              <w:rPr>
                <w:rFonts w:ascii="宋体" w:hAnsi="宋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9924" w:type="dxa"/>
            <w:gridSpan w:val="10"/>
            <w:tcBorders>
              <w:top w:val="single" w:color="auto" w:sz="4" w:space="0"/>
              <w:left w:val="single" w:color="auto" w:sz="4" w:space="0"/>
              <w:bottom w:val="single" w:color="auto" w:sz="4" w:space="0"/>
            </w:tcBorders>
            <w:noWrap w:val="0"/>
            <w:vAlign w:val="center"/>
          </w:tcPr>
          <w:p>
            <w:pPr>
              <w:spacing w:line="300" w:lineRule="exact"/>
              <w:rPr>
                <w:rFonts w:hint="eastAsia" w:ascii="宋体" w:hAnsi="宋体"/>
                <w:color w:val="000000" w:themeColor="text1"/>
                <w:spacing w:val="-6"/>
                <w14:textFill>
                  <w14:solidFill>
                    <w14:schemeClr w14:val="tx1"/>
                  </w14:solidFill>
                </w14:textFill>
              </w:rPr>
            </w:pPr>
            <w:r>
              <w:rPr>
                <w:rFonts w:hint="eastAsia" w:ascii="宋体" w:hAnsi="宋体"/>
                <w:color w:val="000000" w:themeColor="text1"/>
                <w:spacing w:val="-6"/>
                <w:lang w:eastAsia="zh-CN"/>
                <w14:textFill>
                  <w14:solidFill>
                    <w14:schemeClr w14:val="tx1"/>
                  </w14:solidFill>
                </w14:textFill>
              </w:rPr>
              <w:t>磋商</w:t>
            </w:r>
            <w:r>
              <w:rPr>
                <w:rFonts w:hint="eastAsia" w:ascii="宋体" w:hAnsi="宋体"/>
                <w:color w:val="000000" w:themeColor="text1"/>
                <w:spacing w:val="-6"/>
                <w14:textFill>
                  <w14:solidFill>
                    <w14:schemeClr w14:val="tx1"/>
                  </w14:solidFill>
                </w14:textFill>
              </w:rPr>
              <w:t>总</w:t>
            </w:r>
            <w:r>
              <w:rPr>
                <w:rFonts w:ascii="宋体" w:hAnsi="宋体"/>
                <w:color w:val="000000" w:themeColor="text1"/>
                <w:spacing w:val="-6"/>
                <w14:textFill>
                  <w14:solidFill>
                    <w14:schemeClr w14:val="tx1"/>
                  </w14:solidFill>
                </w14:textFill>
              </w:rPr>
              <w:t xml:space="preserve">报价（大写）：                      </w:t>
            </w:r>
            <w:r>
              <w:rPr>
                <w:rFonts w:hint="eastAsia" w:ascii="宋体" w:hAnsi="宋体"/>
                <w:color w:val="000000" w:themeColor="text1"/>
                <w:spacing w:val="-6"/>
                <w14:textFill>
                  <w14:solidFill>
                    <w14:schemeClr w14:val="tx1"/>
                  </w14:solidFill>
                </w14:textFill>
              </w:rPr>
              <w:t xml:space="preserve">            </w:t>
            </w:r>
            <w:r>
              <w:rPr>
                <w:rFonts w:ascii="宋体" w:hAnsi="宋体"/>
                <w:color w:val="000000" w:themeColor="text1"/>
                <w:spacing w:val="-6"/>
                <w14:textFill>
                  <w14:solidFill>
                    <w14:schemeClr w14:val="tx1"/>
                  </w14:solidFill>
                </w14:textFill>
              </w:rPr>
              <w:t xml:space="preserve">  </w:t>
            </w:r>
            <w:r>
              <w:rPr>
                <w:rFonts w:hint="eastAsia" w:ascii="宋体" w:hAnsi="宋体"/>
                <w:color w:val="000000" w:themeColor="text1"/>
                <w:spacing w:val="-6"/>
                <w14:textFill>
                  <w14:solidFill>
                    <w14:schemeClr w14:val="tx1"/>
                  </w14:solidFill>
                </w14:textFill>
              </w:rPr>
              <w:t>元</w:t>
            </w:r>
            <w:r>
              <w:rPr>
                <w:rFonts w:ascii="宋体" w:hAnsi="宋体"/>
                <w:color w:val="000000" w:themeColor="text1"/>
                <w:spacing w:val="-6"/>
                <w14:textFill>
                  <w14:solidFill>
                    <w14:schemeClr w14:val="tx1"/>
                  </w14:solidFill>
                </w14:textFill>
              </w:rPr>
              <w:t>人民币（</w:t>
            </w:r>
            <w:r>
              <w:rPr>
                <w:rFonts w:hint="eastAsia" w:ascii="宋体" w:hAnsi="宋体"/>
                <w:color w:val="000000" w:themeColor="text1"/>
                <w:spacing w:val="-6"/>
                <w14:textFill>
                  <w14:solidFill>
                    <w14:schemeClr w14:val="tx1"/>
                  </w14:solidFill>
                </w14:textFill>
              </w:rPr>
              <w:t>¥</w:t>
            </w:r>
            <w:r>
              <w:rPr>
                <w:rFonts w:ascii="宋体" w:hAnsi="宋体"/>
                <w:color w:val="000000" w:themeColor="text1"/>
                <w:spacing w:val="-6"/>
                <w14:textFill>
                  <w14:solidFill>
                    <w14:schemeClr w14:val="tx1"/>
                  </w14:solidFill>
                </w14:textFill>
              </w:rPr>
              <w:t xml:space="preserve">         </w:t>
            </w:r>
            <w:r>
              <w:rPr>
                <w:rFonts w:hint="eastAsia" w:ascii="宋体" w:hAnsi="宋体"/>
                <w:color w:val="000000" w:themeColor="text1"/>
                <w:spacing w:val="-6"/>
                <w14:textFill>
                  <w14:solidFill>
                    <w14:schemeClr w14:val="tx1"/>
                  </w14:solidFill>
                </w14:textFill>
              </w:rPr>
              <w:t xml:space="preserve">           </w:t>
            </w:r>
            <w:r>
              <w:rPr>
                <w:rFonts w:ascii="宋体" w:hAnsi="宋体"/>
                <w:color w:val="000000" w:themeColor="text1"/>
                <w:spacing w:val="-6"/>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9924" w:type="dxa"/>
            <w:gridSpan w:val="10"/>
            <w:tcBorders>
              <w:top w:val="single" w:color="auto" w:sz="4" w:space="0"/>
              <w:left w:val="single" w:color="auto" w:sz="4" w:space="0"/>
              <w:bottom w:val="single" w:color="auto" w:sz="4" w:space="0"/>
            </w:tcBorders>
            <w:noWrap w:val="0"/>
            <w:vAlign w:val="center"/>
          </w:tcPr>
          <w:p>
            <w:pPr>
              <w:spacing w:line="300" w:lineRule="exact"/>
              <w:rPr>
                <w:rFonts w:hint="eastAsia" w:ascii="宋体" w:hAnsi="宋体"/>
                <w:color w:val="000000" w:themeColor="text1"/>
                <w:spacing w:val="-6"/>
                <w14:textFill>
                  <w14:solidFill>
                    <w14:schemeClr w14:val="tx1"/>
                  </w14:solidFill>
                </w14:textFill>
              </w:rPr>
            </w:pPr>
            <w:r>
              <w:rPr>
                <w:rFonts w:hint="eastAsia" w:ascii="宋体" w:hAnsi="宋体"/>
                <w:color w:val="000000" w:themeColor="text1"/>
                <w:spacing w:val="-6"/>
                <w14:textFill>
                  <w14:solidFill>
                    <w14:schemeClr w14:val="tx1"/>
                  </w14:solidFill>
                </w14:textFill>
              </w:rPr>
              <w:t>交付使用期: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9924" w:type="dxa"/>
            <w:gridSpan w:val="10"/>
            <w:tcBorders>
              <w:top w:val="single" w:color="auto" w:sz="4" w:space="0"/>
              <w:left w:val="single" w:color="auto" w:sz="4" w:space="0"/>
              <w:bottom w:val="single" w:color="auto" w:sz="4" w:space="0"/>
            </w:tcBorders>
            <w:noWrap w:val="0"/>
            <w:vAlign w:val="center"/>
          </w:tcPr>
          <w:p>
            <w:pPr>
              <w:spacing w:line="300" w:lineRule="exact"/>
              <w:rPr>
                <w:rFonts w:hint="eastAsia" w:ascii="宋体" w:hAnsi="宋体"/>
                <w:color w:val="000000" w:themeColor="text1"/>
                <w:spacing w:val="-6"/>
                <w14:textFill>
                  <w14:solidFill>
                    <w14:schemeClr w14:val="tx1"/>
                  </w14:solidFill>
                </w14:textFill>
              </w:rPr>
            </w:pPr>
            <w:r>
              <w:rPr>
                <w:rFonts w:hint="eastAsia" w:ascii="宋体" w:hAnsi="宋体"/>
                <w:color w:val="000000" w:themeColor="text1"/>
                <w:spacing w:val="-6"/>
                <w14:textFill>
                  <w14:solidFill>
                    <w14:schemeClr w14:val="tx1"/>
                  </w14:solidFill>
                </w14:textFill>
              </w:rPr>
              <w:t>免费保修期: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5" w:hRule="atLeast"/>
        </w:trPr>
        <w:tc>
          <w:tcPr>
            <w:tcW w:w="9924" w:type="dxa"/>
            <w:gridSpan w:val="10"/>
            <w:tcBorders>
              <w:top w:val="single" w:color="auto" w:sz="4" w:space="0"/>
              <w:left w:val="single" w:color="auto" w:sz="4" w:space="0"/>
              <w:bottom w:val="single" w:color="auto" w:sz="4" w:space="0"/>
            </w:tcBorders>
            <w:noWrap w:val="0"/>
            <w:vAlign w:val="center"/>
          </w:tcPr>
          <w:p>
            <w:pPr>
              <w:spacing w:line="340" w:lineRule="exact"/>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说明：</w:t>
            </w:r>
            <w:r>
              <w:rPr>
                <w:rFonts w:hint="eastAsia" w:ascii="宋体" w:hAnsi="宋体"/>
                <w:color w:val="000000" w:themeColor="text1"/>
                <w:lang w:eastAsia="zh-CN"/>
                <w14:textFill>
                  <w14:solidFill>
                    <w14:schemeClr w14:val="tx1"/>
                  </w14:solidFill>
                </w14:textFill>
              </w:rPr>
              <w:t>磋商</w:t>
            </w:r>
            <w:r>
              <w:rPr>
                <w:rFonts w:hint="eastAsia" w:ascii="宋体" w:hAnsi="宋体"/>
                <w:color w:val="000000" w:themeColor="text1"/>
                <w14:textFill>
                  <w14:solidFill>
                    <w14:schemeClr w14:val="tx1"/>
                  </w14:solidFill>
                </w14:textFill>
              </w:rPr>
              <w:t>报价指</w:t>
            </w:r>
            <w:r>
              <w:rPr>
                <w:rFonts w:hint="eastAsia" w:ascii="宋体" w:hAnsi="宋体"/>
                <w:color w:val="000000" w:themeColor="text1"/>
                <w:szCs w:val="21"/>
                <w14:textFill>
                  <w14:solidFill>
                    <w14:schemeClr w14:val="tx1"/>
                  </w14:solidFill>
                </w14:textFill>
              </w:rPr>
              <w:t>本次招标采购范围内货物价款、</w:t>
            </w:r>
            <w:r>
              <w:rPr>
                <w:rFonts w:hint="eastAsia" w:ascii="宋体" w:hAnsi="宋体" w:cs="Courier New"/>
                <w:color w:val="000000" w:themeColor="text1"/>
                <w:szCs w:val="21"/>
                <w14:textFill>
                  <w14:solidFill>
                    <w14:schemeClr w14:val="tx1"/>
                  </w14:solidFill>
                </w14:textFill>
              </w:rPr>
              <w:t>货物随配标准附件、</w:t>
            </w:r>
            <w:r>
              <w:rPr>
                <w:rFonts w:hint="eastAsia" w:ascii="宋体" w:hAnsi="宋体"/>
                <w:color w:val="000000" w:themeColor="text1"/>
                <w:szCs w:val="21"/>
                <w14:textFill>
                  <w14:solidFill>
                    <w14:schemeClr w14:val="tx1"/>
                  </w14:solidFill>
                </w14:textFill>
              </w:rPr>
              <w:t>包装、运输、装卸、保险、税金、货到位以及安装、安装所需辅材、调试、检验、售后服务、培训、保修</w:t>
            </w:r>
            <w:r>
              <w:rPr>
                <w:rFonts w:hint="eastAsia" w:ascii="宋体" w:hAnsi="宋体" w:cs="Courier New"/>
                <w:color w:val="000000" w:themeColor="text1"/>
                <w:szCs w:val="21"/>
                <w14:textFill>
                  <w14:solidFill>
                    <w14:schemeClr w14:val="tx1"/>
                  </w14:solidFill>
                </w14:textFill>
              </w:rPr>
              <w:t>及其他所有成本费用的总和</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lang w:eastAsia="zh-CN"/>
                <w14:textFill>
                  <w14:solidFill>
                    <w14:schemeClr w14:val="tx1"/>
                  </w14:solidFill>
                </w14:textFill>
              </w:rPr>
              <w:t>供应商</w:t>
            </w:r>
            <w:r>
              <w:rPr>
                <w:rFonts w:hint="eastAsia" w:ascii="宋体" w:hAnsi="宋体"/>
                <w:color w:val="000000" w:themeColor="text1"/>
                <w14:textFill>
                  <w14:solidFill>
                    <w14:schemeClr w14:val="tx1"/>
                  </w14:solidFill>
                </w14:textFill>
              </w:rPr>
              <w:t>综合考虑在报价中。</w:t>
            </w:r>
          </w:p>
        </w:tc>
      </w:tr>
    </w:tbl>
    <w:p>
      <w:pPr>
        <w:spacing w:line="340" w:lineRule="exac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供应商</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lang w:val="en-US" w:eastAsia="zh-CN"/>
          <w14:textFill>
            <w14:solidFill>
              <w14:schemeClr w14:val="tx1"/>
            </w14:solidFill>
          </w14:textFill>
        </w:rPr>
        <w:t>CA签章</w:t>
      </w:r>
      <w:r>
        <w:rPr>
          <w:rFonts w:hint="eastAsia" w:ascii="宋体" w:hAnsi="宋体" w:eastAsia="宋体" w:cs="宋体"/>
          <w:color w:val="000000" w:themeColor="text1"/>
          <w:szCs w:val="21"/>
          <w14:textFill>
            <w14:solidFill>
              <w14:schemeClr w14:val="tx1"/>
            </w14:solidFill>
          </w14:textFill>
        </w:rPr>
        <w:t>，自然人除外）：</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法定代表人、负责人、自然人或相应的委托代理人签字或</w:t>
      </w:r>
      <w:r>
        <w:rPr>
          <w:rFonts w:hint="eastAsia" w:ascii="宋体" w:hAnsi="宋体" w:eastAsia="宋体" w:cs="宋体"/>
          <w:color w:val="000000" w:themeColor="text1"/>
          <w:lang w:eastAsia="zh-CN"/>
          <w14:textFill>
            <w14:solidFill>
              <w14:schemeClr w14:val="tx1"/>
            </w14:solidFill>
          </w14:textFill>
        </w:rPr>
        <w:t>个人</w:t>
      </w:r>
      <w:r>
        <w:rPr>
          <w:rFonts w:hint="eastAsia" w:ascii="宋体" w:hAnsi="宋体" w:eastAsia="宋体" w:cs="宋体"/>
          <w:color w:val="000000" w:themeColor="text1"/>
          <w:lang w:val="en-US" w:eastAsia="zh-CN"/>
          <w14:textFill>
            <w14:solidFill>
              <w14:schemeClr w14:val="tx1"/>
            </w14:solidFill>
          </w14:textFill>
        </w:rPr>
        <w:t>CA签章</w:t>
      </w:r>
      <w:r>
        <w:rPr>
          <w:rFonts w:hint="eastAsia" w:ascii="宋体" w:hAnsi="宋体" w:eastAsia="宋体" w:cs="宋体"/>
          <w:color w:val="000000" w:themeColor="text1"/>
          <w14:textFill>
            <w14:solidFill>
              <w14:schemeClr w14:val="tx1"/>
            </w14:solidFill>
          </w14:textFill>
        </w:rPr>
        <w:t>（属自然人的应在签名处加盖食指指印</w:t>
      </w:r>
      <w:r>
        <w:rPr>
          <w:rFonts w:hint="eastAsia" w:ascii="宋体" w:hAnsi="宋体" w:eastAsia="宋体" w:cs="宋体"/>
          <w:color w:val="000000" w:themeColor="text1"/>
          <w:lang w:eastAsia="zh-CN"/>
          <w14:textFill>
            <w14:solidFill>
              <w14:schemeClr w14:val="tx1"/>
            </w14:solidFill>
          </w14:textFill>
        </w:rPr>
        <w:t>或个人</w:t>
      </w:r>
      <w:r>
        <w:rPr>
          <w:rFonts w:hint="eastAsia" w:ascii="宋体" w:hAnsi="宋体" w:eastAsia="宋体" w:cs="宋体"/>
          <w:color w:val="000000" w:themeColor="text1"/>
          <w:lang w:val="en-US" w:eastAsia="zh-CN"/>
          <w14:textFill>
            <w14:solidFill>
              <w14:schemeClr w14:val="tx1"/>
            </w14:solidFill>
          </w14:textFill>
        </w:rPr>
        <w:t>CA签章</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szCs w:val="21"/>
          <w:u w:val="single"/>
          <w14:textFill>
            <w14:solidFill>
              <w14:schemeClr w14:val="tx1"/>
            </w14:solidFill>
          </w14:textFill>
        </w:rPr>
        <w:t xml:space="preserve">                                    </w:t>
      </w:r>
    </w:p>
    <w:p>
      <w:pPr>
        <w:tabs>
          <w:tab w:val="left" w:pos="1305"/>
        </w:tabs>
        <w:spacing w:line="340" w:lineRule="exact"/>
        <w:rPr>
          <w:rFonts w:hint="eastAsia" w:ascii="宋体" w:hAnsi="宋体" w:eastAsia="宋体" w:cs="宋体"/>
          <w:bCs/>
          <w:color w:val="000000" w:themeColor="text1"/>
          <w:sz w:val="21"/>
          <w:szCs w:val="21"/>
          <w14:textFill>
            <w14:solidFill>
              <w14:schemeClr w14:val="tx1"/>
            </w14:solidFill>
          </w14:textFill>
        </w:rPr>
      </w:pPr>
    </w:p>
    <w:p>
      <w:pPr>
        <w:tabs>
          <w:tab w:val="left" w:pos="1305"/>
        </w:tabs>
        <w:spacing w:line="340" w:lineRule="exact"/>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注</w:t>
      </w:r>
      <w:r>
        <w:rPr>
          <w:rFonts w:hint="eastAsia" w:ascii="宋体" w:hAnsi="宋体" w:eastAsia="宋体" w:cs="宋体"/>
          <w:b/>
          <w:bCs/>
          <w:color w:val="000000" w:themeColor="text1"/>
          <w:sz w:val="21"/>
          <w:szCs w:val="21"/>
          <w14:textFill>
            <w14:solidFill>
              <w14:schemeClr w14:val="tx1"/>
            </w14:solidFill>
          </w14:textFill>
        </w:rPr>
        <w:t>：</w:t>
      </w:r>
      <w:r>
        <w:rPr>
          <w:rFonts w:hint="eastAsia" w:ascii="宋体" w:hAnsi="宋体" w:eastAsia="宋体" w:cs="宋体"/>
          <w:bCs/>
          <w:color w:val="000000" w:themeColor="text1"/>
          <w:sz w:val="21"/>
          <w:szCs w:val="21"/>
          <w14:textFill>
            <w14:solidFill>
              <w14:schemeClr w14:val="tx1"/>
            </w14:solidFill>
          </w14:textFill>
        </w:rPr>
        <w:t>1.各</w:t>
      </w:r>
      <w:r>
        <w:rPr>
          <w:rFonts w:hint="eastAsia" w:ascii="宋体" w:hAnsi="宋体" w:cs="宋体"/>
          <w:color w:val="000000" w:themeColor="text1"/>
          <w:szCs w:val="21"/>
          <w:lang w:eastAsia="zh-CN"/>
          <w14:textFill>
            <w14:solidFill>
              <w14:schemeClr w14:val="tx1"/>
            </w14:solidFill>
          </w14:textFill>
        </w:rPr>
        <w:t>供应商</w:t>
      </w:r>
      <w:r>
        <w:rPr>
          <w:rFonts w:hint="eastAsia" w:ascii="宋体" w:hAnsi="宋体" w:eastAsia="宋体" w:cs="宋体"/>
          <w:color w:val="000000" w:themeColor="text1"/>
          <w:sz w:val="21"/>
          <w:szCs w:val="21"/>
          <w14:textFill>
            <w14:solidFill>
              <w14:schemeClr w14:val="tx1"/>
            </w14:solidFill>
          </w14:textFill>
        </w:rPr>
        <w:t>必须就“</w:t>
      </w:r>
      <w:r>
        <w:rPr>
          <w:rFonts w:hint="eastAsia" w:ascii="宋体" w:hAnsi="宋体" w:cs="宋体"/>
          <w:color w:val="000000" w:themeColor="text1"/>
          <w:sz w:val="21"/>
          <w:szCs w:val="21"/>
          <w:lang w:eastAsia="zh-CN"/>
          <w14:textFill>
            <w14:solidFill>
              <w14:schemeClr w14:val="tx1"/>
            </w14:solidFill>
          </w14:textFill>
        </w:rPr>
        <w:t>货物</w:t>
      </w:r>
      <w:r>
        <w:rPr>
          <w:rFonts w:hint="eastAsia" w:ascii="宋体" w:hAnsi="宋体" w:eastAsia="宋体" w:cs="宋体"/>
          <w:color w:val="000000" w:themeColor="text1"/>
          <w:sz w:val="21"/>
          <w:szCs w:val="21"/>
          <w14:textFill>
            <w14:solidFill>
              <w14:schemeClr w14:val="tx1"/>
            </w14:solidFill>
          </w14:textFill>
        </w:rPr>
        <w:t>采购需求”中所投分标的所有内容作完整唯一报价，否则，其投标将被拒绝。投标文件只允许有一个报价。</w:t>
      </w:r>
    </w:p>
    <w:p>
      <w:pPr>
        <w:pStyle w:val="12"/>
        <w:spacing w:line="36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r>
        <w:rPr>
          <w:rFonts w:hint="eastAsia" w:ascii="宋体" w:hAnsi="宋体" w:cs="宋体"/>
          <w:color w:val="000000" w:themeColor="text1"/>
          <w:szCs w:val="21"/>
          <w:lang w:eastAsia="zh-CN"/>
          <w14:textFill>
            <w14:solidFill>
              <w14:schemeClr w14:val="tx1"/>
            </w14:solidFill>
          </w14:textFill>
        </w:rPr>
        <w:t>供应商</w:t>
      </w:r>
      <w:r>
        <w:rPr>
          <w:rFonts w:hint="eastAsia" w:ascii="宋体" w:hAnsi="宋体" w:eastAsia="宋体" w:cs="宋体"/>
          <w:color w:val="000000" w:themeColor="text1"/>
          <w:sz w:val="21"/>
          <w:szCs w:val="21"/>
          <w14:textFill>
            <w14:solidFill>
              <w14:schemeClr w14:val="tx1"/>
            </w14:solidFill>
          </w14:textFill>
        </w:rPr>
        <w:t>应根据所投</w:t>
      </w:r>
      <w:r>
        <w:rPr>
          <w:rFonts w:hint="eastAsia" w:ascii="宋体" w:hAnsi="宋体" w:eastAsia="宋体" w:cs="宋体"/>
          <w:color w:val="000000" w:themeColor="text1"/>
          <w:sz w:val="21"/>
          <w:szCs w:val="21"/>
          <w:lang w:val="en-US" w:eastAsia="zh-CN"/>
          <w14:textFill>
            <w14:solidFill>
              <w14:schemeClr w14:val="tx1"/>
            </w14:solidFill>
          </w14:textFill>
        </w:rPr>
        <w:t>项目</w:t>
      </w:r>
      <w:r>
        <w:rPr>
          <w:rFonts w:hint="eastAsia" w:ascii="宋体" w:hAnsi="宋体" w:eastAsia="宋体" w:cs="宋体"/>
          <w:color w:val="000000" w:themeColor="text1"/>
          <w:sz w:val="21"/>
          <w:szCs w:val="21"/>
          <w14:textFill>
            <w14:solidFill>
              <w14:schemeClr w14:val="tx1"/>
            </w14:solidFill>
          </w14:textFill>
        </w:rPr>
        <w:t>如实填写投标报价表</w:t>
      </w:r>
      <w:r>
        <w:rPr>
          <w:rFonts w:hint="eastAsia" w:ascii="宋体" w:hAnsi="宋体" w:eastAsia="宋体" w:cs="宋体"/>
          <w:bCs/>
          <w:color w:val="000000" w:themeColor="text1"/>
          <w:sz w:val="21"/>
          <w:szCs w:val="21"/>
          <w14:textFill>
            <w14:solidFill>
              <w14:schemeClr w14:val="tx1"/>
            </w14:solidFill>
          </w14:textFill>
        </w:rPr>
        <w:t>的各项内容。</w:t>
      </w:r>
    </w:p>
    <w:p>
      <w:pPr>
        <w:ind w:firstLine="420" w:firstLineChars="200"/>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r>
        <w:rPr>
          <w:rFonts w:hint="eastAsia" w:ascii="宋体" w:hAnsi="宋体" w:cs="宋体"/>
          <w:color w:val="000000" w:themeColor="text1"/>
          <w:lang w:eastAsia="zh-CN"/>
          <w14:textFill>
            <w14:solidFill>
              <w14:schemeClr w14:val="tx1"/>
            </w14:solidFill>
          </w14:textFill>
        </w:rPr>
        <w:t>磋商</w:t>
      </w:r>
      <w:r>
        <w:rPr>
          <w:rFonts w:hint="eastAsia" w:ascii="宋体" w:hAnsi="宋体" w:eastAsia="宋体" w:cs="宋体"/>
          <w:color w:val="000000" w:themeColor="text1"/>
          <w14:textFill>
            <w14:solidFill>
              <w14:schemeClr w14:val="tx1"/>
            </w14:solidFill>
          </w14:textFill>
        </w:rPr>
        <w:t>报价表须由法定代表人负责人、自然人或相应的委托代理人签字或</w:t>
      </w:r>
      <w:r>
        <w:rPr>
          <w:rFonts w:hint="eastAsia" w:ascii="宋体" w:hAnsi="宋体" w:eastAsia="宋体" w:cs="宋体"/>
          <w:color w:val="000000" w:themeColor="text1"/>
          <w:lang w:eastAsia="zh-CN"/>
          <w14:textFill>
            <w14:solidFill>
              <w14:schemeClr w14:val="tx1"/>
            </w14:solidFill>
          </w14:textFill>
        </w:rPr>
        <w:t>个人</w:t>
      </w:r>
      <w:r>
        <w:rPr>
          <w:rFonts w:hint="eastAsia" w:ascii="宋体" w:hAnsi="宋体" w:eastAsia="宋体" w:cs="宋体"/>
          <w:color w:val="000000" w:themeColor="text1"/>
          <w:lang w:val="en-US" w:eastAsia="zh-CN"/>
          <w14:textFill>
            <w14:solidFill>
              <w14:schemeClr w14:val="tx1"/>
            </w14:solidFill>
          </w14:textFill>
        </w:rPr>
        <w:t>CA签章</w:t>
      </w:r>
      <w:r>
        <w:rPr>
          <w:rFonts w:hint="eastAsia" w:ascii="宋体" w:hAnsi="宋体" w:eastAsia="宋体" w:cs="宋体"/>
          <w:color w:val="000000" w:themeColor="text1"/>
          <w14:textFill>
            <w14:solidFill>
              <w14:schemeClr w14:val="tx1"/>
            </w14:solidFill>
          </w14:textFill>
        </w:rPr>
        <w:t>（属自然人的应在签名处加盖食指指印</w:t>
      </w:r>
      <w:r>
        <w:rPr>
          <w:rFonts w:hint="eastAsia" w:ascii="宋体" w:hAnsi="宋体" w:eastAsia="宋体" w:cs="宋体"/>
          <w:color w:val="000000" w:themeColor="text1"/>
          <w:lang w:eastAsia="zh-CN"/>
          <w14:textFill>
            <w14:solidFill>
              <w14:schemeClr w14:val="tx1"/>
            </w14:solidFill>
          </w14:textFill>
        </w:rPr>
        <w:t>或个人</w:t>
      </w:r>
      <w:r>
        <w:rPr>
          <w:rFonts w:hint="eastAsia" w:ascii="宋体" w:hAnsi="宋体" w:eastAsia="宋体" w:cs="宋体"/>
          <w:color w:val="000000" w:themeColor="text1"/>
          <w:lang w:val="en-US" w:eastAsia="zh-CN"/>
          <w14:textFill>
            <w14:solidFill>
              <w14:schemeClr w14:val="tx1"/>
            </w14:solidFill>
          </w14:textFill>
        </w:rPr>
        <w:t>CA签章</w:t>
      </w:r>
      <w:r>
        <w:rPr>
          <w:rFonts w:hint="eastAsia" w:ascii="宋体" w:hAnsi="宋体" w:eastAsia="宋体" w:cs="宋体"/>
          <w:color w:val="000000" w:themeColor="text1"/>
          <w14:textFill>
            <w14:solidFill>
              <w14:schemeClr w14:val="tx1"/>
            </w14:solidFill>
          </w14:textFill>
        </w:rPr>
        <w:t>）并加盖投标人</w:t>
      </w:r>
      <w:r>
        <w:rPr>
          <w:rFonts w:hint="eastAsia" w:ascii="宋体" w:hAnsi="宋体" w:eastAsia="宋体" w:cs="宋体"/>
          <w:color w:val="000000" w:themeColor="text1"/>
          <w:lang w:val="en-US" w:eastAsia="zh-CN"/>
          <w14:textFill>
            <w14:solidFill>
              <w14:schemeClr w14:val="tx1"/>
            </w14:solidFill>
          </w14:textFill>
        </w:rPr>
        <w:t>CA签章</w:t>
      </w:r>
      <w:r>
        <w:rPr>
          <w:rFonts w:hint="eastAsia" w:ascii="宋体" w:hAnsi="宋体" w:eastAsia="宋体" w:cs="宋体"/>
          <w:color w:val="000000" w:themeColor="text1"/>
          <w14:textFill>
            <w14:solidFill>
              <w14:schemeClr w14:val="tx1"/>
            </w14:solidFill>
          </w14:textFill>
        </w:rPr>
        <w:t>（自然人除外）。</w:t>
      </w:r>
      <w:r>
        <w:rPr>
          <w:rFonts w:hint="eastAsia" w:ascii="宋体" w:hAnsi="宋体" w:eastAsia="宋体" w:cs="宋体"/>
          <w:b/>
          <w:color w:val="000000" w:themeColor="text1"/>
          <w14:textFill>
            <w14:solidFill>
              <w14:schemeClr w14:val="tx1"/>
            </w14:solidFill>
          </w14:textFill>
        </w:rPr>
        <w:t>当本表由多页构成时，需逐页加盖投标人公章（属自然人的须逐页签字</w:t>
      </w:r>
      <w:r>
        <w:rPr>
          <w:rFonts w:hint="eastAsia" w:ascii="宋体" w:hAnsi="宋体" w:eastAsia="宋体" w:cs="宋体"/>
          <w:b/>
          <w:color w:val="000000" w:themeColor="text1"/>
          <w:lang w:eastAsia="zh-CN"/>
          <w14:textFill>
            <w14:solidFill>
              <w14:schemeClr w14:val="tx1"/>
            </w14:solidFill>
          </w14:textFill>
        </w:rPr>
        <w:t>或个人</w:t>
      </w:r>
      <w:r>
        <w:rPr>
          <w:rFonts w:hint="eastAsia" w:ascii="宋体" w:hAnsi="宋体" w:eastAsia="宋体" w:cs="宋体"/>
          <w:b/>
          <w:color w:val="000000" w:themeColor="text1"/>
          <w:lang w:val="en-US" w:eastAsia="zh-CN"/>
          <w14:textFill>
            <w14:solidFill>
              <w14:schemeClr w14:val="tx1"/>
            </w14:solidFill>
          </w14:textFill>
        </w:rPr>
        <w:t>CA签章</w:t>
      </w:r>
      <w:r>
        <w:rPr>
          <w:rFonts w:hint="eastAsia" w:ascii="宋体" w:hAnsi="宋体" w:eastAsia="宋体" w:cs="宋体"/>
          <w:b/>
          <w:color w:val="000000" w:themeColor="text1"/>
          <w14:textFill>
            <w14:solidFill>
              <w14:schemeClr w14:val="tx1"/>
            </w14:solidFill>
          </w14:textFill>
        </w:rPr>
        <w:t>）</w:t>
      </w:r>
    </w:p>
    <w:p>
      <w:pPr>
        <w:ind w:firstLine="420" w:firstLineChars="200"/>
        <w:rPr>
          <w:rFonts w:hint="eastAsia" w:ascii="宋体" w:hAnsi="宋体"/>
          <w:color w:val="000000" w:themeColor="text1"/>
          <w:szCs w:val="20"/>
          <w14:textFill>
            <w14:solidFill>
              <w14:schemeClr w14:val="tx1"/>
            </w14:solidFill>
          </w14:textFill>
        </w:rPr>
      </w:pPr>
      <w:r>
        <w:rPr>
          <w:rFonts w:hint="eastAsia" w:ascii="宋体" w:hAnsi="宋体"/>
          <w:bCs/>
          <w:color w:val="000000" w:themeColor="text1"/>
          <w:szCs w:val="21"/>
          <w14:textFill>
            <w14:solidFill>
              <w14:schemeClr w14:val="tx1"/>
            </w14:solidFill>
          </w14:textFill>
        </w:rPr>
        <w:t>4.如</w:t>
      </w:r>
      <w:r>
        <w:rPr>
          <w:rFonts w:hint="eastAsia" w:ascii="宋体" w:hAnsi="宋体"/>
          <w:bCs/>
          <w:color w:val="000000" w:themeColor="text1"/>
          <w:szCs w:val="21"/>
          <w:lang w:eastAsia="zh-CN"/>
          <w14:textFill>
            <w14:solidFill>
              <w14:schemeClr w14:val="tx1"/>
            </w14:solidFill>
          </w14:textFill>
        </w:rPr>
        <w:t>磋商</w:t>
      </w:r>
      <w:r>
        <w:rPr>
          <w:rFonts w:hint="eastAsia" w:ascii="宋体" w:hAnsi="宋体"/>
          <w:bCs/>
          <w:color w:val="000000" w:themeColor="text1"/>
          <w:szCs w:val="21"/>
          <w14:textFill>
            <w14:solidFill>
              <w14:schemeClr w14:val="tx1"/>
            </w14:solidFill>
          </w14:textFill>
        </w:rPr>
        <w:t>的全部或部分产品属于《节能产品政府采购清单》或《环境标志产品政府采购清单》目录范围的，</w:t>
      </w:r>
      <w:r>
        <w:rPr>
          <w:rFonts w:hint="eastAsia" w:ascii="宋体" w:hAnsi="宋体"/>
          <w:bCs/>
          <w:color w:val="000000" w:themeColor="text1"/>
          <w:szCs w:val="21"/>
          <w:lang w:eastAsia="zh-CN"/>
          <w14:textFill>
            <w14:solidFill>
              <w14:schemeClr w14:val="tx1"/>
            </w14:solidFill>
          </w14:textFill>
        </w:rPr>
        <w:t>供应商</w:t>
      </w:r>
      <w:r>
        <w:rPr>
          <w:rFonts w:hint="eastAsia" w:ascii="宋体" w:hAnsi="宋体"/>
          <w:bCs/>
          <w:color w:val="000000" w:themeColor="text1"/>
          <w:szCs w:val="21"/>
          <w14:textFill>
            <w14:solidFill>
              <w14:schemeClr w14:val="tx1"/>
            </w14:solidFill>
          </w14:textFill>
        </w:rPr>
        <w:t>应在本表备注栏内写明各分项货物属于节能（或环境标志）产品政府采购清单第几类第几项序号的产品；属于节能产品或环境标志产品，但不在上述最新目录范围内的，请在本表备注栏内写明“详见证明材料”，并提供相关证明材料复印件（加盖</w:t>
      </w:r>
      <w:r>
        <w:rPr>
          <w:rFonts w:hint="eastAsia" w:ascii="宋体" w:hAnsi="宋体"/>
          <w:bCs/>
          <w:color w:val="000000" w:themeColor="text1"/>
          <w:szCs w:val="21"/>
          <w:lang w:eastAsia="zh-CN"/>
          <w14:textFill>
            <w14:solidFill>
              <w14:schemeClr w14:val="tx1"/>
            </w14:solidFill>
          </w14:textFill>
        </w:rPr>
        <w:t>供应商</w:t>
      </w:r>
      <w:r>
        <w:rPr>
          <w:rFonts w:hint="eastAsia" w:ascii="宋体" w:hAnsi="宋体"/>
          <w:bCs/>
          <w:color w:val="000000" w:themeColor="text1"/>
          <w:szCs w:val="21"/>
          <w14:textFill>
            <w14:solidFill>
              <w14:schemeClr w14:val="tx1"/>
            </w14:solidFill>
          </w14:textFill>
        </w:rPr>
        <w:t>CA签章，属自然人的应在签名处加盖食指指印或个人CA签章），以便评标委员会作为优先采购或评分的依据。</w:t>
      </w:r>
      <w:r>
        <w:rPr>
          <w:rFonts w:hint="eastAsia" w:ascii="宋体" w:hAnsi="宋体"/>
          <w:color w:val="000000" w:themeColor="text1"/>
          <w:szCs w:val="20"/>
          <w14:textFill>
            <w14:solidFill>
              <w14:schemeClr w14:val="tx1"/>
            </w14:solidFill>
          </w14:textFill>
        </w:rPr>
        <w:t xml:space="preserve"> </w:t>
      </w:r>
    </w:p>
    <w:p>
      <w:pPr>
        <w:pStyle w:val="9"/>
        <w:rPr>
          <w:rFonts w:hint="eastAsia"/>
          <w:color w:val="000000" w:themeColor="text1"/>
          <w:lang w:val="en-US" w:eastAsia="zh-CN"/>
          <w14:textFill>
            <w14:solidFill>
              <w14:schemeClr w14:val="tx1"/>
            </w14:solidFill>
          </w14:textFill>
        </w:rPr>
      </w:pPr>
    </w:p>
    <w:p>
      <w:pPr>
        <w:rPr>
          <w:rFonts w:hint="eastAsia" w:ascii="宋体" w:hAnsi="宋体" w:eastAsia="宋体" w:cs="宋体"/>
          <w:b/>
          <w:bCs/>
          <w:color w:val="000000" w:themeColor="text1"/>
          <w:sz w:val="32"/>
          <w:szCs w:val="32"/>
          <w14:textFill>
            <w14:solidFill>
              <w14:schemeClr w14:val="tx1"/>
            </w14:solidFill>
          </w14:textFill>
        </w:rPr>
      </w:pPr>
    </w:p>
    <w:p>
      <w:pPr>
        <w:pStyle w:val="8"/>
        <w:rPr>
          <w:rFonts w:hint="eastAsia" w:ascii="宋体" w:hAnsi="宋体" w:eastAsia="宋体" w:cs="宋体"/>
          <w:color w:val="000000" w:themeColor="text1"/>
          <w14:textFill>
            <w14:solidFill>
              <w14:schemeClr w14:val="tx1"/>
            </w14:solidFill>
          </w14:textFill>
        </w:rPr>
        <w:sectPr>
          <w:footerReference r:id="rId7" w:type="default"/>
          <w:pgSz w:w="11906" w:h="16838"/>
          <w:pgMar w:top="1440" w:right="935" w:bottom="1440" w:left="777" w:header="851" w:footer="992" w:gutter="0"/>
          <w:pgNumType w:fmt="numberInDash" w:start="1"/>
          <w:cols w:space="720" w:num="1"/>
          <w:rtlGutter w:val="0"/>
          <w:docGrid w:type="linesAndChars" w:linePitch="312" w:charSpace="0"/>
        </w:sectPr>
      </w:pPr>
    </w:p>
    <w:p>
      <w:pPr>
        <w:pStyle w:val="12"/>
        <w:numPr>
          <w:ilvl w:val="0"/>
          <w:numId w:val="0"/>
        </w:numPr>
        <w:spacing w:line="340" w:lineRule="exact"/>
        <w:rPr>
          <w:rFonts w:hint="eastAsia" w:ascii="宋体" w:hAnsi="宋体" w:eastAsia="宋体" w:cs="宋体"/>
          <w:b/>
          <w:color w:val="000000" w:themeColor="text1"/>
          <w:sz w:val="28"/>
          <w:szCs w:val="28"/>
          <w14:textFill>
            <w14:solidFill>
              <w14:schemeClr w14:val="tx1"/>
            </w14:solidFill>
          </w14:textFill>
        </w:rPr>
      </w:pPr>
      <w:r>
        <w:rPr>
          <w:rFonts w:hint="eastAsia" w:hAnsi="宋体" w:cs="宋体"/>
          <w:b/>
          <w:color w:val="000000" w:themeColor="text1"/>
          <w:sz w:val="28"/>
          <w:szCs w:val="28"/>
          <w:lang w:val="en-US" w:eastAsia="zh-CN"/>
          <w14:textFill>
            <w14:solidFill>
              <w14:schemeClr w14:val="tx1"/>
            </w14:solidFill>
          </w14:textFill>
        </w:rPr>
        <w:t>3.服务（技术）响应、商务偏离情况说明表</w:t>
      </w:r>
      <w:r>
        <w:rPr>
          <w:rFonts w:hint="eastAsia" w:ascii="宋体" w:hAnsi="宋体" w:eastAsia="宋体" w:cs="宋体"/>
          <w:b/>
          <w:color w:val="000000" w:themeColor="text1"/>
          <w:sz w:val="28"/>
          <w:szCs w:val="28"/>
          <w:lang w:eastAsia="zh-CN"/>
          <w14:textFill>
            <w14:solidFill>
              <w14:schemeClr w14:val="tx1"/>
            </w14:solidFill>
          </w14:textFill>
        </w:rPr>
        <w:t>（格式见附件）</w:t>
      </w:r>
      <w:r>
        <w:rPr>
          <w:rFonts w:hint="eastAsia" w:ascii="宋体" w:hAnsi="宋体" w:eastAsia="宋体" w:cs="宋体"/>
          <w:b/>
          <w:color w:val="000000" w:themeColor="text1"/>
          <w:sz w:val="28"/>
          <w:szCs w:val="28"/>
          <w14:textFill>
            <w14:solidFill>
              <w14:schemeClr w14:val="tx1"/>
            </w14:solidFill>
          </w14:textFill>
        </w:rPr>
        <w:t>(必须提供)；</w:t>
      </w:r>
    </w:p>
    <w:p>
      <w:pPr>
        <w:rPr>
          <w:rFonts w:hint="eastAsia" w:ascii="宋体" w:hAnsi="宋体" w:eastAsia="宋体" w:cs="宋体"/>
          <w:color w:val="000000" w:themeColor="text1"/>
          <w14:textFill>
            <w14:solidFill>
              <w14:schemeClr w14:val="tx1"/>
            </w14:solidFill>
          </w14:textFill>
        </w:rPr>
      </w:pPr>
    </w:p>
    <w:p>
      <w:pPr>
        <w:pStyle w:val="12"/>
        <w:spacing w:line="340" w:lineRule="exact"/>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附件：</w:t>
      </w:r>
    </w:p>
    <w:p>
      <w:pPr>
        <w:spacing w:line="500" w:lineRule="exact"/>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项目名称:</w:t>
      </w:r>
      <w:r>
        <w:rPr>
          <w:rFonts w:hint="eastAsia" w:ascii="宋体" w:hAnsi="宋体" w:eastAsia="宋体" w:cs="宋体"/>
          <w:color w:val="000000" w:themeColor="text1"/>
          <w:szCs w:val="21"/>
          <w:u w:val="single"/>
          <w14:textFill>
            <w14:solidFill>
              <w14:schemeClr w14:val="tx1"/>
            </w14:solidFill>
          </w14:textFill>
        </w:rPr>
        <w:t xml:space="preserve">                            </w:t>
      </w:r>
    </w:p>
    <w:p>
      <w:pPr>
        <w:spacing w:line="500" w:lineRule="exac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项目编号:</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w:t>
      </w:r>
    </w:p>
    <w:tbl>
      <w:tblPr>
        <w:tblStyle w:val="21"/>
        <w:tblW w:w="9941"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55"/>
        <w:gridCol w:w="2251"/>
        <w:gridCol w:w="3195"/>
        <w:gridCol w:w="1920"/>
        <w:gridCol w:w="192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55" w:type="dxa"/>
            <w:noWrap w:val="0"/>
            <w:vAlign w:val="center"/>
          </w:tcPr>
          <w:p>
            <w:pPr>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序号</w:t>
            </w:r>
          </w:p>
        </w:tc>
        <w:tc>
          <w:tcPr>
            <w:tcW w:w="2251" w:type="dxa"/>
            <w:noWrap w:val="0"/>
            <w:vAlign w:val="center"/>
          </w:tcPr>
          <w:p>
            <w:pPr>
              <w:jc w:val="center"/>
              <w:rPr>
                <w:rFonts w:hint="eastAsia" w:ascii="宋体" w:hAnsi="宋体" w:eastAsia="宋体" w:cs="宋体"/>
                <w:color w:val="000000" w:themeColor="text1"/>
                <w14:textFill>
                  <w14:solidFill>
                    <w14:schemeClr w14:val="tx1"/>
                  </w14:solidFill>
                </w14:textFill>
              </w:rPr>
            </w:pPr>
            <w:bookmarkStart w:id="303" w:name="_Toc254970730"/>
            <w:bookmarkStart w:id="304" w:name="_Toc173211901"/>
            <w:bookmarkStart w:id="305" w:name="_Toc254970589"/>
            <w:bookmarkStart w:id="306" w:name="_Toc173066402"/>
            <w:r>
              <w:rPr>
                <w:rFonts w:hint="eastAsia" w:ascii="宋体" w:hAnsi="宋体" w:eastAsia="宋体" w:cs="宋体"/>
                <w:color w:val="000000" w:themeColor="text1"/>
                <w14:textFill>
                  <w14:solidFill>
                    <w14:schemeClr w14:val="tx1"/>
                  </w14:solidFill>
                </w14:textFill>
              </w:rPr>
              <w:t>竞争性磋商文件要求</w:t>
            </w:r>
            <w:bookmarkEnd w:id="303"/>
            <w:bookmarkEnd w:id="304"/>
            <w:bookmarkEnd w:id="305"/>
            <w:bookmarkEnd w:id="306"/>
          </w:p>
        </w:tc>
        <w:tc>
          <w:tcPr>
            <w:tcW w:w="3195" w:type="dxa"/>
            <w:noWrap w:val="0"/>
            <w:vAlign w:val="center"/>
          </w:tcPr>
          <w:p>
            <w:pPr>
              <w:jc w:val="center"/>
              <w:rPr>
                <w:rFonts w:hint="eastAsia" w:ascii="宋体" w:hAnsi="宋体" w:eastAsia="宋体" w:cs="宋体"/>
                <w:color w:val="000000" w:themeColor="text1"/>
                <w14:textFill>
                  <w14:solidFill>
                    <w14:schemeClr w14:val="tx1"/>
                  </w14:solidFill>
                </w14:textFill>
              </w:rPr>
            </w:pPr>
            <w:bookmarkStart w:id="307" w:name="_Toc254970590"/>
            <w:bookmarkStart w:id="308" w:name="_Toc173211902"/>
            <w:bookmarkStart w:id="309" w:name="_Toc173066403"/>
            <w:bookmarkStart w:id="310" w:name="_Toc254970731"/>
            <w:r>
              <w:rPr>
                <w:rFonts w:hint="eastAsia" w:ascii="宋体" w:hAnsi="宋体" w:eastAsia="宋体" w:cs="宋体"/>
                <w:color w:val="000000" w:themeColor="text1"/>
                <w14:textFill>
                  <w14:solidFill>
                    <w14:schemeClr w14:val="tx1"/>
                  </w14:solidFill>
                </w14:textFill>
              </w:rPr>
              <w:t>竞争性磋商响应文件具体响应</w:t>
            </w:r>
            <w:bookmarkEnd w:id="307"/>
            <w:bookmarkEnd w:id="308"/>
            <w:bookmarkEnd w:id="309"/>
            <w:bookmarkEnd w:id="310"/>
          </w:p>
        </w:tc>
        <w:tc>
          <w:tcPr>
            <w:tcW w:w="1920" w:type="dxa"/>
            <w:noWrap w:val="0"/>
            <w:vAlign w:val="center"/>
          </w:tcPr>
          <w:p>
            <w:pPr>
              <w:jc w:val="center"/>
              <w:rPr>
                <w:rFonts w:hint="eastAsia" w:ascii="宋体" w:hAnsi="宋体" w:eastAsia="宋体" w:cs="宋体"/>
                <w:color w:val="000000" w:themeColor="text1"/>
                <w14:textFill>
                  <w14:solidFill>
                    <w14:schemeClr w14:val="tx1"/>
                  </w14:solidFill>
                </w14:textFill>
              </w:rPr>
            </w:pPr>
            <w:bookmarkStart w:id="311" w:name="_Toc173066404"/>
            <w:bookmarkStart w:id="312" w:name="_Toc173211903"/>
            <w:bookmarkStart w:id="313" w:name="_Toc254970732"/>
            <w:bookmarkStart w:id="314" w:name="_Toc254970591"/>
            <w:r>
              <w:rPr>
                <w:rFonts w:hint="eastAsia" w:ascii="宋体" w:hAnsi="宋体" w:eastAsia="宋体" w:cs="宋体"/>
                <w:color w:val="000000" w:themeColor="text1"/>
                <w14:textFill>
                  <w14:solidFill>
                    <w14:schemeClr w14:val="tx1"/>
                  </w14:solidFill>
                </w14:textFill>
              </w:rPr>
              <w:t>响应/偏离</w:t>
            </w:r>
            <w:bookmarkEnd w:id="311"/>
            <w:bookmarkEnd w:id="312"/>
            <w:bookmarkEnd w:id="313"/>
            <w:bookmarkEnd w:id="314"/>
          </w:p>
        </w:tc>
        <w:tc>
          <w:tcPr>
            <w:tcW w:w="1920" w:type="dxa"/>
            <w:noWrap w:val="0"/>
            <w:vAlign w:val="center"/>
          </w:tcPr>
          <w:p>
            <w:pPr>
              <w:jc w:val="center"/>
              <w:rPr>
                <w:rFonts w:hint="eastAsia" w:ascii="宋体" w:hAnsi="宋体" w:eastAsia="宋体" w:cs="宋体"/>
                <w:color w:val="000000" w:themeColor="text1"/>
                <w14:textFill>
                  <w14:solidFill>
                    <w14:schemeClr w14:val="tx1"/>
                  </w14:solidFill>
                </w14:textFill>
              </w:rPr>
            </w:pPr>
            <w:bookmarkStart w:id="315" w:name="_Toc254970733"/>
            <w:bookmarkStart w:id="316" w:name="_Toc173066405"/>
            <w:bookmarkStart w:id="317" w:name="_Toc173211904"/>
            <w:bookmarkStart w:id="318" w:name="_Toc254970592"/>
            <w:r>
              <w:rPr>
                <w:rFonts w:hint="eastAsia" w:ascii="宋体" w:hAnsi="宋体" w:eastAsia="宋体" w:cs="宋体"/>
                <w:color w:val="000000" w:themeColor="text1"/>
                <w14:textFill>
                  <w14:solidFill>
                    <w14:schemeClr w14:val="tx1"/>
                  </w14:solidFill>
                </w14:textFill>
              </w:rPr>
              <w:t>说明</w:t>
            </w:r>
            <w:bookmarkEnd w:id="315"/>
            <w:bookmarkEnd w:id="316"/>
            <w:bookmarkEnd w:id="317"/>
            <w:bookmarkEnd w:id="318"/>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9941" w:type="dxa"/>
            <w:gridSpan w:val="5"/>
            <w:noWrap w:val="0"/>
            <w:vAlign w:val="center"/>
          </w:tcPr>
          <w:p>
            <w:pPr>
              <w:jc w:val="center"/>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服务（技术）响应、</w:t>
            </w:r>
            <w:r>
              <w:rPr>
                <w:rFonts w:hint="eastAsia" w:ascii="宋体" w:hAnsi="宋体" w:eastAsia="宋体" w:cs="宋体"/>
                <w:color w:val="000000" w:themeColor="text1"/>
                <w14:textFill>
                  <w14:solidFill>
                    <w14:schemeClr w14:val="tx1"/>
                  </w14:solidFill>
                </w14:textFill>
              </w:rPr>
              <w:t>商务部分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55" w:type="dxa"/>
            <w:noWrap w:val="0"/>
            <w:vAlign w:val="center"/>
          </w:tcPr>
          <w:p>
            <w:pPr>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p>
        </w:tc>
        <w:tc>
          <w:tcPr>
            <w:tcW w:w="2251" w:type="dxa"/>
            <w:noWrap w:val="0"/>
            <w:vAlign w:val="center"/>
          </w:tcPr>
          <w:p>
            <w:pPr>
              <w:adjustRightInd w:val="0"/>
              <w:snapToGrid w:val="0"/>
              <w:spacing w:line="300" w:lineRule="auto"/>
              <w:jc w:val="center"/>
              <w:outlineLvl w:val="0"/>
              <w:rPr>
                <w:rFonts w:hint="eastAsia" w:ascii="宋体" w:hAnsi="宋体" w:eastAsia="宋体" w:cs="宋体"/>
                <w:color w:val="000000" w:themeColor="text1"/>
                <w:szCs w:val="21"/>
                <w14:textFill>
                  <w14:solidFill>
                    <w14:schemeClr w14:val="tx1"/>
                  </w14:solidFill>
                </w14:textFill>
              </w:rPr>
            </w:pPr>
          </w:p>
        </w:tc>
        <w:tc>
          <w:tcPr>
            <w:tcW w:w="3195" w:type="dxa"/>
            <w:noWrap w:val="0"/>
            <w:vAlign w:val="center"/>
          </w:tcPr>
          <w:p>
            <w:pPr>
              <w:adjustRightInd w:val="0"/>
              <w:snapToGrid w:val="0"/>
              <w:spacing w:line="300" w:lineRule="auto"/>
              <w:jc w:val="center"/>
              <w:outlineLvl w:val="0"/>
              <w:rPr>
                <w:rFonts w:hint="eastAsia" w:ascii="宋体" w:hAnsi="宋体" w:eastAsia="宋体" w:cs="宋体"/>
                <w:color w:val="000000" w:themeColor="text1"/>
                <w:szCs w:val="21"/>
                <w14:textFill>
                  <w14:solidFill>
                    <w14:schemeClr w14:val="tx1"/>
                  </w14:solidFill>
                </w14:textFill>
              </w:rPr>
            </w:pPr>
          </w:p>
        </w:tc>
        <w:tc>
          <w:tcPr>
            <w:tcW w:w="1920" w:type="dxa"/>
            <w:noWrap w:val="0"/>
            <w:vAlign w:val="center"/>
          </w:tcPr>
          <w:p>
            <w:pPr>
              <w:adjustRightInd w:val="0"/>
              <w:snapToGrid w:val="0"/>
              <w:spacing w:line="300" w:lineRule="auto"/>
              <w:jc w:val="center"/>
              <w:outlineLvl w:val="0"/>
              <w:rPr>
                <w:rFonts w:hint="eastAsia" w:ascii="宋体" w:hAnsi="宋体" w:eastAsia="宋体" w:cs="宋体"/>
                <w:color w:val="000000" w:themeColor="text1"/>
                <w:szCs w:val="21"/>
                <w14:textFill>
                  <w14:solidFill>
                    <w14:schemeClr w14:val="tx1"/>
                  </w14:solidFill>
                </w14:textFill>
              </w:rPr>
            </w:pPr>
          </w:p>
        </w:tc>
        <w:tc>
          <w:tcPr>
            <w:tcW w:w="1920" w:type="dxa"/>
            <w:noWrap w:val="0"/>
            <w:vAlign w:val="center"/>
          </w:tcPr>
          <w:p>
            <w:pPr>
              <w:adjustRightInd w:val="0"/>
              <w:snapToGrid w:val="0"/>
              <w:spacing w:line="300" w:lineRule="auto"/>
              <w:jc w:val="center"/>
              <w:outlineLvl w:val="0"/>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55" w:type="dxa"/>
            <w:noWrap w:val="0"/>
            <w:vAlign w:val="center"/>
          </w:tcPr>
          <w:p>
            <w:pPr>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w:t>
            </w:r>
          </w:p>
        </w:tc>
        <w:tc>
          <w:tcPr>
            <w:tcW w:w="2251" w:type="dxa"/>
            <w:noWrap w:val="0"/>
            <w:vAlign w:val="center"/>
          </w:tcPr>
          <w:p>
            <w:pPr>
              <w:adjustRightInd w:val="0"/>
              <w:snapToGrid w:val="0"/>
              <w:spacing w:line="300" w:lineRule="auto"/>
              <w:jc w:val="center"/>
              <w:outlineLvl w:val="0"/>
              <w:rPr>
                <w:rFonts w:hint="eastAsia" w:ascii="宋体" w:hAnsi="宋体" w:eastAsia="宋体" w:cs="宋体"/>
                <w:color w:val="000000" w:themeColor="text1"/>
                <w:szCs w:val="21"/>
                <w14:textFill>
                  <w14:solidFill>
                    <w14:schemeClr w14:val="tx1"/>
                  </w14:solidFill>
                </w14:textFill>
              </w:rPr>
            </w:pPr>
          </w:p>
        </w:tc>
        <w:tc>
          <w:tcPr>
            <w:tcW w:w="3195" w:type="dxa"/>
            <w:noWrap w:val="0"/>
            <w:vAlign w:val="center"/>
          </w:tcPr>
          <w:p>
            <w:pPr>
              <w:adjustRightInd w:val="0"/>
              <w:snapToGrid w:val="0"/>
              <w:spacing w:line="300" w:lineRule="auto"/>
              <w:jc w:val="center"/>
              <w:outlineLvl w:val="0"/>
              <w:rPr>
                <w:rFonts w:hint="eastAsia" w:ascii="宋体" w:hAnsi="宋体" w:eastAsia="宋体" w:cs="宋体"/>
                <w:color w:val="000000" w:themeColor="text1"/>
                <w:szCs w:val="21"/>
                <w14:textFill>
                  <w14:solidFill>
                    <w14:schemeClr w14:val="tx1"/>
                  </w14:solidFill>
                </w14:textFill>
              </w:rPr>
            </w:pPr>
          </w:p>
        </w:tc>
        <w:tc>
          <w:tcPr>
            <w:tcW w:w="1920" w:type="dxa"/>
            <w:noWrap w:val="0"/>
            <w:vAlign w:val="center"/>
          </w:tcPr>
          <w:p>
            <w:pPr>
              <w:adjustRightInd w:val="0"/>
              <w:snapToGrid w:val="0"/>
              <w:spacing w:line="300" w:lineRule="auto"/>
              <w:jc w:val="center"/>
              <w:outlineLvl w:val="0"/>
              <w:rPr>
                <w:rFonts w:hint="eastAsia" w:ascii="宋体" w:hAnsi="宋体" w:eastAsia="宋体" w:cs="宋体"/>
                <w:color w:val="000000" w:themeColor="text1"/>
                <w:szCs w:val="21"/>
                <w14:textFill>
                  <w14:solidFill>
                    <w14:schemeClr w14:val="tx1"/>
                  </w14:solidFill>
                </w14:textFill>
              </w:rPr>
            </w:pPr>
          </w:p>
        </w:tc>
        <w:tc>
          <w:tcPr>
            <w:tcW w:w="1920" w:type="dxa"/>
            <w:noWrap w:val="0"/>
            <w:vAlign w:val="center"/>
          </w:tcPr>
          <w:p>
            <w:pPr>
              <w:adjustRightInd w:val="0"/>
              <w:snapToGrid w:val="0"/>
              <w:spacing w:line="300" w:lineRule="auto"/>
              <w:jc w:val="center"/>
              <w:outlineLvl w:val="0"/>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55" w:type="dxa"/>
            <w:noWrap w:val="0"/>
            <w:vAlign w:val="center"/>
          </w:tcPr>
          <w:p>
            <w:pPr>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w:t>
            </w:r>
          </w:p>
        </w:tc>
        <w:tc>
          <w:tcPr>
            <w:tcW w:w="2251" w:type="dxa"/>
            <w:noWrap w:val="0"/>
            <w:vAlign w:val="center"/>
          </w:tcPr>
          <w:p>
            <w:pPr>
              <w:adjustRightInd w:val="0"/>
              <w:snapToGrid w:val="0"/>
              <w:spacing w:line="300" w:lineRule="auto"/>
              <w:jc w:val="center"/>
              <w:outlineLvl w:val="0"/>
              <w:rPr>
                <w:rFonts w:hint="eastAsia" w:ascii="宋体" w:hAnsi="宋体" w:eastAsia="宋体" w:cs="宋体"/>
                <w:color w:val="000000" w:themeColor="text1"/>
                <w:szCs w:val="21"/>
                <w14:textFill>
                  <w14:solidFill>
                    <w14:schemeClr w14:val="tx1"/>
                  </w14:solidFill>
                </w14:textFill>
              </w:rPr>
            </w:pPr>
          </w:p>
        </w:tc>
        <w:tc>
          <w:tcPr>
            <w:tcW w:w="3195" w:type="dxa"/>
            <w:noWrap w:val="0"/>
            <w:vAlign w:val="center"/>
          </w:tcPr>
          <w:p>
            <w:pPr>
              <w:adjustRightInd w:val="0"/>
              <w:snapToGrid w:val="0"/>
              <w:spacing w:line="300" w:lineRule="auto"/>
              <w:jc w:val="center"/>
              <w:outlineLvl w:val="0"/>
              <w:rPr>
                <w:rFonts w:hint="eastAsia" w:ascii="宋体" w:hAnsi="宋体" w:eastAsia="宋体" w:cs="宋体"/>
                <w:color w:val="000000" w:themeColor="text1"/>
                <w:szCs w:val="21"/>
                <w14:textFill>
                  <w14:solidFill>
                    <w14:schemeClr w14:val="tx1"/>
                  </w14:solidFill>
                </w14:textFill>
              </w:rPr>
            </w:pPr>
          </w:p>
        </w:tc>
        <w:tc>
          <w:tcPr>
            <w:tcW w:w="1920" w:type="dxa"/>
            <w:noWrap w:val="0"/>
            <w:vAlign w:val="center"/>
          </w:tcPr>
          <w:p>
            <w:pPr>
              <w:adjustRightInd w:val="0"/>
              <w:snapToGrid w:val="0"/>
              <w:spacing w:line="300" w:lineRule="auto"/>
              <w:jc w:val="center"/>
              <w:outlineLvl w:val="0"/>
              <w:rPr>
                <w:rFonts w:hint="eastAsia" w:ascii="宋体" w:hAnsi="宋体" w:eastAsia="宋体" w:cs="宋体"/>
                <w:color w:val="000000" w:themeColor="text1"/>
                <w:szCs w:val="21"/>
                <w14:textFill>
                  <w14:solidFill>
                    <w14:schemeClr w14:val="tx1"/>
                  </w14:solidFill>
                </w14:textFill>
              </w:rPr>
            </w:pPr>
          </w:p>
        </w:tc>
        <w:tc>
          <w:tcPr>
            <w:tcW w:w="1920" w:type="dxa"/>
            <w:noWrap w:val="0"/>
            <w:vAlign w:val="center"/>
          </w:tcPr>
          <w:p>
            <w:pPr>
              <w:adjustRightInd w:val="0"/>
              <w:snapToGrid w:val="0"/>
              <w:spacing w:line="300" w:lineRule="auto"/>
              <w:jc w:val="center"/>
              <w:outlineLvl w:val="0"/>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0" w:hRule="atLeast"/>
        </w:trPr>
        <w:tc>
          <w:tcPr>
            <w:tcW w:w="655" w:type="dxa"/>
            <w:noWrap w:val="0"/>
            <w:vAlign w:val="center"/>
          </w:tcPr>
          <w:p>
            <w:pPr>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2251" w:type="dxa"/>
            <w:noWrap w:val="0"/>
            <w:vAlign w:val="center"/>
          </w:tcPr>
          <w:p>
            <w:pPr>
              <w:adjustRightInd w:val="0"/>
              <w:snapToGrid w:val="0"/>
              <w:spacing w:line="300" w:lineRule="auto"/>
              <w:jc w:val="center"/>
              <w:outlineLvl w:val="0"/>
              <w:rPr>
                <w:rFonts w:hint="eastAsia" w:ascii="宋体" w:hAnsi="宋体" w:eastAsia="宋体" w:cs="宋体"/>
                <w:color w:val="000000" w:themeColor="text1"/>
                <w:szCs w:val="21"/>
                <w14:textFill>
                  <w14:solidFill>
                    <w14:schemeClr w14:val="tx1"/>
                  </w14:solidFill>
                </w14:textFill>
              </w:rPr>
            </w:pPr>
          </w:p>
        </w:tc>
        <w:tc>
          <w:tcPr>
            <w:tcW w:w="3195" w:type="dxa"/>
            <w:noWrap w:val="0"/>
            <w:vAlign w:val="center"/>
          </w:tcPr>
          <w:p>
            <w:pPr>
              <w:adjustRightInd w:val="0"/>
              <w:snapToGrid w:val="0"/>
              <w:spacing w:line="300" w:lineRule="auto"/>
              <w:jc w:val="center"/>
              <w:outlineLvl w:val="0"/>
              <w:rPr>
                <w:rFonts w:hint="eastAsia" w:ascii="宋体" w:hAnsi="宋体" w:eastAsia="宋体" w:cs="宋体"/>
                <w:color w:val="000000" w:themeColor="text1"/>
                <w:szCs w:val="21"/>
                <w14:textFill>
                  <w14:solidFill>
                    <w14:schemeClr w14:val="tx1"/>
                  </w14:solidFill>
                </w14:textFill>
              </w:rPr>
            </w:pPr>
          </w:p>
        </w:tc>
        <w:tc>
          <w:tcPr>
            <w:tcW w:w="1920" w:type="dxa"/>
            <w:tcBorders>
              <w:right w:val="single" w:color="auto" w:sz="4" w:space="0"/>
            </w:tcBorders>
            <w:noWrap w:val="0"/>
            <w:vAlign w:val="center"/>
          </w:tcPr>
          <w:p>
            <w:pPr>
              <w:adjustRightInd w:val="0"/>
              <w:snapToGrid w:val="0"/>
              <w:spacing w:line="300" w:lineRule="auto"/>
              <w:jc w:val="center"/>
              <w:outlineLvl w:val="0"/>
              <w:rPr>
                <w:rFonts w:hint="eastAsia" w:ascii="宋体" w:hAnsi="宋体" w:eastAsia="宋体" w:cs="宋体"/>
                <w:color w:val="000000" w:themeColor="text1"/>
                <w:szCs w:val="21"/>
                <w14:textFill>
                  <w14:solidFill>
                    <w14:schemeClr w14:val="tx1"/>
                  </w14:solidFill>
                </w14:textFill>
              </w:rPr>
            </w:pPr>
          </w:p>
        </w:tc>
        <w:tc>
          <w:tcPr>
            <w:tcW w:w="1920" w:type="dxa"/>
            <w:tcBorders>
              <w:left w:val="single" w:color="auto" w:sz="4" w:space="0"/>
            </w:tcBorders>
            <w:noWrap w:val="0"/>
            <w:vAlign w:val="center"/>
          </w:tcPr>
          <w:p>
            <w:pPr>
              <w:adjustRightInd w:val="0"/>
              <w:snapToGrid w:val="0"/>
              <w:spacing w:line="300" w:lineRule="auto"/>
              <w:jc w:val="center"/>
              <w:outlineLvl w:val="0"/>
              <w:rPr>
                <w:rFonts w:hint="eastAsia" w:ascii="宋体" w:hAnsi="宋体" w:eastAsia="宋体" w:cs="宋体"/>
                <w:color w:val="000000" w:themeColor="text1"/>
                <w:szCs w:val="21"/>
                <w14:textFill>
                  <w14:solidFill>
                    <w14:schemeClr w14:val="tx1"/>
                  </w14:solidFill>
                </w14:textFill>
              </w:rPr>
            </w:pPr>
          </w:p>
        </w:tc>
      </w:tr>
    </w:tbl>
    <w:p>
      <w:pPr>
        <w:spacing w:line="340" w:lineRule="exact"/>
        <w:rPr>
          <w:rFonts w:hint="eastAsia" w:ascii="宋体" w:hAnsi="宋体" w:eastAsia="宋体" w:cs="宋体"/>
          <w:color w:val="000000" w:themeColor="text1"/>
          <w:szCs w:val="21"/>
          <w14:textFill>
            <w14:solidFill>
              <w14:schemeClr w14:val="tx1"/>
            </w14:solidFill>
          </w14:textFill>
        </w:rPr>
      </w:pPr>
    </w:p>
    <w:p>
      <w:pPr>
        <w:snapToGrid w:val="0"/>
        <w:spacing w:line="400" w:lineRule="exact"/>
        <w:ind w:firstLine="1890" w:firstLineChars="9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lang w:eastAsia="zh-CN"/>
          <w14:textFill>
            <w14:solidFill>
              <w14:schemeClr w14:val="tx1"/>
            </w14:solidFill>
          </w14:textFill>
        </w:rPr>
        <w:t>磋商供应商</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公章</w:t>
      </w:r>
      <w:r>
        <w:rPr>
          <w:rFonts w:hint="eastAsia" w:ascii="宋体" w:hAnsi="宋体" w:eastAsia="宋体" w:cs="宋体"/>
          <w:color w:val="000000" w:themeColor="text1"/>
          <w:szCs w:val="21"/>
          <w:lang w:val="en-US" w:eastAsia="zh-CN"/>
          <w14:textFill>
            <w14:solidFill>
              <w14:schemeClr w14:val="tx1"/>
            </w14:solidFill>
          </w14:textFill>
        </w:rPr>
        <w:t>(CA签章)</w:t>
      </w:r>
      <w:r>
        <w:rPr>
          <w:rFonts w:hint="eastAsia" w:ascii="宋体" w:hAnsi="宋体" w:eastAsia="宋体" w:cs="宋体"/>
          <w:color w:val="000000" w:themeColor="text1"/>
          <w:szCs w:val="21"/>
          <w14:textFill>
            <w14:solidFill>
              <w14:schemeClr w14:val="tx1"/>
            </w14:solidFill>
          </w14:textFill>
        </w:rPr>
        <w:t>，自然人</w:t>
      </w:r>
      <w:r>
        <w:rPr>
          <w:rFonts w:hint="eastAsia" w:ascii="宋体" w:hAnsi="宋体" w:eastAsia="宋体" w:cs="宋体"/>
          <w:color w:val="000000" w:themeColor="text1"/>
          <w:szCs w:val="21"/>
          <w:lang w:eastAsia="zh-CN"/>
          <w14:textFill>
            <w14:solidFill>
              <w14:schemeClr w14:val="tx1"/>
            </w14:solidFill>
          </w14:textFill>
        </w:rPr>
        <w:t>签字或个人</w:t>
      </w:r>
      <w:r>
        <w:rPr>
          <w:rFonts w:hint="eastAsia" w:ascii="宋体" w:hAnsi="宋体" w:eastAsia="宋体" w:cs="宋体"/>
          <w:color w:val="000000" w:themeColor="text1"/>
          <w:szCs w:val="21"/>
          <w:lang w:val="en-US" w:eastAsia="zh-CN"/>
          <w14:textFill>
            <w14:solidFill>
              <w14:schemeClr w14:val="tx1"/>
            </w14:solidFill>
          </w14:textFill>
        </w:rPr>
        <w:t>CA签章]</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40" w:lineRule="exact"/>
        <w:rPr>
          <w:rFonts w:hint="eastAsia" w:ascii="宋体" w:hAnsi="宋体" w:eastAsia="宋体" w:cs="宋体"/>
          <w:color w:val="000000" w:themeColor="text1"/>
          <w14:textFill>
            <w14:solidFill>
              <w14:schemeClr w14:val="tx1"/>
            </w14:solidFill>
          </w14:textFill>
        </w:rPr>
      </w:pPr>
    </w:p>
    <w:p>
      <w:pPr>
        <w:snapToGrid w:val="0"/>
        <w:spacing w:line="400" w:lineRule="exact"/>
        <w:ind w:firstLine="1680" w:firstLineChars="800"/>
        <w:rPr>
          <w:rFonts w:hint="eastAsia" w:ascii="宋体" w:hAnsi="宋体" w:eastAsia="宋体" w:cs="宋体"/>
          <w:color w:val="000000" w:themeColor="text1"/>
          <w14:textFill>
            <w14:solidFill>
              <w14:schemeClr w14:val="tx1"/>
            </w14:solidFill>
          </w14:textFill>
        </w:rPr>
      </w:pPr>
    </w:p>
    <w:p>
      <w:pPr>
        <w:snapToGrid w:val="0"/>
        <w:spacing w:line="400" w:lineRule="exact"/>
        <w:ind w:firstLine="1680" w:firstLineChars="8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日          期：</w:t>
      </w:r>
      <w:r>
        <w:rPr>
          <w:rFonts w:hint="eastAsia" w:ascii="宋体" w:hAnsi="宋体" w:eastAsia="宋体" w:cs="宋体"/>
          <w:color w:val="000000" w:themeColor="text1"/>
          <w:u w:val="single"/>
          <w14:textFill>
            <w14:solidFill>
              <w14:schemeClr w14:val="tx1"/>
            </w14:solidFill>
          </w14:textFill>
        </w:rPr>
        <w:t xml:space="preserve">                                                   </w:t>
      </w:r>
    </w:p>
    <w:p>
      <w:pPr>
        <w:ind w:firstLine="1890" w:firstLineChars="900"/>
        <w:rPr>
          <w:rFonts w:hint="eastAsia" w:ascii="宋体" w:hAnsi="宋体" w:eastAsia="宋体" w:cs="宋体"/>
          <w:color w:val="000000" w:themeColor="text1"/>
          <w:u w:val="single"/>
          <w14:textFill>
            <w14:solidFill>
              <w14:schemeClr w14:val="tx1"/>
            </w14:solidFill>
          </w14:textFill>
        </w:rPr>
      </w:pPr>
    </w:p>
    <w:p>
      <w:pPr>
        <w:ind w:firstLine="1890" w:firstLineChars="900"/>
        <w:rPr>
          <w:rFonts w:hint="eastAsia" w:ascii="宋体" w:hAnsi="宋体" w:eastAsia="宋体" w:cs="宋体"/>
          <w:color w:val="000000" w:themeColor="text1"/>
          <w:u w:val="single"/>
          <w14:textFill>
            <w14:solidFill>
              <w14:schemeClr w14:val="tx1"/>
            </w14:solidFill>
          </w14:textFill>
        </w:rPr>
      </w:pPr>
    </w:p>
    <w:p>
      <w:pPr>
        <w:spacing w:line="400" w:lineRule="exact"/>
        <w:ind w:left="982" w:leftChars="200" w:hanging="562" w:hangingChars="200"/>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注：</w:t>
      </w:r>
      <w:r>
        <w:rPr>
          <w:rFonts w:hint="eastAsia" w:ascii="宋体" w:hAnsi="宋体" w:eastAsia="宋体" w:cs="宋体"/>
          <w:b/>
          <w:color w:val="000000" w:themeColor="text1"/>
          <w:sz w:val="24"/>
          <w14:textFill>
            <w14:solidFill>
              <w14:schemeClr w14:val="tx1"/>
            </w14:solidFill>
          </w14:textFill>
        </w:rPr>
        <w:t>1.“商务响应表”各项内容必须如实填写。</w:t>
      </w:r>
    </w:p>
    <w:p>
      <w:pPr>
        <w:spacing w:line="400" w:lineRule="exact"/>
        <w:ind w:firstLine="964" w:firstLineChars="400"/>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2.当本表由多页构成时，需逐页加盖</w:t>
      </w:r>
      <w:r>
        <w:rPr>
          <w:rFonts w:hint="eastAsia" w:ascii="宋体" w:hAnsi="宋体" w:eastAsia="宋体" w:cs="宋体"/>
          <w:b/>
          <w:color w:val="000000" w:themeColor="text1"/>
          <w:sz w:val="24"/>
          <w:lang w:eastAsia="zh-CN"/>
          <w14:textFill>
            <w14:solidFill>
              <w14:schemeClr w14:val="tx1"/>
            </w14:solidFill>
          </w14:textFill>
        </w:rPr>
        <w:t>磋商供应商</w:t>
      </w:r>
      <w:r>
        <w:rPr>
          <w:rFonts w:hint="eastAsia" w:ascii="宋体" w:hAnsi="宋体" w:eastAsia="宋体" w:cs="宋体"/>
          <w:b/>
          <w:color w:val="000000" w:themeColor="text1"/>
          <w:sz w:val="24"/>
          <w14:textFill>
            <w14:solidFill>
              <w14:schemeClr w14:val="tx1"/>
            </w14:solidFill>
          </w14:textFill>
        </w:rPr>
        <w:t>公章</w:t>
      </w: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b/>
          <w:color w:val="000000" w:themeColor="text1"/>
          <w:sz w:val="24"/>
          <w:lang w:val="en-US" w:eastAsia="zh-CN"/>
          <w14:textFill>
            <w14:solidFill>
              <w14:schemeClr w14:val="tx1"/>
            </w14:solidFill>
          </w14:textFill>
        </w:rPr>
        <w:t>CA签章</w:t>
      </w: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b/>
          <w:color w:val="000000" w:themeColor="text1"/>
          <w:sz w:val="24"/>
          <w14:textFill>
            <w14:solidFill>
              <w14:schemeClr w14:val="tx1"/>
            </w14:solidFill>
          </w14:textFill>
        </w:rPr>
        <w:t>（属自然人的须逐页签字</w:t>
      </w:r>
      <w:r>
        <w:rPr>
          <w:rFonts w:hint="eastAsia" w:ascii="宋体" w:hAnsi="宋体" w:eastAsia="宋体" w:cs="宋体"/>
          <w:b/>
          <w:color w:val="000000" w:themeColor="text1"/>
          <w:sz w:val="24"/>
          <w:lang w:eastAsia="zh-CN"/>
          <w14:textFill>
            <w14:solidFill>
              <w14:schemeClr w14:val="tx1"/>
            </w14:solidFill>
          </w14:textFill>
        </w:rPr>
        <w:t>或</w:t>
      </w:r>
      <w:r>
        <w:rPr>
          <w:rFonts w:hint="eastAsia" w:ascii="宋体" w:hAnsi="宋体" w:eastAsia="宋体" w:cs="宋体"/>
          <w:b/>
          <w:color w:val="000000" w:themeColor="text1"/>
          <w:sz w:val="24"/>
          <w:lang w:val="en-US" w:eastAsia="zh-CN"/>
          <w14:textFill>
            <w14:solidFill>
              <w14:schemeClr w14:val="tx1"/>
            </w14:solidFill>
          </w14:textFill>
        </w:rPr>
        <w:t>个人CA签章</w:t>
      </w:r>
      <w:r>
        <w:rPr>
          <w:rFonts w:hint="eastAsia" w:ascii="宋体" w:hAnsi="宋体" w:eastAsia="宋体" w:cs="宋体"/>
          <w:b/>
          <w:color w:val="000000" w:themeColor="text1"/>
          <w:sz w:val="24"/>
          <w14:textFill>
            <w14:solidFill>
              <w14:schemeClr w14:val="tx1"/>
            </w14:solidFill>
          </w14:textFill>
        </w:rPr>
        <w:t>）。</w:t>
      </w:r>
    </w:p>
    <w:p>
      <w:pPr>
        <w:pStyle w:val="9"/>
        <w:rPr>
          <w:rFonts w:hint="eastAsia" w:ascii="宋体" w:hAnsi="宋体" w:eastAsia="宋体" w:cs="宋体"/>
          <w:color w:val="000000" w:themeColor="text1"/>
          <w14:textFill>
            <w14:solidFill>
              <w14:schemeClr w14:val="tx1"/>
            </w14:solidFill>
          </w14:textFill>
        </w:rPr>
      </w:pPr>
    </w:p>
    <w:p>
      <w:pPr>
        <w:pStyle w:val="9"/>
        <w:rPr>
          <w:rFonts w:hint="eastAsia" w:ascii="宋体" w:hAnsi="宋体" w:eastAsia="宋体" w:cs="宋体"/>
          <w:color w:val="000000" w:themeColor="text1"/>
          <w14:textFill>
            <w14:solidFill>
              <w14:schemeClr w14:val="tx1"/>
            </w14:solidFill>
          </w14:textFill>
        </w:rPr>
      </w:pPr>
    </w:p>
    <w:p>
      <w:pPr>
        <w:pStyle w:val="9"/>
        <w:rPr>
          <w:rFonts w:hint="eastAsia" w:ascii="宋体" w:hAnsi="宋体" w:eastAsia="宋体" w:cs="宋体"/>
          <w:color w:val="000000" w:themeColor="text1"/>
          <w14:textFill>
            <w14:solidFill>
              <w14:schemeClr w14:val="tx1"/>
            </w14:solidFill>
          </w14:textFill>
        </w:rPr>
      </w:pPr>
    </w:p>
    <w:p>
      <w:pPr>
        <w:pStyle w:val="9"/>
        <w:rPr>
          <w:rFonts w:hint="eastAsia" w:ascii="宋体" w:hAnsi="宋体" w:eastAsia="宋体" w:cs="宋体"/>
          <w:color w:val="000000" w:themeColor="text1"/>
          <w14:textFill>
            <w14:solidFill>
              <w14:schemeClr w14:val="tx1"/>
            </w14:solidFill>
          </w14:textFill>
        </w:rPr>
      </w:pPr>
    </w:p>
    <w:p>
      <w:pPr>
        <w:pStyle w:val="9"/>
        <w:rPr>
          <w:rFonts w:hint="eastAsia" w:ascii="宋体" w:hAnsi="宋体" w:eastAsia="宋体" w:cs="宋体"/>
          <w:color w:val="000000" w:themeColor="text1"/>
          <w14:textFill>
            <w14:solidFill>
              <w14:schemeClr w14:val="tx1"/>
            </w14:solidFill>
          </w14:textFill>
        </w:rPr>
      </w:pPr>
    </w:p>
    <w:p>
      <w:pPr>
        <w:pStyle w:val="9"/>
        <w:rPr>
          <w:rFonts w:hint="eastAsia" w:ascii="宋体" w:hAnsi="宋体" w:eastAsia="宋体" w:cs="宋体"/>
          <w:color w:val="000000" w:themeColor="text1"/>
          <w14:textFill>
            <w14:solidFill>
              <w14:schemeClr w14:val="tx1"/>
            </w14:solidFill>
          </w14:textFill>
        </w:rPr>
      </w:pPr>
    </w:p>
    <w:p>
      <w:pPr>
        <w:pStyle w:val="9"/>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pStyle w:val="28"/>
        <w:rPr>
          <w:rFonts w:hint="eastAsia" w:ascii="宋体" w:hAnsi="宋体" w:eastAsia="宋体" w:cs="宋体"/>
          <w:color w:val="000000" w:themeColor="text1"/>
          <w14:textFill>
            <w14:solidFill>
              <w14:schemeClr w14:val="tx1"/>
            </w14:solidFill>
          </w14:textFill>
        </w:rPr>
      </w:pPr>
    </w:p>
    <w:p>
      <w:pPr>
        <w:pStyle w:val="28"/>
        <w:rPr>
          <w:rFonts w:hint="eastAsia" w:ascii="宋体" w:hAnsi="宋体" w:eastAsia="宋体" w:cs="宋体"/>
          <w:color w:val="000000" w:themeColor="text1"/>
          <w14:textFill>
            <w14:solidFill>
              <w14:schemeClr w14:val="tx1"/>
            </w14:solidFill>
          </w14:textFill>
        </w:rPr>
      </w:pPr>
    </w:p>
    <w:p>
      <w:pPr>
        <w:pStyle w:val="28"/>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b/>
          <w:color w:val="000000" w:themeColor="text1"/>
          <w:kern w:val="2"/>
          <w:sz w:val="28"/>
          <w:szCs w:val="28"/>
          <w:lang w:val="en-US" w:eastAsia="zh-CN" w:bidi="ar-SA"/>
          <w14:textFill>
            <w14:solidFill>
              <w14:schemeClr w14:val="tx1"/>
            </w14:solidFill>
          </w14:textFill>
        </w:rPr>
      </w:pPr>
      <w:bookmarkStart w:id="319" w:name="_Toc495841796"/>
      <w:bookmarkStart w:id="320" w:name="_Toc18341"/>
      <w:r>
        <w:rPr>
          <w:rFonts w:hint="eastAsia" w:ascii="宋体" w:hAnsi="宋体" w:eastAsia="宋体" w:cs="宋体"/>
          <w:b/>
          <w:color w:val="000000" w:themeColor="text1"/>
          <w:kern w:val="2"/>
          <w:sz w:val="28"/>
          <w:szCs w:val="28"/>
          <w:lang w:val="en-US" w:eastAsia="zh-CN" w:bidi="ar-SA"/>
          <w14:textFill>
            <w14:solidFill>
              <w14:schemeClr w14:val="tx1"/>
            </w14:solidFill>
          </w14:textFill>
        </w:rPr>
        <w:t>4.“货物采购需求”需提供的有效证明文件（按其要求提供）</w:t>
      </w:r>
      <w:bookmarkEnd w:id="319"/>
      <w:bookmarkEnd w:id="320"/>
      <w:r>
        <w:rPr>
          <w:rFonts w:hint="eastAsia" w:ascii="宋体" w:hAnsi="宋体" w:eastAsia="宋体" w:cs="宋体"/>
          <w:b/>
          <w:color w:val="000000" w:themeColor="text1"/>
          <w:kern w:val="2"/>
          <w:sz w:val="28"/>
          <w:szCs w:val="28"/>
          <w:lang w:val="en-US" w:eastAsia="zh-CN" w:bidi="ar-SA"/>
          <w14:textFill>
            <w14:solidFill>
              <w14:schemeClr w14:val="tx1"/>
            </w14:solidFill>
          </w14:textFill>
        </w:rPr>
        <w:t>；</w:t>
      </w:r>
    </w:p>
    <w:p>
      <w:pPr>
        <w:pStyle w:val="28"/>
        <w:rPr>
          <w:rFonts w:hint="eastAsia" w:ascii="宋体" w:hAnsi="宋体" w:eastAsia="宋体" w:cs="宋体"/>
          <w:color w:val="000000" w:themeColor="text1"/>
          <w14:textFill>
            <w14:solidFill>
              <w14:schemeClr w14:val="tx1"/>
            </w14:solidFill>
          </w14:textFill>
        </w:rPr>
      </w:pPr>
    </w:p>
    <w:p>
      <w:pPr>
        <w:pStyle w:val="28"/>
        <w:rPr>
          <w:rFonts w:hint="eastAsia" w:ascii="宋体" w:hAnsi="宋体" w:eastAsia="宋体" w:cs="宋体"/>
          <w:color w:val="000000" w:themeColor="text1"/>
          <w14:textFill>
            <w14:solidFill>
              <w14:schemeClr w14:val="tx1"/>
            </w14:solidFill>
          </w14:textFill>
        </w:rPr>
      </w:pPr>
    </w:p>
    <w:p>
      <w:pPr>
        <w:pStyle w:val="28"/>
        <w:rPr>
          <w:rFonts w:hint="eastAsia" w:ascii="宋体" w:hAnsi="宋体" w:eastAsia="宋体" w:cs="宋体"/>
          <w:color w:val="000000" w:themeColor="text1"/>
          <w14:textFill>
            <w14:solidFill>
              <w14:schemeClr w14:val="tx1"/>
            </w14:solidFill>
          </w14:textFill>
        </w:rPr>
      </w:pPr>
    </w:p>
    <w:p>
      <w:pPr>
        <w:pStyle w:val="9"/>
        <w:rPr>
          <w:rFonts w:hint="eastAsia" w:ascii="宋体" w:hAnsi="宋体" w:eastAsia="宋体" w:cs="宋体"/>
          <w:color w:val="000000" w:themeColor="text1"/>
          <w14:textFill>
            <w14:solidFill>
              <w14:schemeClr w14:val="tx1"/>
            </w14:solidFill>
          </w14:textFill>
        </w:rPr>
      </w:pPr>
    </w:p>
    <w:p>
      <w:pPr>
        <w:pStyle w:val="9"/>
        <w:rPr>
          <w:rFonts w:hint="eastAsia" w:ascii="宋体" w:hAnsi="宋体" w:eastAsia="宋体" w:cs="宋体"/>
          <w:color w:val="000000" w:themeColor="text1"/>
          <w14:textFill>
            <w14:solidFill>
              <w14:schemeClr w14:val="tx1"/>
            </w14:solidFill>
          </w14:textFill>
        </w:rPr>
      </w:pPr>
    </w:p>
    <w:p>
      <w:pPr>
        <w:pStyle w:val="9"/>
        <w:rPr>
          <w:rFonts w:hint="eastAsia" w:ascii="宋体" w:hAnsi="宋体" w:eastAsia="宋体" w:cs="宋体"/>
          <w:color w:val="000000" w:themeColor="text1"/>
          <w14:textFill>
            <w14:solidFill>
              <w14:schemeClr w14:val="tx1"/>
            </w14:solidFill>
          </w14:textFill>
        </w:rPr>
      </w:pPr>
    </w:p>
    <w:p>
      <w:pPr>
        <w:pStyle w:val="12"/>
        <w:numPr>
          <w:ilvl w:val="0"/>
          <w:numId w:val="0"/>
        </w:numPr>
        <w:spacing w:line="340" w:lineRule="exact"/>
        <w:ind w:leftChars="0"/>
        <w:rPr>
          <w:rFonts w:hint="eastAsia" w:ascii="宋体" w:hAnsi="宋体" w:eastAsia="宋体" w:cs="宋体"/>
          <w:b/>
          <w:color w:val="000000" w:themeColor="text1"/>
          <w:sz w:val="28"/>
          <w:szCs w:val="28"/>
          <w14:textFill>
            <w14:solidFill>
              <w14:schemeClr w14:val="tx1"/>
            </w14:solidFill>
          </w14:textFill>
        </w:rPr>
      </w:pPr>
      <w:r>
        <w:rPr>
          <w:rFonts w:hint="eastAsia" w:hAnsi="宋体" w:cs="宋体"/>
          <w:b/>
          <w:color w:val="000000" w:themeColor="text1"/>
          <w:sz w:val="28"/>
          <w:szCs w:val="28"/>
          <w:lang w:val="en-US" w:eastAsia="zh-CN"/>
          <w14:textFill>
            <w14:solidFill>
              <w14:schemeClr w14:val="tx1"/>
            </w14:solidFill>
          </w14:textFill>
        </w:rPr>
        <w:t>5</w:t>
      </w:r>
      <w:r>
        <w:rPr>
          <w:rFonts w:hint="eastAsia" w:ascii="宋体" w:hAnsi="宋体" w:eastAsia="宋体" w:cs="宋体"/>
          <w:b/>
          <w:color w:val="000000" w:themeColor="text1"/>
          <w:sz w:val="28"/>
          <w:szCs w:val="28"/>
          <w:lang w:val="en-US" w:eastAsia="zh-CN"/>
          <w14:textFill>
            <w14:solidFill>
              <w14:schemeClr w14:val="tx1"/>
            </w14:solidFill>
          </w14:textFill>
        </w:rPr>
        <w:t xml:space="preserve">. </w:t>
      </w:r>
      <w:r>
        <w:rPr>
          <w:rFonts w:hint="eastAsia" w:hAnsi="宋体" w:cs="宋体"/>
          <w:b/>
          <w:color w:val="000000" w:themeColor="text1"/>
          <w:sz w:val="28"/>
          <w:szCs w:val="28"/>
          <w:lang w:val="en-US" w:eastAsia="zh-CN"/>
          <w14:textFill>
            <w14:solidFill>
              <w14:schemeClr w14:val="tx1"/>
            </w14:solidFill>
          </w14:textFill>
        </w:rPr>
        <w:t>售后</w:t>
      </w:r>
      <w:r>
        <w:rPr>
          <w:rFonts w:hint="eastAsia" w:ascii="宋体" w:hAnsi="宋体" w:eastAsia="宋体" w:cs="宋体"/>
          <w:b/>
          <w:color w:val="000000" w:themeColor="text1"/>
          <w:sz w:val="28"/>
          <w:szCs w:val="28"/>
          <w:lang w:eastAsia="zh-CN"/>
          <w14:textFill>
            <w14:solidFill>
              <w14:schemeClr w14:val="tx1"/>
            </w14:solidFill>
          </w14:textFill>
        </w:rPr>
        <w:t>服务承诺书</w:t>
      </w:r>
      <w:r>
        <w:rPr>
          <w:rFonts w:hint="eastAsia" w:ascii="宋体" w:hAnsi="宋体" w:eastAsia="宋体" w:cs="宋体"/>
          <w:b/>
          <w:color w:val="000000" w:themeColor="text1"/>
          <w:sz w:val="28"/>
          <w:szCs w:val="28"/>
          <w14:textFill>
            <w14:solidFill>
              <w14:schemeClr w14:val="tx1"/>
            </w14:solidFill>
          </w14:textFill>
        </w:rPr>
        <w:t>（由供应商根据本项目采购需求、特点及供应商自身的处理能力自行编写，承诺书内容至少应包括“采购需求”的所有服务条款）（必须提供）；</w:t>
      </w:r>
    </w:p>
    <w:p>
      <w:pPr>
        <w:rPr>
          <w:rFonts w:hint="eastAsia" w:ascii="宋体" w:hAnsi="宋体" w:eastAsia="宋体" w:cs="宋体"/>
          <w:color w:val="000000" w:themeColor="text1"/>
          <w14:textFill>
            <w14:solidFill>
              <w14:schemeClr w14:val="tx1"/>
            </w14:solidFill>
          </w14:textFill>
        </w:rPr>
      </w:pPr>
    </w:p>
    <w:p>
      <w:pPr>
        <w:pStyle w:val="12"/>
        <w:spacing w:line="340" w:lineRule="exact"/>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附件：</w:t>
      </w:r>
    </w:p>
    <w:p>
      <w:pPr>
        <w:rPr>
          <w:rFonts w:hint="eastAsia" w:ascii="宋体" w:hAnsi="宋体" w:eastAsia="宋体" w:cs="宋体"/>
          <w:color w:val="000000" w:themeColor="text1"/>
          <w14:textFill>
            <w14:solidFill>
              <w14:schemeClr w14:val="tx1"/>
            </w14:solidFill>
          </w14:textFill>
        </w:rPr>
      </w:pPr>
    </w:p>
    <w:p>
      <w:pPr>
        <w:pStyle w:val="9"/>
        <w:rPr>
          <w:rFonts w:hint="eastAsia" w:ascii="宋体" w:hAnsi="宋体" w:eastAsia="宋体" w:cs="宋体"/>
          <w:color w:val="000000" w:themeColor="text1"/>
          <w14:textFill>
            <w14:solidFill>
              <w14:schemeClr w14:val="tx1"/>
            </w14:solidFill>
          </w14:textFill>
        </w:rPr>
      </w:pPr>
    </w:p>
    <w:p>
      <w:pPr>
        <w:pStyle w:val="9"/>
        <w:rPr>
          <w:rFonts w:hint="eastAsia" w:ascii="宋体" w:hAnsi="宋体" w:eastAsia="宋体" w:cs="宋体"/>
          <w:color w:val="000000" w:themeColor="text1"/>
          <w14:textFill>
            <w14:solidFill>
              <w14:schemeClr w14:val="tx1"/>
            </w14:solidFill>
          </w14:textFill>
        </w:rPr>
      </w:pPr>
    </w:p>
    <w:p>
      <w:pPr>
        <w:pStyle w:val="9"/>
        <w:rPr>
          <w:rFonts w:hint="eastAsia" w:ascii="宋体" w:hAnsi="宋体" w:eastAsia="宋体" w:cs="宋体"/>
          <w:color w:val="000000" w:themeColor="text1"/>
          <w14:textFill>
            <w14:solidFill>
              <w14:schemeClr w14:val="tx1"/>
            </w14:solidFill>
          </w14:textFill>
        </w:rPr>
      </w:pPr>
    </w:p>
    <w:p>
      <w:pPr>
        <w:pStyle w:val="12"/>
        <w:spacing w:line="340" w:lineRule="exact"/>
        <w:jc w:val="center"/>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lang w:val="en-US" w:eastAsia="zh-CN"/>
          <w14:textFill>
            <w14:solidFill>
              <w14:schemeClr w14:val="tx1"/>
            </w14:solidFill>
          </w14:textFill>
        </w:rPr>
        <w:t>售后</w:t>
      </w:r>
      <w:r>
        <w:rPr>
          <w:rFonts w:hint="eastAsia" w:ascii="宋体" w:hAnsi="宋体" w:eastAsia="宋体" w:cs="宋体"/>
          <w:b/>
          <w:color w:val="000000" w:themeColor="text1"/>
          <w:sz w:val="32"/>
          <w:szCs w:val="32"/>
          <w:lang w:eastAsia="zh-CN"/>
          <w14:textFill>
            <w14:solidFill>
              <w14:schemeClr w14:val="tx1"/>
            </w14:solidFill>
          </w14:textFill>
        </w:rPr>
        <w:t>服务承诺书</w:t>
      </w:r>
      <w:r>
        <w:rPr>
          <w:rFonts w:hint="eastAsia" w:ascii="宋体" w:hAnsi="宋体" w:eastAsia="宋体" w:cs="宋体"/>
          <w:b/>
          <w:color w:val="000000" w:themeColor="text1"/>
          <w:sz w:val="32"/>
          <w:szCs w:val="32"/>
          <w14:textFill>
            <w14:solidFill>
              <w14:schemeClr w14:val="tx1"/>
            </w14:solidFill>
          </w14:textFill>
        </w:rPr>
        <w:t>（格式）</w:t>
      </w:r>
    </w:p>
    <w:p>
      <w:pPr>
        <w:pStyle w:val="12"/>
        <w:spacing w:line="340" w:lineRule="exact"/>
        <w:jc w:val="center"/>
        <w:rPr>
          <w:rFonts w:hint="eastAsia" w:ascii="宋体" w:hAnsi="宋体" w:eastAsia="宋体" w:cs="宋体"/>
          <w:b/>
          <w:color w:val="000000" w:themeColor="text1"/>
          <w:sz w:val="32"/>
          <w:szCs w:val="32"/>
          <w14:textFill>
            <w14:solidFill>
              <w14:schemeClr w14:val="tx1"/>
            </w14:solidFill>
          </w14:textFill>
        </w:rPr>
      </w:pPr>
    </w:p>
    <w:p>
      <w:pPr>
        <w:pStyle w:val="12"/>
        <w:spacing w:line="340" w:lineRule="exact"/>
        <w:jc w:val="center"/>
        <w:rPr>
          <w:rFonts w:hint="eastAsia" w:ascii="宋体" w:hAnsi="宋体" w:eastAsia="宋体" w:cs="宋体"/>
          <w:b/>
          <w:color w:val="000000" w:themeColor="text1"/>
          <w:sz w:val="32"/>
          <w:szCs w:val="32"/>
          <w14:textFill>
            <w14:solidFill>
              <w14:schemeClr w14:val="tx1"/>
            </w14:solidFill>
          </w14:textFill>
        </w:rPr>
      </w:pPr>
    </w:p>
    <w:p>
      <w:pPr>
        <w:pStyle w:val="12"/>
        <w:spacing w:line="340" w:lineRule="exact"/>
        <w:jc w:val="center"/>
        <w:rPr>
          <w:rFonts w:hint="eastAsia" w:ascii="宋体" w:hAnsi="宋体" w:eastAsia="宋体" w:cs="宋体"/>
          <w:b/>
          <w:color w:val="000000" w:themeColor="text1"/>
          <w:sz w:val="32"/>
          <w:szCs w:val="32"/>
          <w14:textFill>
            <w14:solidFill>
              <w14:schemeClr w14:val="tx1"/>
            </w14:solidFill>
          </w14:textFill>
        </w:rPr>
      </w:pPr>
    </w:p>
    <w:p>
      <w:pPr>
        <w:rPr>
          <w:rFonts w:hint="eastAsia" w:ascii="宋体" w:hAnsi="宋体" w:eastAsia="宋体" w:cs="宋体"/>
          <w:b/>
          <w:color w:val="000000" w:themeColor="text1"/>
          <w:sz w:val="32"/>
          <w:szCs w:val="32"/>
          <w14:textFill>
            <w14:solidFill>
              <w14:schemeClr w14:val="tx1"/>
            </w14:solidFill>
          </w14:textFill>
        </w:rPr>
      </w:pPr>
    </w:p>
    <w:p>
      <w:pPr>
        <w:pStyle w:val="9"/>
        <w:rPr>
          <w:rFonts w:hint="eastAsia" w:ascii="宋体" w:hAnsi="宋体" w:eastAsia="宋体" w:cs="宋体"/>
          <w:color w:val="000000" w:themeColor="text1"/>
          <w14:textFill>
            <w14:solidFill>
              <w14:schemeClr w14:val="tx1"/>
            </w14:solidFill>
          </w14:textFill>
        </w:rPr>
      </w:pPr>
    </w:p>
    <w:p>
      <w:pPr>
        <w:pStyle w:val="9"/>
        <w:rPr>
          <w:rFonts w:hint="eastAsia" w:ascii="宋体" w:hAnsi="宋体" w:eastAsia="宋体" w:cs="宋体"/>
          <w:b/>
          <w:color w:val="000000" w:themeColor="text1"/>
          <w:sz w:val="32"/>
          <w:szCs w:val="32"/>
          <w14:textFill>
            <w14:solidFill>
              <w14:schemeClr w14:val="tx1"/>
            </w14:solidFill>
          </w14:textFill>
        </w:rPr>
      </w:pPr>
    </w:p>
    <w:p>
      <w:pPr>
        <w:pStyle w:val="12"/>
        <w:spacing w:line="340" w:lineRule="exact"/>
        <w:jc w:val="center"/>
        <w:rPr>
          <w:rFonts w:hint="eastAsia" w:ascii="宋体" w:hAnsi="宋体" w:eastAsia="宋体" w:cs="宋体"/>
          <w:b/>
          <w:color w:val="000000" w:themeColor="text1"/>
          <w:sz w:val="32"/>
          <w:szCs w:val="32"/>
          <w14:textFill>
            <w14:solidFill>
              <w14:schemeClr w14:val="tx1"/>
            </w14:solidFill>
          </w14:textFill>
        </w:rPr>
      </w:pPr>
    </w:p>
    <w:p>
      <w:pPr>
        <w:snapToGrid w:val="0"/>
        <w:spacing w:line="400" w:lineRule="exact"/>
        <w:ind w:firstLine="1890" w:firstLineChars="9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lang w:eastAsia="zh-CN"/>
          <w14:textFill>
            <w14:solidFill>
              <w14:schemeClr w14:val="tx1"/>
            </w14:solidFill>
          </w14:textFill>
        </w:rPr>
        <w:t>磋商供应商</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公章</w:t>
      </w:r>
      <w:r>
        <w:rPr>
          <w:rFonts w:hint="eastAsia" w:ascii="宋体" w:hAnsi="宋体" w:eastAsia="宋体" w:cs="宋体"/>
          <w:color w:val="000000" w:themeColor="text1"/>
          <w:szCs w:val="21"/>
          <w:lang w:val="en-US" w:eastAsia="zh-CN"/>
          <w14:textFill>
            <w14:solidFill>
              <w14:schemeClr w14:val="tx1"/>
            </w14:solidFill>
          </w14:textFill>
        </w:rPr>
        <w:t>(CA签章)</w:t>
      </w:r>
      <w:r>
        <w:rPr>
          <w:rFonts w:hint="eastAsia" w:ascii="宋体" w:hAnsi="宋体" w:eastAsia="宋体" w:cs="宋体"/>
          <w:color w:val="000000" w:themeColor="text1"/>
          <w:szCs w:val="21"/>
          <w14:textFill>
            <w14:solidFill>
              <w14:schemeClr w14:val="tx1"/>
            </w14:solidFill>
          </w14:textFill>
        </w:rPr>
        <w:t>，自然人</w:t>
      </w:r>
      <w:r>
        <w:rPr>
          <w:rFonts w:hint="eastAsia" w:ascii="宋体" w:hAnsi="宋体" w:eastAsia="宋体" w:cs="宋体"/>
          <w:color w:val="000000" w:themeColor="text1"/>
          <w:szCs w:val="21"/>
          <w:lang w:eastAsia="zh-CN"/>
          <w14:textFill>
            <w14:solidFill>
              <w14:schemeClr w14:val="tx1"/>
            </w14:solidFill>
          </w14:textFill>
        </w:rPr>
        <w:t>签字或个人</w:t>
      </w:r>
      <w:r>
        <w:rPr>
          <w:rFonts w:hint="eastAsia" w:ascii="宋体" w:hAnsi="宋体" w:eastAsia="宋体" w:cs="宋体"/>
          <w:color w:val="000000" w:themeColor="text1"/>
          <w:szCs w:val="21"/>
          <w:lang w:val="en-US" w:eastAsia="zh-CN"/>
          <w14:textFill>
            <w14:solidFill>
              <w14:schemeClr w14:val="tx1"/>
            </w14:solidFill>
          </w14:textFill>
        </w:rPr>
        <w:t>CA签章]</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u w:val="single"/>
          <w14:textFill>
            <w14:solidFill>
              <w14:schemeClr w14:val="tx1"/>
            </w14:solidFill>
          </w14:textFill>
        </w:rPr>
        <w:t xml:space="preserve">                                     </w:t>
      </w:r>
    </w:p>
    <w:p>
      <w:pPr>
        <w:pStyle w:val="4"/>
        <w:rPr>
          <w:rFonts w:hint="eastAsia" w:ascii="宋体" w:hAnsi="宋体" w:eastAsia="宋体" w:cs="宋体"/>
          <w:color w:val="000000" w:themeColor="text1"/>
          <w14:textFill>
            <w14:solidFill>
              <w14:schemeClr w14:val="tx1"/>
            </w14:solidFill>
          </w14:textFill>
        </w:rPr>
      </w:pPr>
    </w:p>
    <w:p>
      <w:pPr>
        <w:snapToGrid w:val="0"/>
        <w:spacing w:line="400" w:lineRule="exact"/>
        <w:ind w:firstLine="1680" w:firstLineChars="800"/>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日          期：</w:t>
      </w:r>
      <w:r>
        <w:rPr>
          <w:rFonts w:hint="eastAsia" w:ascii="宋体" w:hAnsi="宋体" w:eastAsia="宋体" w:cs="宋体"/>
          <w:color w:val="000000" w:themeColor="text1"/>
          <w:u w:val="single"/>
          <w14:textFill>
            <w14:solidFill>
              <w14:schemeClr w14:val="tx1"/>
            </w14:solidFill>
          </w14:textFill>
        </w:rPr>
        <w:t xml:space="preserve">                                                   </w:t>
      </w:r>
    </w:p>
    <w:p>
      <w:pPr>
        <w:pStyle w:val="9"/>
        <w:rPr>
          <w:rFonts w:hint="eastAsia" w:ascii="宋体" w:hAnsi="宋体" w:eastAsia="宋体" w:cs="宋体"/>
          <w:b/>
          <w:bCs/>
          <w:color w:val="000000" w:themeColor="text1"/>
          <w:szCs w:val="21"/>
          <w14:textFill>
            <w14:solidFill>
              <w14:schemeClr w14:val="tx1"/>
            </w14:solidFill>
          </w14:textFill>
        </w:rPr>
      </w:pPr>
    </w:p>
    <w:p>
      <w:pPr>
        <w:pStyle w:val="9"/>
        <w:rPr>
          <w:rFonts w:hint="eastAsia" w:ascii="宋体" w:hAnsi="宋体" w:eastAsia="宋体" w:cs="宋体"/>
          <w:b/>
          <w:bCs/>
          <w:color w:val="000000" w:themeColor="text1"/>
          <w:szCs w:val="21"/>
          <w14:textFill>
            <w14:solidFill>
              <w14:schemeClr w14:val="tx1"/>
            </w14:solidFill>
          </w14:textFill>
        </w:rPr>
      </w:pPr>
    </w:p>
    <w:p>
      <w:pPr>
        <w:pStyle w:val="9"/>
        <w:rPr>
          <w:rFonts w:hint="eastAsia" w:ascii="宋体" w:hAnsi="宋体" w:eastAsia="宋体" w:cs="宋体"/>
          <w:b/>
          <w:bCs/>
          <w:color w:val="000000" w:themeColor="text1"/>
          <w:szCs w:val="21"/>
          <w14:textFill>
            <w14:solidFill>
              <w14:schemeClr w14:val="tx1"/>
            </w14:solidFill>
          </w14:textFill>
        </w:rPr>
      </w:pPr>
    </w:p>
    <w:p>
      <w:pPr>
        <w:pStyle w:val="9"/>
        <w:rPr>
          <w:rFonts w:hint="eastAsia" w:ascii="宋体" w:hAnsi="宋体" w:eastAsia="宋体" w:cs="宋体"/>
          <w:b/>
          <w:bCs/>
          <w:color w:val="000000" w:themeColor="text1"/>
          <w:szCs w:val="21"/>
          <w14:textFill>
            <w14:solidFill>
              <w14:schemeClr w14:val="tx1"/>
            </w14:solidFill>
          </w14:textFill>
        </w:rPr>
      </w:pPr>
    </w:p>
    <w:p>
      <w:pPr>
        <w:pStyle w:val="9"/>
        <w:rPr>
          <w:rFonts w:hint="eastAsia" w:ascii="宋体" w:hAnsi="宋体" w:eastAsia="宋体" w:cs="宋体"/>
          <w:b/>
          <w:bCs/>
          <w:color w:val="000000" w:themeColor="text1"/>
          <w:szCs w:val="21"/>
          <w14:textFill>
            <w14:solidFill>
              <w14:schemeClr w14:val="tx1"/>
            </w14:solidFill>
          </w14:textFill>
        </w:rPr>
      </w:pPr>
    </w:p>
    <w:p>
      <w:pPr>
        <w:rPr>
          <w:rFonts w:hint="eastAsia" w:ascii="宋体" w:hAnsi="宋体" w:eastAsia="宋体" w:cs="宋体"/>
          <w:b/>
          <w:bCs/>
          <w:color w:val="000000" w:themeColor="text1"/>
          <w:szCs w:val="21"/>
          <w14:textFill>
            <w14:solidFill>
              <w14:schemeClr w14:val="tx1"/>
            </w14:solidFill>
          </w14:textFill>
        </w:rPr>
      </w:pPr>
    </w:p>
    <w:p>
      <w:pPr>
        <w:pStyle w:val="28"/>
        <w:rPr>
          <w:rFonts w:hint="eastAsia" w:ascii="宋体" w:hAnsi="宋体" w:eastAsia="宋体" w:cs="宋体"/>
          <w:b/>
          <w:bCs/>
          <w:color w:val="000000" w:themeColor="text1"/>
          <w:szCs w:val="21"/>
          <w14:textFill>
            <w14:solidFill>
              <w14:schemeClr w14:val="tx1"/>
            </w14:solidFill>
          </w14:textFill>
        </w:rPr>
      </w:pPr>
    </w:p>
    <w:p>
      <w:pPr>
        <w:pStyle w:val="28"/>
        <w:rPr>
          <w:rFonts w:hint="eastAsia" w:ascii="宋体" w:hAnsi="宋体" w:eastAsia="宋体" w:cs="宋体"/>
          <w:b/>
          <w:bCs/>
          <w:color w:val="000000" w:themeColor="text1"/>
          <w:szCs w:val="21"/>
          <w14:textFill>
            <w14:solidFill>
              <w14:schemeClr w14:val="tx1"/>
            </w14:solidFill>
          </w14:textFill>
        </w:rPr>
      </w:pPr>
    </w:p>
    <w:p>
      <w:pPr>
        <w:pStyle w:val="28"/>
        <w:rPr>
          <w:rFonts w:hint="eastAsia" w:ascii="宋体" w:hAnsi="宋体" w:eastAsia="宋体" w:cs="宋体"/>
          <w:b/>
          <w:bCs/>
          <w:color w:val="000000" w:themeColor="text1"/>
          <w:szCs w:val="21"/>
          <w14:textFill>
            <w14:solidFill>
              <w14:schemeClr w14:val="tx1"/>
            </w14:solidFill>
          </w14:textFill>
        </w:rPr>
      </w:pPr>
    </w:p>
    <w:p>
      <w:pPr>
        <w:pStyle w:val="28"/>
        <w:rPr>
          <w:rFonts w:hint="eastAsia" w:ascii="宋体" w:hAnsi="宋体" w:eastAsia="宋体" w:cs="宋体"/>
          <w:b/>
          <w:bCs/>
          <w:color w:val="000000" w:themeColor="text1"/>
          <w:szCs w:val="21"/>
          <w14:textFill>
            <w14:solidFill>
              <w14:schemeClr w14:val="tx1"/>
            </w14:solidFill>
          </w14:textFill>
        </w:rPr>
      </w:pPr>
    </w:p>
    <w:p>
      <w:pPr>
        <w:pStyle w:val="28"/>
        <w:rPr>
          <w:rFonts w:hint="eastAsia" w:ascii="宋体" w:hAnsi="宋体" w:eastAsia="宋体" w:cs="宋体"/>
          <w:b/>
          <w:bCs/>
          <w:color w:val="000000" w:themeColor="text1"/>
          <w:szCs w:val="21"/>
          <w14:textFill>
            <w14:solidFill>
              <w14:schemeClr w14:val="tx1"/>
            </w14:solidFill>
          </w14:textFill>
        </w:rPr>
      </w:pPr>
    </w:p>
    <w:p>
      <w:pPr>
        <w:pStyle w:val="28"/>
        <w:rPr>
          <w:rFonts w:hint="eastAsia" w:ascii="宋体" w:hAnsi="宋体" w:eastAsia="宋体" w:cs="宋体"/>
          <w:b/>
          <w:bCs/>
          <w:color w:val="000000" w:themeColor="text1"/>
          <w:szCs w:val="21"/>
          <w14:textFill>
            <w14:solidFill>
              <w14:schemeClr w14:val="tx1"/>
            </w14:solidFill>
          </w14:textFill>
        </w:rPr>
      </w:pPr>
    </w:p>
    <w:p>
      <w:pPr>
        <w:pStyle w:val="28"/>
        <w:rPr>
          <w:rFonts w:hint="eastAsia" w:ascii="宋体" w:hAnsi="宋体" w:eastAsia="宋体" w:cs="宋体"/>
          <w:b/>
          <w:bCs/>
          <w:color w:val="000000" w:themeColor="text1"/>
          <w:szCs w:val="21"/>
          <w14:textFill>
            <w14:solidFill>
              <w14:schemeClr w14:val="tx1"/>
            </w14:solidFill>
          </w14:textFill>
        </w:rPr>
      </w:pPr>
    </w:p>
    <w:p>
      <w:pPr>
        <w:pStyle w:val="28"/>
        <w:rPr>
          <w:rFonts w:hint="eastAsia" w:ascii="宋体" w:hAnsi="宋体" w:eastAsia="宋体" w:cs="宋体"/>
          <w:b/>
          <w:bCs/>
          <w:color w:val="000000" w:themeColor="text1"/>
          <w:szCs w:val="21"/>
          <w14:textFill>
            <w14:solidFill>
              <w14:schemeClr w14:val="tx1"/>
            </w14:solidFill>
          </w14:textFill>
        </w:rPr>
      </w:pPr>
    </w:p>
    <w:p>
      <w:pPr>
        <w:pStyle w:val="28"/>
        <w:rPr>
          <w:rFonts w:hint="eastAsia" w:ascii="宋体" w:hAnsi="宋体" w:eastAsia="宋体" w:cs="宋体"/>
          <w:b/>
          <w:bCs/>
          <w:color w:val="000000" w:themeColor="text1"/>
          <w:szCs w:val="21"/>
          <w14:textFill>
            <w14:solidFill>
              <w14:schemeClr w14:val="tx1"/>
            </w14:solidFill>
          </w14:textFill>
        </w:rPr>
      </w:pPr>
    </w:p>
    <w:p>
      <w:pPr>
        <w:pStyle w:val="9"/>
        <w:rPr>
          <w:rFonts w:hint="eastAsia" w:ascii="宋体" w:hAnsi="宋体" w:eastAsia="宋体" w:cs="宋体"/>
          <w:b/>
          <w:bCs/>
          <w:color w:val="000000" w:themeColor="text1"/>
          <w:szCs w:val="2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pStyle w:val="9"/>
        <w:rPr>
          <w:rFonts w:hint="eastAsia" w:ascii="宋体" w:hAnsi="宋体" w:eastAsia="宋体" w:cs="宋体"/>
          <w:b/>
          <w:bCs/>
          <w:color w:val="000000" w:themeColor="text1"/>
          <w:szCs w:val="21"/>
          <w14:textFill>
            <w14:solidFill>
              <w14:schemeClr w14:val="tx1"/>
            </w14:solidFill>
          </w14:textFill>
        </w:rPr>
      </w:pPr>
    </w:p>
    <w:p>
      <w:pPr>
        <w:pStyle w:val="9"/>
        <w:rPr>
          <w:rFonts w:hint="eastAsia" w:ascii="宋体" w:hAnsi="宋体" w:eastAsia="宋体" w:cs="宋体"/>
          <w:b/>
          <w:bCs/>
          <w:color w:val="000000" w:themeColor="text1"/>
          <w:szCs w:val="21"/>
          <w14:textFill>
            <w14:solidFill>
              <w14:schemeClr w14:val="tx1"/>
            </w14:solidFill>
          </w14:textFill>
        </w:rPr>
      </w:pPr>
    </w:p>
    <w:p>
      <w:pPr>
        <w:pStyle w:val="12"/>
        <w:spacing w:line="340" w:lineRule="exact"/>
        <w:rPr>
          <w:rFonts w:hint="eastAsia" w:ascii="宋体" w:hAnsi="宋体" w:eastAsia="宋体" w:cs="宋体"/>
          <w:b/>
          <w:color w:val="000000" w:themeColor="text1"/>
          <w:sz w:val="28"/>
          <w:szCs w:val="28"/>
          <w14:textFill>
            <w14:solidFill>
              <w14:schemeClr w14:val="tx1"/>
            </w14:solidFill>
          </w14:textFill>
        </w:rPr>
      </w:pPr>
    </w:p>
    <w:p>
      <w:pPr>
        <w:pStyle w:val="6"/>
        <w:numPr>
          <w:ilvl w:val="0"/>
          <w:numId w:val="0"/>
        </w:numPr>
        <w:jc w:val="center"/>
        <w:rPr>
          <w:rFonts w:hint="eastAsia" w:ascii="宋体" w:hAnsi="宋体" w:eastAsia="宋体" w:cs="宋体"/>
          <w:color w:val="000000" w:themeColor="text1"/>
          <w:sz w:val="32"/>
          <w:szCs w:val="32"/>
          <w:lang w:eastAsia="zh-CN"/>
          <w14:textFill>
            <w14:solidFill>
              <w14:schemeClr w14:val="tx1"/>
            </w14:solidFill>
          </w14:textFill>
        </w:rPr>
      </w:pPr>
      <w:bookmarkStart w:id="321" w:name="_Toc28672"/>
      <w:bookmarkStart w:id="322" w:name="_Toc497927084"/>
      <w:bookmarkStart w:id="323" w:name="_Toc9339"/>
      <w:r>
        <w:rPr>
          <w:rFonts w:hint="eastAsia" w:ascii="宋体" w:hAnsi="宋体" w:eastAsia="宋体" w:cs="宋体"/>
          <w:color w:val="000000" w:themeColor="text1"/>
          <w:sz w:val="32"/>
          <w:szCs w:val="32"/>
          <w:lang w:eastAsia="zh-CN"/>
          <w14:textFill>
            <w14:solidFill>
              <w14:schemeClr w14:val="tx1"/>
            </w14:solidFill>
          </w14:textFill>
        </w:rPr>
        <w:t>（三）其他有效证明材料目录</w:t>
      </w:r>
      <w:bookmarkEnd w:id="321"/>
      <w:bookmarkEnd w:id="322"/>
      <w:bookmarkEnd w:id="323"/>
    </w:p>
    <w:p>
      <w:pPr>
        <w:numPr>
          <w:ilvl w:val="0"/>
          <w:numId w:val="0"/>
        </w:numPr>
        <w:spacing w:line="360" w:lineRule="auto"/>
        <w:ind w:firstLine="480" w:firstLineChars="2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1.项目实施方案（格式见附件）</w:t>
      </w:r>
      <w:r>
        <w:rPr>
          <w:rFonts w:hint="eastAsia" w:ascii="宋体" w:hAnsi="宋体" w:eastAsia="宋体" w:cs="宋体"/>
          <w:b/>
          <w:bCs/>
          <w:color w:val="000000" w:themeColor="text1"/>
          <w:sz w:val="24"/>
          <w:lang w:val="en-US" w:eastAsia="zh-CN"/>
          <w14:textFill>
            <w14:solidFill>
              <w14:schemeClr w14:val="tx1"/>
            </w14:solidFill>
          </w14:textFill>
        </w:rPr>
        <w:t>（如有，请提供）；</w:t>
      </w:r>
    </w:p>
    <w:p>
      <w:pPr>
        <w:spacing w:line="360" w:lineRule="auto"/>
        <w:ind w:firstLine="480" w:firstLineChars="200"/>
        <w:rPr>
          <w:rFonts w:hint="eastAsia" w:ascii="宋体" w:hAnsi="宋体" w:eastAsia="宋体" w:cs="宋体"/>
          <w:b/>
          <w:bCs/>
          <w:color w:val="000000" w:themeColor="text1"/>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eastAsia="宋体" w:cs="宋体"/>
          <w:color w:val="000000" w:themeColor="text1"/>
          <w:sz w:val="24"/>
          <w:lang w:val="en-US" w:eastAsia="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项目实施人员一览表</w:t>
      </w:r>
      <w:r>
        <w:rPr>
          <w:rFonts w:hint="eastAsia" w:ascii="宋体" w:hAnsi="宋体" w:eastAsia="宋体" w:cs="宋体"/>
          <w:b w:val="0"/>
          <w:bCs w:val="0"/>
          <w:color w:val="000000" w:themeColor="text1"/>
          <w:sz w:val="24"/>
          <w14:textFill>
            <w14:solidFill>
              <w14:schemeClr w14:val="tx1"/>
            </w14:solidFill>
          </w14:textFill>
        </w:rPr>
        <w:t>（格式见附件）</w:t>
      </w:r>
      <w:r>
        <w:rPr>
          <w:rFonts w:hint="eastAsia" w:ascii="宋体" w:hAnsi="宋体" w:eastAsia="宋体" w:cs="宋体"/>
          <w:b/>
          <w:bCs/>
          <w:color w:val="000000" w:themeColor="text1"/>
          <w:sz w:val="24"/>
          <w:lang w:eastAsia="zh-CN"/>
          <w14:textFill>
            <w14:solidFill>
              <w14:schemeClr w14:val="tx1"/>
            </w14:solidFill>
          </w14:textFill>
        </w:rPr>
        <w:t>【</w:t>
      </w:r>
      <w:r>
        <w:rPr>
          <w:rFonts w:hint="eastAsia" w:ascii="宋体" w:hAnsi="宋体" w:eastAsia="宋体" w:cs="宋体"/>
          <w:b/>
          <w:bCs/>
          <w:color w:val="000000" w:themeColor="text1"/>
          <w:sz w:val="24"/>
          <w14:textFill>
            <w14:solidFill>
              <w14:schemeClr w14:val="tx1"/>
            </w14:solidFill>
          </w14:textFill>
        </w:rPr>
        <w:t>如有，请提供，并一起提供由县级以上（含县级）社会养老保险经办机构出具的投标人为项目实施人员交纳的开标截止时间前</w:t>
      </w:r>
      <w:r>
        <w:rPr>
          <w:rFonts w:hint="eastAsia" w:ascii="宋体" w:hAnsi="宋体" w:cs="宋体"/>
          <w:b/>
          <w:bCs/>
          <w:color w:val="000000" w:themeColor="text1"/>
          <w:sz w:val="24"/>
          <w:lang w:eastAsia="zh-CN"/>
          <w14:textFill>
            <w14:solidFill>
              <w14:schemeClr w14:val="tx1"/>
            </w14:solidFill>
          </w14:textFill>
        </w:rPr>
        <w:t>三个月内任意一个月</w:t>
      </w:r>
      <w:r>
        <w:rPr>
          <w:rFonts w:hint="eastAsia" w:ascii="宋体" w:hAnsi="宋体" w:eastAsia="宋体" w:cs="宋体"/>
          <w:b/>
          <w:bCs/>
          <w:color w:val="000000" w:themeColor="text1"/>
          <w:sz w:val="24"/>
          <w:lang w:val="en-US" w:eastAsia="zh-CN"/>
          <w14:textFill>
            <w14:solidFill>
              <w14:schemeClr w14:val="tx1"/>
            </w14:solidFill>
          </w14:textFill>
        </w:rPr>
        <w:t>养老保险</w:t>
      </w:r>
      <w:r>
        <w:rPr>
          <w:rFonts w:hint="eastAsia" w:ascii="宋体" w:hAnsi="宋体" w:eastAsia="宋体" w:cs="宋体"/>
          <w:b/>
          <w:bCs/>
          <w:color w:val="000000" w:themeColor="text1"/>
          <w:sz w:val="24"/>
          <w14:textFill>
            <w14:solidFill>
              <w14:schemeClr w14:val="tx1"/>
            </w14:solidFill>
          </w14:textFill>
        </w:rPr>
        <w:t>证明复印件（如投标人为截标时间前60日以内成立的公司，可以提供投标人与项目实施人员签订的劳动合同复印件代替</w:t>
      </w:r>
      <w:r>
        <w:rPr>
          <w:rFonts w:hint="eastAsia" w:ascii="宋体" w:hAnsi="宋体" w:eastAsia="宋体" w:cs="宋体"/>
          <w:b/>
          <w:bCs/>
          <w:color w:val="000000" w:themeColor="text1"/>
          <w:sz w:val="24"/>
          <w:lang w:val="en-US" w:eastAsia="zh-CN"/>
          <w14:textFill>
            <w14:solidFill>
              <w14:schemeClr w14:val="tx1"/>
            </w14:solidFill>
          </w14:textFill>
        </w:rPr>
        <w:t>养老保险</w:t>
      </w:r>
      <w:r>
        <w:rPr>
          <w:rFonts w:hint="eastAsia" w:ascii="宋体" w:hAnsi="宋体" w:eastAsia="宋体" w:cs="宋体"/>
          <w:b/>
          <w:bCs/>
          <w:color w:val="000000" w:themeColor="text1"/>
          <w:sz w:val="24"/>
          <w14:textFill>
            <w14:solidFill>
              <w14:schemeClr w14:val="tx1"/>
            </w14:solidFill>
          </w14:textFill>
        </w:rPr>
        <w:t>证明复印件；项目实施人员为免缴纳</w:t>
      </w:r>
      <w:r>
        <w:rPr>
          <w:rFonts w:hint="eastAsia" w:ascii="宋体" w:hAnsi="宋体" w:cs="宋体"/>
          <w:b/>
          <w:bCs/>
          <w:color w:val="000000" w:themeColor="text1"/>
          <w:sz w:val="24"/>
          <w:lang w:eastAsia="zh-CN"/>
          <w14:textFill>
            <w14:solidFill>
              <w14:schemeClr w14:val="tx1"/>
            </w14:solidFill>
          </w14:textFill>
        </w:rPr>
        <w:t>养老保险</w:t>
      </w:r>
      <w:r>
        <w:rPr>
          <w:rFonts w:hint="eastAsia" w:ascii="宋体" w:hAnsi="宋体" w:eastAsia="宋体" w:cs="宋体"/>
          <w:b/>
          <w:bCs/>
          <w:color w:val="000000" w:themeColor="text1"/>
          <w:sz w:val="24"/>
          <w14:textFill>
            <w14:solidFill>
              <w14:schemeClr w14:val="tx1"/>
            </w14:solidFill>
          </w14:textFill>
        </w:rPr>
        <w:t>人员，提供免缴纳</w:t>
      </w:r>
      <w:r>
        <w:rPr>
          <w:rFonts w:hint="eastAsia" w:ascii="宋体" w:hAnsi="宋体" w:cs="宋体"/>
          <w:b/>
          <w:bCs/>
          <w:color w:val="000000" w:themeColor="text1"/>
          <w:sz w:val="24"/>
          <w:lang w:eastAsia="zh-CN"/>
          <w14:textFill>
            <w14:solidFill>
              <w14:schemeClr w14:val="tx1"/>
            </w14:solidFill>
          </w14:textFill>
        </w:rPr>
        <w:t>养老保险</w:t>
      </w:r>
      <w:r>
        <w:rPr>
          <w:rFonts w:hint="eastAsia" w:ascii="宋体" w:hAnsi="宋体" w:eastAsia="宋体" w:cs="宋体"/>
          <w:b/>
          <w:bCs/>
          <w:color w:val="000000" w:themeColor="text1"/>
          <w:sz w:val="24"/>
          <w14:textFill>
            <w14:solidFill>
              <w14:schemeClr w14:val="tx1"/>
            </w14:solidFill>
          </w14:textFill>
        </w:rPr>
        <w:t>的证明材料复印件及投标人与项目实施人员签订的劳动合同复印件代替</w:t>
      </w:r>
      <w:r>
        <w:rPr>
          <w:rFonts w:hint="eastAsia" w:ascii="宋体" w:hAnsi="宋体" w:eastAsia="宋体" w:cs="宋体"/>
          <w:b/>
          <w:bCs/>
          <w:color w:val="000000" w:themeColor="text1"/>
          <w:sz w:val="24"/>
          <w:lang w:val="en-US" w:eastAsia="zh-CN"/>
          <w14:textFill>
            <w14:solidFill>
              <w14:schemeClr w14:val="tx1"/>
            </w14:solidFill>
          </w14:textFill>
        </w:rPr>
        <w:t>养老保险</w:t>
      </w:r>
      <w:r>
        <w:rPr>
          <w:rFonts w:hint="eastAsia" w:ascii="宋体" w:hAnsi="宋体" w:eastAsia="宋体" w:cs="宋体"/>
          <w:b/>
          <w:bCs/>
          <w:color w:val="000000" w:themeColor="text1"/>
          <w:sz w:val="24"/>
          <w14:textFill>
            <w14:solidFill>
              <w14:schemeClr w14:val="tx1"/>
            </w14:solidFill>
          </w14:textFill>
        </w:rPr>
        <w:t>证明复印件</w:t>
      </w:r>
      <w:r>
        <w:rPr>
          <w:rFonts w:hint="eastAsia" w:ascii="宋体" w:hAnsi="宋体" w:eastAsia="宋体" w:cs="宋体"/>
          <w:b/>
          <w:bCs/>
          <w:color w:val="000000" w:themeColor="text1"/>
          <w:sz w:val="24"/>
          <w:lang w:eastAsia="zh-CN"/>
          <w14:textFill>
            <w14:solidFill>
              <w14:schemeClr w14:val="tx1"/>
            </w14:solidFill>
          </w14:textFill>
        </w:rPr>
        <w:t>；</w:t>
      </w:r>
      <w:r>
        <w:rPr>
          <w:rFonts w:hint="eastAsia" w:ascii="宋体" w:hAnsi="宋体" w:eastAsia="宋体" w:cs="宋体"/>
          <w:b/>
          <w:bCs/>
          <w:color w:val="000000" w:themeColor="text1"/>
          <w:sz w:val="24"/>
          <w:lang w:val="en-US" w:eastAsia="zh-CN"/>
          <w14:textFill>
            <w14:solidFill>
              <w14:schemeClr w14:val="tx1"/>
            </w14:solidFill>
          </w14:textFill>
        </w:rPr>
        <w:t>如因社会养老保险经办机构系统升级等原因，暂时无法向供应商提供社会养老保险缴纳情况查询服务时，供应商可以提供已为项目实施人员缴纳社会养老保险的承诺书，须同时提供无法查询的相关证明材料，包括但不限于查询网站截图、公告等。</w:t>
      </w:r>
      <w:r>
        <w:rPr>
          <w:rFonts w:hint="eastAsia" w:ascii="宋体" w:hAnsi="宋体" w:eastAsia="宋体" w:cs="宋体"/>
          <w:b/>
          <w:bCs/>
          <w:color w:val="000000" w:themeColor="text1"/>
          <w:sz w:val="24"/>
          <w14:textFill>
            <w14:solidFill>
              <w14:schemeClr w14:val="tx1"/>
            </w14:solidFill>
          </w14:textFill>
        </w:rPr>
        <w:t>）</w:t>
      </w:r>
      <w:r>
        <w:rPr>
          <w:rFonts w:hint="eastAsia" w:ascii="宋体" w:hAnsi="宋体" w:eastAsia="宋体" w:cs="宋体"/>
          <w:b/>
          <w:bCs/>
          <w:color w:val="000000" w:themeColor="text1"/>
          <w:sz w:val="24"/>
          <w:lang w:eastAsia="zh-CN"/>
          <w14:textFill>
            <w14:solidFill>
              <w14:schemeClr w14:val="tx1"/>
            </w14:solidFill>
          </w14:textFill>
        </w:rPr>
        <w:t>】</w:t>
      </w:r>
    </w:p>
    <w:p>
      <w:pPr>
        <w:numPr>
          <w:ilvl w:val="0"/>
          <w:numId w:val="0"/>
        </w:numPr>
        <w:spacing w:line="360" w:lineRule="auto"/>
        <w:ind w:firstLine="480" w:firstLineChars="2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3.节能方面的证书复印件</w:t>
      </w:r>
      <w:r>
        <w:rPr>
          <w:rFonts w:hint="eastAsia" w:ascii="宋体" w:hAnsi="宋体" w:eastAsia="宋体" w:cs="宋体"/>
          <w:b/>
          <w:bCs/>
          <w:color w:val="000000" w:themeColor="text1"/>
          <w:sz w:val="24"/>
          <w:lang w:val="en-US" w:eastAsia="zh-CN"/>
          <w14:textFill>
            <w14:solidFill>
              <w14:schemeClr w14:val="tx1"/>
            </w14:solidFill>
          </w14:textFill>
        </w:rPr>
        <w:t>（如有，请提供）</w:t>
      </w:r>
      <w:r>
        <w:rPr>
          <w:rFonts w:hint="eastAsia" w:ascii="宋体" w:hAnsi="宋体" w:eastAsia="宋体" w:cs="宋体"/>
          <w:color w:val="000000" w:themeColor="text1"/>
          <w:sz w:val="24"/>
          <w:lang w:val="en-US" w:eastAsia="zh-CN"/>
          <w14:textFill>
            <w14:solidFill>
              <w14:schemeClr w14:val="tx1"/>
            </w14:solidFill>
          </w14:textFill>
        </w:rPr>
        <w:t>；</w:t>
      </w:r>
    </w:p>
    <w:p>
      <w:pPr>
        <w:numPr>
          <w:ilvl w:val="0"/>
          <w:numId w:val="0"/>
        </w:numPr>
        <w:spacing w:line="360" w:lineRule="auto"/>
        <w:ind w:firstLine="480" w:firstLineChars="2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4.环境标志方面的证书复印件</w:t>
      </w:r>
      <w:r>
        <w:rPr>
          <w:rFonts w:hint="eastAsia" w:ascii="宋体" w:hAnsi="宋体" w:eastAsia="宋体" w:cs="宋体"/>
          <w:b/>
          <w:bCs/>
          <w:color w:val="000000" w:themeColor="text1"/>
          <w:sz w:val="24"/>
          <w:lang w:val="en-US" w:eastAsia="zh-CN"/>
          <w14:textFill>
            <w14:solidFill>
              <w14:schemeClr w14:val="tx1"/>
            </w14:solidFill>
          </w14:textFill>
        </w:rPr>
        <w:t>（如有，请提供）</w:t>
      </w:r>
      <w:r>
        <w:rPr>
          <w:rFonts w:hint="eastAsia" w:ascii="宋体" w:hAnsi="宋体" w:eastAsia="宋体" w:cs="宋体"/>
          <w:color w:val="000000" w:themeColor="text1"/>
          <w:sz w:val="24"/>
          <w:lang w:val="en-US" w:eastAsia="zh-CN"/>
          <w14:textFill>
            <w14:solidFill>
              <w14:schemeClr w14:val="tx1"/>
            </w14:solidFill>
          </w14:textFill>
        </w:rPr>
        <w:t>；</w:t>
      </w:r>
    </w:p>
    <w:p>
      <w:pPr>
        <w:numPr>
          <w:ilvl w:val="0"/>
          <w:numId w:val="0"/>
        </w:numPr>
        <w:spacing w:line="360" w:lineRule="auto"/>
        <w:ind w:firstLine="480" w:firstLineChars="2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5.投标人为生产厂家的，投标人的生产制造设备清单及专业技术能力说明</w:t>
      </w:r>
      <w:r>
        <w:rPr>
          <w:rFonts w:hint="eastAsia" w:ascii="宋体" w:hAnsi="宋体" w:eastAsia="宋体" w:cs="宋体"/>
          <w:b/>
          <w:bCs/>
          <w:color w:val="000000" w:themeColor="text1"/>
          <w:sz w:val="24"/>
          <w:lang w:val="en-US" w:eastAsia="zh-CN"/>
          <w14:textFill>
            <w14:solidFill>
              <w14:schemeClr w14:val="tx1"/>
            </w14:solidFill>
          </w14:textFill>
        </w:rPr>
        <w:t>（如有，请提供）</w:t>
      </w:r>
      <w:r>
        <w:rPr>
          <w:rFonts w:hint="eastAsia" w:ascii="宋体" w:hAnsi="宋体" w:eastAsia="宋体" w:cs="宋体"/>
          <w:color w:val="000000" w:themeColor="text1"/>
          <w:sz w:val="24"/>
          <w:lang w:val="en-US" w:eastAsia="zh-CN"/>
          <w14:textFill>
            <w14:solidFill>
              <w14:schemeClr w14:val="tx1"/>
            </w14:solidFill>
          </w14:textFill>
        </w:rPr>
        <w:t>；</w:t>
      </w:r>
    </w:p>
    <w:p>
      <w:pPr>
        <w:numPr>
          <w:ilvl w:val="0"/>
          <w:numId w:val="0"/>
        </w:numPr>
        <w:spacing w:line="360" w:lineRule="auto"/>
        <w:ind w:firstLine="480" w:firstLineChars="2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6.投标人相关获奖证书、认证证书等复印件</w:t>
      </w:r>
      <w:r>
        <w:rPr>
          <w:rFonts w:hint="eastAsia" w:ascii="宋体" w:hAnsi="宋体" w:eastAsia="宋体" w:cs="宋体"/>
          <w:b/>
          <w:bCs/>
          <w:color w:val="000000" w:themeColor="text1"/>
          <w:sz w:val="24"/>
          <w:lang w:val="en-US" w:eastAsia="zh-CN"/>
          <w14:textFill>
            <w14:solidFill>
              <w14:schemeClr w14:val="tx1"/>
            </w14:solidFill>
          </w14:textFill>
        </w:rPr>
        <w:t>（如有，请提供）</w:t>
      </w:r>
      <w:r>
        <w:rPr>
          <w:rFonts w:hint="eastAsia" w:ascii="宋体" w:hAnsi="宋体" w:eastAsia="宋体" w:cs="宋体"/>
          <w:color w:val="000000" w:themeColor="text1"/>
          <w:sz w:val="24"/>
          <w:lang w:val="en-US" w:eastAsia="zh-CN"/>
          <w14:textFill>
            <w14:solidFill>
              <w14:schemeClr w14:val="tx1"/>
            </w14:solidFill>
          </w14:textFill>
        </w:rPr>
        <w:t>；</w:t>
      </w:r>
    </w:p>
    <w:p>
      <w:pPr>
        <w:numPr>
          <w:ilvl w:val="0"/>
          <w:numId w:val="0"/>
        </w:num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7</w:t>
      </w:r>
      <w:r>
        <w:rPr>
          <w:rFonts w:hint="eastAsia" w:ascii="宋体" w:hAnsi="宋体" w:eastAsia="宋体" w:cs="宋体"/>
          <w:color w:val="000000" w:themeColor="text1"/>
          <w:sz w:val="24"/>
          <w:lang w:val="en-US" w:eastAsia="zh-CN"/>
          <w14:textFill>
            <w14:solidFill>
              <w14:schemeClr w14:val="tx1"/>
            </w14:solidFill>
          </w14:textFill>
        </w:rPr>
        <w:t>.供应商20</w:t>
      </w:r>
      <w:r>
        <w:rPr>
          <w:rFonts w:hint="eastAsia" w:ascii="宋体" w:hAnsi="宋体" w:cs="宋体"/>
          <w:color w:val="000000" w:themeColor="text1"/>
          <w:sz w:val="24"/>
          <w:lang w:val="en-US" w:eastAsia="zh-CN"/>
          <w14:textFill>
            <w14:solidFill>
              <w14:schemeClr w14:val="tx1"/>
            </w14:solidFill>
          </w14:textFill>
        </w:rPr>
        <w:t>21</w:t>
      </w:r>
      <w:r>
        <w:rPr>
          <w:rFonts w:hint="eastAsia" w:ascii="宋体" w:hAnsi="宋体" w:eastAsia="宋体" w:cs="宋体"/>
          <w:color w:val="000000" w:themeColor="text1"/>
          <w:sz w:val="24"/>
          <w:lang w:val="en-US" w:eastAsia="zh-CN"/>
          <w14:textFill>
            <w14:solidFill>
              <w14:schemeClr w14:val="tx1"/>
            </w14:solidFill>
          </w14:textFill>
        </w:rPr>
        <w:t>年1月1日以来具有同类项目的业绩相关证明材料（无不良记录，以中标、成交通知书或签订的合同为准，并能清晰反映项目的名称、采购内容、采购金额、采购时间）</w:t>
      </w:r>
      <w:r>
        <w:rPr>
          <w:rFonts w:hint="eastAsia" w:ascii="宋体" w:hAnsi="宋体" w:eastAsia="宋体" w:cs="宋体"/>
          <w:b/>
          <w:bCs/>
          <w:color w:val="000000" w:themeColor="text1"/>
          <w:sz w:val="24"/>
          <w:lang w:val="en-US" w:eastAsia="zh-CN"/>
          <w14:textFill>
            <w14:solidFill>
              <w14:schemeClr w14:val="tx1"/>
            </w14:solidFill>
          </w14:textFill>
        </w:rPr>
        <w:t>（如有，请提供）</w:t>
      </w:r>
      <w:r>
        <w:rPr>
          <w:rFonts w:hint="eastAsia" w:ascii="宋体" w:hAnsi="宋体" w:eastAsia="宋体" w:cs="宋体"/>
          <w:b/>
          <w:bCs/>
          <w:color w:val="000000" w:themeColor="text1"/>
          <w:sz w:val="24"/>
          <w:highlight w:val="none"/>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8</w:t>
      </w:r>
      <w:r>
        <w:rPr>
          <w:rFonts w:hint="eastAsia" w:ascii="宋体" w:hAnsi="宋体" w:eastAsia="宋体" w:cs="宋体"/>
          <w:color w:val="000000" w:themeColor="text1"/>
          <w:sz w:val="24"/>
          <w:lang w:val="en-US" w:eastAsia="zh-CN"/>
          <w14:textFill>
            <w14:solidFill>
              <w14:schemeClr w14:val="tx1"/>
            </w14:solidFill>
          </w14:textFill>
        </w:rPr>
        <w:t>.《中小企业声明函》（见附件）</w:t>
      </w:r>
      <w:r>
        <w:rPr>
          <w:rFonts w:hint="eastAsia" w:ascii="宋体" w:hAnsi="宋体" w:eastAsia="宋体" w:cs="宋体"/>
          <w:b/>
          <w:bCs/>
          <w:color w:val="000000" w:themeColor="text1"/>
          <w:sz w:val="24"/>
          <w14:textFill>
            <w14:solidFill>
              <w14:schemeClr w14:val="tx1"/>
            </w14:solidFill>
          </w14:textFill>
        </w:rPr>
        <w:t>（如有，请提供）；</w:t>
      </w:r>
    </w:p>
    <w:p>
      <w:pPr>
        <w:spacing w:line="360" w:lineRule="auto"/>
        <w:ind w:firstLine="480" w:firstLineChars="2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9</w:t>
      </w:r>
      <w:r>
        <w:rPr>
          <w:rFonts w:hint="eastAsia" w:ascii="宋体" w:hAnsi="宋体" w:eastAsia="宋体" w:cs="宋体"/>
          <w:color w:val="000000" w:themeColor="text1"/>
          <w:sz w:val="24"/>
          <w:lang w:val="en-US" w:eastAsia="zh-CN"/>
          <w14:textFill>
            <w14:solidFill>
              <w14:schemeClr w14:val="tx1"/>
            </w14:solidFill>
          </w14:textFill>
        </w:rPr>
        <w:t>.如提供服务的供应商属于监狱企业的，应当提供由省级以上监狱管理局、戒毒管理局等（含新疆生产建设兵团）出具的属于监狱企业的证明文件</w:t>
      </w:r>
      <w:r>
        <w:rPr>
          <w:rFonts w:hint="eastAsia" w:ascii="宋体" w:hAnsi="宋体" w:eastAsia="宋体" w:cs="宋体"/>
          <w:b/>
          <w:bCs/>
          <w:color w:val="000000" w:themeColor="text1"/>
          <w:sz w:val="24"/>
          <w14:textFill>
            <w14:solidFill>
              <w14:schemeClr w14:val="tx1"/>
            </w14:solidFill>
          </w14:textFill>
        </w:rPr>
        <w:t>（如有，请提供）</w:t>
      </w:r>
      <w:r>
        <w:rPr>
          <w:rFonts w:hint="eastAsia" w:ascii="宋体" w:hAnsi="宋体" w:eastAsia="宋体" w:cs="宋体"/>
          <w:color w:val="000000" w:themeColor="text1"/>
          <w:sz w:val="24"/>
          <w:lang w:val="en-US" w:eastAsia="zh-CN"/>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10</w:t>
      </w:r>
      <w:r>
        <w:rPr>
          <w:rFonts w:hint="eastAsia" w:ascii="宋体" w:hAnsi="宋体" w:eastAsia="宋体" w:cs="宋体"/>
          <w:color w:val="000000" w:themeColor="text1"/>
          <w:sz w:val="24"/>
          <w:lang w:val="en-US" w:eastAsia="zh-CN"/>
          <w14:textFill>
            <w14:solidFill>
              <w14:schemeClr w14:val="tx1"/>
            </w14:solidFill>
          </w14:textFill>
        </w:rPr>
        <w:t>.符合条件的残疾人福利性单位在参加政府采购活动时，应当提供《残疾人福利性单位声明函》（见附件），并对声明的真实性负责；</w:t>
      </w:r>
      <w:r>
        <w:rPr>
          <w:rFonts w:hint="eastAsia" w:ascii="宋体" w:hAnsi="宋体" w:eastAsia="宋体" w:cs="宋体"/>
          <w:b/>
          <w:bCs/>
          <w:color w:val="000000" w:themeColor="text1"/>
          <w:sz w:val="24"/>
          <w14:textFill>
            <w14:solidFill>
              <w14:schemeClr w14:val="tx1"/>
            </w14:solidFill>
          </w14:textFill>
        </w:rPr>
        <w:t>（如有，请提供）</w:t>
      </w:r>
      <w:r>
        <w:rPr>
          <w:rFonts w:hint="eastAsia" w:ascii="宋体" w:hAnsi="宋体" w:eastAsia="宋体" w:cs="宋体"/>
          <w:color w:val="000000" w:themeColor="text1"/>
          <w:sz w:val="24"/>
          <w:lang w:val="en-US" w:eastAsia="zh-CN"/>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11</w:t>
      </w:r>
      <w:r>
        <w:rPr>
          <w:rFonts w:hint="eastAsia" w:ascii="宋体" w:hAnsi="宋体" w:eastAsia="宋体" w:cs="宋体"/>
          <w:color w:val="000000" w:themeColor="text1"/>
          <w:sz w:val="24"/>
          <w:lang w:val="en-US" w:eastAsia="zh-CN"/>
          <w14:textFill>
            <w14:solidFill>
              <w14:schemeClr w14:val="tx1"/>
            </w14:solidFill>
          </w14:textFill>
        </w:rPr>
        <w:t>.供应商可结合本项目的评审办法视自身情况自行提交其它相关证明材料</w:t>
      </w:r>
      <w:r>
        <w:rPr>
          <w:rFonts w:hint="eastAsia" w:ascii="宋体" w:hAnsi="宋体" w:eastAsia="宋体" w:cs="宋体"/>
          <w:b/>
          <w:bCs/>
          <w:color w:val="000000" w:themeColor="text1"/>
          <w:sz w:val="24"/>
          <w14:textFill>
            <w14:solidFill>
              <w14:schemeClr w14:val="tx1"/>
            </w14:solidFill>
          </w14:textFill>
        </w:rPr>
        <w:t>（如有，请提供）</w:t>
      </w:r>
      <w:r>
        <w:rPr>
          <w:rFonts w:hint="eastAsia" w:ascii="宋体" w:hAnsi="宋体" w:eastAsia="宋体" w:cs="宋体"/>
          <w:color w:val="000000" w:themeColor="text1"/>
          <w:sz w:val="24"/>
          <w:lang w:val="en-US" w:eastAsia="zh-CN"/>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p>
    <w:p>
      <w:pPr>
        <w:pStyle w:val="28"/>
        <w:rPr>
          <w:rFonts w:hint="eastAsia" w:ascii="宋体" w:hAnsi="宋体" w:eastAsia="宋体" w:cs="宋体"/>
          <w:b/>
          <w:bCs/>
          <w:color w:val="000000" w:themeColor="text1"/>
          <w:sz w:val="24"/>
          <w14:textFill>
            <w14:solidFill>
              <w14:schemeClr w14:val="tx1"/>
            </w14:solidFill>
          </w14:textFill>
        </w:rPr>
      </w:pPr>
    </w:p>
    <w:p>
      <w:pPr>
        <w:pStyle w:val="28"/>
        <w:rPr>
          <w:rFonts w:hint="eastAsia" w:ascii="宋体" w:hAnsi="宋体" w:eastAsia="宋体" w:cs="宋体"/>
          <w:b/>
          <w:bCs/>
          <w:color w:val="000000" w:themeColor="text1"/>
          <w:sz w:val="24"/>
          <w14:textFill>
            <w14:solidFill>
              <w14:schemeClr w14:val="tx1"/>
            </w14:solidFill>
          </w14:textFill>
        </w:rPr>
      </w:pPr>
    </w:p>
    <w:p>
      <w:pPr>
        <w:pStyle w:val="28"/>
        <w:rPr>
          <w:rFonts w:hint="eastAsia" w:ascii="宋体" w:hAnsi="宋体" w:eastAsia="宋体" w:cs="宋体"/>
          <w:b/>
          <w:bCs/>
          <w:color w:val="000000" w:themeColor="text1"/>
          <w:sz w:val="24"/>
          <w14:textFill>
            <w14:solidFill>
              <w14:schemeClr w14:val="tx1"/>
            </w14:solidFill>
          </w14:textFill>
        </w:rPr>
      </w:pPr>
    </w:p>
    <w:p>
      <w:pPr>
        <w:pStyle w:val="28"/>
        <w:rPr>
          <w:rFonts w:hint="eastAsia" w:ascii="宋体" w:hAnsi="宋体" w:eastAsia="宋体" w:cs="宋体"/>
          <w:b/>
          <w:bCs/>
          <w:color w:val="000000" w:themeColor="text1"/>
          <w:sz w:val="24"/>
          <w14:textFill>
            <w14:solidFill>
              <w14:schemeClr w14:val="tx1"/>
            </w14:solidFill>
          </w14:textFill>
        </w:rPr>
      </w:pPr>
    </w:p>
    <w:p>
      <w:pPr>
        <w:pStyle w:val="28"/>
        <w:rPr>
          <w:rFonts w:hint="eastAsia" w:ascii="宋体" w:hAnsi="宋体" w:eastAsia="宋体" w:cs="宋体"/>
          <w:b/>
          <w:bCs/>
          <w:color w:val="000000" w:themeColor="text1"/>
          <w:sz w:val="24"/>
          <w14:textFill>
            <w14:solidFill>
              <w14:schemeClr w14:val="tx1"/>
            </w14:solidFill>
          </w14:textFill>
        </w:rPr>
      </w:pPr>
    </w:p>
    <w:p>
      <w:pPr>
        <w:pStyle w:val="28"/>
        <w:rPr>
          <w:rFonts w:hint="eastAsia" w:ascii="宋体" w:hAnsi="宋体" w:eastAsia="宋体" w:cs="宋体"/>
          <w:b/>
          <w:bCs/>
          <w:color w:val="000000" w:themeColor="text1"/>
          <w:sz w:val="24"/>
          <w14:textFill>
            <w14:solidFill>
              <w14:schemeClr w14:val="tx1"/>
            </w14:solidFill>
          </w14:textFill>
        </w:rPr>
      </w:pPr>
    </w:p>
    <w:p>
      <w:pPr>
        <w:pStyle w:val="28"/>
        <w:rPr>
          <w:rFonts w:hint="eastAsia" w:ascii="宋体" w:hAnsi="宋体" w:eastAsia="宋体" w:cs="宋体"/>
          <w:b/>
          <w:bCs/>
          <w:color w:val="000000" w:themeColor="text1"/>
          <w:sz w:val="24"/>
          <w14:textFill>
            <w14:solidFill>
              <w14:schemeClr w14:val="tx1"/>
            </w14:solidFill>
          </w14:textFill>
        </w:rPr>
      </w:pPr>
    </w:p>
    <w:p>
      <w:pPr>
        <w:pStyle w:val="28"/>
        <w:rPr>
          <w:rFonts w:hint="eastAsia" w:ascii="宋体" w:hAnsi="宋体" w:eastAsia="宋体" w:cs="宋体"/>
          <w:b/>
          <w:bCs/>
          <w:color w:val="000000" w:themeColor="text1"/>
          <w:sz w:val="24"/>
          <w14:textFill>
            <w14:solidFill>
              <w14:schemeClr w14:val="tx1"/>
            </w14:solidFill>
          </w14:textFill>
        </w:rPr>
      </w:pPr>
    </w:p>
    <w:p>
      <w:pPr>
        <w:rPr>
          <w:rFonts w:hint="eastAsia" w:ascii="宋体" w:hAnsi="宋体" w:eastAsia="宋体" w:cs="宋体"/>
          <w:b/>
          <w:color w:val="000000" w:themeColor="text1"/>
          <w:kern w:val="2"/>
          <w:sz w:val="28"/>
          <w:szCs w:val="28"/>
          <w:lang w:val="en-US" w:eastAsia="zh-CN" w:bidi="ar-SA"/>
          <w14:textFill>
            <w14:solidFill>
              <w14:schemeClr w14:val="tx1"/>
            </w14:solidFill>
          </w14:textFill>
        </w:rPr>
      </w:pPr>
      <w:r>
        <w:rPr>
          <w:rFonts w:hint="eastAsia" w:ascii="宋体" w:hAnsi="宋体" w:eastAsia="宋体" w:cs="宋体"/>
          <w:b/>
          <w:color w:val="000000" w:themeColor="text1"/>
          <w:kern w:val="2"/>
          <w:sz w:val="28"/>
          <w:szCs w:val="28"/>
          <w:lang w:val="en-US" w:eastAsia="zh-CN" w:bidi="ar-SA"/>
          <w14:textFill>
            <w14:solidFill>
              <w14:schemeClr w14:val="tx1"/>
            </w14:solidFill>
          </w14:textFill>
        </w:rPr>
        <w:t>1.项目实施方案（格式见附件）（如有，请提供）；</w:t>
      </w:r>
    </w:p>
    <w:p>
      <w:pPr>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附件：</w:t>
      </w:r>
    </w:p>
    <w:p>
      <w:pPr>
        <w:pStyle w:val="9"/>
        <w:rPr>
          <w:rFonts w:ascii="宋体" w:hAnsi="宋体" w:cs="宋体"/>
          <w:b/>
          <w:bCs/>
          <w:color w:val="000000" w:themeColor="text1"/>
          <w:sz w:val="32"/>
          <w:szCs w:val="32"/>
          <w:highlight w:val="none"/>
          <w14:textFill>
            <w14:solidFill>
              <w14:schemeClr w14:val="tx1"/>
            </w14:solidFill>
          </w14:textFill>
        </w:rPr>
      </w:pPr>
    </w:p>
    <w:p>
      <w:pPr>
        <w:pStyle w:val="9"/>
        <w:rPr>
          <w:rFonts w:ascii="宋体" w:hAnsi="宋体" w:cs="宋体"/>
          <w:b/>
          <w:bCs/>
          <w:color w:val="000000" w:themeColor="text1"/>
          <w:sz w:val="32"/>
          <w:szCs w:val="32"/>
          <w:highlight w:val="none"/>
          <w14:textFill>
            <w14:solidFill>
              <w14:schemeClr w14:val="tx1"/>
            </w14:solidFill>
          </w14:textFill>
        </w:rPr>
      </w:pPr>
    </w:p>
    <w:p>
      <w:pPr>
        <w:pStyle w:val="9"/>
        <w:rPr>
          <w:rFonts w:ascii="宋体" w:hAnsi="宋体" w:cs="宋体"/>
          <w:b/>
          <w:bCs/>
          <w:color w:val="000000" w:themeColor="text1"/>
          <w:sz w:val="32"/>
          <w:szCs w:val="32"/>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9"/>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2"/>
        <w:spacing w:line="340" w:lineRule="exact"/>
        <w:jc w:val="center"/>
        <w:rPr>
          <w:b/>
          <w:color w:val="000000" w:themeColor="text1"/>
          <w:sz w:val="32"/>
          <w:szCs w:val="32"/>
          <w:highlight w:val="none"/>
          <w14:textFill>
            <w14:solidFill>
              <w14:schemeClr w14:val="tx1"/>
            </w14:solidFill>
          </w14:textFill>
        </w:rPr>
      </w:pPr>
      <w:r>
        <w:rPr>
          <w:rFonts w:hint="eastAsia"/>
          <w:b/>
          <w:color w:val="000000" w:themeColor="text1"/>
          <w:sz w:val="32"/>
          <w:szCs w:val="32"/>
          <w:highlight w:val="none"/>
          <w14:textFill>
            <w14:solidFill>
              <w14:schemeClr w14:val="tx1"/>
            </w14:solidFill>
          </w14:textFill>
        </w:rPr>
        <w:t>项目实施方案 （格式）</w:t>
      </w:r>
    </w:p>
    <w:p>
      <w:pPr>
        <w:rPr>
          <w:rFonts w:hAnsi="Courier New"/>
          <w:b/>
          <w:color w:val="000000" w:themeColor="text1"/>
          <w:sz w:val="32"/>
          <w:szCs w:val="32"/>
          <w:highlight w:val="none"/>
          <w14:textFill>
            <w14:solidFill>
              <w14:schemeClr w14:val="tx1"/>
            </w14:solidFill>
          </w14:textFill>
        </w:rPr>
      </w:pPr>
    </w:p>
    <w:p>
      <w:pPr>
        <w:pStyle w:val="9"/>
        <w:rPr>
          <w:color w:val="000000" w:themeColor="text1"/>
          <w:highlight w:val="none"/>
          <w14:textFill>
            <w14:solidFill>
              <w14:schemeClr w14:val="tx1"/>
            </w14:solidFill>
          </w14:textFill>
        </w:rPr>
      </w:pPr>
    </w:p>
    <w:p>
      <w:pPr>
        <w:widowControl/>
        <w:ind w:firstLine="3092" w:firstLineChars="1100"/>
        <w:jc w:val="left"/>
        <w:rPr>
          <w:rFonts w:ascii="宋体" w:hAnsi="宋体" w:cs="宋体"/>
          <w:b/>
          <w:color w:val="000000" w:themeColor="text1"/>
          <w:kern w:val="0"/>
          <w:sz w:val="28"/>
          <w:szCs w:val="28"/>
          <w:highlight w:val="none"/>
          <w:lang w:bidi="ar"/>
          <w14:textFill>
            <w14:solidFill>
              <w14:schemeClr w14:val="tx1"/>
            </w14:solidFill>
          </w14:textFill>
        </w:rPr>
      </w:pPr>
      <w:r>
        <w:rPr>
          <w:rFonts w:hint="eastAsia" w:ascii="宋体" w:hAnsi="宋体" w:cs="宋体"/>
          <w:b/>
          <w:color w:val="000000" w:themeColor="text1"/>
          <w:kern w:val="0"/>
          <w:sz w:val="28"/>
          <w:szCs w:val="28"/>
          <w:highlight w:val="none"/>
          <w:lang w:bidi="ar"/>
          <w14:textFill>
            <w14:solidFill>
              <w14:schemeClr w14:val="tx1"/>
            </w14:solidFill>
          </w14:textFill>
        </w:rPr>
        <w:t xml:space="preserve">（根据采购需求自行编制） </w:t>
      </w:r>
    </w:p>
    <w:p>
      <w:pPr>
        <w:widowControl/>
        <w:ind w:firstLine="3092" w:firstLineChars="1100"/>
        <w:jc w:val="left"/>
        <w:rPr>
          <w:rFonts w:ascii="宋体" w:hAnsi="宋体" w:cs="宋体"/>
          <w:b/>
          <w:color w:val="000000" w:themeColor="text1"/>
          <w:kern w:val="0"/>
          <w:sz w:val="28"/>
          <w:szCs w:val="28"/>
          <w:highlight w:val="none"/>
          <w:lang w:bidi="ar"/>
          <w14:textFill>
            <w14:solidFill>
              <w14:schemeClr w14:val="tx1"/>
            </w14:solidFill>
          </w14:textFill>
        </w:rPr>
      </w:pPr>
    </w:p>
    <w:p>
      <w:pPr>
        <w:widowControl/>
        <w:ind w:firstLine="3092" w:firstLineChars="1100"/>
        <w:jc w:val="left"/>
        <w:rPr>
          <w:rFonts w:ascii="宋体" w:hAnsi="宋体" w:cs="宋体"/>
          <w:b/>
          <w:color w:val="000000" w:themeColor="text1"/>
          <w:kern w:val="0"/>
          <w:sz w:val="28"/>
          <w:szCs w:val="28"/>
          <w:highlight w:val="none"/>
          <w:lang w:bidi="ar"/>
          <w14:textFill>
            <w14:solidFill>
              <w14:schemeClr w14:val="tx1"/>
            </w14:solidFill>
          </w14:textFill>
        </w:rPr>
      </w:pPr>
    </w:p>
    <w:p>
      <w:pPr>
        <w:widowControl/>
        <w:ind w:firstLine="3092" w:firstLineChars="1100"/>
        <w:jc w:val="left"/>
        <w:rPr>
          <w:rFonts w:ascii="宋体" w:hAnsi="宋体" w:cs="宋体"/>
          <w:b/>
          <w:color w:val="000000" w:themeColor="text1"/>
          <w:kern w:val="0"/>
          <w:sz w:val="28"/>
          <w:szCs w:val="28"/>
          <w:highlight w:val="none"/>
          <w:lang w:bidi="ar"/>
          <w14:textFill>
            <w14:solidFill>
              <w14:schemeClr w14:val="tx1"/>
            </w14:solidFill>
          </w14:textFill>
        </w:rPr>
      </w:pPr>
    </w:p>
    <w:p>
      <w:pPr>
        <w:widowControl/>
        <w:ind w:firstLine="3092" w:firstLineChars="1100"/>
        <w:jc w:val="left"/>
        <w:rPr>
          <w:rFonts w:ascii="宋体" w:hAnsi="宋体" w:cs="宋体"/>
          <w:b/>
          <w:color w:val="000000" w:themeColor="text1"/>
          <w:kern w:val="0"/>
          <w:sz w:val="28"/>
          <w:szCs w:val="28"/>
          <w:highlight w:val="none"/>
          <w:lang w:bidi="ar"/>
          <w14:textFill>
            <w14:solidFill>
              <w14:schemeClr w14:val="tx1"/>
            </w14:solidFill>
          </w14:textFill>
        </w:rPr>
      </w:pPr>
    </w:p>
    <w:p>
      <w:pPr>
        <w:widowControl/>
        <w:ind w:firstLine="1470" w:firstLineChars="700"/>
        <w:jc w:val="left"/>
        <w:rPr>
          <w:rFonts w:asci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投标人[公章(CA签章)，自然人签字或个人CA签章]：</w:t>
      </w:r>
      <w:r>
        <w:rPr>
          <w:rFonts w:hint="eastAsia" w:ascii="宋体" w:hAnsi="宋体" w:cs="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u w:val="single"/>
          <w14:textFill>
            <w14:solidFill>
              <w14:schemeClr w14:val="tx1"/>
            </w14:solidFill>
          </w14:textFill>
        </w:rPr>
        <w:t xml:space="preserve">                           </w:t>
      </w:r>
    </w:p>
    <w:p>
      <w:pPr>
        <w:pStyle w:val="12"/>
        <w:spacing w:line="300" w:lineRule="exact"/>
        <w:ind w:left="2940" w:leftChars="1400" w:firstLine="630" w:firstLineChars="300"/>
        <w:rPr>
          <w:rFonts w:hAnsi="宋体"/>
          <w:color w:val="000000" w:themeColor="text1"/>
          <w:highlight w:val="none"/>
          <w14:textFill>
            <w14:solidFill>
              <w14:schemeClr w14:val="tx1"/>
            </w14:solidFill>
          </w14:textFill>
        </w:rPr>
      </w:pPr>
    </w:p>
    <w:p>
      <w:pPr>
        <w:pStyle w:val="12"/>
        <w:spacing w:line="300" w:lineRule="exact"/>
        <w:ind w:firstLine="4638" w:firstLineChars="1650"/>
        <w:rPr>
          <w:b/>
          <w:color w:val="000000" w:themeColor="text1"/>
          <w:sz w:val="28"/>
          <w:szCs w:val="28"/>
          <w:highlight w:val="none"/>
          <w14:textFill>
            <w14:solidFill>
              <w14:schemeClr w14:val="tx1"/>
            </w14:solidFill>
          </w14:textFill>
        </w:rPr>
      </w:pPr>
      <w:r>
        <w:rPr>
          <w:b/>
          <w:color w:val="000000" w:themeColor="text1"/>
          <w:sz w:val="28"/>
          <w:szCs w:val="28"/>
          <w:highlight w:val="none"/>
          <w14:textFill>
            <w14:solidFill>
              <w14:schemeClr w14:val="tx1"/>
            </w14:solidFill>
          </w14:textFill>
        </w:rPr>
        <w:t xml:space="preserve"> </w:t>
      </w:r>
    </w:p>
    <w:p>
      <w:pPr>
        <w:pStyle w:val="12"/>
        <w:spacing w:line="300" w:lineRule="exact"/>
        <w:rPr>
          <w:b/>
          <w:color w:val="000000" w:themeColor="text1"/>
          <w:sz w:val="28"/>
          <w:szCs w:val="28"/>
          <w:highlight w:val="none"/>
          <w14:textFill>
            <w14:solidFill>
              <w14:schemeClr w14:val="tx1"/>
            </w14:solidFill>
          </w14:textFill>
        </w:rPr>
      </w:pPr>
    </w:p>
    <w:p>
      <w:pPr>
        <w:snapToGrid w:val="0"/>
        <w:spacing w:line="300" w:lineRule="exact"/>
        <w:ind w:firstLine="4830" w:firstLineChars="2300"/>
        <w:rPr>
          <w:color w:val="000000" w:themeColor="text1"/>
          <w:highlight w:val="none"/>
          <w:u w:val="single"/>
          <w14:textFill>
            <w14:solidFill>
              <w14:schemeClr w14:val="tx1"/>
            </w14:solidFill>
          </w14:textFill>
        </w:rPr>
      </w:pPr>
      <w:r>
        <w:rPr>
          <w:color w:val="000000" w:themeColor="text1"/>
          <w:highlight w:val="none"/>
          <w14:textFill>
            <w14:solidFill>
              <w14:schemeClr w14:val="tx1"/>
            </w14:solidFill>
          </w14:textFill>
        </w:rPr>
        <w:t>日          期：</w:t>
      </w:r>
      <w:r>
        <w:rPr>
          <w:color w:val="000000" w:themeColor="text1"/>
          <w:highlight w:val="none"/>
          <w:u w:val="single"/>
          <w14:textFill>
            <w14:solidFill>
              <w14:schemeClr w14:val="tx1"/>
            </w14:solidFill>
          </w14:textFill>
        </w:rPr>
        <w:t xml:space="preserve">                              </w:t>
      </w:r>
    </w:p>
    <w:p>
      <w:pPr>
        <w:snapToGrid w:val="0"/>
        <w:spacing w:line="300" w:lineRule="exact"/>
        <w:ind w:firstLine="3570" w:firstLineChars="1700"/>
        <w:rPr>
          <w:color w:val="000000" w:themeColor="text1"/>
          <w:highlight w:val="none"/>
          <w:u w:val="single"/>
          <w14:textFill>
            <w14:solidFill>
              <w14:schemeClr w14:val="tx1"/>
            </w14:solidFill>
          </w14:textFill>
        </w:rPr>
      </w:pPr>
    </w:p>
    <w:p>
      <w:pPr>
        <w:rPr>
          <w:rFonts w:ascii="宋体" w:hAnsi="宋体" w:cs="宋体"/>
          <w:b/>
          <w:color w:val="000000" w:themeColor="text1"/>
          <w:sz w:val="32"/>
          <w:szCs w:val="32"/>
          <w:highlight w:val="none"/>
          <w14:textFill>
            <w14:solidFill>
              <w14:schemeClr w14:val="tx1"/>
            </w14:solidFill>
          </w14:textFill>
        </w:rPr>
      </w:pPr>
    </w:p>
    <w:p>
      <w:pPr>
        <w:pStyle w:val="9"/>
        <w:rPr>
          <w:color w:val="000000" w:themeColor="text1"/>
          <w:highlight w:val="none"/>
          <w14:textFill>
            <w14:solidFill>
              <w14:schemeClr w14:val="tx1"/>
            </w14:solidFill>
          </w14:textFill>
        </w:rPr>
      </w:pPr>
    </w:p>
    <w:p>
      <w:pPr>
        <w:pStyle w:val="9"/>
        <w:rPr>
          <w:color w:val="000000" w:themeColor="text1"/>
          <w:highlight w:val="none"/>
          <w14:textFill>
            <w14:solidFill>
              <w14:schemeClr w14:val="tx1"/>
            </w14:solidFill>
          </w14:textFill>
        </w:rPr>
      </w:pPr>
    </w:p>
    <w:p>
      <w:pPr>
        <w:pStyle w:val="9"/>
        <w:rPr>
          <w:color w:val="000000" w:themeColor="text1"/>
          <w:highlight w:val="none"/>
          <w14:textFill>
            <w14:solidFill>
              <w14:schemeClr w14:val="tx1"/>
            </w14:solidFill>
          </w14:textFill>
        </w:rPr>
      </w:pPr>
    </w:p>
    <w:p>
      <w:pPr>
        <w:pStyle w:val="9"/>
        <w:rPr>
          <w:color w:val="000000" w:themeColor="text1"/>
          <w:highlight w:val="none"/>
          <w14:textFill>
            <w14:solidFill>
              <w14:schemeClr w14:val="tx1"/>
            </w14:solidFill>
          </w14:textFill>
        </w:rPr>
      </w:pPr>
    </w:p>
    <w:p>
      <w:pPr>
        <w:pStyle w:val="9"/>
        <w:rPr>
          <w:color w:val="000000" w:themeColor="text1"/>
          <w:highlight w:val="none"/>
          <w14:textFill>
            <w14:solidFill>
              <w14:schemeClr w14:val="tx1"/>
            </w14:solidFill>
          </w14:textFill>
        </w:rPr>
      </w:pPr>
    </w:p>
    <w:p>
      <w:pPr>
        <w:pStyle w:val="9"/>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9"/>
        <w:rPr>
          <w:color w:val="000000" w:themeColor="text1"/>
          <w:highlight w:val="none"/>
          <w14:textFill>
            <w14:solidFill>
              <w14:schemeClr w14:val="tx1"/>
            </w14:solidFill>
          </w14:textFill>
        </w:rPr>
      </w:pPr>
    </w:p>
    <w:p>
      <w:pPr>
        <w:pStyle w:val="28"/>
        <w:rPr>
          <w:rFonts w:hint="eastAsia" w:ascii="宋体" w:hAnsi="宋体" w:eastAsia="宋体" w:cs="宋体"/>
          <w:b/>
          <w:bCs/>
          <w:color w:val="000000" w:themeColor="text1"/>
          <w:sz w:val="24"/>
          <w14:textFill>
            <w14:solidFill>
              <w14:schemeClr w14:val="tx1"/>
            </w14:solidFill>
          </w14:textFill>
        </w:rPr>
      </w:pPr>
    </w:p>
    <w:p>
      <w:pPr>
        <w:pStyle w:val="12"/>
        <w:spacing w:line="340" w:lineRule="exact"/>
        <w:rPr>
          <w:rFonts w:hint="eastAsia" w:ascii="宋体" w:hAnsi="宋体" w:eastAsia="宋体" w:cs="宋体"/>
          <w:b/>
          <w:color w:val="000000" w:themeColor="text1"/>
          <w:sz w:val="28"/>
          <w:szCs w:val="28"/>
          <w14:textFill>
            <w14:solidFill>
              <w14:schemeClr w14:val="tx1"/>
            </w14:solidFill>
          </w14:textFill>
        </w:rPr>
      </w:pPr>
      <w:r>
        <w:rPr>
          <w:rFonts w:hint="eastAsia" w:hAnsi="宋体" w:cs="宋体"/>
          <w:b/>
          <w:bCs w:val="0"/>
          <w:color w:val="000000" w:themeColor="text1"/>
          <w:sz w:val="28"/>
          <w:szCs w:val="28"/>
          <w:lang w:val="en-US" w:eastAsia="zh-CN"/>
          <w14:textFill>
            <w14:solidFill>
              <w14:schemeClr w14:val="tx1"/>
            </w14:solidFill>
          </w14:textFill>
        </w:rPr>
        <w:t>2</w:t>
      </w:r>
      <w:r>
        <w:rPr>
          <w:rFonts w:hint="eastAsia" w:ascii="宋体" w:hAnsi="宋体" w:eastAsia="宋体" w:cs="宋体"/>
          <w:b/>
          <w:bCs w:val="0"/>
          <w:color w:val="000000" w:themeColor="text1"/>
          <w:sz w:val="28"/>
          <w:szCs w:val="28"/>
          <w:lang w:val="en-US" w:eastAsia="zh-CN"/>
          <w14:textFill>
            <w14:solidFill>
              <w14:schemeClr w14:val="tx1"/>
            </w14:solidFill>
          </w14:textFill>
        </w:rPr>
        <w:t>.</w:t>
      </w:r>
      <w:r>
        <w:rPr>
          <w:rFonts w:hint="eastAsia" w:ascii="宋体" w:hAnsi="宋体" w:eastAsia="宋体" w:cs="宋体"/>
          <w:b/>
          <w:color w:val="000000" w:themeColor="text1"/>
          <w:kern w:val="2"/>
          <w:sz w:val="28"/>
          <w:szCs w:val="28"/>
          <w:lang w:val="en-US" w:eastAsia="zh-CN" w:bidi="ar-SA"/>
          <w14:textFill>
            <w14:solidFill>
              <w14:schemeClr w14:val="tx1"/>
            </w14:solidFill>
          </w14:textFill>
        </w:rPr>
        <w:t>项目实施人员一览表 【如有，请提供，并一起提供由县级以上（含县级）社会养老保险经办机构出具的投标人为项目实施人员交纳的开标截止时间前</w:t>
      </w:r>
      <w:r>
        <w:rPr>
          <w:rFonts w:hint="eastAsia" w:hAnsi="宋体" w:cs="宋体"/>
          <w:b/>
          <w:color w:val="000000" w:themeColor="text1"/>
          <w:kern w:val="2"/>
          <w:sz w:val="28"/>
          <w:szCs w:val="28"/>
          <w:lang w:val="en-US" w:eastAsia="zh-CN" w:bidi="ar-SA"/>
          <w14:textFill>
            <w14:solidFill>
              <w14:schemeClr w14:val="tx1"/>
            </w14:solidFill>
          </w14:textFill>
        </w:rPr>
        <w:t>三个月内任意一个月</w:t>
      </w:r>
      <w:r>
        <w:rPr>
          <w:rFonts w:hint="eastAsia" w:ascii="宋体" w:hAnsi="宋体" w:eastAsia="宋体" w:cs="宋体"/>
          <w:b/>
          <w:color w:val="000000" w:themeColor="text1"/>
          <w:kern w:val="2"/>
          <w:sz w:val="28"/>
          <w:szCs w:val="28"/>
          <w:lang w:val="en-US" w:eastAsia="zh-CN" w:bidi="ar-SA"/>
          <w14:textFill>
            <w14:solidFill>
              <w14:schemeClr w14:val="tx1"/>
            </w14:solidFill>
          </w14:textFill>
        </w:rPr>
        <w:t>养老保险证明复印件（如投标人为截标时间前60日以内成立的公司，可以提供投标人与项目实施人员签订的劳动合同复印件代替养老保险证明复印件；项目实施人员为免缴纳</w:t>
      </w:r>
      <w:r>
        <w:rPr>
          <w:rFonts w:hint="eastAsia" w:hAnsi="宋体" w:cs="宋体"/>
          <w:b/>
          <w:color w:val="000000" w:themeColor="text1"/>
          <w:kern w:val="2"/>
          <w:sz w:val="28"/>
          <w:szCs w:val="28"/>
          <w:lang w:val="en-US" w:eastAsia="zh-CN" w:bidi="ar-SA"/>
          <w14:textFill>
            <w14:solidFill>
              <w14:schemeClr w14:val="tx1"/>
            </w14:solidFill>
          </w14:textFill>
        </w:rPr>
        <w:t>养老保险</w:t>
      </w:r>
      <w:r>
        <w:rPr>
          <w:rFonts w:hint="eastAsia" w:ascii="宋体" w:hAnsi="宋体" w:eastAsia="宋体" w:cs="宋体"/>
          <w:b/>
          <w:color w:val="000000" w:themeColor="text1"/>
          <w:kern w:val="2"/>
          <w:sz w:val="28"/>
          <w:szCs w:val="28"/>
          <w:lang w:val="en-US" w:eastAsia="zh-CN" w:bidi="ar-SA"/>
          <w14:textFill>
            <w14:solidFill>
              <w14:schemeClr w14:val="tx1"/>
            </w14:solidFill>
          </w14:textFill>
        </w:rPr>
        <w:t>人员，提供免缴纳</w:t>
      </w:r>
      <w:r>
        <w:rPr>
          <w:rFonts w:hint="eastAsia" w:hAnsi="宋体" w:cs="宋体"/>
          <w:b/>
          <w:color w:val="000000" w:themeColor="text1"/>
          <w:kern w:val="2"/>
          <w:sz w:val="28"/>
          <w:szCs w:val="28"/>
          <w:lang w:val="en-US" w:eastAsia="zh-CN" w:bidi="ar-SA"/>
          <w14:textFill>
            <w14:solidFill>
              <w14:schemeClr w14:val="tx1"/>
            </w14:solidFill>
          </w14:textFill>
        </w:rPr>
        <w:t>养老保险</w:t>
      </w:r>
      <w:r>
        <w:rPr>
          <w:rFonts w:hint="eastAsia" w:ascii="宋体" w:hAnsi="宋体" w:eastAsia="宋体" w:cs="宋体"/>
          <w:b/>
          <w:color w:val="000000" w:themeColor="text1"/>
          <w:kern w:val="2"/>
          <w:sz w:val="28"/>
          <w:szCs w:val="28"/>
          <w:lang w:val="en-US" w:eastAsia="zh-CN" w:bidi="ar-SA"/>
          <w14:textFill>
            <w14:solidFill>
              <w14:schemeClr w14:val="tx1"/>
            </w14:solidFill>
          </w14:textFill>
        </w:rPr>
        <w:t>的证明材料复印件及投标人与项目实施人员签订的劳动合同复印件代替养老保险证明复印件；如因社会养老保险经办机构系统升级等原因，暂时无法向供应商提供社会养老保险缴纳情况查询服务时，供应商可以提供已为项目实施人员缴纳社会养老保险的承诺书，须同时提供无法查询的相关证明材料，包括但不限于查询网站截图、公告等。）】</w:t>
      </w:r>
    </w:p>
    <w:p>
      <w:pPr>
        <w:rPr>
          <w:rFonts w:hint="eastAsia" w:ascii="宋体" w:hAnsi="宋体" w:eastAsia="宋体" w:cs="宋体"/>
          <w:color w:val="000000" w:themeColor="text1"/>
          <w14:textFill>
            <w14:solidFill>
              <w14:schemeClr w14:val="tx1"/>
            </w14:solidFill>
          </w14:textFill>
        </w:rPr>
      </w:pPr>
    </w:p>
    <w:p>
      <w:pPr>
        <w:pStyle w:val="12"/>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附件：</w:t>
      </w:r>
    </w:p>
    <w:p>
      <w:pPr>
        <w:pStyle w:val="12"/>
        <w:ind w:firstLine="472" w:firstLineChars="147"/>
        <w:jc w:val="cente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项目实施人员一览表（格式）</w:t>
      </w:r>
    </w:p>
    <w:tbl>
      <w:tblPr>
        <w:tblStyle w:val="21"/>
        <w:tblW w:w="10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1050"/>
        <w:gridCol w:w="1665"/>
        <w:gridCol w:w="1200"/>
        <w:gridCol w:w="2550"/>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noWrap w:val="0"/>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姓 名</w:t>
            </w:r>
          </w:p>
        </w:tc>
        <w:tc>
          <w:tcPr>
            <w:tcW w:w="1050" w:type="dxa"/>
            <w:noWrap w:val="0"/>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职务</w:t>
            </w:r>
          </w:p>
        </w:tc>
        <w:tc>
          <w:tcPr>
            <w:tcW w:w="1665" w:type="dxa"/>
            <w:noWrap w:val="0"/>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专业技术资格</w:t>
            </w:r>
          </w:p>
        </w:tc>
        <w:tc>
          <w:tcPr>
            <w:tcW w:w="1200" w:type="dxa"/>
            <w:noWrap w:val="0"/>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证书编号</w:t>
            </w:r>
          </w:p>
        </w:tc>
        <w:tc>
          <w:tcPr>
            <w:tcW w:w="2550" w:type="dxa"/>
            <w:noWrap w:val="0"/>
            <w:vAlign w:val="center"/>
          </w:tcPr>
          <w:p>
            <w:pPr>
              <w:spacing w:line="400" w:lineRule="exact"/>
              <w:jc w:val="both"/>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参加本单位工作时间</w:t>
            </w:r>
          </w:p>
        </w:tc>
        <w:tc>
          <w:tcPr>
            <w:tcW w:w="2610" w:type="dxa"/>
            <w:noWrap w:val="0"/>
            <w:vAlign w:val="center"/>
          </w:tcPr>
          <w:p>
            <w:pPr>
              <w:spacing w:line="40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050"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665"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200"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2550"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2610"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050"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665"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1200"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2550"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c>
          <w:tcPr>
            <w:tcW w:w="2610" w:type="dxa"/>
            <w:noWrap w:val="0"/>
            <w:vAlign w:val="top"/>
          </w:tcPr>
          <w:p>
            <w:pPr>
              <w:spacing w:line="400" w:lineRule="exact"/>
              <w:rPr>
                <w:rFonts w:hint="eastAsia" w:ascii="宋体" w:hAnsi="宋体" w:eastAsia="宋体" w:cs="宋体"/>
                <w:color w:val="000000" w:themeColor="text1"/>
                <w:szCs w:val="21"/>
                <w14:textFill>
                  <w14:solidFill>
                    <w14:schemeClr w14:val="tx1"/>
                  </w14:solidFill>
                </w14:textFill>
              </w:rPr>
            </w:pPr>
          </w:p>
        </w:tc>
      </w:tr>
    </w:tbl>
    <w:p>
      <w:pPr>
        <w:spacing w:line="400" w:lineRule="exact"/>
        <w:rPr>
          <w:rFonts w:hint="eastAsia" w:ascii="宋体" w:hAnsi="宋体" w:eastAsia="宋体" w:cs="宋体"/>
          <w:color w:val="000000" w:themeColor="text1"/>
          <w:szCs w:val="21"/>
          <w14:textFill>
            <w14:solidFill>
              <w14:schemeClr w14:val="tx1"/>
            </w14:solidFill>
          </w14:textFill>
        </w:rPr>
      </w:pPr>
    </w:p>
    <w:p>
      <w:pPr>
        <w:snapToGrid w:val="0"/>
        <w:spacing w:line="400" w:lineRule="exact"/>
        <w:ind w:firstLine="1890" w:firstLineChars="900"/>
        <w:rPr>
          <w:rFonts w:hint="eastAsia"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lang w:eastAsia="zh-CN"/>
          <w14:textFill>
            <w14:solidFill>
              <w14:schemeClr w14:val="tx1"/>
            </w14:solidFill>
          </w14:textFill>
        </w:rPr>
        <w:t>磋商供应商</w:t>
      </w:r>
      <w:r>
        <w:rPr>
          <w:rFonts w:hint="eastAsia" w:ascii="宋体" w:hAnsi="宋体" w:eastAsia="宋体" w:cs="宋体"/>
          <w:color w:val="000000" w:themeColor="text1"/>
          <w:szCs w:val="21"/>
          <w:lang w:val="en-US"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公章</w:t>
      </w:r>
      <w:r>
        <w:rPr>
          <w:rFonts w:hint="eastAsia" w:ascii="宋体" w:hAnsi="宋体" w:eastAsia="宋体" w:cs="宋体"/>
          <w:color w:val="000000" w:themeColor="text1"/>
          <w:szCs w:val="21"/>
          <w:lang w:val="en-US" w:eastAsia="zh-CN"/>
          <w14:textFill>
            <w14:solidFill>
              <w14:schemeClr w14:val="tx1"/>
            </w14:solidFill>
          </w14:textFill>
        </w:rPr>
        <w:t>(CA签章)</w:t>
      </w:r>
      <w:r>
        <w:rPr>
          <w:rFonts w:hint="eastAsia" w:ascii="宋体" w:hAnsi="宋体" w:eastAsia="宋体" w:cs="宋体"/>
          <w:color w:val="000000" w:themeColor="text1"/>
          <w:szCs w:val="21"/>
          <w14:textFill>
            <w14:solidFill>
              <w14:schemeClr w14:val="tx1"/>
            </w14:solidFill>
          </w14:textFill>
        </w:rPr>
        <w:t>，自然人</w:t>
      </w:r>
      <w:r>
        <w:rPr>
          <w:rFonts w:hint="eastAsia" w:ascii="宋体" w:hAnsi="宋体" w:eastAsia="宋体" w:cs="宋体"/>
          <w:color w:val="000000" w:themeColor="text1"/>
          <w:szCs w:val="21"/>
          <w:lang w:eastAsia="zh-CN"/>
          <w14:textFill>
            <w14:solidFill>
              <w14:schemeClr w14:val="tx1"/>
            </w14:solidFill>
          </w14:textFill>
        </w:rPr>
        <w:t>签字或个人</w:t>
      </w:r>
      <w:r>
        <w:rPr>
          <w:rFonts w:hint="eastAsia" w:ascii="宋体" w:hAnsi="宋体" w:eastAsia="宋体" w:cs="宋体"/>
          <w:color w:val="000000" w:themeColor="text1"/>
          <w:szCs w:val="21"/>
          <w:lang w:val="en-US" w:eastAsia="zh-CN"/>
          <w14:textFill>
            <w14:solidFill>
              <w14:schemeClr w14:val="tx1"/>
            </w14:solidFill>
          </w14:textFill>
        </w:rPr>
        <w:t>CA签章]</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u w:val="single"/>
          <w14:textFill>
            <w14:solidFill>
              <w14:schemeClr w14:val="tx1"/>
            </w14:solidFill>
          </w14:textFill>
        </w:rPr>
        <w:t xml:space="preserve">                                     </w:t>
      </w:r>
    </w:p>
    <w:p>
      <w:pPr>
        <w:pStyle w:val="4"/>
        <w:rPr>
          <w:rFonts w:hint="eastAsia" w:ascii="宋体" w:hAnsi="宋体" w:eastAsia="宋体" w:cs="宋体"/>
          <w:color w:val="000000" w:themeColor="text1"/>
          <w14:textFill>
            <w14:solidFill>
              <w14:schemeClr w14:val="tx1"/>
            </w14:solidFill>
          </w14:textFill>
        </w:rPr>
      </w:pPr>
    </w:p>
    <w:p>
      <w:pPr>
        <w:snapToGrid w:val="0"/>
        <w:spacing w:line="400" w:lineRule="exact"/>
        <w:ind w:firstLine="1680" w:firstLineChars="8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日          期：</w:t>
      </w:r>
      <w:r>
        <w:rPr>
          <w:rFonts w:hint="eastAsia" w:ascii="宋体" w:hAnsi="宋体" w:eastAsia="宋体" w:cs="宋体"/>
          <w:color w:val="000000" w:themeColor="text1"/>
          <w:u w:val="single"/>
          <w14:textFill>
            <w14:solidFill>
              <w14:schemeClr w14:val="tx1"/>
            </w14:solidFill>
          </w14:textFill>
        </w:rPr>
        <w:t xml:space="preserve">                                                   </w:t>
      </w:r>
    </w:p>
    <w:p>
      <w:pPr>
        <w:pStyle w:val="9"/>
        <w:rPr>
          <w:rFonts w:hint="eastAsia" w:ascii="宋体" w:hAnsi="宋体" w:eastAsia="宋体" w:cs="宋体"/>
          <w:color w:val="000000" w:themeColor="text1"/>
          <w14:textFill>
            <w14:solidFill>
              <w14:schemeClr w14:val="tx1"/>
            </w14:solidFill>
          </w14:textFill>
        </w:rPr>
      </w:pPr>
    </w:p>
    <w:p>
      <w:pPr>
        <w:spacing w:line="360" w:lineRule="auto"/>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注：供应商根据自身情况结合本项目自行制定</w:t>
      </w:r>
    </w:p>
    <w:p>
      <w:pPr>
        <w:pStyle w:val="12"/>
        <w:spacing w:line="340" w:lineRule="exact"/>
        <w:rPr>
          <w:rFonts w:hint="eastAsia" w:ascii="宋体" w:hAnsi="宋体" w:eastAsia="宋体" w:cs="宋体"/>
          <w:b/>
          <w:bCs w:val="0"/>
          <w:color w:val="000000" w:themeColor="text1"/>
          <w:sz w:val="28"/>
          <w:szCs w:val="28"/>
          <w14:textFill>
            <w14:solidFill>
              <w14:schemeClr w14:val="tx1"/>
            </w14:solidFill>
          </w14:textFill>
        </w:rPr>
      </w:pPr>
    </w:p>
    <w:p>
      <w:pPr>
        <w:rPr>
          <w:rFonts w:hint="eastAsia" w:ascii="宋体" w:hAnsi="宋体" w:eastAsia="宋体" w:cs="宋体"/>
          <w:b/>
          <w:bCs w:val="0"/>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b/>
          <w:bCs w:val="0"/>
          <w:color w:val="000000" w:themeColor="text1"/>
          <w:kern w:val="2"/>
          <w:sz w:val="28"/>
          <w:szCs w:val="28"/>
          <w:highlight w:val="none"/>
          <w:lang w:val="en-US" w:eastAsia="zh-CN" w:bidi="ar-SA"/>
          <w14:textFill>
            <w14:solidFill>
              <w14:schemeClr w14:val="tx1"/>
            </w14:solidFill>
          </w14:textFill>
        </w:rPr>
        <w:t>3.节能方面的证书复印件（如有，请提供）；</w:t>
      </w:r>
    </w:p>
    <w:p>
      <w:pPr>
        <w:rPr>
          <w:rFonts w:hint="eastAsia" w:ascii="宋体" w:hAnsi="宋体" w:eastAsia="宋体" w:cs="宋体"/>
          <w:b/>
          <w:bCs w:val="0"/>
          <w:color w:val="000000" w:themeColor="text1"/>
          <w:kern w:val="2"/>
          <w:sz w:val="28"/>
          <w:szCs w:val="28"/>
          <w:highlight w:val="none"/>
          <w:lang w:val="en-US" w:eastAsia="zh-CN" w:bidi="ar-SA"/>
          <w14:textFill>
            <w14:solidFill>
              <w14:schemeClr w14:val="tx1"/>
            </w14:solidFill>
          </w14:textFill>
        </w:rPr>
      </w:pPr>
    </w:p>
    <w:p>
      <w:pPr>
        <w:rPr>
          <w:rFonts w:hint="eastAsia" w:ascii="宋体" w:hAnsi="宋体" w:eastAsia="宋体" w:cs="宋体"/>
          <w:b/>
          <w:bCs w:val="0"/>
          <w:color w:val="000000" w:themeColor="text1"/>
          <w:kern w:val="2"/>
          <w:sz w:val="28"/>
          <w:szCs w:val="28"/>
          <w:highlight w:val="none"/>
          <w:lang w:val="en-US" w:eastAsia="zh-CN" w:bidi="ar-SA"/>
          <w14:textFill>
            <w14:solidFill>
              <w14:schemeClr w14:val="tx1"/>
            </w14:solidFill>
          </w14:textFill>
        </w:rPr>
      </w:pPr>
    </w:p>
    <w:p>
      <w:pPr>
        <w:rPr>
          <w:rFonts w:hint="eastAsia" w:ascii="宋体" w:hAnsi="宋体" w:eastAsia="宋体" w:cs="宋体"/>
          <w:b/>
          <w:bCs w:val="0"/>
          <w:color w:val="000000" w:themeColor="text1"/>
          <w:kern w:val="2"/>
          <w:sz w:val="28"/>
          <w:szCs w:val="28"/>
          <w:highlight w:val="none"/>
          <w:lang w:val="en-US" w:eastAsia="zh-CN" w:bidi="ar-SA"/>
          <w14:textFill>
            <w14:solidFill>
              <w14:schemeClr w14:val="tx1"/>
            </w14:solidFill>
          </w14:textFill>
        </w:rPr>
      </w:pPr>
      <w:bookmarkStart w:id="324" w:name="_Toc495841800"/>
      <w:bookmarkStart w:id="325" w:name="_Toc21473"/>
      <w:r>
        <w:rPr>
          <w:rFonts w:hint="eastAsia" w:ascii="宋体" w:hAnsi="宋体" w:eastAsia="宋体" w:cs="宋体"/>
          <w:b/>
          <w:bCs w:val="0"/>
          <w:color w:val="000000" w:themeColor="text1"/>
          <w:kern w:val="2"/>
          <w:sz w:val="28"/>
          <w:szCs w:val="28"/>
          <w:highlight w:val="none"/>
          <w:lang w:val="en-US" w:eastAsia="zh-CN" w:bidi="ar-SA"/>
          <w14:textFill>
            <w14:solidFill>
              <w14:schemeClr w14:val="tx1"/>
            </w14:solidFill>
          </w14:textFill>
        </w:rPr>
        <w:t>4.环境标志方面的证书复印件（如有，请提供）</w:t>
      </w:r>
      <w:bookmarkEnd w:id="324"/>
      <w:bookmarkEnd w:id="325"/>
      <w:r>
        <w:rPr>
          <w:rFonts w:hint="eastAsia" w:ascii="宋体" w:hAnsi="宋体" w:eastAsia="宋体" w:cs="宋体"/>
          <w:b/>
          <w:bCs w:val="0"/>
          <w:color w:val="000000" w:themeColor="text1"/>
          <w:kern w:val="2"/>
          <w:sz w:val="28"/>
          <w:szCs w:val="28"/>
          <w:highlight w:val="none"/>
          <w:lang w:val="en-US" w:eastAsia="zh-CN" w:bidi="ar-SA"/>
          <w14:textFill>
            <w14:solidFill>
              <w14:schemeClr w14:val="tx1"/>
            </w14:solidFill>
          </w14:textFill>
        </w:rPr>
        <w:t>；</w:t>
      </w:r>
    </w:p>
    <w:p>
      <w:pPr>
        <w:pStyle w:val="9"/>
        <w:rPr>
          <w:rFonts w:hint="eastAsia" w:ascii="宋体" w:hAnsi="宋体" w:eastAsia="宋体" w:cs="宋体"/>
          <w:b/>
          <w:bCs w:val="0"/>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12"/>
        <w:numPr>
          <w:ilvl w:val="0"/>
          <w:numId w:val="0"/>
        </w:numPr>
        <w:spacing w:line="340" w:lineRule="exact"/>
        <w:ind w:leftChars="0"/>
        <w:rPr>
          <w:rFonts w:hint="eastAsia" w:ascii="宋体" w:hAnsi="宋体" w:eastAsia="宋体" w:cs="宋体"/>
          <w:b/>
          <w:bCs w:val="0"/>
          <w:color w:val="000000" w:themeColor="text1"/>
          <w:sz w:val="28"/>
          <w:szCs w:val="28"/>
          <w:lang w:val="en-US" w:eastAsia="zh-CN"/>
          <w14:textFill>
            <w14:solidFill>
              <w14:schemeClr w14:val="tx1"/>
            </w14:solidFill>
          </w14:textFill>
        </w:rPr>
      </w:pPr>
      <w:bookmarkStart w:id="326" w:name="_Toc10161"/>
      <w:bookmarkStart w:id="327" w:name="_Toc497927090"/>
      <w:bookmarkStart w:id="328" w:name="_Toc3052"/>
    </w:p>
    <w:p>
      <w:pPr>
        <w:rPr>
          <w:rFonts w:hint="eastAsia" w:ascii="宋体" w:hAnsi="宋体" w:eastAsia="宋体" w:cs="宋体"/>
          <w:b/>
          <w:bCs w:val="0"/>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b/>
          <w:bCs w:val="0"/>
          <w:color w:val="000000" w:themeColor="text1"/>
          <w:kern w:val="2"/>
          <w:sz w:val="28"/>
          <w:szCs w:val="28"/>
          <w:highlight w:val="none"/>
          <w:lang w:val="en-US" w:eastAsia="zh-CN" w:bidi="ar-SA"/>
          <w14:textFill>
            <w14:solidFill>
              <w14:schemeClr w14:val="tx1"/>
            </w14:solidFill>
          </w14:textFill>
        </w:rPr>
        <w:t>5.投标人为生产厂家的，投标人的生产制造设备清单及专业技术能力说明（如有，请提供）；</w:t>
      </w:r>
      <w:bookmarkStart w:id="329" w:name="_Toc495841804"/>
      <w:bookmarkStart w:id="330" w:name="_Toc5317"/>
    </w:p>
    <w:p>
      <w:pPr>
        <w:rPr>
          <w:rFonts w:hint="eastAsia" w:ascii="宋体" w:hAnsi="宋体" w:eastAsia="宋体" w:cs="宋体"/>
          <w:b/>
          <w:bCs w:val="0"/>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b/>
          <w:bCs w:val="0"/>
          <w:color w:val="000000" w:themeColor="text1"/>
          <w:kern w:val="2"/>
          <w:sz w:val="28"/>
          <w:szCs w:val="28"/>
          <w:highlight w:val="none"/>
          <w:lang w:val="en-US" w:eastAsia="zh-CN" w:bidi="ar-SA"/>
          <w14:textFill>
            <w14:solidFill>
              <w14:schemeClr w14:val="tx1"/>
            </w14:solidFill>
          </w14:textFill>
        </w:rPr>
        <w:t>6.投标人相关获奖证书、认证证书等复印件（如有，请提供）</w:t>
      </w:r>
      <w:bookmarkEnd w:id="329"/>
      <w:bookmarkEnd w:id="330"/>
      <w:r>
        <w:rPr>
          <w:rFonts w:hint="eastAsia" w:ascii="宋体" w:hAnsi="宋体" w:eastAsia="宋体" w:cs="宋体"/>
          <w:b/>
          <w:bCs w:val="0"/>
          <w:color w:val="000000" w:themeColor="text1"/>
          <w:kern w:val="2"/>
          <w:sz w:val="28"/>
          <w:szCs w:val="28"/>
          <w:highlight w:val="none"/>
          <w:lang w:val="en-US" w:eastAsia="zh-CN" w:bidi="ar-SA"/>
          <w14:textFill>
            <w14:solidFill>
              <w14:schemeClr w14:val="tx1"/>
            </w14:solidFill>
          </w14:textFill>
        </w:rPr>
        <w:t>；</w:t>
      </w:r>
    </w:p>
    <w:p>
      <w:pPr>
        <w:pStyle w:val="12"/>
        <w:numPr>
          <w:ilvl w:val="0"/>
          <w:numId w:val="0"/>
        </w:numPr>
        <w:spacing w:line="340" w:lineRule="exact"/>
        <w:ind w:leftChars="0"/>
        <w:rPr>
          <w:rFonts w:hint="eastAsia" w:hAnsi="宋体" w:cs="宋体"/>
          <w:b/>
          <w:bCs w:val="0"/>
          <w:color w:val="000000" w:themeColor="text1"/>
          <w:sz w:val="28"/>
          <w:szCs w:val="28"/>
          <w:lang w:val="en-US" w:eastAsia="zh-CN"/>
          <w14:textFill>
            <w14:solidFill>
              <w14:schemeClr w14:val="tx1"/>
            </w14:solidFill>
          </w14:textFill>
        </w:rPr>
      </w:pPr>
    </w:p>
    <w:p>
      <w:pPr>
        <w:pStyle w:val="12"/>
        <w:numPr>
          <w:ilvl w:val="0"/>
          <w:numId w:val="0"/>
        </w:numPr>
        <w:spacing w:line="340" w:lineRule="exact"/>
        <w:ind w:leftChars="0"/>
        <w:rPr>
          <w:rFonts w:hint="eastAsia" w:hAnsi="宋体" w:cs="宋体"/>
          <w:b/>
          <w:bCs w:val="0"/>
          <w:color w:val="000000" w:themeColor="text1"/>
          <w:sz w:val="28"/>
          <w:szCs w:val="28"/>
          <w:lang w:val="en-US" w:eastAsia="zh-CN"/>
          <w14:textFill>
            <w14:solidFill>
              <w14:schemeClr w14:val="tx1"/>
            </w14:solidFill>
          </w14:textFill>
        </w:rPr>
      </w:pPr>
    </w:p>
    <w:p>
      <w:pPr>
        <w:pStyle w:val="12"/>
        <w:numPr>
          <w:ilvl w:val="0"/>
          <w:numId w:val="0"/>
        </w:numPr>
        <w:spacing w:line="340" w:lineRule="exact"/>
        <w:ind w:leftChars="0"/>
        <w:rPr>
          <w:rFonts w:hint="eastAsia" w:hAnsi="宋体" w:cs="宋体"/>
          <w:b/>
          <w:bCs w:val="0"/>
          <w:color w:val="000000" w:themeColor="text1"/>
          <w:sz w:val="28"/>
          <w:szCs w:val="28"/>
          <w:lang w:val="en-US" w:eastAsia="zh-CN"/>
          <w14:textFill>
            <w14:solidFill>
              <w14:schemeClr w14:val="tx1"/>
            </w14:solidFill>
          </w14:textFill>
        </w:rPr>
      </w:pPr>
    </w:p>
    <w:p>
      <w:pPr>
        <w:pStyle w:val="12"/>
        <w:numPr>
          <w:ilvl w:val="0"/>
          <w:numId w:val="0"/>
        </w:numPr>
        <w:spacing w:line="340" w:lineRule="exact"/>
        <w:ind w:leftChars="0"/>
        <w:rPr>
          <w:rFonts w:hint="eastAsia" w:ascii="宋体" w:hAnsi="宋体" w:eastAsia="宋体" w:cs="宋体"/>
          <w:b/>
          <w:bCs w:val="0"/>
          <w:color w:val="000000" w:themeColor="text1"/>
          <w:sz w:val="28"/>
          <w:szCs w:val="28"/>
          <w14:textFill>
            <w14:solidFill>
              <w14:schemeClr w14:val="tx1"/>
            </w14:solidFill>
          </w14:textFill>
        </w:rPr>
      </w:pPr>
      <w:r>
        <w:rPr>
          <w:rFonts w:hint="eastAsia" w:hAnsi="宋体" w:cs="宋体"/>
          <w:b/>
          <w:bCs w:val="0"/>
          <w:color w:val="000000" w:themeColor="text1"/>
          <w:sz w:val="28"/>
          <w:szCs w:val="28"/>
          <w:lang w:val="en-US" w:eastAsia="zh-CN"/>
          <w14:textFill>
            <w14:solidFill>
              <w14:schemeClr w14:val="tx1"/>
            </w14:solidFill>
          </w14:textFill>
        </w:rPr>
        <w:t>7</w:t>
      </w:r>
      <w:r>
        <w:rPr>
          <w:rFonts w:hint="eastAsia" w:ascii="宋体" w:hAnsi="宋体" w:eastAsia="宋体" w:cs="宋体"/>
          <w:b/>
          <w:bCs w:val="0"/>
          <w:color w:val="000000" w:themeColor="text1"/>
          <w:sz w:val="28"/>
          <w:szCs w:val="28"/>
          <w:lang w:val="en-US" w:eastAsia="zh-CN"/>
          <w14:textFill>
            <w14:solidFill>
              <w14:schemeClr w14:val="tx1"/>
            </w14:solidFill>
          </w14:textFill>
        </w:rPr>
        <w:t>.</w:t>
      </w:r>
      <w:r>
        <w:rPr>
          <w:rFonts w:hint="eastAsia" w:ascii="宋体" w:hAnsi="宋体" w:eastAsia="宋体" w:cs="宋体"/>
          <w:b/>
          <w:bCs w:val="0"/>
          <w:color w:val="000000" w:themeColor="text1"/>
          <w:sz w:val="28"/>
          <w:szCs w:val="28"/>
          <w:highlight w:val="none"/>
          <w:lang w:val="en-US" w:eastAsia="zh-CN"/>
          <w14:textFill>
            <w14:solidFill>
              <w14:schemeClr w14:val="tx1"/>
            </w14:solidFill>
          </w14:textFill>
        </w:rPr>
        <w:t>供应商20</w:t>
      </w:r>
      <w:r>
        <w:rPr>
          <w:rFonts w:hint="eastAsia" w:hAnsi="宋体" w:cs="宋体"/>
          <w:b/>
          <w:bCs w:val="0"/>
          <w:color w:val="000000" w:themeColor="text1"/>
          <w:sz w:val="28"/>
          <w:szCs w:val="28"/>
          <w:highlight w:val="none"/>
          <w:lang w:val="en-US" w:eastAsia="zh-CN"/>
          <w14:textFill>
            <w14:solidFill>
              <w14:schemeClr w14:val="tx1"/>
            </w14:solidFill>
          </w14:textFill>
        </w:rPr>
        <w:t>21</w:t>
      </w:r>
      <w:r>
        <w:rPr>
          <w:rFonts w:hint="eastAsia" w:ascii="宋体" w:hAnsi="宋体" w:eastAsia="宋体" w:cs="宋体"/>
          <w:b/>
          <w:bCs w:val="0"/>
          <w:color w:val="000000" w:themeColor="text1"/>
          <w:sz w:val="28"/>
          <w:szCs w:val="28"/>
          <w:highlight w:val="none"/>
          <w:lang w:val="en-US" w:eastAsia="zh-CN"/>
          <w14:textFill>
            <w14:solidFill>
              <w14:schemeClr w14:val="tx1"/>
            </w14:solidFill>
          </w14:textFill>
        </w:rPr>
        <w:t>年1月1日以来具有同类项目的业绩相关证明材料（无不良记录，以中标、成交通知书或签订的合同为准，并能清晰反映项目的名称、采购内容、采购金额、采购时间）（如有，请提供）</w:t>
      </w:r>
      <w:r>
        <w:rPr>
          <w:rFonts w:hint="eastAsia" w:ascii="宋体" w:hAnsi="宋体" w:eastAsia="宋体" w:cs="宋体"/>
          <w:b/>
          <w:bCs w:val="0"/>
          <w:color w:val="000000" w:themeColor="text1"/>
          <w:sz w:val="28"/>
          <w:szCs w:val="28"/>
          <w:highlight w:val="none"/>
          <w14:textFill>
            <w14:solidFill>
              <w14:schemeClr w14:val="tx1"/>
            </w14:solidFill>
          </w14:textFill>
        </w:rPr>
        <w:t>（如有，请提供）；</w:t>
      </w:r>
      <w:bookmarkEnd w:id="326"/>
      <w:bookmarkEnd w:id="327"/>
      <w:bookmarkEnd w:id="328"/>
    </w:p>
    <w:p>
      <w:pPr>
        <w:pStyle w:val="12"/>
        <w:numPr>
          <w:ilvl w:val="0"/>
          <w:numId w:val="0"/>
        </w:numPr>
        <w:spacing w:line="340" w:lineRule="exact"/>
        <w:ind w:leftChars="0"/>
        <w:rPr>
          <w:rFonts w:hint="eastAsia" w:ascii="宋体" w:hAnsi="宋体" w:eastAsia="宋体" w:cs="宋体"/>
          <w:b/>
          <w:color w:val="000000" w:themeColor="text1"/>
          <w:sz w:val="28"/>
          <w:szCs w:val="28"/>
          <w:lang w:val="en-US" w:eastAsia="zh-CN"/>
          <w14:textFill>
            <w14:solidFill>
              <w14:schemeClr w14:val="tx1"/>
            </w14:solidFill>
          </w14:textFill>
        </w:rPr>
      </w:pPr>
    </w:p>
    <w:p>
      <w:pPr>
        <w:pStyle w:val="12"/>
        <w:numPr>
          <w:ilvl w:val="0"/>
          <w:numId w:val="0"/>
        </w:numPr>
        <w:spacing w:line="340" w:lineRule="exact"/>
        <w:ind w:leftChars="0"/>
        <w:rPr>
          <w:rFonts w:hint="eastAsia" w:ascii="宋体" w:hAnsi="宋体" w:eastAsia="宋体" w:cs="宋体"/>
          <w:b/>
          <w:color w:val="000000" w:themeColor="text1"/>
          <w:sz w:val="28"/>
          <w:szCs w:val="28"/>
          <w:lang w:val="en-US" w:eastAsia="zh-CN"/>
          <w14:textFill>
            <w14:solidFill>
              <w14:schemeClr w14:val="tx1"/>
            </w14:solidFill>
          </w14:textFill>
        </w:rPr>
      </w:pPr>
    </w:p>
    <w:p>
      <w:pPr>
        <w:pStyle w:val="12"/>
        <w:numPr>
          <w:ilvl w:val="0"/>
          <w:numId w:val="0"/>
        </w:numPr>
        <w:spacing w:line="340" w:lineRule="exact"/>
        <w:ind w:leftChars="0"/>
        <w:rPr>
          <w:rFonts w:hint="eastAsia" w:hAnsi="宋体" w:cs="宋体"/>
          <w:b/>
          <w:color w:val="000000" w:themeColor="text1"/>
          <w:sz w:val="28"/>
          <w:szCs w:val="28"/>
          <w:lang w:val="en-US" w:eastAsia="zh-CN"/>
          <w14:textFill>
            <w14:solidFill>
              <w14:schemeClr w14:val="tx1"/>
            </w14:solidFill>
          </w14:textFill>
        </w:rPr>
      </w:pPr>
    </w:p>
    <w:p>
      <w:pPr>
        <w:pStyle w:val="12"/>
        <w:numPr>
          <w:ilvl w:val="0"/>
          <w:numId w:val="0"/>
        </w:numPr>
        <w:spacing w:line="340" w:lineRule="exact"/>
        <w:ind w:leftChars="0"/>
        <w:rPr>
          <w:rFonts w:hint="eastAsia" w:ascii="宋体" w:hAnsi="宋体" w:eastAsia="宋体" w:cs="宋体"/>
          <w:b/>
          <w:color w:val="000000" w:themeColor="text1"/>
          <w:sz w:val="28"/>
          <w:szCs w:val="28"/>
          <w14:textFill>
            <w14:solidFill>
              <w14:schemeClr w14:val="tx1"/>
            </w14:solidFill>
          </w14:textFill>
        </w:rPr>
      </w:pPr>
      <w:r>
        <w:rPr>
          <w:rFonts w:hint="eastAsia" w:hAnsi="宋体" w:cs="宋体"/>
          <w:b/>
          <w:color w:val="000000" w:themeColor="text1"/>
          <w:sz w:val="28"/>
          <w:szCs w:val="28"/>
          <w:lang w:val="en-US" w:eastAsia="zh-CN"/>
          <w14:textFill>
            <w14:solidFill>
              <w14:schemeClr w14:val="tx1"/>
            </w14:solidFill>
          </w14:textFill>
        </w:rPr>
        <w:t>8</w:t>
      </w:r>
      <w:r>
        <w:rPr>
          <w:rFonts w:hint="eastAsia" w:ascii="宋体" w:hAnsi="宋体" w:eastAsia="宋体" w:cs="宋体"/>
          <w:b/>
          <w:color w:val="000000" w:themeColor="text1"/>
          <w:sz w:val="28"/>
          <w:szCs w:val="28"/>
          <w:lang w:val="en-US" w:eastAsia="zh-CN"/>
          <w14:textFill>
            <w14:solidFill>
              <w14:schemeClr w14:val="tx1"/>
            </w14:solidFill>
          </w14:textFill>
        </w:rPr>
        <w:t>.</w:t>
      </w:r>
      <w:r>
        <w:rPr>
          <w:rFonts w:hint="eastAsia" w:ascii="宋体" w:hAnsi="宋体" w:eastAsia="宋体" w:cs="宋体"/>
          <w:b/>
          <w:color w:val="000000" w:themeColor="text1"/>
          <w:sz w:val="28"/>
          <w:szCs w:val="28"/>
          <w14:textFill>
            <w14:solidFill>
              <w14:schemeClr w14:val="tx1"/>
            </w14:solidFill>
          </w14:textFill>
        </w:rPr>
        <w:t>《中小企业声明函》（见附件）（</w:t>
      </w:r>
      <w:r>
        <w:rPr>
          <w:rFonts w:hint="eastAsia" w:ascii="宋体" w:hAnsi="宋体" w:eastAsia="宋体" w:cs="宋体"/>
          <w:b/>
          <w:color w:val="000000" w:themeColor="text1"/>
          <w:sz w:val="28"/>
          <w:szCs w:val="28"/>
          <w:lang w:val="en-US" w:eastAsia="zh-CN"/>
          <w14:textFill>
            <w14:solidFill>
              <w14:schemeClr w14:val="tx1"/>
            </w14:solidFill>
          </w14:textFill>
        </w:rPr>
        <w:t>除监狱企业及残疾人福利性单位外，</w:t>
      </w:r>
      <w:r>
        <w:rPr>
          <w:rFonts w:hint="eastAsia" w:hAnsi="宋体" w:cs="宋体"/>
          <w:b/>
          <w:color w:val="000000" w:themeColor="text1"/>
          <w:sz w:val="28"/>
          <w:szCs w:val="28"/>
          <w:lang w:val="en-US" w:eastAsia="zh-CN"/>
          <w14:textFill>
            <w14:solidFill>
              <w14:schemeClr w14:val="tx1"/>
            </w14:solidFill>
          </w14:textFill>
        </w:rPr>
        <w:t>如有，请提供</w:t>
      </w:r>
      <w:r>
        <w:rPr>
          <w:rFonts w:hint="eastAsia" w:ascii="宋体" w:hAnsi="宋体" w:eastAsia="宋体" w:cs="宋体"/>
          <w:b/>
          <w:color w:val="000000" w:themeColor="text1"/>
          <w:sz w:val="28"/>
          <w:szCs w:val="28"/>
          <w14:textFill>
            <w14:solidFill>
              <w14:schemeClr w14:val="tx1"/>
            </w14:solidFill>
          </w14:textFill>
        </w:rPr>
        <w:t>）；</w:t>
      </w:r>
    </w:p>
    <w:p>
      <w:pPr>
        <w:rPr>
          <w:rFonts w:hint="eastAsia" w:ascii="宋体" w:hAnsi="宋体" w:eastAsia="宋体" w:cs="宋体"/>
          <w:color w:val="000000" w:themeColor="text1"/>
          <w14:textFill>
            <w14:solidFill>
              <w14:schemeClr w14:val="tx1"/>
            </w14:solidFill>
          </w14:textFill>
        </w:rPr>
      </w:pPr>
    </w:p>
    <w:p>
      <w:pPr>
        <w:pStyle w:val="9"/>
        <w:rPr>
          <w:rFonts w:hint="eastAsia" w:ascii="宋体" w:hAnsi="宋体" w:eastAsia="宋体" w:cs="宋体"/>
          <w:color w:val="000000" w:themeColor="text1"/>
          <w14:textFill>
            <w14:solidFill>
              <w14:schemeClr w14:val="tx1"/>
            </w14:solidFill>
          </w14:textFill>
        </w:rPr>
      </w:pPr>
    </w:p>
    <w:p>
      <w:pPr>
        <w:pStyle w:val="12"/>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附件：</w:t>
      </w:r>
    </w:p>
    <w:p>
      <w:pPr>
        <w:pStyle w:val="12"/>
        <w:spacing w:line="440" w:lineRule="exact"/>
        <w:jc w:val="center"/>
        <w:rPr>
          <w:rFonts w:hint="eastAsia" w:hAnsi="宋体" w:cs="宋体"/>
          <w:b/>
          <w:bCs/>
          <w:color w:val="000000" w:themeColor="text1"/>
          <w:sz w:val="28"/>
          <w:szCs w:val="28"/>
          <w14:textFill>
            <w14:solidFill>
              <w14:schemeClr w14:val="tx1"/>
            </w14:solidFill>
          </w14:textFill>
        </w:rPr>
      </w:pPr>
      <w:r>
        <w:rPr>
          <w:rFonts w:hint="eastAsia" w:hAnsi="宋体" w:cs="宋体"/>
          <w:b/>
          <w:bCs/>
          <w:color w:val="000000" w:themeColor="text1"/>
          <w:sz w:val="28"/>
          <w:szCs w:val="28"/>
          <w14:textFill>
            <w14:solidFill>
              <w14:schemeClr w14:val="tx1"/>
            </w14:solidFill>
          </w14:textFill>
        </w:rPr>
        <w:t>中小企业声明函（货物）</w:t>
      </w:r>
    </w:p>
    <w:p>
      <w:pPr>
        <w:pStyle w:val="12"/>
        <w:spacing w:line="440" w:lineRule="exact"/>
        <w:ind w:firstLine="504" w:firstLineChars="200"/>
        <w:rPr>
          <w:rFonts w:hint="eastAsia" w:hAnsi="宋体" w:cs="宋体"/>
          <w:color w:val="000000" w:themeColor="text1"/>
          <w:spacing w:val="6"/>
          <w:sz w:val="24"/>
          <w:szCs w:val="24"/>
          <w14:textFill>
            <w14:solidFill>
              <w14:schemeClr w14:val="tx1"/>
            </w14:solidFill>
          </w14:textFill>
        </w:rPr>
      </w:pPr>
      <w:r>
        <w:rPr>
          <w:rFonts w:hint="eastAsia" w:hAnsi="宋体" w:cs="宋体"/>
          <w:color w:val="000000" w:themeColor="text1"/>
          <w:spacing w:val="6"/>
          <w:sz w:val="24"/>
          <w:szCs w:val="24"/>
          <w14:textFill>
            <w14:solidFill>
              <w14:schemeClr w14:val="tx1"/>
            </w14:solidFill>
          </w14:textFill>
        </w:rPr>
        <w:t>本公司（联合体）郑重声明，根据《政府采购促进中小企业发展管理办法》（财库﹝2020﹞46 号）的规定，本公司（联合体）参加（</w:t>
      </w:r>
      <w:r>
        <w:rPr>
          <w:rFonts w:hint="eastAsia" w:hAnsi="宋体" w:cs="宋体"/>
          <w:color w:val="000000" w:themeColor="text1"/>
          <w:spacing w:val="6"/>
          <w:sz w:val="24"/>
          <w:szCs w:val="24"/>
          <w:u w:val="single"/>
          <w14:textFill>
            <w14:solidFill>
              <w14:schemeClr w14:val="tx1"/>
            </w14:solidFill>
          </w14:textFill>
        </w:rPr>
        <w:t>单位名称</w:t>
      </w:r>
      <w:r>
        <w:rPr>
          <w:rFonts w:hint="eastAsia" w:hAnsi="宋体" w:cs="宋体"/>
          <w:color w:val="000000" w:themeColor="text1"/>
          <w:spacing w:val="6"/>
          <w:sz w:val="24"/>
          <w:szCs w:val="24"/>
          <w14:textFill>
            <w14:solidFill>
              <w14:schemeClr w14:val="tx1"/>
            </w14:solidFill>
          </w14:textFill>
        </w:rPr>
        <w:t>）的（</w:t>
      </w:r>
      <w:r>
        <w:rPr>
          <w:rFonts w:hint="eastAsia" w:hAnsi="宋体" w:cs="宋体"/>
          <w:color w:val="000000" w:themeColor="text1"/>
          <w:spacing w:val="6"/>
          <w:sz w:val="24"/>
          <w:szCs w:val="24"/>
          <w:u w:val="single"/>
          <w14:textFill>
            <w14:solidFill>
              <w14:schemeClr w14:val="tx1"/>
            </w14:solidFill>
          </w14:textFill>
        </w:rPr>
        <w:t>项目名称</w:t>
      </w:r>
      <w:r>
        <w:rPr>
          <w:rFonts w:hint="eastAsia" w:hAnsi="宋体" w:cs="宋体"/>
          <w:color w:val="000000" w:themeColor="text1"/>
          <w:spacing w:val="6"/>
          <w:sz w:val="24"/>
          <w:szCs w:val="24"/>
          <w14:textFill>
            <w14:solidFill>
              <w14:schemeClr w14:val="tx1"/>
            </w14:solidFill>
          </w14:textFill>
        </w:rPr>
        <w:t>）采购活动，提供的货物全部符合政策要求的中小企业制造。相关企业（含联合体中的中小企业、签订分包意向协议的中小企业）的具体情况如下：</w:t>
      </w:r>
    </w:p>
    <w:p>
      <w:pPr>
        <w:pStyle w:val="12"/>
        <w:spacing w:line="440" w:lineRule="exact"/>
        <w:ind w:firstLine="504" w:firstLineChars="200"/>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pacing w:val="6"/>
          <w:sz w:val="24"/>
          <w:szCs w:val="24"/>
          <w14:textFill>
            <w14:solidFill>
              <w14:schemeClr w14:val="tx1"/>
            </w14:solidFill>
          </w14:textFill>
        </w:rPr>
        <w:t>1.</w:t>
      </w:r>
      <w:r>
        <w:rPr>
          <w:rFonts w:hint="eastAsia" w:hAnsi="宋体" w:cs="宋体"/>
          <w:color w:val="000000" w:themeColor="text1"/>
          <w:spacing w:val="6"/>
          <w:sz w:val="24"/>
          <w:szCs w:val="24"/>
          <w:u w:val="single"/>
          <w14:textFill>
            <w14:solidFill>
              <w14:schemeClr w14:val="tx1"/>
            </w14:solidFill>
          </w14:textFill>
        </w:rPr>
        <w:t>（标的名称）</w:t>
      </w:r>
      <w:r>
        <w:rPr>
          <w:rFonts w:hint="eastAsia" w:hAnsi="宋体" w:cs="宋体"/>
          <w:color w:val="000000" w:themeColor="text1"/>
          <w:spacing w:val="6"/>
          <w:sz w:val="24"/>
          <w:szCs w:val="24"/>
          <w14:textFill>
            <w14:solidFill>
              <w14:schemeClr w14:val="tx1"/>
            </w14:solidFill>
          </w14:textFill>
        </w:rPr>
        <w:t>，属于</w:t>
      </w:r>
      <w:r>
        <w:rPr>
          <w:rFonts w:hint="eastAsia" w:hAnsi="宋体" w:cs="宋体"/>
          <w:color w:val="000000" w:themeColor="text1"/>
          <w:spacing w:val="6"/>
          <w:sz w:val="24"/>
          <w:szCs w:val="24"/>
          <w:u w:val="single"/>
          <w14:textFill>
            <w14:solidFill>
              <w14:schemeClr w14:val="tx1"/>
            </w14:solidFill>
          </w14:textFill>
        </w:rPr>
        <w:t>（采购文件中明确的所属行业）行业</w:t>
      </w:r>
      <w:r>
        <w:rPr>
          <w:rFonts w:hint="eastAsia" w:hAnsi="宋体" w:cs="宋体"/>
          <w:color w:val="000000" w:themeColor="text1"/>
          <w:spacing w:val="6"/>
          <w:sz w:val="24"/>
          <w:szCs w:val="24"/>
          <w14:textFill>
            <w14:solidFill>
              <w14:schemeClr w14:val="tx1"/>
            </w14:solidFill>
          </w14:textFill>
        </w:rPr>
        <w:t>；制造商为（</w:t>
      </w:r>
      <w:r>
        <w:rPr>
          <w:rFonts w:hint="eastAsia" w:hAnsi="宋体" w:cs="宋体"/>
          <w:color w:val="000000" w:themeColor="text1"/>
          <w:spacing w:val="6"/>
          <w:sz w:val="24"/>
          <w:szCs w:val="24"/>
          <w:u w:val="single"/>
          <w14:textFill>
            <w14:solidFill>
              <w14:schemeClr w14:val="tx1"/>
            </w14:solidFill>
          </w14:textFill>
        </w:rPr>
        <w:t>企业名称</w:t>
      </w:r>
      <w:r>
        <w:rPr>
          <w:rFonts w:hint="eastAsia" w:hAnsi="宋体" w:cs="宋体"/>
          <w:color w:val="000000" w:themeColor="text1"/>
          <w:spacing w:val="6"/>
          <w:sz w:val="24"/>
          <w:szCs w:val="24"/>
          <w14:textFill>
            <w14:solidFill>
              <w14:schemeClr w14:val="tx1"/>
            </w14:solidFill>
          </w14:textFill>
        </w:rPr>
        <w:t>），从业人员</w:t>
      </w:r>
      <w:r>
        <w:rPr>
          <w:rFonts w:hint="eastAsia" w:hAnsi="宋体" w:cs="宋体"/>
          <w:color w:val="000000" w:themeColor="text1"/>
          <w:spacing w:val="6"/>
          <w:sz w:val="24"/>
          <w:szCs w:val="24"/>
          <w:u w:val="single"/>
          <w14:textFill>
            <w14:solidFill>
              <w14:schemeClr w14:val="tx1"/>
            </w14:solidFill>
          </w14:textFill>
        </w:rPr>
        <w:t xml:space="preserve">   </w:t>
      </w:r>
      <w:r>
        <w:rPr>
          <w:rFonts w:hint="eastAsia" w:hAnsi="宋体" w:cs="宋体"/>
          <w:color w:val="000000" w:themeColor="text1"/>
          <w:spacing w:val="6"/>
          <w:sz w:val="24"/>
          <w:szCs w:val="24"/>
          <w14:textFill>
            <w14:solidFill>
              <w14:schemeClr w14:val="tx1"/>
            </w14:solidFill>
          </w14:textFill>
        </w:rPr>
        <w:t>人，营业收入为</w:t>
      </w:r>
      <w:r>
        <w:rPr>
          <w:rFonts w:hint="eastAsia" w:hAnsi="宋体" w:cs="宋体"/>
          <w:color w:val="000000" w:themeColor="text1"/>
          <w:spacing w:val="6"/>
          <w:sz w:val="24"/>
          <w:szCs w:val="24"/>
          <w:u w:val="single"/>
          <w14:textFill>
            <w14:solidFill>
              <w14:schemeClr w14:val="tx1"/>
            </w14:solidFill>
          </w14:textFill>
        </w:rPr>
        <w:t xml:space="preserve">  </w:t>
      </w:r>
      <w:r>
        <w:rPr>
          <w:rFonts w:hint="eastAsia" w:hAnsi="宋体" w:cs="宋体"/>
          <w:color w:val="000000" w:themeColor="text1"/>
          <w:spacing w:val="6"/>
          <w:sz w:val="24"/>
          <w:szCs w:val="24"/>
          <w14:textFill>
            <w14:solidFill>
              <w14:schemeClr w14:val="tx1"/>
            </w14:solidFill>
          </w14:textFill>
        </w:rPr>
        <w:t>万元，资产总额为</w:t>
      </w:r>
      <w:r>
        <w:rPr>
          <w:rFonts w:hint="eastAsia" w:hAnsi="宋体" w:cs="宋体"/>
          <w:color w:val="000000" w:themeColor="text1"/>
          <w:spacing w:val="6"/>
          <w:sz w:val="24"/>
          <w:szCs w:val="24"/>
          <w:u w:val="single"/>
          <w14:textFill>
            <w14:solidFill>
              <w14:schemeClr w14:val="tx1"/>
            </w14:solidFill>
          </w14:textFill>
        </w:rPr>
        <w:t xml:space="preserve">   </w:t>
      </w:r>
      <w:r>
        <w:rPr>
          <w:rFonts w:hint="eastAsia" w:hAnsi="宋体" w:cs="宋体"/>
          <w:color w:val="000000" w:themeColor="text1"/>
          <w:spacing w:val="6"/>
          <w:sz w:val="24"/>
          <w:szCs w:val="24"/>
          <w14:textFill>
            <w14:solidFill>
              <w14:schemeClr w14:val="tx1"/>
            </w14:solidFill>
          </w14:textFill>
        </w:rPr>
        <w:t>万元</w:t>
      </w:r>
      <w:r>
        <w:rPr>
          <w:rFonts w:hint="eastAsia" w:hAnsi="宋体" w:cs="宋体"/>
          <w:color w:val="000000" w:themeColor="text1"/>
          <w:spacing w:val="6"/>
          <w:sz w:val="24"/>
          <w:szCs w:val="24"/>
          <w:vertAlign w:val="superscript"/>
          <w14:textFill>
            <w14:solidFill>
              <w14:schemeClr w14:val="tx1"/>
            </w14:solidFill>
          </w14:textFill>
        </w:rPr>
        <w:t>1</w:t>
      </w:r>
      <w:r>
        <w:rPr>
          <w:rFonts w:hint="eastAsia" w:hAnsi="宋体" w:cs="宋体"/>
          <w:color w:val="000000" w:themeColor="text1"/>
          <w:spacing w:val="6"/>
          <w:sz w:val="24"/>
          <w:szCs w:val="24"/>
          <w14:textFill>
            <w14:solidFill>
              <w14:schemeClr w14:val="tx1"/>
            </w14:solidFill>
          </w14:textFill>
        </w:rPr>
        <w:t>，属于（</w:t>
      </w:r>
      <w:r>
        <w:rPr>
          <w:rFonts w:hint="eastAsia" w:hAnsi="宋体" w:cs="宋体"/>
          <w:color w:val="000000" w:themeColor="text1"/>
          <w:spacing w:val="6"/>
          <w:sz w:val="24"/>
          <w:szCs w:val="24"/>
          <w:u w:val="single"/>
          <w14:textFill>
            <w14:solidFill>
              <w14:schemeClr w14:val="tx1"/>
            </w14:solidFill>
          </w14:textFill>
        </w:rPr>
        <w:t>中型企业、小型企业、微型企业</w:t>
      </w:r>
      <w:r>
        <w:rPr>
          <w:rFonts w:hint="eastAsia" w:hAnsi="宋体" w:cs="宋体"/>
          <w:color w:val="000000" w:themeColor="text1"/>
          <w:spacing w:val="6"/>
          <w:sz w:val="24"/>
          <w:szCs w:val="24"/>
          <w14:textFill>
            <w14:solidFill>
              <w14:schemeClr w14:val="tx1"/>
            </w14:solidFill>
          </w14:textFill>
        </w:rPr>
        <w:t>）</w:t>
      </w:r>
    </w:p>
    <w:p>
      <w:pPr>
        <w:widowControl/>
        <w:ind w:firstLine="504" w:firstLineChars="200"/>
        <w:jc w:val="left"/>
        <w:rPr>
          <w:rFonts w:hint="eastAsia" w:ascii="宋体" w:hAnsi="宋体" w:cs="宋体"/>
          <w:color w:val="000000" w:themeColor="text1"/>
          <w:spacing w:val="6"/>
          <w:sz w:val="24"/>
          <w14:textFill>
            <w14:solidFill>
              <w14:schemeClr w14:val="tx1"/>
            </w14:solidFill>
          </w14:textFill>
        </w:rPr>
      </w:pPr>
      <w:r>
        <w:rPr>
          <w:rFonts w:hint="eastAsia" w:ascii="宋体" w:hAnsi="宋体" w:cs="宋体"/>
          <w:color w:val="000000" w:themeColor="text1"/>
          <w:spacing w:val="6"/>
          <w:sz w:val="24"/>
          <w14:textFill>
            <w14:solidFill>
              <w14:schemeClr w14:val="tx1"/>
            </w14:solidFill>
          </w14:textFill>
        </w:rPr>
        <w:t>2.</w:t>
      </w:r>
      <w:r>
        <w:rPr>
          <w:rFonts w:hint="eastAsia" w:ascii="宋体" w:hAnsi="宋体" w:cs="宋体"/>
          <w:color w:val="000000" w:themeColor="text1"/>
          <w:spacing w:val="6"/>
          <w:sz w:val="24"/>
          <w:u w:val="single"/>
          <w14:textFill>
            <w14:solidFill>
              <w14:schemeClr w14:val="tx1"/>
            </w14:solidFill>
          </w14:textFill>
        </w:rPr>
        <w:t>（标的名称）</w:t>
      </w:r>
      <w:r>
        <w:rPr>
          <w:rFonts w:hint="eastAsia" w:ascii="宋体" w:hAnsi="宋体" w:cs="宋体"/>
          <w:color w:val="000000" w:themeColor="text1"/>
          <w:spacing w:val="6"/>
          <w:sz w:val="24"/>
          <w14:textFill>
            <w14:solidFill>
              <w14:schemeClr w14:val="tx1"/>
            </w14:solidFill>
          </w14:textFill>
        </w:rPr>
        <w:t>，属于</w:t>
      </w:r>
      <w:r>
        <w:rPr>
          <w:rFonts w:hint="eastAsia" w:ascii="宋体" w:hAnsi="宋体" w:cs="宋体"/>
          <w:color w:val="000000" w:themeColor="text1"/>
          <w:spacing w:val="6"/>
          <w:sz w:val="24"/>
          <w:u w:val="single"/>
          <w14:textFill>
            <w14:solidFill>
              <w14:schemeClr w14:val="tx1"/>
            </w14:solidFill>
          </w14:textFill>
        </w:rPr>
        <w:t>（采购文件中明确的所属行业）行业</w:t>
      </w:r>
      <w:r>
        <w:rPr>
          <w:rFonts w:hint="eastAsia" w:ascii="宋体" w:hAnsi="宋体" w:cs="宋体"/>
          <w:color w:val="000000" w:themeColor="text1"/>
          <w:spacing w:val="6"/>
          <w:sz w:val="24"/>
          <w14:textFill>
            <w14:solidFill>
              <w14:schemeClr w14:val="tx1"/>
            </w14:solidFill>
          </w14:textFill>
        </w:rPr>
        <w:t>；制造商为（</w:t>
      </w:r>
      <w:r>
        <w:rPr>
          <w:rFonts w:hint="eastAsia" w:ascii="宋体" w:hAnsi="宋体" w:cs="宋体"/>
          <w:color w:val="000000" w:themeColor="text1"/>
          <w:spacing w:val="6"/>
          <w:sz w:val="24"/>
          <w:u w:val="single"/>
          <w14:textFill>
            <w14:solidFill>
              <w14:schemeClr w14:val="tx1"/>
            </w14:solidFill>
          </w14:textFill>
        </w:rPr>
        <w:t>企业名称</w:t>
      </w:r>
      <w:r>
        <w:rPr>
          <w:rFonts w:hint="eastAsia" w:ascii="宋体" w:hAnsi="宋体" w:cs="宋体"/>
          <w:color w:val="000000" w:themeColor="text1"/>
          <w:spacing w:val="6"/>
          <w:sz w:val="24"/>
          <w14:textFill>
            <w14:solidFill>
              <w14:schemeClr w14:val="tx1"/>
            </w14:solidFill>
          </w14:textFill>
        </w:rPr>
        <w:t>），从业人员</w:t>
      </w:r>
      <w:r>
        <w:rPr>
          <w:rFonts w:hint="eastAsia" w:ascii="宋体" w:hAnsi="宋体" w:cs="宋体"/>
          <w:color w:val="000000" w:themeColor="text1"/>
          <w:spacing w:val="6"/>
          <w:sz w:val="24"/>
          <w:u w:val="single"/>
          <w14:textFill>
            <w14:solidFill>
              <w14:schemeClr w14:val="tx1"/>
            </w14:solidFill>
          </w14:textFill>
        </w:rPr>
        <w:t xml:space="preserve">   </w:t>
      </w:r>
      <w:r>
        <w:rPr>
          <w:rFonts w:hint="eastAsia" w:ascii="宋体" w:hAnsi="宋体" w:cs="宋体"/>
          <w:color w:val="000000" w:themeColor="text1"/>
          <w:spacing w:val="6"/>
          <w:sz w:val="24"/>
          <w14:textFill>
            <w14:solidFill>
              <w14:schemeClr w14:val="tx1"/>
            </w14:solidFill>
          </w14:textFill>
        </w:rPr>
        <w:t>人，营业收入为</w:t>
      </w:r>
      <w:r>
        <w:rPr>
          <w:rFonts w:hint="eastAsia" w:ascii="宋体" w:hAnsi="宋体" w:cs="宋体"/>
          <w:color w:val="000000" w:themeColor="text1"/>
          <w:spacing w:val="6"/>
          <w:sz w:val="24"/>
          <w:u w:val="single"/>
          <w14:textFill>
            <w14:solidFill>
              <w14:schemeClr w14:val="tx1"/>
            </w14:solidFill>
          </w14:textFill>
        </w:rPr>
        <w:t xml:space="preserve">  </w:t>
      </w:r>
      <w:r>
        <w:rPr>
          <w:rFonts w:hint="eastAsia" w:ascii="宋体" w:hAnsi="宋体" w:cs="宋体"/>
          <w:color w:val="000000" w:themeColor="text1"/>
          <w:spacing w:val="6"/>
          <w:sz w:val="24"/>
          <w14:textFill>
            <w14:solidFill>
              <w14:schemeClr w14:val="tx1"/>
            </w14:solidFill>
          </w14:textFill>
        </w:rPr>
        <w:t>万元，资产总额为</w:t>
      </w:r>
      <w:r>
        <w:rPr>
          <w:rFonts w:hint="eastAsia" w:ascii="宋体" w:hAnsi="宋体" w:cs="宋体"/>
          <w:color w:val="000000" w:themeColor="text1"/>
          <w:spacing w:val="6"/>
          <w:sz w:val="24"/>
          <w:u w:val="single"/>
          <w14:textFill>
            <w14:solidFill>
              <w14:schemeClr w14:val="tx1"/>
            </w14:solidFill>
          </w14:textFill>
        </w:rPr>
        <w:t xml:space="preserve">   </w:t>
      </w:r>
      <w:r>
        <w:rPr>
          <w:rFonts w:hint="eastAsia" w:ascii="宋体" w:hAnsi="宋体" w:cs="宋体"/>
          <w:color w:val="000000" w:themeColor="text1"/>
          <w:spacing w:val="6"/>
          <w:sz w:val="24"/>
          <w14:textFill>
            <w14:solidFill>
              <w14:schemeClr w14:val="tx1"/>
            </w14:solidFill>
          </w14:textFill>
        </w:rPr>
        <w:t>万元</w:t>
      </w:r>
      <w:r>
        <w:rPr>
          <w:rFonts w:hint="eastAsia" w:ascii="宋体" w:hAnsi="宋体" w:cs="宋体"/>
          <w:color w:val="000000" w:themeColor="text1"/>
          <w:spacing w:val="6"/>
          <w:sz w:val="24"/>
          <w:vertAlign w:val="superscript"/>
          <w14:textFill>
            <w14:solidFill>
              <w14:schemeClr w14:val="tx1"/>
            </w14:solidFill>
          </w14:textFill>
        </w:rPr>
        <w:t>1</w:t>
      </w:r>
      <w:r>
        <w:rPr>
          <w:rFonts w:hint="eastAsia" w:ascii="宋体" w:hAnsi="宋体" w:cs="宋体"/>
          <w:color w:val="000000" w:themeColor="text1"/>
          <w:spacing w:val="6"/>
          <w:sz w:val="24"/>
          <w14:textFill>
            <w14:solidFill>
              <w14:schemeClr w14:val="tx1"/>
            </w14:solidFill>
          </w14:textFill>
        </w:rPr>
        <w:t>，属于（</w:t>
      </w:r>
      <w:r>
        <w:rPr>
          <w:rFonts w:hint="eastAsia" w:ascii="宋体" w:hAnsi="宋体" w:cs="宋体"/>
          <w:color w:val="000000" w:themeColor="text1"/>
          <w:spacing w:val="6"/>
          <w:sz w:val="24"/>
          <w:u w:val="single"/>
          <w14:textFill>
            <w14:solidFill>
              <w14:schemeClr w14:val="tx1"/>
            </w14:solidFill>
          </w14:textFill>
        </w:rPr>
        <w:t>中型企业、小型企业、微型企业</w:t>
      </w:r>
      <w:r>
        <w:rPr>
          <w:rFonts w:hint="eastAsia" w:ascii="宋体" w:hAnsi="宋体" w:cs="宋体"/>
          <w:color w:val="000000" w:themeColor="text1"/>
          <w:spacing w:val="6"/>
          <w:sz w:val="24"/>
          <w14:textFill>
            <w14:solidFill>
              <w14:schemeClr w14:val="tx1"/>
            </w14:solidFill>
          </w14:textFill>
        </w:rPr>
        <w:t>）</w:t>
      </w:r>
    </w:p>
    <w:p>
      <w:pPr>
        <w:pStyle w:val="7"/>
        <w:ind w:left="0"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p>
      <w:pPr>
        <w:widowControl/>
        <w:ind w:firstLine="504" w:firstLineChars="200"/>
        <w:jc w:val="left"/>
        <w:rPr>
          <w:rFonts w:hint="eastAsia" w:ascii="宋体" w:hAnsi="宋体" w:cs="宋体"/>
          <w:color w:val="000000" w:themeColor="text1"/>
          <w:spacing w:val="6"/>
          <w:sz w:val="24"/>
          <w14:textFill>
            <w14:solidFill>
              <w14:schemeClr w14:val="tx1"/>
            </w14:solidFill>
          </w14:textFill>
        </w:rPr>
      </w:pPr>
      <w:r>
        <w:rPr>
          <w:rFonts w:hint="eastAsia" w:ascii="宋体" w:hAnsi="宋体" w:cs="宋体"/>
          <w:color w:val="000000" w:themeColor="text1"/>
          <w:spacing w:val="6"/>
          <w:sz w:val="24"/>
          <w14:textFill>
            <w14:solidFill>
              <w14:schemeClr w14:val="tx1"/>
            </w14:solidFill>
          </w14:textFill>
        </w:rPr>
        <w:t>以上企业，不属于大企业的分支机构，不存在控股股东为大企业的情形，也不存在与大企业的负责人为同一人的情形。</w:t>
      </w:r>
    </w:p>
    <w:p>
      <w:pPr>
        <w:widowControl/>
        <w:ind w:firstLine="504" w:firstLineChars="200"/>
        <w:jc w:val="left"/>
        <w:rPr>
          <w:rFonts w:hint="eastAsia" w:ascii="宋体" w:hAnsi="宋体" w:cs="宋体"/>
          <w:color w:val="000000" w:themeColor="text1"/>
          <w:spacing w:val="6"/>
          <w:sz w:val="24"/>
          <w14:textFill>
            <w14:solidFill>
              <w14:schemeClr w14:val="tx1"/>
            </w14:solidFill>
          </w14:textFill>
        </w:rPr>
      </w:pPr>
      <w:r>
        <w:rPr>
          <w:rFonts w:hint="eastAsia" w:ascii="宋体" w:hAnsi="宋体" w:cs="宋体"/>
          <w:color w:val="000000" w:themeColor="text1"/>
          <w:spacing w:val="6"/>
          <w:sz w:val="24"/>
          <w14:textFill>
            <w14:solidFill>
              <w14:schemeClr w14:val="tx1"/>
            </w14:solidFill>
          </w14:textFill>
        </w:rPr>
        <w:t xml:space="preserve">本企业对上述声明内容的真实性负责。如有虚假，将依法承担相应责任。 </w:t>
      </w:r>
    </w:p>
    <w:p>
      <w:pPr>
        <w:pStyle w:val="9"/>
        <w:rPr>
          <w:rFonts w:hint="eastAsia" w:ascii="宋体" w:hAnsi="宋体" w:cs="宋体"/>
          <w:color w:val="000000" w:themeColor="text1"/>
          <w:sz w:val="24"/>
          <w14:textFill>
            <w14:solidFill>
              <w14:schemeClr w14:val="tx1"/>
            </w14:solidFill>
          </w14:textFill>
        </w:rPr>
      </w:pPr>
    </w:p>
    <w:p>
      <w:pPr>
        <w:widowControl/>
        <w:ind w:firstLine="5796" w:firstLineChars="2300"/>
        <w:jc w:val="left"/>
        <w:rPr>
          <w:rFonts w:hint="eastAsia" w:ascii="宋体" w:hAnsi="宋体" w:cs="宋体"/>
          <w:color w:val="000000" w:themeColor="text1"/>
          <w:spacing w:val="6"/>
          <w:sz w:val="24"/>
          <w14:textFill>
            <w14:solidFill>
              <w14:schemeClr w14:val="tx1"/>
            </w14:solidFill>
          </w14:textFill>
        </w:rPr>
      </w:pPr>
      <w:r>
        <w:rPr>
          <w:rFonts w:hint="eastAsia" w:ascii="宋体" w:hAnsi="宋体" w:cs="宋体"/>
          <w:color w:val="000000" w:themeColor="text1"/>
          <w:spacing w:val="6"/>
          <w:sz w:val="24"/>
          <w14:textFill>
            <w14:solidFill>
              <w14:schemeClr w14:val="tx1"/>
            </w14:solidFill>
          </w14:textFill>
        </w:rPr>
        <w:t>企业名称</w:t>
      </w:r>
      <w:r>
        <w:rPr>
          <w:rFonts w:hint="eastAsia" w:ascii="宋体" w:hAnsi="宋体" w:cs="宋体"/>
          <w:color w:val="000000" w:themeColor="text1"/>
          <w:sz w:val="24"/>
          <w14:textFill>
            <w14:solidFill>
              <w14:schemeClr w14:val="tx1"/>
            </w14:solidFill>
          </w14:textFill>
        </w:rPr>
        <w:t>[盖公章（CA签章）]</w:t>
      </w:r>
      <w:r>
        <w:rPr>
          <w:rFonts w:hint="eastAsia" w:ascii="宋体" w:hAnsi="宋体" w:cs="宋体"/>
          <w:color w:val="000000" w:themeColor="text1"/>
          <w:spacing w:val="6"/>
          <w:sz w:val="24"/>
          <w14:textFill>
            <w14:solidFill>
              <w14:schemeClr w14:val="tx1"/>
            </w14:solidFill>
          </w14:textFill>
        </w:rPr>
        <w:t xml:space="preserve">： </w:t>
      </w:r>
    </w:p>
    <w:p>
      <w:pPr>
        <w:widowControl/>
        <w:ind w:firstLine="5796" w:firstLineChars="2300"/>
        <w:jc w:val="left"/>
        <w:rPr>
          <w:rFonts w:hint="eastAsia" w:ascii="宋体" w:hAnsi="宋体" w:cs="宋体"/>
          <w:color w:val="000000" w:themeColor="text1"/>
          <w:spacing w:val="6"/>
          <w:sz w:val="24"/>
          <w14:textFill>
            <w14:solidFill>
              <w14:schemeClr w14:val="tx1"/>
            </w14:solidFill>
          </w14:textFill>
        </w:rPr>
      </w:pPr>
      <w:r>
        <w:rPr>
          <w:rFonts w:hint="eastAsia" w:ascii="宋体" w:hAnsi="宋体" w:cs="宋体"/>
          <w:color w:val="000000" w:themeColor="text1"/>
          <w:spacing w:val="6"/>
          <w:sz w:val="24"/>
          <w14:textFill>
            <w14:solidFill>
              <w14:schemeClr w14:val="tx1"/>
            </w14:solidFill>
          </w14:textFill>
        </w:rPr>
        <w:t>日 期：</w:t>
      </w:r>
    </w:p>
    <w:p>
      <w:pPr>
        <w:pStyle w:val="7"/>
        <w:ind w:left="0"/>
        <w:rPr>
          <w:rFonts w:hint="eastAsia" w:ascii="宋体" w:hAnsi="宋体" w:cs="宋体"/>
          <w:color w:val="000000" w:themeColor="text1"/>
          <w14:textFill>
            <w14:solidFill>
              <w14:schemeClr w14:val="tx1"/>
            </w14:solidFill>
          </w14:textFill>
        </w:rPr>
      </w:pPr>
    </w:p>
    <w:p>
      <w:pPr>
        <w:widowControl/>
        <w:jc w:val="left"/>
        <w:rPr>
          <w:rFonts w:hint="eastAsia" w:ascii="宋体" w:hAnsi="宋体" w:cs="宋体"/>
          <w:color w:val="000000" w:themeColor="text1"/>
          <w14:textFill>
            <w14:solidFill>
              <w14:schemeClr w14:val="tx1"/>
            </w14:solidFill>
          </w14:textFill>
        </w:rPr>
      </w:pPr>
    </w:p>
    <w:p>
      <w:pPr>
        <w:pStyle w:val="9"/>
        <w:rPr>
          <w:rFonts w:hint="eastAsia" w:ascii="宋体" w:hAnsi="宋体" w:cs="宋体"/>
          <w:color w:val="000000" w:themeColor="text1"/>
          <w14:textFill>
            <w14:solidFill>
              <w14:schemeClr w14:val="tx1"/>
            </w14:solidFill>
          </w14:textFill>
        </w:rPr>
      </w:pPr>
    </w:p>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cs="宋体"/>
          <w:color w:val="000000" w:themeColor="text1"/>
          <w:kern w:val="0"/>
          <w:sz w:val="18"/>
          <w:szCs w:val="18"/>
          <w:vertAlign w:val="superscript"/>
          <w:lang w:bidi="ar"/>
          <w14:textFill>
            <w14:solidFill>
              <w14:schemeClr w14:val="tx1"/>
            </w14:solidFill>
          </w14:textFill>
        </w:rPr>
        <w:t>1</w:t>
      </w:r>
      <w:r>
        <w:rPr>
          <w:rFonts w:hint="eastAsia" w:ascii="宋体" w:hAnsi="宋体" w:cs="宋体"/>
          <w:color w:val="000000" w:themeColor="text1"/>
          <w:kern w:val="0"/>
          <w:sz w:val="18"/>
          <w:szCs w:val="18"/>
          <w:lang w:bidi="ar"/>
          <w14:textFill>
            <w14:solidFill>
              <w14:schemeClr w14:val="tx1"/>
            </w14:solidFill>
          </w14:textFill>
        </w:rPr>
        <w:t>从业人员、营业收入、资产总额填报上一年度数据，无上一年度数据的新成立企业可不填报。</w:t>
      </w:r>
    </w:p>
    <w:p>
      <w:pPr>
        <w:pStyle w:val="12"/>
        <w:spacing w:line="440" w:lineRule="exact"/>
        <w:ind w:firstLine="504" w:firstLineChars="200"/>
        <w:rPr>
          <w:rFonts w:hint="eastAsia" w:ascii="宋体" w:hAnsi="宋体" w:eastAsia="宋体" w:cs="宋体"/>
          <w:color w:val="000000" w:themeColor="text1"/>
          <w:spacing w:val="6"/>
          <w:kern w:val="2"/>
          <w:sz w:val="24"/>
          <w:szCs w:val="24"/>
          <w:lang w:val="en-US" w:eastAsia="zh-CN" w:bidi="ar-SA"/>
          <w14:textFill>
            <w14:solidFill>
              <w14:schemeClr w14:val="tx1"/>
            </w14:solidFill>
          </w14:textFill>
        </w:rPr>
      </w:pPr>
    </w:p>
    <w:p>
      <w:pPr>
        <w:pStyle w:val="12"/>
        <w:spacing w:line="440" w:lineRule="exact"/>
        <w:rPr>
          <w:rFonts w:hint="eastAsia" w:ascii="宋体" w:hAnsi="宋体" w:eastAsia="宋体" w:cs="宋体"/>
          <w:b/>
          <w:color w:val="000000" w:themeColor="text1"/>
          <w:sz w:val="28"/>
          <w:szCs w:val="28"/>
          <w14:textFill>
            <w14:solidFill>
              <w14:schemeClr w14:val="tx1"/>
            </w14:solidFill>
          </w14:textFill>
        </w:rPr>
      </w:pPr>
      <w:r>
        <w:rPr>
          <w:rFonts w:hint="eastAsia" w:hAnsi="宋体" w:cs="宋体"/>
          <w:b/>
          <w:color w:val="000000" w:themeColor="text1"/>
          <w:sz w:val="28"/>
          <w:szCs w:val="28"/>
          <w:lang w:val="en-US" w:eastAsia="zh-CN"/>
          <w14:textFill>
            <w14:solidFill>
              <w14:schemeClr w14:val="tx1"/>
            </w14:solidFill>
          </w14:textFill>
        </w:rPr>
        <w:t>9.</w:t>
      </w:r>
      <w:r>
        <w:rPr>
          <w:rFonts w:hint="eastAsia" w:ascii="宋体" w:hAnsi="宋体" w:eastAsia="宋体" w:cs="宋体"/>
          <w:b/>
          <w:color w:val="000000" w:themeColor="text1"/>
          <w:sz w:val="28"/>
          <w:szCs w:val="28"/>
          <w:lang w:val="en-US" w:eastAsia="zh-CN"/>
          <w14:textFill>
            <w14:solidFill>
              <w14:schemeClr w14:val="tx1"/>
            </w14:solidFill>
          </w14:textFill>
        </w:rPr>
        <w:t>如提供服务的供应商属于监狱企业的，应当提供由省级以上监狱管理局、戒毒管理局等（含新疆生产建设兵团）</w:t>
      </w:r>
      <w:r>
        <w:rPr>
          <w:rFonts w:hint="eastAsia" w:ascii="宋体" w:hAnsi="宋体" w:eastAsia="宋体" w:cs="宋体"/>
          <w:b/>
          <w:color w:val="000000" w:themeColor="text1"/>
          <w:sz w:val="28"/>
          <w:szCs w:val="28"/>
          <w14:textFill>
            <w14:solidFill>
              <w14:schemeClr w14:val="tx1"/>
            </w14:solidFill>
          </w14:textFill>
        </w:rPr>
        <w:t>出具的属于监狱企业的证明文件（</w:t>
      </w:r>
      <w:r>
        <w:rPr>
          <w:rFonts w:hint="eastAsia" w:ascii="宋体" w:hAnsi="宋体" w:eastAsia="宋体" w:cs="宋体"/>
          <w:b/>
          <w:color w:val="000000" w:themeColor="text1"/>
          <w:sz w:val="28"/>
          <w:szCs w:val="28"/>
          <w:lang w:val="en-US" w:eastAsia="zh-CN"/>
          <w14:textFill>
            <w14:solidFill>
              <w14:schemeClr w14:val="tx1"/>
            </w14:solidFill>
          </w14:textFill>
        </w:rPr>
        <w:t>如供应商属于监狱企业的，</w:t>
      </w:r>
      <w:r>
        <w:rPr>
          <w:rFonts w:hint="eastAsia" w:hAnsi="宋体" w:cs="宋体"/>
          <w:b/>
          <w:color w:val="000000" w:themeColor="text1"/>
          <w:sz w:val="28"/>
          <w:szCs w:val="28"/>
          <w:lang w:val="en-US" w:eastAsia="zh-CN"/>
          <w14:textFill>
            <w14:solidFill>
              <w14:schemeClr w14:val="tx1"/>
            </w14:solidFill>
          </w14:textFill>
        </w:rPr>
        <w:t>如有，请提供</w:t>
      </w:r>
      <w:r>
        <w:rPr>
          <w:rFonts w:hint="eastAsia" w:ascii="宋体" w:hAnsi="宋体" w:eastAsia="宋体" w:cs="宋体"/>
          <w:b/>
          <w:color w:val="000000" w:themeColor="text1"/>
          <w:sz w:val="28"/>
          <w:szCs w:val="28"/>
          <w14:textFill>
            <w14:solidFill>
              <w14:schemeClr w14:val="tx1"/>
            </w14:solidFill>
          </w14:textFill>
        </w:rPr>
        <w:t>）；</w:t>
      </w:r>
    </w:p>
    <w:p>
      <w:pPr>
        <w:pStyle w:val="7"/>
        <w:rPr>
          <w:rFonts w:hint="eastAsia" w:ascii="宋体" w:hAnsi="宋体" w:eastAsia="宋体" w:cs="宋体"/>
          <w:color w:val="000000" w:themeColor="text1"/>
          <w14:textFill>
            <w14:solidFill>
              <w14:schemeClr w14:val="tx1"/>
            </w14:solidFill>
          </w14:textFill>
        </w:rPr>
      </w:pPr>
    </w:p>
    <w:p>
      <w:pPr>
        <w:pStyle w:val="12"/>
        <w:numPr>
          <w:ilvl w:val="0"/>
          <w:numId w:val="0"/>
        </w:numPr>
        <w:spacing w:line="340" w:lineRule="exact"/>
        <w:ind w:leftChars="0"/>
        <w:rPr>
          <w:rFonts w:hint="eastAsia" w:ascii="宋体" w:hAnsi="宋体" w:eastAsia="宋体" w:cs="宋体"/>
          <w:b/>
          <w:color w:val="000000" w:themeColor="text1"/>
          <w:sz w:val="28"/>
          <w:szCs w:val="28"/>
          <w:lang w:val="en-US" w:eastAsia="zh-CN"/>
          <w14:textFill>
            <w14:solidFill>
              <w14:schemeClr w14:val="tx1"/>
            </w14:solidFill>
          </w14:textFill>
        </w:rPr>
      </w:pPr>
    </w:p>
    <w:p>
      <w:pPr>
        <w:pStyle w:val="7"/>
        <w:rPr>
          <w:rFonts w:hint="eastAsia" w:ascii="宋体" w:hAnsi="宋体" w:eastAsia="宋体" w:cs="宋体"/>
          <w:b/>
          <w:color w:val="000000" w:themeColor="text1"/>
          <w:sz w:val="28"/>
          <w:szCs w:val="28"/>
          <w:lang w:val="en-US" w:eastAsia="zh-CN"/>
          <w14:textFill>
            <w14:solidFill>
              <w14:schemeClr w14:val="tx1"/>
            </w14:solidFill>
          </w14:textFill>
        </w:rPr>
      </w:pPr>
    </w:p>
    <w:p>
      <w:pPr>
        <w:rPr>
          <w:rFonts w:hint="eastAsia" w:ascii="宋体" w:hAnsi="宋体" w:eastAsia="宋体" w:cs="宋体"/>
          <w:b/>
          <w:color w:val="000000" w:themeColor="text1"/>
          <w:sz w:val="28"/>
          <w:szCs w:val="28"/>
          <w:lang w:val="en-US" w:eastAsia="zh-CN"/>
          <w14:textFill>
            <w14:solidFill>
              <w14:schemeClr w14:val="tx1"/>
            </w14:solidFill>
          </w14:textFill>
        </w:rPr>
      </w:pPr>
    </w:p>
    <w:p>
      <w:pPr>
        <w:pStyle w:val="12"/>
        <w:numPr>
          <w:ilvl w:val="0"/>
          <w:numId w:val="0"/>
        </w:numPr>
        <w:spacing w:line="340" w:lineRule="exact"/>
        <w:ind w:leftChars="0"/>
        <w:rPr>
          <w:rFonts w:hint="eastAsia" w:ascii="宋体" w:hAnsi="宋体" w:eastAsia="宋体" w:cs="宋体"/>
          <w:b/>
          <w:color w:val="000000" w:themeColor="text1"/>
          <w:sz w:val="28"/>
          <w:szCs w:val="28"/>
          <w:lang w:eastAsia="zh-CN"/>
          <w14:textFill>
            <w14:solidFill>
              <w14:schemeClr w14:val="tx1"/>
            </w14:solidFill>
          </w14:textFill>
        </w:rPr>
      </w:pPr>
      <w:r>
        <w:rPr>
          <w:rFonts w:hint="eastAsia" w:hAnsi="宋体" w:cs="宋体"/>
          <w:b/>
          <w:color w:val="000000" w:themeColor="text1"/>
          <w:sz w:val="28"/>
          <w:szCs w:val="28"/>
          <w:lang w:val="en-US" w:eastAsia="zh-CN"/>
          <w14:textFill>
            <w14:solidFill>
              <w14:schemeClr w14:val="tx1"/>
            </w14:solidFill>
          </w14:textFill>
        </w:rPr>
        <w:t>10.</w:t>
      </w:r>
      <w:r>
        <w:rPr>
          <w:rFonts w:hint="eastAsia" w:ascii="宋体" w:hAnsi="宋体" w:eastAsia="宋体" w:cs="宋体"/>
          <w:b/>
          <w:color w:val="000000" w:themeColor="text1"/>
          <w:sz w:val="28"/>
          <w:szCs w:val="28"/>
          <w14:textFill>
            <w14:solidFill>
              <w14:schemeClr w14:val="tx1"/>
            </w14:solidFill>
          </w14:textFill>
        </w:rPr>
        <w:t>《残疾人福利性单位声明函》（见附件）（</w:t>
      </w:r>
      <w:r>
        <w:rPr>
          <w:rFonts w:hint="eastAsia" w:ascii="宋体" w:hAnsi="宋体" w:eastAsia="宋体" w:cs="宋体"/>
          <w:b/>
          <w:color w:val="000000" w:themeColor="text1"/>
          <w:sz w:val="28"/>
          <w:szCs w:val="28"/>
          <w:lang w:val="en-US" w:eastAsia="zh-CN"/>
          <w14:textFill>
            <w14:solidFill>
              <w14:schemeClr w14:val="tx1"/>
            </w14:solidFill>
          </w14:textFill>
        </w:rPr>
        <w:t>如供应商属于残疾人福利性单位的，</w:t>
      </w:r>
      <w:r>
        <w:rPr>
          <w:rFonts w:hint="eastAsia" w:hAnsi="宋体" w:cs="宋体"/>
          <w:b/>
          <w:color w:val="000000" w:themeColor="text1"/>
          <w:sz w:val="28"/>
          <w:szCs w:val="28"/>
          <w:lang w:val="en-US" w:eastAsia="zh-CN"/>
          <w14:textFill>
            <w14:solidFill>
              <w14:schemeClr w14:val="tx1"/>
            </w14:solidFill>
          </w14:textFill>
        </w:rPr>
        <w:t>如有，请提供</w:t>
      </w:r>
      <w:r>
        <w:rPr>
          <w:rFonts w:hint="eastAsia" w:ascii="宋体" w:hAnsi="宋体" w:eastAsia="宋体" w:cs="宋体"/>
          <w:b/>
          <w:color w:val="000000" w:themeColor="text1"/>
          <w:sz w:val="28"/>
          <w:szCs w:val="28"/>
          <w14:textFill>
            <w14:solidFill>
              <w14:schemeClr w14:val="tx1"/>
            </w14:solidFill>
          </w14:textFill>
        </w:rPr>
        <w:t>）</w:t>
      </w:r>
      <w:r>
        <w:rPr>
          <w:rFonts w:hint="eastAsia" w:hAnsi="宋体" w:cs="宋体"/>
          <w:b/>
          <w:color w:val="000000" w:themeColor="text1"/>
          <w:sz w:val="28"/>
          <w:szCs w:val="28"/>
          <w:lang w:eastAsia="zh-CN"/>
          <w14:textFill>
            <w14:solidFill>
              <w14:schemeClr w14:val="tx1"/>
            </w14:solidFill>
          </w14:textFill>
        </w:rPr>
        <w:t>；</w:t>
      </w:r>
    </w:p>
    <w:p>
      <w:pPr>
        <w:tabs>
          <w:tab w:val="left" w:pos="1305"/>
        </w:tabs>
        <w:rPr>
          <w:rFonts w:hint="eastAsia" w:ascii="宋体" w:hAnsi="宋体" w:eastAsia="宋体" w:cs="宋体"/>
          <w:b/>
          <w:color w:val="000000" w:themeColor="text1"/>
          <w:sz w:val="32"/>
          <w:szCs w:val="32"/>
          <w14:textFill>
            <w14:solidFill>
              <w14:schemeClr w14:val="tx1"/>
            </w14:solidFill>
          </w14:textFill>
        </w:rPr>
      </w:pPr>
    </w:p>
    <w:p>
      <w:pPr>
        <w:pStyle w:val="28"/>
        <w:rPr>
          <w:rFonts w:hint="eastAsia" w:ascii="宋体" w:hAnsi="宋体" w:eastAsia="宋体" w:cs="宋体"/>
          <w:b/>
          <w:color w:val="000000" w:themeColor="text1"/>
          <w:spacing w:val="6"/>
          <w:sz w:val="28"/>
          <w:szCs w:val="28"/>
          <w14:textFill>
            <w14:solidFill>
              <w14:schemeClr w14:val="tx1"/>
            </w14:solidFill>
          </w14:textFill>
        </w:rPr>
      </w:pPr>
    </w:p>
    <w:p>
      <w:pPr>
        <w:spacing w:line="588" w:lineRule="exact"/>
        <w:jc w:val="center"/>
        <w:rPr>
          <w:rFonts w:hint="eastAsia" w:ascii="宋体" w:hAnsi="宋体" w:eastAsia="宋体" w:cs="宋体"/>
          <w:b/>
          <w:color w:val="000000" w:themeColor="text1"/>
          <w:spacing w:val="6"/>
          <w:sz w:val="28"/>
          <w:szCs w:val="28"/>
          <w14:textFill>
            <w14:solidFill>
              <w14:schemeClr w14:val="tx1"/>
            </w14:solidFill>
          </w14:textFill>
        </w:rPr>
      </w:pPr>
      <w:r>
        <w:rPr>
          <w:rFonts w:hint="eastAsia" w:ascii="宋体" w:hAnsi="宋体" w:eastAsia="宋体" w:cs="宋体"/>
          <w:b/>
          <w:color w:val="000000" w:themeColor="text1"/>
          <w:spacing w:val="6"/>
          <w:sz w:val="28"/>
          <w:szCs w:val="28"/>
          <w14:textFill>
            <w14:solidFill>
              <w14:schemeClr w14:val="tx1"/>
            </w14:solidFill>
          </w14:textFill>
        </w:rPr>
        <w:t>残疾人福利性单位声明函</w:t>
      </w:r>
    </w:p>
    <w:p>
      <w:pPr>
        <w:spacing w:line="588" w:lineRule="exact"/>
        <w:ind w:firstLine="504" w:firstLineChars="200"/>
        <w:rPr>
          <w:rFonts w:hint="eastAsia" w:ascii="宋体" w:hAnsi="宋体" w:eastAsia="宋体" w:cs="宋体"/>
          <w:color w:val="000000" w:themeColor="text1"/>
          <w:spacing w:val="6"/>
          <w:sz w:val="24"/>
          <w14:textFill>
            <w14:solidFill>
              <w14:schemeClr w14:val="tx1"/>
            </w14:solidFill>
          </w14:textFill>
        </w:rPr>
      </w:pPr>
      <w:r>
        <w:rPr>
          <w:rFonts w:hint="eastAsia" w:ascii="宋体" w:hAnsi="宋体" w:eastAsia="宋体" w:cs="宋体"/>
          <w:color w:val="000000" w:themeColor="text1"/>
          <w:spacing w:val="6"/>
          <w:sz w:val="24"/>
          <w14:textFill>
            <w14:solidFill>
              <w14:schemeClr w14:val="tx1"/>
            </w14:solidFill>
          </w14:textFill>
        </w:rPr>
        <w:t>本单位郑重声明，根据《财政部 民政部 中国残疾人联合会关于促进残疾人就业政府采购政策的通知》（财库</w:t>
      </w:r>
      <w:r>
        <w:rPr>
          <w:rFonts w:hint="eastAsia" w:ascii="宋体" w:hAnsi="宋体" w:eastAsia="宋体" w:cs="宋体"/>
          <w:color w:val="000000" w:themeColor="text1"/>
          <w:sz w:val="24"/>
          <w14:textFill>
            <w14:solidFill>
              <w14:schemeClr w14:val="tx1"/>
            </w14:solidFill>
          </w14:textFill>
        </w:rPr>
        <w:t>〔2017〕141</w:t>
      </w:r>
      <w:r>
        <w:rPr>
          <w:rFonts w:hint="eastAsia" w:ascii="宋体" w:hAnsi="宋体" w:eastAsia="宋体" w:cs="宋体"/>
          <w:color w:val="000000" w:themeColor="text1"/>
          <w:spacing w:val="6"/>
          <w:sz w:val="24"/>
          <w14:textFill>
            <w14:solidFill>
              <w14:schemeClr w14:val="tx1"/>
            </w14:solidFill>
          </w14:textFill>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eastAsia="宋体" w:cs="宋体"/>
          <w:color w:val="000000" w:themeColor="text1"/>
          <w:spacing w:val="6"/>
          <w:sz w:val="24"/>
          <w14:textFill>
            <w14:solidFill>
              <w14:schemeClr w14:val="tx1"/>
            </w14:solidFill>
          </w14:textFill>
        </w:rPr>
      </w:pPr>
      <w:r>
        <w:rPr>
          <w:rFonts w:hint="eastAsia" w:ascii="宋体" w:hAnsi="宋体" w:eastAsia="宋体" w:cs="宋体"/>
          <w:color w:val="000000" w:themeColor="text1"/>
          <w:spacing w:val="6"/>
          <w:sz w:val="24"/>
          <w14:textFill>
            <w14:solidFill>
              <w14:schemeClr w14:val="tx1"/>
            </w14:solidFill>
          </w14:textFill>
        </w:rPr>
        <w:t>本单位对上述声明的真实性负责。如有虚假，将依法承担相应责任。</w:t>
      </w:r>
    </w:p>
    <w:p>
      <w:pPr>
        <w:rPr>
          <w:rFonts w:hint="eastAsia" w:ascii="宋体" w:hAnsi="宋体" w:eastAsia="宋体" w:cs="宋体"/>
          <w:color w:val="000000" w:themeColor="text1"/>
          <w14:textFill>
            <w14:solidFill>
              <w14:schemeClr w14:val="tx1"/>
            </w14:solidFill>
          </w14:textFill>
        </w:rPr>
      </w:pPr>
    </w:p>
    <w:p>
      <w:pPr>
        <w:tabs>
          <w:tab w:val="left" w:pos="4860"/>
        </w:tabs>
        <w:spacing w:line="588" w:lineRule="exact"/>
        <w:ind w:right="1560" w:firstLine="584" w:firstLineChars="200"/>
        <w:jc w:val="center"/>
        <w:rPr>
          <w:rFonts w:hint="eastAsia" w:ascii="宋体" w:hAnsi="宋体" w:eastAsia="宋体" w:cs="宋体"/>
          <w:color w:val="000000" w:themeColor="text1"/>
          <w:spacing w:val="6"/>
          <w:sz w:val="24"/>
          <w14:textFill>
            <w14:solidFill>
              <w14:schemeClr w14:val="tx1"/>
            </w14:solidFill>
          </w14:textFill>
        </w:rPr>
      </w:pPr>
      <w:r>
        <w:rPr>
          <w:rFonts w:hint="eastAsia" w:ascii="宋体" w:hAnsi="宋体" w:eastAsia="宋体" w:cs="宋体"/>
          <w:color w:val="000000" w:themeColor="text1"/>
          <w:spacing w:val="6"/>
          <w:sz w:val="28"/>
          <w:szCs w:val="28"/>
          <w14:textFill>
            <w14:solidFill>
              <w14:schemeClr w14:val="tx1"/>
            </w14:solidFill>
          </w14:textFill>
        </w:rPr>
        <w:t xml:space="preserve">          </w:t>
      </w:r>
      <w:r>
        <w:rPr>
          <w:rFonts w:hint="eastAsia" w:ascii="宋体" w:hAnsi="宋体" w:eastAsia="宋体" w:cs="宋体"/>
          <w:color w:val="000000" w:themeColor="text1"/>
          <w:spacing w:val="6"/>
          <w:sz w:val="24"/>
          <w14:textFill>
            <w14:solidFill>
              <w14:schemeClr w14:val="tx1"/>
            </w14:solidFill>
          </w14:textFill>
        </w:rPr>
        <w:t xml:space="preserve">  单位名称</w:t>
      </w:r>
      <w:r>
        <w:rPr>
          <w:rFonts w:hint="eastAsia" w:ascii="宋体" w:hAnsi="宋体" w:eastAsia="宋体" w:cs="宋体"/>
          <w:color w:val="000000" w:themeColor="text1"/>
          <w:spacing w:val="6"/>
          <w:kern w:val="2"/>
          <w:sz w:val="24"/>
          <w:szCs w:val="24"/>
          <w:lang w:val="en-US" w:eastAsia="zh-CN" w:bidi="ar-SA"/>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CA签章</w:t>
      </w:r>
      <w:r>
        <w:rPr>
          <w:rFonts w:hint="eastAsia" w:ascii="宋体" w:hAnsi="宋体" w:eastAsia="宋体" w:cs="宋体"/>
          <w:color w:val="000000" w:themeColor="text1"/>
          <w:spacing w:val="6"/>
          <w:kern w:val="2"/>
          <w:sz w:val="24"/>
          <w:szCs w:val="24"/>
          <w:lang w:val="en-US" w:eastAsia="zh-CN" w:bidi="ar-SA"/>
          <w14:textFill>
            <w14:solidFill>
              <w14:schemeClr w14:val="tx1"/>
            </w14:solidFill>
          </w14:textFill>
        </w:rPr>
        <w:t>）：</w:t>
      </w:r>
    </w:p>
    <w:p>
      <w:pPr>
        <w:pStyle w:val="12"/>
        <w:ind w:firstLine="4032" w:firstLineChars="1600"/>
        <w:rPr>
          <w:rFonts w:hint="eastAsia" w:ascii="宋体" w:hAnsi="宋体" w:eastAsia="宋体" w:cs="宋体"/>
          <w:color w:val="000000" w:themeColor="text1"/>
          <w:spacing w:val="6"/>
          <w:sz w:val="24"/>
          <w:szCs w:val="24"/>
          <w14:textFill>
            <w14:solidFill>
              <w14:schemeClr w14:val="tx1"/>
            </w14:solidFill>
          </w14:textFill>
        </w:rPr>
      </w:pPr>
      <w:r>
        <w:rPr>
          <w:rFonts w:hint="eastAsia" w:ascii="宋体" w:hAnsi="宋体" w:eastAsia="宋体" w:cs="宋体"/>
          <w:color w:val="000000" w:themeColor="text1"/>
          <w:spacing w:val="6"/>
          <w:sz w:val="24"/>
          <w:szCs w:val="24"/>
          <w14:textFill>
            <w14:solidFill>
              <w14:schemeClr w14:val="tx1"/>
            </w14:solidFill>
          </w14:textFill>
        </w:rPr>
        <w:t>日    期：  年  月  日</w:t>
      </w:r>
    </w:p>
    <w:p>
      <w:pPr>
        <w:rPr>
          <w:rFonts w:hint="eastAsia" w:ascii="宋体" w:hAnsi="宋体" w:eastAsia="宋体" w:cs="宋体"/>
          <w:color w:val="000000" w:themeColor="text1"/>
          <w:spacing w:val="6"/>
          <w:sz w:val="24"/>
          <w:szCs w:val="24"/>
          <w14:textFill>
            <w14:solidFill>
              <w14:schemeClr w14:val="tx1"/>
            </w14:solidFill>
          </w14:textFill>
        </w:rPr>
      </w:pPr>
    </w:p>
    <w:p>
      <w:pPr>
        <w:pStyle w:val="9"/>
        <w:rPr>
          <w:rFonts w:hint="eastAsia" w:ascii="宋体" w:hAnsi="宋体" w:eastAsia="宋体" w:cs="宋体"/>
          <w:color w:val="000000" w:themeColor="text1"/>
          <w14:textFill>
            <w14:solidFill>
              <w14:schemeClr w14:val="tx1"/>
            </w14:solidFill>
          </w14:textFill>
        </w:rPr>
      </w:pPr>
    </w:p>
    <w:p>
      <w:pPr>
        <w:pStyle w:val="9"/>
        <w:rPr>
          <w:rFonts w:hint="eastAsia" w:ascii="宋体" w:hAnsi="宋体" w:eastAsia="宋体" w:cs="宋体"/>
          <w:color w:val="000000" w:themeColor="text1"/>
          <w14:textFill>
            <w14:solidFill>
              <w14:schemeClr w14:val="tx1"/>
            </w14:solidFill>
          </w14:textFill>
        </w:rPr>
      </w:pPr>
    </w:p>
    <w:p>
      <w:pPr>
        <w:pStyle w:val="9"/>
        <w:rPr>
          <w:rFonts w:hint="eastAsia" w:ascii="宋体" w:hAnsi="宋体" w:eastAsia="宋体" w:cs="宋体"/>
          <w:color w:val="000000" w:themeColor="text1"/>
          <w14:textFill>
            <w14:solidFill>
              <w14:schemeClr w14:val="tx1"/>
            </w14:solidFill>
          </w14:textFill>
        </w:rPr>
      </w:pPr>
    </w:p>
    <w:p>
      <w:pPr>
        <w:tabs>
          <w:tab w:val="left" w:pos="1305"/>
        </w:tabs>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注：</w:t>
      </w:r>
      <w:r>
        <w:rPr>
          <w:rFonts w:hint="eastAsia" w:ascii="宋体" w:hAnsi="宋体" w:eastAsia="宋体" w:cs="宋体"/>
          <w:b/>
          <w:color w:val="000000" w:themeColor="text1"/>
          <w:szCs w:val="21"/>
          <w14:textFill>
            <w14:solidFill>
              <w14:schemeClr w14:val="tx1"/>
            </w14:solidFill>
          </w14:textFill>
        </w:rPr>
        <w:t>中标、成交供应商为残疾人福利性单位的，采购人或者其委托的采购代理机构应当随中标、成交结果同时公告其《残疾人福利性单位声明函》，接受社会监督</w:t>
      </w:r>
      <w:r>
        <w:rPr>
          <w:rFonts w:hint="eastAsia" w:ascii="宋体" w:hAnsi="宋体" w:eastAsia="宋体" w:cs="宋体"/>
          <w:color w:val="000000" w:themeColor="text1"/>
          <w:sz w:val="24"/>
          <w14:textFill>
            <w14:solidFill>
              <w14:schemeClr w14:val="tx1"/>
            </w14:solidFill>
          </w14:textFill>
        </w:rPr>
        <w:t>。</w:t>
      </w:r>
    </w:p>
    <w:p>
      <w:pPr>
        <w:pStyle w:val="28"/>
        <w:rPr>
          <w:rFonts w:hint="eastAsia" w:ascii="宋体" w:hAnsi="宋体" w:eastAsia="宋体" w:cs="宋体"/>
          <w:b/>
          <w:bCs w:val="0"/>
          <w:color w:val="000000" w:themeColor="text1"/>
          <w:sz w:val="28"/>
          <w:szCs w:val="28"/>
          <w14:textFill>
            <w14:solidFill>
              <w14:schemeClr w14:val="tx1"/>
            </w14:solidFill>
          </w14:textFill>
        </w:rPr>
      </w:pPr>
    </w:p>
    <w:p>
      <w:pPr>
        <w:pStyle w:val="12"/>
        <w:numPr>
          <w:ilvl w:val="0"/>
          <w:numId w:val="0"/>
        </w:numPr>
        <w:spacing w:line="340" w:lineRule="exact"/>
        <w:ind w:leftChars="0"/>
        <w:rPr>
          <w:rFonts w:hint="eastAsia" w:ascii="宋体" w:hAnsi="宋体" w:eastAsia="宋体" w:cs="宋体"/>
          <w:b/>
          <w:bCs w:val="0"/>
          <w:color w:val="000000" w:themeColor="text1"/>
          <w:sz w:val="28"/>
          <w:szCs w:val="28"/>
          <w14:textFill>
            <w14:solidFill>
              <w14:schemeClr w14:val="tx1"/>
            </w14:solidFill>
          </w14:textFill>
        </w:rPr>
      </w:pPr>
      <w:r>
        <w:rPr>
          <w:rFonts w:hint="eastAsia" w:hAnsi="宋体" w:cs="宋体"/>
          <w:b/>
          <w:bCs w:val="0"/>
          <w:color w:val="000000" w:themeColor="text1"/>
          <w:sz w:val="28"/>
          <w:szCs w:val="28"/>
          <w:lang w:val="en-US" w:eastAsia="zh-CN"/>
          <w14:textFill>
            <w14:solidFill>
              <w14:schemeClr w14:val="tx1"/>
            </w14:solidFill>
          </w14:textFill>
        </w:rPr>
        <w:t>11</w:t>
      </w:r>
      <w:r>
        <w:rPr>
          <w:rFonts w:hint="eastAsia" w:ascii="宋体" w:hAnsi="宋体" w:eastAsia="宋体" w:cs="宋体"/>
          <w:b/>
          <w:bCs w:val="0"/>
          <w:color w:val="000000" w:themeColor="text1"/>
          <w:sz w:val="28"/>
          <w:szCs w:val="28"/>
          <w:lang w:val="en-US" w:eastAsia="zh-CN"/>
          <w14:textFill>
            <w14:solidFill>
              <w14:schemeClr w14:val="tx1"/>
            </w14:solidFill>
          </w14:textFill>
        </w:rPr>
        <w:t>.</w:t>
      </w:r>
      <w:r>
        <w:rPr>
          <w:rFonts w:hint="eastAsia" w:ascii="宋体" w:hAnsi="宋体" w:eastAsia="宋体" w:cs="宋体"/>
          <w:b/>
          <w:bCs w:val="0"/>
          <w:color w:val="000000" w:themeColor="text1"/>
          <w:sz w:val="28"/>
          <w:szCs w:val="28"/>
          <w14:textFill>
            <w14:solidFill>
              <w14:schemeClr w14:val="tx1"/>
            </w14:solidFill>
          </w14:textFill>
        </w:rPr>
        <w:t>供应商可结合本项目的评审办法视自身情况自行提交其它相关证明材料</w:t>
      </w:r>
      <w:r>
        <w:rPr>
          <w:rFonts w:hint="eastAsia" w:ascii="宋体" w:hAnsi="宋体" w:eastAsia="宋体" w:cs="宋体"/>
          <w:b/>
          <w:bCs w:val="0"/>
          <w:color w:val="000000" w:themeColor="text1"/>
          <w:sz w:val="28"/>
          <w:szCs w:val="28"/>
          <w:lang w:eastAsia="zh-CN"/>
          <w14:textFill>
            <w14:solidFill>
              <w14:schemeClr w14:val="tx1"/>
            </w14:solidFill>
          </w14:textFill>
        </w:rPr>
        <w:t>（</w:t>
      </w:r>
      <w:r>
        <w:rPr>
          <w:rFonts w:hint="eastAsia" w:ascii="宋体" w:hAnsi="宋体" w:eastAsia="宋体" w:cs="宋体"/>
          <w:b/>
          <w:bCs w:val="0"/>
          <w:color w:val="000000" w:themeColor="text1"/>
          <w:sz w:val="28"/>
          <w:szCs w:val="28"/>
          <w:lang w:val="en-US" w:eastAsia="zh-CN"/>
          <w14:textFill>
            <w14:solidFill>
              <w14:schemeClr w14:val="tx1"/>
            </w14:solidFill>
          </w14:textFill>
        </w:rPr>
        <w:t>如有，请提供</w:t>
      </w:r>
      <w:r>
        <w:rPr>
          <w:rFonts w:hint="eastAsia" w:ascii="宋体" w:hAnsi="宋体" w:eastAsia="宋体" w:cs="宋体"/>
          <w:b/>
          <w:bCs w:val="0"/>
          <w:color w:val="000000" w:themeColor="text1"/>
          <w:sz w:val="28"/>
          <w:szCs w:val="28"/>
          <w:lang w:eastAsia="zh-CN"/>
          <w14:textFill>
            <w14:solidFill>
              <w14:schemeClr w14:val="tx1"/>
            </w14:solidFill>
          </w14:textFill>
        </w:rPr>
        <w:t>）</w:t>
      </w:r>
      <w:r>
        <w:rPr>
          <w:rFonts w:hint="eastAsia" w:ascii="宋体" w:hAnsi="宋体" w:eastAsia="宋体" w:cs="宋体"/>
          <w:b/>
          <w:bCs w:val="0"/>
          <w:color w:val="000000" w:themeColor="text1"/>
          <w:sz w:val="28"/>
          <w:szCs w:val="28"/>
          <w14:textFill>
            <w14:solidFill>
              <w14:schemeClr w14:val="tx1"/>
            </w14:solidFill>
          </w14:textFill>
        </w:rPr>
        <w:t>。</w:t>
      </w:r>
      <w:r>
        <w:rPr>
          <w:rFonts w:hint="eastAsia" w:ascii="宋体" w:hAnsi="宋体" w:eastAsia="宋体" w:cs="宋体"/>
          <w:b/>
          <w:bCs w:val="0"/>
          <w:color w:val="000000" w:themeColor="text1"/>
          <w:sz w:val="28"/>
          <w:szCs w:val="28"/>
          <w:lang w:val="en-US" w:eastAsia="zh-CN"/>
          <w14:textFill>
            <w14:solidFill>
              <w14:schemeClr w14:val="tx1"/>
            </w14:solidFill>
          </w14:textFill>
        </w:rPr>
        <w:t xml:space="preserve">                  </w:t>
      </w:r>
    </w:p>
    <w:sectPr>
      <w:pgSz w:w="11906" w:h="16838"/>
      <w:pgMar w:top="1440" w:right="935" w:bottom="1440" w:left="77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0"/>
      </w:pBdr>
      <w:rPr>
        <w:rFonts w:hint="eastAsia"/>
      </w:rPr>
    </w:pPr>
  </w:p>
  <w:p>
    <w:pPr>
      <w:pStyle w:val="13"/>
    </w:pPr>
    <w:r>
      <w:rPr>
        <w:rFonts w:hint="eastAsia"/>
      </w:rPr>
      <w:t>桂林市政府集中采购中心                                                                                 竞争性磋商</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0"/>
      </w:pBdr>
      <w:tabs>
        <w:tab w:val="clear" w:pos="4153"/>
      </w:tabs>
      <w:jc w:val="center"/>
      <w:rPr>
        <w:rFonts w:hint="eastAsia"/>
      </w:rPr>
    </w:pPr>
  </w:p>
  <w:p>
    <w:pPr>
      <w:pStyle w:val="13"/>
    </w:pPr>
    <w:r>
      <w:rPr>
        <w:rFonts w:hint="eastAsia"/>
      </w:rPr>
      <w:t xml:space="preserve">桂林市政府集中采购中心                                                            </w:t>
    </w:r>
    <w:r>
      <w:rPr>
        <w:rFonts w:hint="eastAsia"/>
        <w:lang w:val="en-US" w:eastAsia="zh-CN"/>
      </w:rPr>
      <w:t xml:space="preserve">                     </w:t>
    </w:r>
    <w:r>
      <w:rPr>
        <w:rFonts w:hint="eastAsia"/>
      </w:rPr>
      <w:t>竞争性磋商</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0"/>
      </w:pBdr>
      <w:tabs>
        <w:tab w:val="clear" w:pos="4153"/>
      </w:tabs>
      <w:jc w:val="center"/>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- 3 -</w:t>
                    </w:r>
                    <w:r>
                      <w:fldChar w:fldCharType="end"/>
                    </w:r>
                  </w:p>
                </w:txbxContent>
              </v:textbox>
            </v:shape>
          </w:pict>
        </mc:Fallback>
      </mc:AlternateContent>
    </w:r>
  </w:p>
  <w:p>
    <w:pPr>
      <w:pStyle w:val="13"/>
    </w:pPr>
    <w:r>
      <w:rPr>
        <w:rFonts w:hint="eastAsia"/>
      </w:rPr>
      <w:t xml:space="preserve">桂林市政府集中采购中心                                                            </w:t>
    </w:r>
    <w:r>
      <w:rPr>
        <w:rFonts w:hint="eastAsia"/>
        <w:lang w:val="en-US" w:eastAsia="zh-CN"/>
      </w:rPr>
      <w:t xml:space="preserve">                     </w:t>
    </w:r>
    <w:r>
      <w:rPr>
        <w:rFonts w:hint="eastAsia"/>
      </w:rPr>
      <w:t>竞争性磋商</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eastAsia" w:eastAsia="宋体"/>
        <w:lang w:eastAsia="zh-CN"/>
      </w:rPr>
    </w:pPr>
    <w:r>
      <w:rPr>
        <w:rStyle w:val="31"/>
        <w:rFonts w:hint="eastAsia" w:ascii="宋体"/>
        <w:szCs w:val="21"/>
        <w:lang w:val="en-US" w:eastAsia="zh-CN"/>
      </w:rPr>
      <w:t xml:space="preserve">桂林市财政局信息化设备采购              </w:t>
    </w:r>
    <w:r>
      <w:rPr>
        <w:rFonts w:hint="eastAsia" w:ascii="宋体" w:hAnsi="宋体" w:eastAsia="宋体" w:cs="宋体"/>
        <w:sz w:val="18"/>
        <w:szCs w:val="18"/>
      </w:rPr>
      <w:t xml:space="preserve">    </w:t>
    </w:r>
    <w:r>
      <w:rPr>
        <w:rFonts w:hint="eastAsia" w:ascii="宋体" w:hAnsi="宋体" w:cs="宋体"/>
        <w:sz w:val="18"/>
        <w:szCs w:val="18"/>
        <w:lang w:val="en-US" w:eastAsia="zh-CN"/>
      </w:rPr>
      <w:t xml:space="preserve">        </w:t>
    </w:r>
    <w:r>
      <w:rPr>
        <w:rFonts w:hint="eastAsia" w:ascii="宋体" w:hAnsi="宋体" w:eastAsia="宋体" w:cs="宋体"/>
        <w:sz w:val="18"/>
        <w:szCs w:val="18"/>
      </w:rPr>
      <w:t xml:space="preserve">        </w:t>
    </w:r>
    <w:r>
      <w:rPr>
        <w:rFonts w:hint="eastAsia" w:ascii="宋体" w:hAnsi="宋体" w:cs="宋体"/>
        <w:sz w:val="18"/>
        <w:szCs w:val="18"/>
        <w:lang w:val="en-US" w:eastAsia="zh-CN"/>
      </w:rPr>
      <w:t xml:space="preserve">                              GLZC2024-C</w:t>
    </w:r>
    <w:r>
      <w:rPr>
        <w:rFonts w:hint="eastAsia" w:ascii="宋体" w:hAnsi="宋体" w:cs="宋体"/>
        <w:color w:val="000000" w:themeColor="text1"/>
        <w:sz w:val="18"/>
        <w:szCs w:val="18"/>
        <w:lang w:val="en-US" w:eastAsia="zh-CN"/>
        <w14:textFill>
          <w14:solidFill>
            <w14:schemeClr w14:val="tx1"/>
          </w14:solidFill>
        </w14:textFill>
      </w:rPr>
      <w:t>1-990012-</w:t>
    </w:r>
    <w:r>
      <w:rPr>
        <w:rFonts w:hint="eastAsia" w:ascii="宋体" w:hAnsi="宋体" w:cs="宋体"/>
        <w:sz w:val="18"/>
        <w:szCs w:val="18"/>
        <w:lang w:val="en-US" w:eastAsia="zh-CN"/>
      </w:rPr>
      <w:t>GLJC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pPr>
    <w:r>
      <w:rPr>
        <w:rStyle w:val="31"/>
        <w:rFonts w:hint="eastAsia" w:ascii="宋体"/>
        <w:szCs w:val="21"/>
        <w:lang w:val="en-US" w:eastAsia="zh-CN"/>
      </w:rPr>
      <w:t xml:space="preserve">桂林市财政局信息化设备采购               </w:t>
    </w:r>
    <w:r>
      <w:rPr>
        <w:rFonts w:hint="eastAsia" w:ascii="宋体" w:hAnsi="宋体" w:eastAsia="宋体" w:cs="宋体"/>
        <w:sz w:val="18"/>
        <w:szCs w:val="18"/>
      </w:rPr>
      <w:t xml:space="preserve">  </w:t>
    </w:r>
    <w:r>
      <w:rPr>
        <w:rFonts w:hint="eastAsia" w:ascii="宋体" w:hAnsi="宋体" w:cs="宋体"/>
        <w:sz w:val="18"/>
        <w:szCs w:val="18"/>
        <w:lang w:val="en-US" w:eastAsia="zh-CN"/>
      </w:rPr>
      <w:t xml:space="preserve">                                               GLZC2024-C1-</w:t>
    </w:r>
    <w:r>
      <w:rPr>
        <w:rFonts w:hint="eastAsia" w:ascii="宋体" w:hAnsi="宋体" w:cs="宋体"/>
        <w:color w:val="000000" w:themeColor="text1"/>
        <w:sz w:val="18"/>
        <w:szCs w:val="18"/>
        <w:lang w:val="en-US" w:eastAsia="zh-CN"/>
        <w14:textFill>
          <w14:solidFill>
            <w14:schemeClr w14:val="tx1"/>
          </w14:solidFill>
        </w14:textFill>
      </w:rPr>
      <w:t>990012-</w:t>
    </w:r>
    <w:r>
      <w:rPr>
        <w:rFonts w:hint="eastAsia" w:ascii="宋体" w:hAnsi="宋体" w:cs="宋体"/>
        <w:sz w:val="18"/>
        <w:szCs w:val="18"/>
        <w:lang w:val="en-US" w:eastAsia="zh-CN"/>
      </w:rPr>
      <w:t>GLJC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9D5501"/>
    <w:multiLevelType w:val="singleLevel"/>
    <w:tmpl w:val="8C9D5501"/>
    <w:lvl w:ilvl="0" w:tentative="0">
      <w:start w:val="2"/>
      <w:numFmt w:val="chineseCounting"/>
      <w:suff w:val="nothing"/>
      <w:lvlText w:val="%1、"/>
      <w:lvlJc w:val="left"/>
      <w:rPr>
        <w:rFonts w:hint="eastAsia"/>
      </w:rPr>
    </w:lvl>
  </w:abstractNum>
  <w:abstractNum w:abstractNumId="1">
    <w:nsid w:val="BB4CF58C"/>
    <w:multiLevelType w:val="singleLevel"/>
    <w:tmpl w:val="BB4CF58C"/>
    <w:lvl w:ilvl="0" w:tentative="0">
      <w:start w:val="2"/>
      <w:numFmt w:val="decimal"/>
      <w:suff w:val="nothing"/>
      <w:lvlText w:val="（%1）"/>
      <w:lvlJc w:val="left"/>
      <w:pPr>
        <w:ind w:left="210"/>
      </w:pPr>
    </w:lvl>
  </w:abstractNum>
  <w:abstractNum w:abstractNumId="2">
    <w:nsid w:val="E135A628"/>
    <w:multiLevelType w:val="singleLevel"/>
    <w:tmpl w:val="E135A628"/>
    <w:lvl w:ilvl="0" w:tentative="0">
      <w:start w:val="10"/>
      <w:numFmt w:val="chineseCounting"/>
      <w:suff w:val="space"/>
      <w:lvlText w:val="第%1条"/>
      <w:lvlJc w:val="left"/>
      <w:rPr>
        <w:rFonts w:hint="eastAsia"/>
      </w:rPr>
    </w:lvl>
  </w:abstractNum>
  <w:abstractNum w:abstractNumId="3">
    <w:nsid w:val="023DC6C4"/>
    <w:multiLevelType w:val="singleLevel"/>
    <w:tmpl w:val="023DC6C4"/>
    <w:lvl w:ilvl="0" w:tentative="0">
      <w:start w:val="4"/>
      <w:numFmt w:val="decimal"/>
      <w:suff w:val="nothing"/>
      <w:lvlText w:val="（%1）"/>
      <w:lvlJc w:val="left"/>
    </w:lvl>
  </w:abstractNum>
  <w:abstractNum w:abstractNumId="4">
    <w:nsid w:val="1FC16C3F"/>
    <w:multiLevelType w:val="multilevel"/>
    <w:tmpl w:val="1FC16C3F"/>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第%2节　"/>
      <w:lvlJc w:val="left"/>
      <w:pPr>
        <w:ind w:left="0" w:firstLine="402"/>
      </w:pPr>
      <w:rPr>
        <w:rFonts w:hint="eastAsia"/>
      </w:rPr>
    </w:lvl>
    <w:lvl w:ilvl="2" w:tentative="0">
      <w:start w:val="1"/>
      <w:numFmt w:val="chineseCounting"/>
      <w:suff w:val="nothing"/>
      <w:lvlText w:val="第%3条　"/>
      <w:lvlJc w:val="left"/>
      <w:pPr>
        <w:ind w:left="0" w:firstLine="402"/>
      </w:pPr>
      <w:rPr>
        <w:rFonts w:hint="eastAsia"/>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abstractNum w:abstractNumId="5">
    <w:nsid w:val="1FD97BE0"/>
    <w:multiLevelType w:val="singleLevel"/>
    <w:tmpl w:val="1FD97BE0"/>
    <w:lvl w:ilvl="0" w:tentative="0">
      <w:start w:val="1"/>
      <w:numFmt w:val="chineseCounting"/>
      <w:suff w:val="nothing"/>
      <w:lvlText w:val="（%1）"/>
      <w:lvlJc w:val="left"/>
      <w:rPr>
        <w:rFonts w:hint="eastAsia"/>
      </w:rPr>
    </w:lvl>
  </w:abstractNum>
  <w:abstractNum w:abstractNumId="6">
    <w:nsid w:val="2EBEB4BA"/>
    <w:multiLevelType w:val="singleLevel"/>
    <w:tmpl w:val="2EBEB4BA"/>
    <w:lvl w:ilvl="0" w:tentative="0">
      <w:start w:val="26"/>
      <w:numFmt w:val="decimal"/>
      <w:suff w:val="space"/>
      <w:lvlText w:val="%1."/>
      <w:lvlJc w:val="left"/>
    </w:lvl>
  </w:abstractNum>
  <w:abstractNum w:abstractNumId="7">
    <w:nsid w:val="4C2D75E3"/>
    <w:multiLevelType w:val="singleLevel"/>
    <w:tmpl w:val="4C2D75E3"/>
    <w:lvl w:ilvl="0" w:tentative="0">
      <w:start w:val="3"/>
      <w:numFmt w:val="decimal"/>
      <w:lvlText w:val="%1."/>
      <w:lvlJc w:val="left"/>
      <w:pPr>
        <w:tabs>
          <w:tab w:val="left" w:pos="312"/>
        </w:tabs>
      </w:pPr>
    </w:lvl>
  </w:abstractNum>
  <w:abstractNum w:abstractNumId="8">
    <w:nsid w:val="6AD43707"/>
    <w:multiLevelType w:val="singleLevel"/>
    <w:tmpl w:val="6AD43707"/>
    <w:lvl w:ilvl="0" w:tentative="0">
      <w:start w:val="5"/>
      <w:numFmt w:val="decimal"/>
      <w:suff w:val="space"/>
      <w:lvlText w:val="%1."/>
      <w:lvlJc w:val="left"/>
    </w:lvl>
  </w:abstractNum>
  <w:abstractNum w:abstractNumId="9">
    <w:nsid w:val="70CC130F"/>
    <w:multiLevelType w:val="singleLevel"/>
    <w:tmpl w:val="70CC130F"/>
    <w:lvl w:ilvl="0" w:tentative="0">
      <w:start w:val="6"/>
      <w:numFmt w:val="chineseCounting"/>
      <w:suff w:val="space"/>
      <w:lvlText w:val="第%1条"/>
      <w:lvlJc w:val="left"/>
      <w:rPr>
        <w:rFonts w:hint="eastAsia"/>
      </w:rPr>
    </w:lvl>
  </w:abstractNum>
  <w:num w:numId="1">
    <w:abstractNumId w:val="4"/>
  </w:num>
  <w:num w:numId="2">
    <w:abstractNumId w:val="7"/>
  </w:num>
  <w:num w:numId="3">
    <w:abstractNumId w:val="8"/>
  </w:num>
  <w:num w:numId="4">
    <w:abstractNumId w:val="3"/>
  </w:num>
  <w:num w:numId="5">
    <w:abstractNumId w:val="1"/>
  </w:num>
  <w:num w:numId="6">
    <w:abstractNumId w:val="6"/>
  </w:num>
  <w:num w:numId="7">
    <w:abstractNumId w:val="9"/>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4ODdkMDUzY2JiNzI4NmJkMGIzMWVhMTBjMTJkNDQifQ=="/>
  </w:docVars>
  <w:rsids>
    <w:rsidRoot w:val="00000000"/>
    <w:rsid w:val="0038106E"/>
    <w:rsid w:val="00903814"/>
    <w:rsid w:val="020E363A"/>
    <w:rsid w:val="0224337A"/>
    <w:rsid w:val="02274EC8"/>
    <w:rsid w:val="024D5C0C"/>
    <w:rsid w:val="0252345C"/>
    <w:rsid w:val="02866093"/>
    <w:rsid w:val="029C6784"/>
    <w:rsid w:val="02B95509"/>
    <w:rsid w:val="032966F9"/>
    <w:rsid w:val="035C7340"/>
    <w:rsid w:val="038101A1"/>
    <w:rsid w:val="04460AFF"/>
    <w:rsid w:val="047F69E4"/>
    <w:rsid w:val="0498297B"/>
    <w:rsid w:val="04AF4A4A"/>
    <w:rsid w:val="051031AE"/>
    <w:rsid w:val="05257DE5"/>
    <w:rsid w:val="052F4F1D"/>
    <w:rsid w:val="0550527C"/>
    <w:rsid w:val="058074ED"/>
    <w:rsid w:val="05B96686"/>
    <w:rsid w:val="065000D1"/>
    <w:rsid w:val="065F71BB"/>
    <w:rsid w:val="068636B9"/>
    <w:rsid w:val="068B011B"/>
    <w:rsid w:val="068B196B"/>
    <w:rsid w:val="06C947A0"/>
    <w:rsid w:val="07A51A78"/>
    <w:rsid w:val="07BB65B7"/>
    <w:rsid w:val="07BF7C4C"/>
    <w:rsid w:val="07FB2D03"/>
    <w:rsid w:val="0805367D"/>
    <w:rsid w:val="083C2E5C"/>
    <w:rsid w:val="08FF26FB"/>
    <w:rsid w:val="09412ED3"/>
    <w:rsid w:val="09920978"/>
    <w:rsid w:val="09F72786"/>
    <w:rsid w:val="0A3D5E89"/>
    <w:rsid w:val="0A6850D7"/>
    <w:rsid w:val="0A777BA7"/>
    <w:rsid w:val="0AC35DB8"/>
    <w:rsid w:val="0AE04854"/>
    <w:rsid w:val="0B3052A0"/>
    <w:rsid w:val="0B502266"/>
    <w:rsid w:val="0C0C1FF2"/>
    <w:rsid w:val="0C11369C"/>
    <w:rsid w:val="0C7051CE"/>
    <w:rsid w:val="0C951A65"/>
    <w:rsid w:val="0DAE302F"/>
    <w:rsid w:val="0DE214F3"/>
    <w:rsid w:val="0E924082"/>
    <w:rsid w:val="0ED26D72"/>
    <w:rsid w:val="0F6E7120"/>
    <w:rsid w:val="0F78715E"/>
    <w:rsid w:val="0FCD34F4"/>
    <w:rsid w:val="0FEC6EA7"/>
    <w:rsid w:val="10166A85"/>
    <w:rsid w:val="105937BE"/>
    <w:rsid w:val="106E343D"/>
    <w:rsid w:val="109D268E"/>
    <w:rsid w:val="10D07166"/>
    <w:rsid w:val="110660A6"/>
    <w:rsid w:val="113A2EF5"/>
    <w:rsid w:val="11626E62"/>
    <w:rsid w:val="11A96EF0"/>
    <w:rsid w:val="120B200F"/>
    <w:rsid w:val="12D55870"/>
    <w:rsid w:val="13A23753"/>
    <w:rsid w:val="13A4011C"/>
    <w:rsid w:val="13B81064"/>
    <w:rsid w:val="13DC62BF"/>
    <w:rsid w:val="140B707A"/>
    <w:rsid w:val="14611EB8"/>
    <w:rsid w:val="14AD3BD1"/>
    <w:rsid w:val="14B52807"/>
    <w:rsid w:val="15205A8A"/>
    <w:rsid w:val="157B6F31"/>
    <w:rsid w:val="15982B8F"/>
    <w:rsid w:val="15FE4C49"/>
    <w:rsid w:val="1642631D"/>
    <w:rsid w:val="171514C9"/>
    <w:rsid w:val="17403903"/>
    <w:rsid w:val="17440211"/>
    <w:rsid w:val="17B61704"/>
    <w:rsid w:val="17CE60BA"/>
    <w:rsid w:val="18074343"/>
    <w:rsid w:val="18343682"/>
    <w:rsid w:val="184F13F4"/>
    <w:rsid w:val="190D676E"/>
    <w:rsid w:val="19A31B3A"/>
    <w:rsid w:val="19BD54DA"/>
    <w:rsid w:val="19D810CA"/>
    <w:rsid w:val="1A3441CE"/>
    <w:rsid w:val="1A41745E"/>
    <w:rsid w:val="1A44675F"/>
    <w:rsid w:val="1A950679"/>
    <w:rsid w:val="1AA754C7"/>
    <w:rsid w:val="1AE6371B"/>
    <w:rsid w:val="1B2D50FE"/>
    <w:rsid w:val="1B6E27DE"/>
    <w:rsid w:val="1B920D2B"/>
    <w:rsid w:val="1C0A58DD"/>
    <w:rsid w:val="1C17120D"/>
    <w:rsid w:val="1C270FD9"/>
    <w:rsid w:val="1C3B1024"/>
    <w:rsid w:val="1CE840F9"/>
    <w:rsid w:val="1DE459BA"/>
    <w:rsid w:val="1DE8730F"/>
    <w:rsid w:val="1E0421F0"/>
    <w:rsid w:val="1E19797C"/>
    <w:rsid w:val="1E436026"/>
    <w:rsid w:val="1EB70BE6"/>
    <w:rsid w:val="1EC266AA"/>
    <w:rsid w:val="1F282554"/>
    <w:rsid w:val="1F2D74BD"/>
    <w:rsid w:val="1F69491A"/>
    <w:rsid w:val="1FE74446"/>
    <w:rsid w:val="200851A0"/>
    <w:rsid w:val="20294B4B"/>
    <w:rsid w:val="2151162A"/>
    <w:rsid w:val="21986DD2"/>
    <w:rsid w:val="21C6107F"/>
    <w:rsid w:val="21CE6CB6"/>
    <w:rsid w:val="21EB5FD7"/>
    <w:rsid w:val="22017EBE"/>
    <w:rsid w:val="22967391"/>
    <w:rsid w:val="2297360E"/>
    <w:rsid w:val="235739A4"/>
    <w:rsid w:val="23EA3FDD"/>
    <w:rsid w:val="24197BAD"/>
    <w:rsid w:val="244A1793"/>
    <w:rsid w:val="24892316"/>
    <w:rsid w:val="24EE04D3"/>
    <w:rsid w:val="24FE39C0"/>
    <w:rsid w:val="25094B66"/>
    <w:rsid w:val="25EA654B"/>
    <w:rsid w:val="26216436"/>
    <w:rsid w:val="267A66BE"/>
    <w:rsid w:val="26A4796D"/>
    <w:rsid w:val="26A733DA"/>
    <w:rsid w:val="26B87162"/>
    <w:rsid w:val="26F26402"/>
    <w:rsid w:val="26FB546F"/>
    <w:rsid w:val="27014FFB"/>
    <w:rsid w:val="275E4CDC"/>
    <w:rsid w:val="27604BF7"/>
    <w:rsid w:val="27A36740"/>
    <w:rsid w:val="280E4CD1"/>
    <w:rsid w:val="28101DD7"/>
    <w:rsid w:val="28E61253"/>
    <w:rsid w:val="298E37DF"/>
    <w:rsid w:val="29CE6F47"/>
    <w:rsid w:val="29D3126A"/>
    <w:rsid w:val="2AA409A1"/>
    <w:rsid w:val="2B5C2B97"/>
    <w:rsid w:val="2B6F7E5F"/>
    <w:rsid w:val="2B7D3B09"/>
    <w:rsid w:val="2B8054C5"/>
    <w:rsid w:val="2B9A06FE"/>
    <w:rsid w:val="2BB81F91"/>
    <w:rsid w:val="2C3167C0"/>
    <w:rsid w:val="2C5A4D14"/>
    <w:rsid w:val="2CC45114"/>
    <w:rsid w:val="2CDE7ECC"/>
    <w:rsid w:val="2CE400DF"/>
    <w:rsid w:val="2D1C1E3C"/>
    <w:rsid w:val="2DD64497"/>
    <w:rsid w:val="2E1F3A5D"/>
    <w:rsid w:val="2E67352D"/>
    <w:rsid w:val="2ED329E3"/>
    <w:rsid w:val="2EE1185A"/>
    <w:rsid w:val="2EE30245"/>
    <w:rsid w:val="2EF6629B"/>
    <w:rsid w:val="2FB344DB"/>
    <w:rsid w:val="2FDD2EE6"/>
    <w:rsid w:val="300E353A"/>
    <w:rsid w:val="3016766A"/>
    <w:rsid w:val="30340E45"/>
    <w:rsid w:val="30657369"/>
    <w:rsid w:val="30E26D0E"/>
    <w:rsid w:val="315B7027"/>
    <w:rsid w:val="31924927"/>
    <w:rsid w:val="3212228C"/>
    <w:rsid w:val="321B74B6"/>
    <w:rsid w:val="32AD3C84"/>
    <w:rsid w:val="32BA46FC"/>
    <w:rsid w:val="330A6C9A"/>
    <w:rsid w:val="33244988"/>
    <w:rsid w:val="33262E35"/>
    <w:rsid w:val="335B02C0"/>
    <w:rsid w:val="337A3E72"/>
    <w:rsid w:val="33813759"/>
    <w:rsid w:val="33A1148D"/>
    <w:rsid w:val="33D75E9F"/>
    <w:rsid w:val="340700C4"/>
    <w:rsid w:val="34177296"/>
    <w:rsid w:val="34577303"/>
    <w:rsid w:val="349F41D7"/>
    <w:rsid w:val="34D91F81"/>
    <w:rsid w:val="34E262CE"/>
    <w:rsid w:val="34EC6639"/>
    <w:rsid w:val="354B5DA7"/>
    <w:rsid w:val="359335C4"/>
    <w:rsid w:val="35A16764"/>
    <w:rsid w:val="35E35C00"/>
    <w:rsid w:val="36437DBE"/>
    <w:rsid w:val="375B3169"/>
    <w:rsid w:val="37642B96"/>
    <w:rsid w:val="37F214F9"/>
    <w:rsid w:val="384A30E3"/>
    <w:rsid w:val="3A2157C4"/>
    <w:rsid w:val="3A314172"/>
    <w:rsid w:val="3B014763"/>
    <w:rsid w:val="3B721655"/>
    <w:rsid w:val="3BDD1DFD"/>
    <w:rsid w:val="3BE8317C"/>
    <w:rsid w:val="3C065AB0"/>
    <w:rsid w:val="3C9B5F2D"/>
    <w:rsid w:val="3D2C261C"/>
    <w:rsid w:val="3D372EDB"/>
    <w:rsid w:val="3D39279F"/>
    <w:rsid w:val="3DA739E5"/>
    <w:rsid w:val="3E4C333F"/>
    <w:rsid w:val="3E6E4482"/>
    <w:rsid w:val="3E7516A8"/>
    <w:rsid w:val="3E7871ED"/>
    <w:rsid w:val="3EB90BD2"/>
    <w:rsid w:val="3ECC7453"/>
    <w:rsid w:val="3F19380F"/>
    <w:rsid w:val="3F1E6B5B"/>
    <w:rsid w:val="3FCE46ED"/>
    <w:rsid w:val="40311D48"/>
    <w:rsid w:val="40466C10"/>
    <w:rsid w:val="40BF57BD"/>
    <w:rsid w:val="40D45C40"/>
    <w:rsid w:val="40D55123"/>
    <w:rsid w:val="4178326D"/>
    <w:rsid w:val="41EB0411"/>
    <w:rsid w:val="41FE497E"/>
    <w:rsid w:val="42141682"/>
    <w:rsid w:val="4230353B"/>
    <w:rsid w:val="42504D29"/>
    <w:rsid w:val="42A2493F"/>
    <w:rsid w:val="42D36BBC"/>
    <w:rsid w:val="4355505C"/>
    <w:rsid w:val="4355758E"/>
    <w:rsid w:val="439344F6"/>
    <w:rsid w:val="444F59BE"/>
    <w:rsid w:val="44AF5CA8"/>
    <w:rsid w:val="44FC0326"/>
    <w:rsid w:val="4504387E"/>
    <w:rsid w:val="45210378"/>
    <w:rsid w:val="452E39A0"/>
    <w:rsid w:val="45617D73"/>
    <w:rsid w:val="45D20F7D"/>
    <w:rsid w:val="46E220A2"/>
    <w:rsid w:val="47394ED5"/>
    <w:rsid w:val="47656EE4"/>
    <w:rsid w:val="47821E24"/>
    <w:rsid w:val="47827898"/>
    <w:rsid w:val="47AE5AD7"/>
    <w:rsid w:val="47CC1C33"/>
    <w:rsid w:val="4822043E"/>
    <w:rsid w:val="48BB7B3B"/>
    <w:rsid w:val="49212360"/>
    <w:rsid w:val="49387656"/>
    <w:rsid w:val="49460AF4"/>
    <w:rsid w:val="4A3122D3"/>
    <w:rsid w:val="4A490F74"/>
    <w:rsid w:val="4A60650B"/>
    <w:rsid w:val="4AEB7B1B"/>
    <w:rsid w:val="4AF12F4F"/>
    <w:rsid w:val="4B307FA1"/>
    <w:rsid w:val="4B366095"/>
    <w:rsid w:val="4BD90EFA"/>
    <w:rsid w:val="4C29151C"/>
    <w:rsid w:val="4CDD3BBC"/>
    <w:rsid w:val="4D085C18"/>
    <w:rsid w:val="4D8E4216"/>
    <w:rsid w:val="4D974DBA"/>
    <w:rsid w:val="4E0C3478"/>
    <w:rsid w:val="4E3522B2"/>
    <w:rsid w:val="4E3F5A59"/>
    <w:rsid w:val="4EC8490A"/>
    <w:rsid w:val="4EDB660C"/>
    <w:rsid w:val="4F021016"/>
    <w:rsid w:val="4F6C5E3F"/>
    <w:rsid w:val="500B1FA1"/>
    <w:rsid w:val="5012408F"/>
    <w:rsid w:val="502B74B0"/>
    <w:rsid w:val="509F4547"/>
    <w:rsid w:val="50E95CEA"/>
    <w:rsid w:val="519304D5"/>
    <w:rsid w:val="51B0175F"/>
    <w:rsid w:val="525D67AD"/>
    <w:rsid w:val="525E35BB"/>
    <w:rsid w:val="52B31759"/>
    <w:rsid w:val="53514ECE"/>
    <w:rsid w:val="537C30CF"/>
    <w:rsid w:val="53DD51E9"/>
    <w:rsid w:val="54A54BF1"/>
    <w:rsid w:val="5546698A"/>
    <w:rsid w:val="55501408"/>
    <w:rsid w:val="555B2586"/>
    <w:rsid w:val="55645834"/>
    <w:rsid w:val="558A20A7"/>
    <w:rsid w:val="56570A4D"/>
    <w:rsid w:val="56593110"/>
    <w:rsid w:val="569D2CBD"/>
    <w:rsid w:val="56DF4B67"/>
    <w:rsid w:val="571406EC"/>
    <w:rsid w:val="57205A7F"/>
    <w:rsid w:val="57225ADB"/>
    <w:rsid w:val="575E5568"/>
    <w:rsid w:val="57B70908"/>
    <w:rsid w:val="58160AC9"/>
    <w:rsid w:val="582A642F"/>
    <w:rsid w:val="583C439E"/>
    <w:rsid w:val="586B5D0F"/>
    <w:rsid w:val="586E28DA"/>
    <w:rsid w:val="58A324E0"/>
    <w:rsid w:val="58DB5A41"/>
    <w:rsid w:val="597B37D5"/>
    <w:rsid w:val="597E04E1"/>
    <w:rsid w:val="59D17B61"/>
    <w:rsid w:val="5A647BDD"/>
    <w:rsid w:val="5A8D0ED4"/>
    <w:rsid w:val="5B0930EC"/>
    <w:rsid w:val="5B345801"/>
    <w:rsid w:val="5B884C1A"/>
    <w:rsid w:val="5BA37FCD"/>
    <w:rsid w:val="5C0F1DCA"/>
    <w:rsid w:val="5C2E04A2"/>
    <w:rsid w:val="5C877BB2"/>
    <w:rsid w:val="5CE63C1F"/>
    <w:rsid w:val="5D0471A9"/>
    <w:rsid w:val="5D6D4FFA"/>
    <w:rsid w:val="5D8B1A2B"/>
    <w:rsid w:val="5D8F2D46"/>
    <w:rsid w:val="5D9343AB"/>
    <w:rsid w:val="5DD8542A"/>
    <w:rsid w:val="5DDC19BB"/>
    <w:rsid w:val="5E2A55C9"/>
    <w:rsid w:val="5E4A470D"/>
    <w:rsid w:val="5EA81AA8"/>
    <w:rsid w:val="5EB13608"/>
    <w:rsid w:val="5EBA426F"/>
    <w:rsid w:val="5F637828"/>
    <w:rsid w:val="5F7151D7"/>
    <w:rsid w:val="605A7A0D"/>
    <w:rsid w:val="60883EF9"/>
    <w:rsid w:val="60995A69"/>
    <w:rsid w:val="60BD29B7"/>
    <w:rsid w:val="60C717AC"/>
    <w:rsid w:val="618B1EF3"/>
    <w:rsid w:val="618D2FE2"/>
    <w:rsid w:val="61965795"/>
    <w:rsid w:val="61CA7DC6"/>
    <w:rsid w:val="61E80CA5"/>
    <w:rsid w:val="625258BC"/>
    <w:rsid w:val="62CF07CF"/>
    <w:rsid w:val="62F5481E"/>
    <w:rsid w:val="63941768"/>
    <w:rsid w:val="640D5D77"/>
    <w:rsid w:val="640E34C8"/>
    <w:rsid w:val="640E51FE"/>
    <w:rsid w:val="6459748D"/>
    <w:rsid w:val="646175AD"/>
    <w:rsid w:val="64CD25D3"/>
    <w:rsid w:val="65195015"/>
    <w:rsid w:val="6535605D"/>
    <w:rsid w:val="65615763"/>
    <w:rsid w:val="656E1A01"/>
    <w:rsid w:val="65C91FCA"/>
    <w:rsid w:val="65DB702E"/>
    <w:rsid w:val="6631740F"/>
    <w:rsid w:val="667D1BEE"/>
    <w:rsid w:val="66A31A6E"/>
    <w:rsid w:val="66E67D6F"/>
    <w:rsid w:val="6704672F"/>
    <w:rsid w:val="673530ED"/>
    <w:rsid w:val="67FB37FB"/>
    <w:rsid w:val="68007DCB"/>
    <w:rsid w:val="680476C3"/>
    <w:rsid w:val="689217F7"/>
    <w:rsid w:val="690A0C77"/>
    <w:rsid w:val="690F14C9"/>
    <w:rsid w:val="69EC334B"/>
    <w:rsid w:val="6A31770E"/>
    <w:rsid w:val="6B0D5581"/>
    <w:rsid w:val="6B2D5DC9"/>
    <w:rsid w:val="6BB3513A"/>
    <w:rsid w:val="6BB438E6"/>
    <w:rsid w:val="6BDB0B98"/>
    <w:rsid w:val="6BE175EE"/>
    <w:rsid w:val="6BE26BB3"/>
    <w:rsid w:val="6C9C7F3A"/>
    <w:rsid w:val="6CE35466"/>
    <w:rsid w:val="6D18288B"/>
    <w:rsid w:val="6E0F6C5C"/>
    <w:rsid w:val="6E182A45"/>
    <w:rsid w:val="6E6B4DAF"/>
    <w:rsid w:val="6E9D68C6"/>
    <w:rsid w:val="6EFE5FC0"/>
    <w:rsid w:val="700A66D9"/>
    <w:rsid w:val="70781894"/>
    <w:rsid w:val="70DB79BE"/>
    <w:rsid w:val="70EF0AA9"/>
    <w:rsid w:val="71A15E84"/>
    <w:rsid w:val="71CF2AD2"/>
    <w:rsid w:val="726F7E37"/>
    <w:rsid w:val="72D2244A"/>
    <w:rsid w:val="72D2272D"/>
    <w:rsid w:val="737D3F28"/>
    <w:rsid w:val="73A500A2"/>
    <w:rsid w:val="73A625D0"/>
    <w:rsid w:val="73C60B68"/>
    <w:rsid w:val="742319A8"/>
    <w:rsid w:val="742C0DE7"/>
    <w:rsid w:val="74361FBE"/>
    <w:rsid w:val="75183A02"/>
    <w:rsid w:val="75380C87"/>
    <w:rsid w:val="762D4ECF"/>
    <w:rsid w:val="765A75DE"/>
    <w:rsid w:val="76665AF9"/>
    <w:rsid w:val="767C33B3"/>
    <w:rsid w:val="76CB5365"/>
    <w:rsid w:val="77212492"/>
    <w:rsid w:val="77227752"/>
    <w:rsid w:val="77640DC4"/>
    <w:rsid w:val="77FE0638"/>
    <w:rsid w:val="78B5004F"/>
    <w:rsid w:val="79073D34"/>
    <w:rsid w:val="79091C23"/>
    <w:rsid w:val="795124B3"/>
    <w:rsid w:val="796F302B"/>
    <w:rsid w:val="79AA0D57"/>
    <w:rsid w:val="79C405E2"/>
    <w:rsid w:val="7A85352B"/>
    <w:rsid w:val="7A867083"/>
    <w:rsid w:val="7AA716F4"/>
    <w:rsid w:val="7AD7263A"/>
    <w:rsid w:val="7ADA3B03"/>
    <w:rsid w:val="7AF11FF0"/>
    <w:rsid w:val="7B9B1896"/>
    <w:rsid w:val="7BC538FC"/>
    <w:rsid w:val="7BC933EB"/>
    <w:rsid w:val="7C007C10"/>
    <w:rsid w:val="7C0F2D6B"/>
    <w:rsid w:val="7C1B0B4C"/>
    <w:rsid w:val="7C39225B"/>
    <w:rsid w:val="7CE14795"/>
    <w:rsid w:val="7D90528E"/>
    <w:rsid w:val="7D9718A2"/>
    <w:rsid w:val="7DC44AEB"/>
    <w:rsid w:val="7DD06FB5"/>
    <w:rsid w:val="7DFB1747"/>
    <w:rsid w:val="7E130E76"/>
    <w:rsid w:val="7EAB552B"/>
    <w:rsid w:val="7EDE3F0C"/>
    <w:rsid w:val="7F9E3ADD"/>
    <w:rsid w:val="7FA62B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qFormat="1" w:uiPriority="99"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tabs>
        <w:tab w:val="left" w:pos="567"/>
      </w:tabs>
      <w:spacing w:line="360" w:lineRule="auto"/>
      <w:ind w:left="567" w:hanging="567"/>
      <w:outlineLvl w:val="1"/>
    </w:pPr>
    <w:rPr>
      <w:rFonts w:ascii="Arial" w:hAnsi="Arial"/>
      <w:bCs/>
      <w:color w:val="000000"/>
      <w:sz w:val="28"/>
      <w:szCs w:val="32"/>
      <w:lang w:val="pt-BR"/>
    </w:rPr>
  </w:style>
  <w:style w:type="paragraph" w:styleId="5">
    <w:name w:val="heading 3"/>
    <w:basedOn w:val="1"/>
    <w:next w:val="1"/>
    <w:link w:val="30"/>
    <w:qFormat/>
    <w:uiPriority w:val="0"/>
    <w:pPr>
      <w:keepNext/>
      <w:keepLines/>
      <w:spacing w:before="260" w:beforeLines="0" w:beforeAutospacing="0" w:after="260" w:afterLines="0" w:afterAutospacing="0" w:line="240" w:lineRule="auto"/>
      <w:outlineLvl w:val="2"/>
    </w:pPr>
    <w:rPr>
      <w:rFonts w:ascii="Calibri" w:hAnsi="Calibri" w:eastAsia="宋体"/>
      <w:b/>
      <w:sz w:val="32"/>
    </w:rPr>
  </w:style>
  <w:style w:type="paragraph" w:styleId="6">
    <w:name w:val="heading 4"/>
    <w:basedOn w:val="1"/>
    <w:next w:val="1"/>
    <w:qFormat/>
    <w:uiPriority w:val="0"/>
    <w:pPr>
      <w:keepNext/>
      <w:spacing w:before="240" w:after="60"/>
      <w:outlineLvl w:val="3"/>
    </w:pPr>
    <w:rPr>
      <w:b/>
      <w:bCs/>
      <w:sz w:val="28"/>
      <w:szCs w:val="28"/>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宋体" w:cs="Times New Roman"/>
      <w:szCs w:val="20"/>
    </w:rPr>
  </w:style>
  <w:style w:type="paragraph" w:styleId="7">
    <w:name w:val="index 8"/>
    <w:basedOn w:val="1"/>
    <w:next w:val="1"/>
    <w:qFormat/>
    <w:uiPriority w:val="0"/>
    <w:pPr>
      <w:ind w:left="2940"/>
    </w:pPr>
  </w:style>
  <w:style w:type="paragraph" w:styleId="8">
    <w:name w:val="annotation text"/>
    <w:basedOn w:val="1"/>
    <w:qFormat/>
    <w:uiPriority w:val="0"/>
    <w:pPr>
      <w:jc w:val="left"/>
    </w:pPr>
  </w:style>
  <w:style w:type="paragraph" w:styleId="9">
    <w:name w:val="Body Text"/>
    <w:basedOn w:val="1"/>
    <w:next w:val="1"/>
    <w:qFormat/>
    <w:uiPriority w:val="0"/>
  </w:style>
  <w:style w:type="paragraph" w:styleId="10">
    <w:name w:val="Body Text Indent"/>
    <w:basedOn w:val="1"/>
    <w:qFormat/>
    <w:uiPriority w:val="0"/>
    <w:pPr>
      <w:spacing w:after="120"/>
      <w:ind w:left="420" w:leftChars="200"/>
    </w:pPr>
  </w:style>
  <w:style w:type="paragraph" w:styleId="11">
    <w:name w:val="toc 3"/>
    <w:basedOn w:val="1"/>
    <w:next w:val="1"/>
    <w:unhideWhenUsed/>
    <w:qFormat/>
    <w:uiPriority w:val="39"/>
    <w:pPr>
      <w:ind w:left="840" w:leftChars="400"/>
    </w:pPr>
  </w:style>
  <w:style w:type="paragraph" w:styleId="12">
    <w:name w:val="Plain Text"/>
    <w:basedOn w:val="1"/>
    <w:next w:val="7"/>
    <w:qFormat/>
    <w:uiPriority w:val="99"/>
    <w:rPr>
      <w:rFonts w:ascii="宋体" w:hAnsi="Courier New"/>
      <w:szCs w:val="20"/>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style>
  <w:style w:type="paragraph" w:styleId="16">
    <w:name w:val="toc 2"/>
    <w:basedOn w:val="1"/>
    <w:next w:val="1"/>
    <w:unhideWhenUsed/>
    <w:qFormat/>
    <w:uiPriority w:val="39"/>
    <w:pPr>
      <w:ind w:left="420" w:leftChars="200"/>
    </w:pPr>
  </w:style>
  <w:style w:type="paragraph" w:styleId="17">
    <w:name w:val="List 4"/>
    <w:basedOn w:val="1"/>
    <w:unhideWhenUsed/>
    <w:qFormat/>
    <w:uiPriority w:val="99"/>
    <w:pPr>
      <w:ind w:left="100" w:leftChars="600" w:hanging="200" w:hangingChars="200"/>
      <w:contextualSpacing/>
    </w:p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9">
    <w:name w:val="index 1"/>
    <w:basedOn w:val="1"/>
    <w:next w:val="1"/>
    <w:unhideWhenUsed/>
    <w:qFormat/>
    <w:uiPriority w:val="99"/>
    <w:rPr>
      <w:szCs w:val="21"/>
    </w:rPr>
  </w:style>
  <w:style w:type="paragraph" w:styleId="20">
    <w:name w:val="Body Text First Indent 2"/>
    <w:basedOn w:val="10"/>
    <w:unhideWhenUsed/>
    <w:qFormat/>
    <w:uiPriority w:val="99"/>
    <w:pPr>
      <w:ind w:firstLine="420" w:firstLineChars="200"/>
    </w:pPr>
  </w:style>
  <w:style w:type="table" w:styleId="22">
    <w:name w:val="Table Grid"/>
    <w:basedOn w:val="2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Emphasis"/>
    <w:basedOn w:val="23"/>
    <w:qFormat/>
    <w:uiPriority w:val="0"/>
    <w:rPr>
      <w:i/>
    </w:rPr>
  </w:style>
  <w:style w:type="character" w:styleId="25">
    <w:name w:val="annotation reference"/>
    <w:semiHidden/>
    <w:qFormat/>
    <w:uiPriority w:val="0"/>
    <w:rPr>
      <w:rFonts w:ascii="Tahoma" w:hAnsi="Tahoma"/>
      <w:sz w:val="21"/>
      <w:szCs w:val="21"/>
    </w:rPr>
  </w:style>
  <w:style w:type="paragraph" w:customStyle="1" w:styleId="26">
    <w:name w:val="BodyText"/>
    <w:basedOn w:val="1"/>
    <w:next w:val="1"/>
    <w:qFormat/>
    <w:uiPriority w:val="0"/>
    <w:pPr>
      <w:spacing w:line="380" w:lineRule="exact"/>
    </w:pPr>
    <w:rPr>
      <w:sz w:val="24"/>
    </w:rPr>
  </w:style>
  <w:style w:type="paragraph" w:customStyle="1" w:styleId="27">
    <w:name w:val="footer1"/>
    <w:basedOn w:val="1"/>
    <w:qFormat/>
    <w:uiPriority w:val="0"/>
    <w:pPr>
      <w:tabs>
        <w:tab w:val="center" w:pos="4153"/>
        <w:tab w:val="right" w:pos="8306"/>
      </w:tabs>
      <w:snapToGrid w:val="0"/>
      <w:jc w:val="left"/>
    </w:pPr>
    <w:rPr>
      <w:rFonts w:ascii="Calibri" w:hAnsi="Calibri"/>
      <w:sz w:val="18"/>
    </w:rPr>
  </w:style>
  <w:style w:type="paragraph" w:customStyle="1" w:styleId="28">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29">
    <w:name w:val="List Paragraph"/>
    <w:basedOn w:val="1"/>
    <w:qFormat/>
    <w:uiPriority w:val="99"/>
    <w:pPr>
      <w:ind w:firstLine="420" w:firstLineChars="200"/>
    </w:pPr>
    <w:rPr>
      <w:rFonts w:ascii="Times New Roman" w:hAnsi="Times New Roman"/>
    </w:rPr>
  </w:style>
  <w:style w:type="character" w:customStyle="1" w:styleId="30">
    <w:name w:val="标题 3 字符"/>
    <w:link w:val="5"/>
    <w:qFormat/>
    <w:uiPriority w:val="0"/>
    <w:rPr>
      <w:rFonts w:ascii="Calibri" w:hAnsi="Calibri" w:eastAsia="宋体"/>
      <w:b/>
      <w:sz w:val="32"/>
    </w:rPr>
  </w:style>
  <w:style w:type="character" w:customStyle="1" w:styleId="31">
    <w:name w:val="NormalCharacter"/>
    <w:qFormat/>
    <w:uiPriority w:val="0"/>
  </w:style>
  <w:style w:type="character" w:customStyle="1" w:styleId="32">
    <w:name w:val="font41"/>
    <w:basedOn w:val="23"/>
    <w:qFormat/>
    <w:uiPriority w:val="0"/>
    <w:rPr>
      <w:rFonts w:hint="eastAsia" w:ascii="宋体" w:hAnsi="宋体" w:eastAsia="宋体" w:cs="宋体"/>
      <w:color w:val="FF0000"/>
      <w:sz w:val="24"/>
      <w:szCs w:val="24"/>
      <w:u w:val="none"/>
    </w:rPr>
  </w:style>
  <w:style w:type="character" w:customStyle="1" w:styleId="33">
    <w:name w:val="font31"/>
    <w:basedOn w:val="23"/>
    <w:qFormat/>
    <w:uiPriority w:val="0"/>
    <w:rPr>
      <w:rFonts w:ascii="Calibri" w:hAnsi="Calibri" w:cs="Calibri"/>
      <w:color w:val="000000"/>
      <w:sz w:val="18"/>
      <w:szCs w:val="18"/>
      <w:u w:val="none"/>
    </w:rPr>
  </w:style>
  <w:style w:type="character" w:customStyle="1" w:styleId="34">
    <w:name w:val="font21"/>
    <w:basedOn w:val="23"/>
    <w:qFormat/>
    <w:uiPriority w:val="0"/>
    <w:rPr>
      <w:rFonts w:hint="eastAsia" w:ascii="宋体" w:hAnsi="宋体" w:eastAsia="宋体" w:cs="宋体"/>
      <w:color w:val="000000"/>
      <w:sz w:val="21"/>
      <w:szCs w:val="21"/>
      <w:u w:val="none"/>
    </w:rPr>
  </w:style>
  <w:style w:type="character" w:customStyle="1" w:styleId="35">
    <w:name w:val="font11"/>
    <w:basedOn w:val="23"/>
    <w:qFormat/>
    <w:uiPriority w:val="0"/>
    <w:rPr>
      <w:rFonts w:ascii="Calibri" w:hAnsi="Calibri" w:cs="Calibri"/>
      <w:color w:val="000000"/>
      <w:sz w:val="21"/>
      <w:szCs w:val="21"/>
      <w:u w:val="none"/>
    </w:rPr>
  </w:style>
  <w:style w:type="paragraph" w:customStyle="1" w:styleId="36">
    <w:name w:val="表格文字"/>
    <w:basedOn w:val="1"/>
    <w:qFormat/>
    <w:uiPriority w:val="0"/>
    <w:pPr>
      <w:adjustRightInd w:val="0"/>
      <w:spacing w:line="420" w:lineRule="atLeast"/>
      <w:jc w:val="left"/>
      <w:textAlignment w:val="baseline"/>
    </w:pPr>
    <w:rPr>
      <w:kern w:val="0"/>
      <w:szCs w:val="20"/>
    </w:rPr>
  </w:style>
  <w:style w:type="paragraph" w:customStyle="1" w:styleId="37">
    <w:name w:val="p15"/>
    <w:basedOn w:val="1"/>
    <w:qFormat/>
    <w:uiPriority w:val="0"/>
    <w:pPr>
      <w:widowControl/>
    </w:pPr>
    <w:rPr>
      <w:rFonts w:ascii="宋体" w:hAnsi="宋体" w:cs="宋体"/>
      <w:kern w:val="0"/>
      <w:szCs w:val="21"/>
    </w:rPr>
  </w:style>
  <w:style w:type="paragraph" w:customStyle="1" w:styleId="38">
    <w:name w:val="纯文本1"/>
    <w:basedOn w:val="1"/>
    <w:qFormat/>
    <w:uiPriority w:val="0"/>
    <w:rPr>
      <w:rFonts w:ascii="宋体" w:hAnsi="Courier New" w:eastAsia="楷体_GB2312"/>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56</Pages>
  <Words>37156</Words>
  <Characters>39969</Characters>
  <Lines>0</Lines>
  <Paragraphs>0</Paragraphs>
  <TotalTime>1</TotalTime>
  <ScaleCrop>false</ScaleCrop>
  <LinksUpToDate>false</LinksUpToDate>
  <CharactersWithSpaces>43194</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2021-07-09T04:30:00Z</dcterms:created>
  <dc:creator>Administrator</dc:creator>
  <cp:lastModifiedBy>李吉</cp:lastModifiedBy>
  <dcterms:modified xsi:type="dcterms:W3CDTF">2024-03-11T07:16:07Z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108537C24AC641D4A4D07FB3429DF5F5</vt:lpwstr>
  </property>
  <property fmtid="{D5CDD505-2E9C-101B-9397-08002B2CF9AE}" pid="4" name="commondata">
    <vt:lpwstr>eyJoZGlkIjoiZGVjMTNlODU2YmY3ZjAyYWE0NGE3NmJjZTdiMTE4ZDcifQ==</vt:lpwstr>
  </property>
</Properties>
</file>