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FDF24">
      <w:pPr>
        <w:pStyle w:val="16"/>
        <w:ind w:left="1659" w:leftChars="790" w:firstLine="520" w:firstLineChars="100"/>
        <w:jc w:val="both"/>
        <w:rPr>
          <w:rFonts w:hint="eastAsia" w:ascii="宋体" w:hAnsi="宋体" w:cs="宋体"/>
          <w:b/>
          <w:color w:val="000000" w:themeColor="text1"/>
          <w:sz w:val="52"/>
          <w:highlight w:val="none"/>
          <w14:textFill>
            <w14:solidFill>
              <w14:schemeClr w14:val="tx1"/>
            </w14:solidFill>
          </w14:textFill>
        </w:rPr>
      </w:pPr>
      <w:bookmarkStart w:id="0" w:name="_Toc7014_WPSOffice_Level1"/>
      <w:bookmarkStart w:id="1" w:name="_Toc10319"/>
      <w:r>
        <w:rPr>
          <w:rFonts w:hint="eastAsia" w:ascii="宋体" w:hAnsi="宋体" w:cs="宋体"/>
          <w:b/>
          <w:color w:val="000000" w:themeColor="text1"/>
          <w:sz w:val="52"/>
          <w:highlight w:val="none"/>
          <w14:textFill>
            <w14:solidFill>
              <w14:schemeClr w14:val="tx1"/>
            </w14:solidFill>
          </w14:textFill>
        </w:rPr>
        <w:t>桂林市政府集中采购中心</w:t>
      </w:r>
    </w:p>
    <w:p w14:paraId="337BD6B1">
      <w:pPr>
        <w:pStyle w:val="12"/>
        <w:rPr>
          <w:rFonts w:hint="eastAsia" w:ascii="宋体" w:hAnsi="宋体" w:eastAsia="宋体" w:cs="宋体"/>
          <w:b/>
          <w:bCs/>
          <w:color w:val="000000" w:themeColor="text1"/>
          <w:sz w:val="52"/>
          <w:szCs w:val="52"/>
          <w:highlight w:val="none"/>
          <w14:textFill>
            <w14:solidFill>
              <w14:schemeClr w14:val="tx1"/>
            </w14:solidFill>
          </w14:textFill>
        </w:rPr>
      </w:pPr>
    </w:p>
    <w:p w14:paraId="38BB149F">
      <w:pPr>
        <w:pStyle w:val="12"/>
        <w:rPr>
          <w:rFonts w:hint="eastAsia" w:ascii="宋体" w:hAnsi="宋体" w:eastAsia="宋体" w:cs="宋体"/>
          <w:b/>
          <w:bCs/>
          <w:color w:val="000000" w:themeColor="text1"/>
          <w:sz w:val="52"/>
          <w:szCs w:val="52"/>
          <w:highlight w:val="none"/>
          <w14:textFill>
            <w14:solidFill>
              <w14:schemeClr w14:val="tx1"/>
            </w14:solidFill>
          </w14:textFill>
        </w:rPr>
      </w:pPr>
    </w:p>
    <w:p w14:paraId="76572B96">
      <w:pPr>
        <w:pStyle w:val="12"/>
        <w:rPr>
          <w:rFonts w:hint="eastAsia" w:ascii="宋体" w:hAnsi="宋体" w:eastAsia="宋体" w:cs="宋体"/>
          <w:b/>
          <w:bCs/>
          <w:color w:val="000000" w:themeColor="text1"/>
          <w:sz w:val="52"/>
          <w:szCs w:val="52"/>
          <w:highlight w:val="none"/>
          <w14:textFill>
            <w14:solidFill>
              <w14:schemeClr w14:val="tx1"/>
            </w14:solidFill>
          </w14:textFill>
        </w:rPr>
      </w:pPr>
    </w:p>
    <w:p w14:paraId="4B73785C">
      <w:pPr>
        <w:ind w:left="558" w:right="683"/>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pacing w:val="93"/>
          <w:sz w:val="72"/>
          <w:szCs w:val="72"/>
          <w:highlight w:val="none"/>
          <w14:textFill>
            <w14:solidFill>
              <w14:schemeClr w14:val="tx1"/>
            </w14:solidFill>
          </w14:textFill>
        </w:rPr>
        <w:t>竞争性磋商文件</w:t>
      </w:r>
    </w:p>
    <w:p w14:paraId="2E2C9C47">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3B6BA245">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3DC3CB04">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407CC526">
      <w:pPr>
        <w:jc w:val="center"/>
        <w:outlineLvl w:val="0"/>
        <w:rPr>
          <w:rFonts w:hint="eastAsia" w:ascii="宋体" w:hAnsi="宋体" w:eastAsia="宋体" w:cs="宋体"/>
          <w:b/>
          <w:bCs/>
          <w:color w:val="FF0000"/>
          <w:sz w:val="32"/>
          <w:szCs w:val="32"/>
          <w:u w:val="single"/>
          <w:lang w:eastAsia="zh-CN"/>
        </w:rPr>
      </w:pPr>
      <w:bookmarkStart w:id="2" w:name="_Toc11049"/>
      <w:r>
        <w:rPr>
          <w:rFonts w:hint="eastAsia" w:ascii="宋体" w:hAnsi="宋体" w:cs="宋体"/>
          <w:b/>
          <w:bCs/>
          <w:sz w:val="32"/>
          <w:szCs w:val="32"/>
        </w:rPr>
        <w:t>项 目 名 称：桂林市教育科学研究所2025年期末质量检测试题命题项目</w:t>
      </w:r>
      <w:bookmarkEnd w:id="2"/>
    </w:p>
    <w:p w14:paraId="7CF2D2E0">
      <w:pPr>
        <w:ind w:firstLine="1600" w:firstLineChars="5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b/>
          <w:bCs/>
          <w:sz w:val="32"/>
          <w:szCs w:val="32"/>
        </w:rPr>
        <w:t>项 目 编 号：GLZC2025-C3-990193-GLSZ</w:t>
      </w:r>
    </w:p>
    <w:p w14:paraId="060379B7">
      <w:pPr>
        <w:jc w:val="center"/>
        <w:rPr>
          <w:rFonts w:hint="eastAsia" w:ascii="宋体" w:hAnsi="宋体" w:eastAsia="宋体" w:cs="宋体"/>
          <w:color w:val="000000" w:themeColor="text1"/>
          <w:sz w:val="32"/>
          <w:szCs w:val="32"/>
          <w:highlight w:val="none"/>
          <w14:textFill>
            <w14:solidFill>
              <w14:schemeClr w14:val="tx1"/>
            </w14:solidFill>
          </w14:textFill>
        </w:rPr>
      </w:pPr>
    </w:p>
    <w:p w14:paraId="15F1A09E">
      <w:pPr>
        <w:rPr>
          <w:rFonts w:hint="eastAsia" w:ascii="宋体" w:hAnsi="宋体" w:eastAsia="宋体" w:cs="宋体"/>
          <w:color w:val="000000" w:themeColor="text1"/>
          <w:sz w:val="32"/>
          <w:szCs w:val="32"/>
          <w:highlight w:val="none"/>
          <w14:textFill>
            <w14:solidFill>
              <w14:schemeClr w14:val="tx1"/>
            </w14:solidFill>
          </w14:textFill>
        </w:rPr>
      </w:pPr>
    </w:p>
    <w:p w14:paraId="3AD57107">
      <w:pPr>
        <w:jc w:val="center"/>
        <w:rPr>
          <w:rFonts w:hint="eastAsia" w:ascii="宋体" w:hAnsi="宋体" w:eastAsia="宋体" w:cs="宋体"/>
          <w:color w:val="000000" w:themeColor="text1"/>
          <w:sz w:val="32"/>
          <w:szCs w:val="32"/>
          <w:highlight w:val="none"/>
          <w14:textFill>
            <w14:solidFill>
              <w14:schemeClr w14:val="tx1"/>
            </w14:solidFill>
          </w14:textFill>
        </w:rPr>
      </w:pPr>
    </w:p>
    <w:p w14:paraId="383A7F94">
      <w:pPr>
        <w:ind w:firstLine="2240" w:firstLineChars="70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采购代理机构：桂林市政府集中采购中心</w:t>
      </w:r>
    </w:p>
    <w:p w14:paraId="56E48273">
      <w:pPr>
        <w:pStyle w:val="8"/>
        <w:rPr>
          <w:rFonts w:hint="eastAsia" w:ascii="宋体" w:hAnsi="宋体" w:eastAsia="宋体" w:cs="宋体"/>
          <w:b/>
          <w:bCs/>
          <w:color w:val="000000" w:themeColor="text1"/>
          <w:highlight w:val="none"/>
          <w14:textFill>
            <w14:solidFill>
              <w14:schemeClr w14:val="tx1"/>
            </w14:solidFill>
          </w14:textFill>
        </w:rPr>
      </w:pPr>
    </w:p>
    <w:p w14:paraId="4995AC98">
      <w:pPr>
        <w:ind w:firstLine="3840" w:firstLineChars="1200"/>
        <w:rPr>
          <w:rFonts w:hint="eastAsia" w:ascii="宋体" w:hAnsi="宋体" w:eastAsia="宋体" w:cs="宋体"/>
          <w:color w:val="000000" w:themeColor="text1"/>
          <w:sz w:val="48"/>
          <w:szCs w:val="48"/>
          <w:highlight w:val="none"/>
          <w:lang w:val="en-US" w:eastAsia="zh-CN"/>
          <w14:textFill>
            <w14:solidFill>
              <w14:schemeClr w14:val="tx1"/>
            </w14:solidFill>
          </w14:textFill>
        </w:rPr>
        <w:sectPr>
          <w:headerReference r:id="rId3" w:type="default"/>
          <w:footerReference r:id="rId4" w:type="default"/>
          <w:pgSz w:w="11906" w:h="16838"/>
          <w:pgMar w:top="1440" w:right="935" w:bottom="1440" w:left="777" w:header="851" w:footer="992" w:gutter="0"/>
          <w:pgNumType w:fmt="numberInDash" w:start="1"/>
          <w:cols w:space="720" w:num="1"/>
          <w:rtlGutter w:val="0"/>
          <w:docGrid w:type="linesAndChars" w:linePitch="312" w:charSpace="0"/>
        </w:sectPr>
      </w:pPr>
      <w:bookmarkStart w:id="3" w:name="OLE_LINK10"/>
      <w:r>
        <w:rPr>
          <w:rFonts w:hint="eastAsia" w:ascii="宋体" w:hAnsi="宋体" w:cs="宋体"/>
          <w:b/>
          <w:bCs/>
          <w:color w:val="000000" w:themeColor="text1"/>
          <w:sz w:val="32"/>
          <w:szCs w:val="32"/>
          <w:highlight w:val="none"/>
          <w:lang w:eastAsia="zh-CN"/>
          <w14:textFill>
            <w14:solidFill>
              <w14:schemeClr w14:val="tx1"/>
            </w14:solidFill>
          </w14:textFill>
        </w:rPr>
        <w:t>2025年</w:t>
      </w:r>
      <w:r>
        <w:rPr>
          <w:rFonts w:hint="eastAsia" w:ascii="宋体" w:hAnsi="宋体" w:cs="宋体"/>
          <w:b/>
          <w:bCs/>
          <w:color w:val="000000" w:themeColor="text1"/>
          <w:sz w:val="32"/>
          <w:szCs w:val="32"/>
          <w:highlight w:val="none"/>
          <w:lang w:val="en-US" w:eastAsia="zh-CN"/>
          <w14:textFill>
            <w14:solidFill>
              <w14:schemeClr w14:val="tx1"/>
            </w14:solidFill>
          </w14:textFill>
        </w:rPr>
        <w:t>6</w:t>
      </w:r>
      <w:r>
        <w:rPr>
          <w:rFonts w:hint="eastAsia" w:ascii="宋体" w:hAnsi="宋体" w:cs="宋体"/>
          <w:b/>
          <w:bCs/>
          <w:color w:val="000000" w:themeColor="text1"/>
          <w:sz w:val="32"/>
          <w:szCs w:val="32"/>
          <w:highlight w:val="none"/>
          <w:lang w:eastAsia="zh-CN"/>
          <w14:textFill>
            <w14:solidFill>
              <w14:schemeClr w14:val="tx1"/>
            </w14:solidFill>
          </w14:textFill>
        </w:rPr>
        <w:t>月</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lang w:eastAsia="zh-CN"/>
          <w14:textFill>
            <w14:solidFill>
              <w14:schemeClr w14:val="tx1"/>
            </w14:solidFill>
          </w14:textFill>
        </w:rPr>
        <w:t>日</w:t>
      </w:r>
    </w:p>
    <w:bookmarkEnd w:id="3"/>
    <w:p w14:paraId="10148D37">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目</w:t>
      </w:r>
      <w:r>
        <w:rPr>
          <w:rFonts w:hint="eastAsia" w:ascii="宋体" w:hAnsi="宋体" w:eastAsia="宋体" w:cs="宋体"/>
          <w:b/>
          <w:bCs/>
          <w:color w:val="000000" w:themeColor="text1"/>
          <w:sz w:val="36"/>
          <w:szCs w:val="36"/>
          <w:highlight w:val="none"/>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录</w:t>
      </w:r>
    </w:p>
    <w:p w14:paraId="1F3930ED">
      <w:pPr>
        <w:pStyle w:val="14"/>
        <w:tabs>
          <w:tab w:val="right" w:leader="dot" w:pos="10194"/>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_Toc11049 </w:instrText>
      </w:r>
      <w:r>
        <w:rPr>
          <w:rFonts w:hint="eastAsia" w:ascii="宋体" w:hAnsi="宋体" w:eastAsia="宋体" w:cs="宋体"/>
          <w:highlight w:val="none"/>
        </w:rPr>
        <w:fldChar w:fldCharType="separate"/>
      </w:r>
      <w:r>
        <w:rPr>
          <w:rFonts w:hint="eastAsia" w:ascii="宋体" w:hAnsi="宋体" w:cs="宋体"/>
          <w:bCs/>
          <w:szCs w:val="32"/>
        </w:rPr>
        <w:t>项 目 名 称：桂林市教育科学研究所2025年期末质量检测试题命题项目</w:t>
      </w:r>
      <w:r>
        <w:tab/>
      </w:r>
      <w:r>
        <w:fldChar w:fldCharType="begin"/>
      </w:r>
      <w:r>
        <w:instrText xml:space="preserve"> PAGEREF _Toc11049 \h </w:instrText>
      </w:r>
      <w:r>
        <w:fldChar w:fldCharType="separate"/>
      </w:r>
      <w:r>
        <w:t>- 1 -</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D76B52C">
      <w:pPr>
        <w:pStyle w:val="14"/>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_Toc15600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rPr>
        <w:t xml:space="preserve">第一章 </w:t>
      </w:r>
      <w:r>
        <w:rPr>
          <w:rFonts w:hint="eastAsia" w:ascii="宋体" w:hAnsi="宋体" w:eastAsia="宋体" w:cs="宋体"/>
          <w:szCs w:val="32"/>
          <w:highlight w:val="none"/>
        </w:rPr>
        <w:t>竞争性磋商公告</w:t>
      </w:r>
      <w:r>
        <w:tab/>
      </w:r>
      <w:r>
        <w:fldChar w:fldCharType="begin"/>
      </w:r>
      <w:r>
        <w:instrText xml:space="preserve"> PAGEREF _Toc15600 \h </w:instrText>
      </w:r>
      <w:r>
        <w:fldChar w:fldCharType="separate"/>
      </w:r>
      <w:r>
        <w:t>- 1 -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792BF25">
      <w:pPr>
        <w:pStyle w:val="14"/>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_Toc8294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第二章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供应商须知</w:t>
      </w:r>
      <w:r>
        <w:tab/>
      </w:r>
      <w:r>
        <w:fldChar w:fldCharType="begin"/>
      </w:r>
      <w:r>
        <w:instrText xml:space="preserve"> PAGEREF _Toc8294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14EC45F">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_Toc2065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4"/>
          <w:highlight w:val="none"/>
        </w:rPr>
        <w:t>供 应 商 须 知 前 附 表</w:t>
      </w:r>
      <w:r>
        <w:tab/>
      </w:r>
      <w:r>
        <w:fldChar w:fldCharType="begin"/>
      </w:r>
      <w:r>
        <w:instrText xml:space="preserve"> PAGEREF _Toc2065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79B6DD5">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_Toc28471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szCs w:val="21"/>
          <w:highlight w:val="none"/>
        </w:rPr>
        <w:t>竞争性</w:t>
      </w:r>
      <w:r>
        <w:rPr>
          <w:rFonts w:hint="eastAsia" w:ascii="宋体" w:hAnsi="宋体" w:eastAsia="宋体" w:cs="宋体"/>
          <w:bCs/>
          <w:szCs w:val="21"/>
          <w:highlight w:val="none"/>
          <w:lang w:eastAsia="zh-CN"/>
        </w:rPr>
        <w:t>磋商</w:t>
      </w:r>
      <w:r>
        <w:rPr>
          <w:rFonts w:hint="eastAsia" w:ascii="宋体" w:hAnsi="宋体" w:eastAsia="宋体" w:cs="宋体"/>
          <w:bCs/>
          <w:szCs w:val="21"/>
          <w:highlight w:val="none"/>
        </w:rPr>
        <w:t>响应文件的</w:t>
      </w:r>
      <w:r>
        <w:rPr>
          <w:rFonts w:hint="eastAsia" w:ascii="宋体" w:hAnsi="宋体" w:eastAsia="宋体" w:cs="宋体"/>
          <w:bCs/>
          <w:szCs w:val="21"/>
          <w:highlight w:val="none"/>
          <w:lang w:eastAsia="zh-CN"/>
        </w:rPr>
        <w:t>制作</w:t>
      </w:r>
      <w:r>
        <w:tab/>
      </w:r>
      <w:r>
        <w:fldChar w:fldCharType="begin"/>
      </w:r>
      <w:r>
        <w:instrText xml:space="preserve"> PAGEREF _Toc28471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0EA0C0B">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_Toc19417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一、总则</w:t>
      </w:r>
      <w:r>
        <w:tab/>
      </w:r>
      <w:r>
        <w:fldChar w:fldCharType="begin"/>
      </w:r>
      <w:r>
        <w:instrText xml:space="preserve"> PAGEREF _Toc19417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8F98739">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_Toc26919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 适应范围</w:t>
      </w:r>
      <w:r>
        <w:tab/>
      </w:r>
      <w:r>
        <w:fldChar w:fldCharType="begin"/>
      </w:r>
      <w:r>
        <w:instrText xml:space="preserve"> PAGEREF _Toc26919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2E4490E">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_Toc31054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 定义</w:t>
      </w:r>
      <w:r>
        <w:tab/>
      </w:r>
      <w:r>
        <w:fldChar w:fldCharType="begin"/>
      </w:r>
      <w:r>
        <w:instrText xml:space="preserve"> PAGEREF _Toc31054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13EFBE8">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_Toc19348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 供应商资格</w:t>
      </w:r>
      <w:r>
        <w:tab/>
      </w:r>
      <w:r>
        <w:fldChar w:fldCharType="begin"/>
      </w:r>
      <w:r>
        <w:instrText xml:space="preserve"> PAGEREF _Toc19348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5D5DB5C">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_Toc23490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4. 磋商费用</w:t>
      </w:r>
      <w:r>
        <w:tab/>
      </w:r>
      <w:r>
        <w:fldChar w:fldCharType="begin"/>
      </w:r>
      <w:r>
        <w:instrText xml:space="preserve"> PAGEREF _Toc23490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7544707">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_Toc10404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5. </w:t>
      </w:r>
      <w:r>
        <w:rPr>
          <w:rFonts w:hint="eastAsia" w:ascii="宋体" w:hAnsi="宋体" w:eastAsia="宋体" w:cs="宋体"/>
          <w:szCs w:val="21"/>
          <w:highlight w:val="none"/>
        </w:rPr>
        <w:t>联合体要求</w:t>
      </w:r>
      <w:r>
        <w:tab/>
      </w:r>
      <w:r>
        <w:fldChar w:fldCharType="begin"/>
      </w:r>
      <w:r>
        <w:instrText xml:space="preserve"> PAGEREF _Toc10404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4D82B9A">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_Toc21104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6. </w:t>
      </w:r>
      <w:r>
        <w:rPr>
          <w:rFonts w:hint="eastAsia" w:ascii="宋体" w:hAnsi="宋体" w:eastAsia="宋体" w:cs="宋体"/>
          <w:szCs w:val="21"/>
          <w:highlight w:val="none"/>
        </w:rPr>
        <w:t>转包与分包</w:t>
      </w:r>
      <w:r>
        <w:tab/>
      </w:r>
      <w:r>
        <w:fldChar w:fldCharType="begin"/>
      </w:r>
      <w:r>
        <w:instrText xml:space="preserve"> PAGEREF _Toc21104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0C77036">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_Toc18857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cs="宋体"/>
          <w:szCs w:val="21"/>
          <w:highlight w:val="none"/>
          <w:lang w:val="en-US" w:eastAsia="zh-CN"/>
        </w:rPr>
        <w:t>7</w:t>
      </w:r>
      <w:r>
        <w:rPr>
          <w:rFonts w:hint="eastAsia" w:ascii="宋体" w:hAnsi="宋体" w:eastAsia="宋体" w:cs="宋体"/>
          <w:szCs w:val="21"/>
          <w:highlight w:val="none"/>
        </w:rPr>
        <w:t>. 质疑和投诉</w:t>
      </w:r>
      <w:r>
        <w:tab/>
      </w:r>
      <w:r>
        <w:fldChar w:fldCharType="begin"/>
      </w:r>
      <w:r>
        <w:instrText xml:space="preserve"> PAGEREF _Toc18857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C0ED282">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_Toc21587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8. 特别说明</w:t>
      </w:r>
      <w:r>
        <w:tab/>
      </w:r>
      <w:r>
        <w:fldChar w:fldCharType="begin"/>
      </w:r>
      <w:r>
        <w:instrText xml:space="preserve"> PAGEREF _Toc21587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A6A7FA9">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_Toc14529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二、磋商文件</w:t>
      </w:r>
      <w:r>
        <w:tab/>
      </w:r>
      <w:r>
        <w:fldChar w:fldCharType="begin"/>
      </w:r>
      <w:r>
        <w:instrText xml:space="preserve"> PAGEREF _Toc14529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8ACB2AF">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_Toc15842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pt-BR"/>
        </w:rPr>
        <w:t xml:space="preserve">9. </w:t>
      </w:r>
      <w:r>
        <w:rPr>
          <w:rFonts w:hint="eastAsia" w:ascii="宋体" w:hAnsi="宋体" w:eastAsia="宋体" w:cs="宋体"/>
          <w:szCs w:val="21"/>
          <w:highlight w:val="none"/>
        </w:rPr>
        <w:t>磋商文件的构成</w:t>
      </w:r>
      <w:r>
        <w:tab/>
      </w:r>
      <w:r>
        <w:fldChar w:fldCharType="begin"/>
      </w:r>
      <w:r>
        <w:instrText xml:space="preserve"> PAGEREF _Toc15842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A584CCB">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_Toc6190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10. 磋商文件的澄清与修改</w:t>
      </w:r>
      <w:r>
        <w:tab/>
      </w:r>
      <w:r>
        <w:fldChar w:fldCharType="begin"/>
      </w:r>
      <w:r>
        <w:instrText xml:space="preserve"> PAGEREF _Toc6190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0CF19BC">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_Toc2418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三、竞争性磋商响应文件的编制</w:t>
      </w:r>
      <w:r>
        <w:tab/>
      </w:r>
      <w:r>
        <w:fldChar w:fldCharType="begin"/>
      </w:r>
      <w:r>
        <w:instrText xml:space="preserve"> PAGEREF _Toc2418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CF711EA">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_Toc15776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en-US" w:eastAsia="zh-CN"/>
        </w:rPr>
        <w:t>11.竞争性磋商响应文件编制基本要求</w:t>
      </w:r>
      <w:r>
        <w:tab/>
      </w:r>
      <w:r>
        <w:fldChar w:fldCharType="begin"/>
      </w:r>
      <w:r>
        <w:instrText xml:space="preserve"> PAGEREF _Toc15776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19B2716">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_Toc12248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12. 响应文件的语言及计量</w:t>
      </w:r>
      <w:r>
        <w:tab/>
      </w:r>
      <w:r>
        <w:fldChar w:fldCharType="begin"/>
      </w:r>
      <w:r>
        <w:instrText xml:space="preserve"> PAGEREF _Toc12248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AA62F9C">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_Toc30936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13. 磋商报价及采购预算金额</w:t>
      </w:r>
      <w:r>
        <w:tab/>
      </w:r>
      <w:r>
        <w:fldChar w:fldCharType="begin"/>
      </w:r>
      <w:r>
        <w:instrText xml:space="preserve"> PAGEREF _Toc30936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5B966CC">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_Toc6924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14. 响应文件有效期</w:t>
      </w:r>
      <w:r>
        <w:tab/>
      </w:r>
      <w:r>
        <w:fldChar w:fldCharType="begin"/>
      </w:r>
      <w:r>
        <w:instrText xml:space="preserve"> PAGEREF _Toc6924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7CC07DB">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_Toc26693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15. 磋商保证金</w:t>
      </w:r>
      <w:r>
        <w:tab/>
      </w:r>
      <w:r>
        <w:fldChar w:fldCharType="begin"/>
      </w:r>
      <w:r>
        <w:instrText xml:space="preserve"> PAGEREF _Toc26693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01700FE">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_Toc8912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16. 竞争性</w:t>
      </w:r>
      <w:r>
        <w:rPr>
          <w:rFonts w:hint="eastAsia" w:ascii="宋体" w:hAnsi="宋体" w:eastAsia="宋体" w:cs="宋体"/>
          <w:szCs w:val="21"/>
          <w:highlight w:val="none"/>
          <w:lang w:eastAsia="zh-CN"/>
        </w:rPr>
        <w:t>磋商</w:t>
      </w:r>
      <w:r>
        <w:rPr>
          <w:rFonts w:hint="eastAsia" w:ascii="宋体" w:hAnsi="宋体" w:eastAsia="宋体" w:cs="宋体"/>
          <w:szCs w:val="21"/>
          <w:highlight w:val="none"/>
        </w:rPr>
        <w:t>响应文件的</w:t>
      </w:r>
      <w:r>
        <w:rPr>
          <w:rFonts w:hint="eastAsia" w:ascii="宋体" w:hAnsi="宋体" w:eastAsia="宋体" w:cs="宋体"/>
          <w:szCs w:val="21"/>
          <w:highlight w:val="none"/>
          <w:lang w:eastAsia="zh-CN"/>
        </w:rPr>
        <w:t>制作</w:t>
      </w:r>
      <w:r>
        <w:tab/>
      </w:r>
      <w:r>
        <w:fldChar w:fldCharType="begin"/>
      </w:r>
      <w:r>
        <w:instrText xml:space="preserve"> PAGEREF _Toc8912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EFDC8B2">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_Toc4992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17. 响应文件的修改和撤回</w:t>
      </w:r>
      <w:r>
        <w:tab/>
      </w:r>
      <w:r>
        <w:fldChar w:fldCharType="begin"/>
      </w:r>
      <w:r>
        <w:instrText xml:space="preserve"> PAGEREF _Toc4992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2C7A952">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_Toc2988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18. 响应文件的递交</w:t>
      </w:r>
      <w:r>
        <w:rPr>
          <w:rFonts w:hint="eastAsia" w:ascii="宋体" w:hAnsi="宋体" w:eastAsia="宋体" w:cs="宋体"/>
          <w:szCs w:val="21"/>
          <w:highlight w:val="none"/>
          <w:lang w:eastAsia="zh-CN"/>
        </w:rPr>
        <w:t>和解密</w:t>
      </w:r>
      <w:r>
        <w:tab/>
      </w:r>
      <w:r>
        <w:fldChar w:fldCharType="begin"/>
      </w:r>
      <w:r>
        <w:instrText xml:space="preserve"> PAGEREF _Toc2988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3E8CF28">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_Toc738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四、竞争性磋商（简称磋商）与评审</w:t>
      </w:r>
      <w:r>
        <w:tab/>
      </w:r>
      <w:r>
        <w:fldChar w:fldCharType="begin"/>
      </w:r>
      <w:r>
        <w:instrText xml:space="preserve"> PAGEREF _Toc738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4EEDE39">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_Toc708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19. 磋商小组组成及磋商时间、地点、人员</w:t>
      </w:r>
      <w:r>
        <w:tab/>
      </w:r>
      <w:r>
        <w:fldChar w:fldCharType="begin"/>
      </w:r>
      <w:r>
        <w:instrText xml:space="preserve"> PAGEREF _Toc708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8F92DE9">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_Toc1153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20. 评审原则</w:t>
      </w:r>
      <w:r>
        <w:tab/>
      </w:r>
      <w:r>
        <w:fldChar w:fldCharType="begin"/>
      </w:r>
      <w:r>
        <w:instrText xml:space="preserve"> PAGEREF _Toc1153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73E0702">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_Toc9548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21. 评审程序及磋商要求</w:t>
      </w:r>
      <w:r>
        <w:tab/>
      </w:r>
      <w:r>
        <w:fldChar w:fldCharType="begin"/>
      </w:r>
      <w:r>
        <w:instrText xml:space="preserve"> PAGEREF _Toc9548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17B5712">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_Toc4695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22. 确定成交供应商</w:t>
      </w:r>
      <w:r>
        <w:tab/>
      </w:r>
      <w:r>
        <w:fldChar w:fldCharType="begin"/>
      </w:r>
      <w:r>
        <w:instrText xml:space="preserve"> PAGEREF _Toc4695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4B0C68F">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_Toc22692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23. 属于下列情况之一者，响应文件无效</w:t>
      </w:r>
      <w:r>
        <w:tab/>
      </w:r>
      <w:r>
        <w:fldChar w:fldCharType="begin"/>
      </w:r>
      <w:r>
        <w:instrText xml:space="preserve"> PAGEREF _Toc22692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233EA0F">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_Toc10850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24. 出现下列情形之一的，采购人或者采购代理机构应当终止竞争性磋商采购活动，发布项目终止公告并说明原因，重新开展采购活动</w:t>
      </w:r>
      <w:r>
        <w:tab/>
      </w:r>
      <w:r>
        <w:fldChar w:fldCharType="begin"/>
      </w:r>
      <w:r>
        <w:instrText xml:space="preserve"> PAGEREF _Toc10850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1E28EA8">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_Toc8299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25. 磋商过程的监控</w:t>
      </w:r>
      <w:r>
        <w:tab/>
      </w:r>
      <w:r>
        <w:fldChar w:fldCharType="begin"/>
      </w:r>
      <w:r>
        <w:instrText xml:space="preserve"> PAGEREF _Toc8299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D0AF1BA">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_Toc12537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26. </w:t>
      </w:r>
      <w:r>
        <w:rPr>
          <w:rFonts w:hint="eastAsia" w:ascii="宋体" w:hAnsi="宋体" w:eastAsia="宋体" w:cs="宋体"/>
          <w:szCs w:val="21"/>
          <w:highlight w:val="none"/>
        </w:rPr>
        <w:t>信用查询</w:t>
      </w:r>
      <w:r>
        <w:tab/>
      </w:r>
      <w:r>
        <w:fldChar w:fldCharType="begin"/>
      </w:r>
      <w:r>
        <w:instrText xml:space="preserve"> PAGEREF _Toc12537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6E85F48">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_Toc18947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27. 成交结果公告及成交通知书</w:t>
      </w:r>
      <w:r>
        <w:tab/>
      </w:r>
      <w:r>
        <w:fldChar w:fldCharType="begin"/>
      </w:r>
      <w:r>
        <w:instrText xml:space="preserve"> PAGEREF _Toc18947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799FEE3">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_Toc30389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五、</w:t>
      </w:r>
      <w:r>
        <w:rPr>
          <w:rFonts w:hint="eastAsia" w:ascii="宋体" w:hAnsi="宋体" w:cs="宋体"/>
          <w:szCs w:val="28"/>
          <w:highlight w:val="none"/>
        </w:rPr>
        <w:t>履约保证金及</w:t>
      </w:r>
      <w:r>
        <w:rPr>
          <w:rFonts w:hint="eastAsia" w:ascii="宋体" w:hAnsi="宋体" w:eastAsia="宋体" w:cs="宋体"/>
          <w:bCs w:val="0"/>
          <w:szCs w:val="28"/>
          <w:highlight w:val="none"/>
        </w:rPr>
        <w:t>签订合同</w:t>
      </w:r>
      <w:r>
        <w:tab/>
      </w:r>
      <w:r>
        <w:fldChar w:fldCharType="begin"/>
      </w:r>
      <w:r>
        <w:instrText xml:space="preserve"> PAGEREF _Toc30389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3CA78BF">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_Toc16735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28. 履约保证金</w:t>
      </w:r>
      <w:r>
        <w:tab/>
      </w:r>
      <w:r>
        <w:fldChar w:fldCharType="begin"/>
      </w:r>
      <w:r>
        <w:instrText xml:space="preserve"> PAGEREF _Toc16735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60ABDB8">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_Toc1682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cs="宋体"/>
          <w:spacing w:val="0"/>
          <w:position w:val="0"/>
          <w:highlight w:val="none"/>
          <w:shd w:val="clear" w:fill="auto"/>
          <w:lang w:val="en-US" w:eastAsia="zh-CN"/>
        </w:rPr>
        <w:t>本项目无</w:t>
      </w:r>
      <w:r>
        <w:rPr>
          <w:rFonts w:ascii="宋体" w:hAnsi="宋体" w:eastAsia="宋体" w:cs="宋体"/>
          <w:spacing w:val="0"/>
          <w:position w:val="0"/>
          <w:highlight w:val="none"/>
          <w:shd w:val="clear" w:fill="auto"/>
        </w:rPr>
        <w:t>履约保证金。</w:t>
      </w:r>
      <w:r>
        <w:tab/>
      </w:r>
      <w:r>
        <w:fldChar w:fldCharType="begin"/>
      </w:r>
      <w:r>
        <w:instrText xml:space="preserve"> PAGEREF _Toc1682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21B1372">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_Toc16657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29. 签订合同</w:t>
      </w:r>
      <w:r>
        <w:tab/>
      </w:r>
      <w:r>
        <w:fldChar w:fldCharType="begin"/>
      </w:r>
      <w:r>
        <w:instrText xml:space="preserve"> PAGEREF _Toc16657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E54BF6A">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_Toc17982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六、其他事项</w:t>
      </w:r>
      <w:r>
        <w:tab/>
      </w:r>
      <w:r>
        <w:fldChar w:fldCharType="begin"/>
      </w:r>
      <w:r>
        <w:instrText xml:space="preserve"> PAGEREF _Toc17982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FFB9783">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_Toc24557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30. 采购代理服务费</w:t>
      </w:r>
      <w:r>
        <w:tab/>
      </w:r>
      <w:r>
        <w:fldChar w:fldCharType="begin"/>
      </w:r>
      <w:r>
        <w:instrText xml:space="preserve"> PAGEREF _Toc24557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4B4DADA">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_Toc426 </w:instrText>
      </w:r>
      <w:r>
        <w:rPr>
          <w:rFonts w:hint="eastAsia" w:ascii="宋体" w:hAnsi="宋体" w:eastAsia="宋体" w:cs="宋体"/>
          <w:bCs/>
          <w:kern w:val="2"/>
          <w:szCs w:val="24"/>
          <w:highlight w:val="none"/>
          <w:lang w:val="zh-CN" w:eastAsia="zh-CN" w:bidi="ar-SA"/>
        </w:rPr>
        <w:fldChar w:fldCharType="separate"/>
      </w:r>
      <w:r>
        <w:rPr>
          <w:rFonts w:hint="default" w:ascii="宋体" w:hAnsi="宋体" w:eastAsia="宋体" w:cstheme="minorEastAsia"/>
          <w:bCs/>
        </w:rPr>
        <w:t xml:space="preserve">31. </w:t>
      </w:r>
      <w:r>
        <w:rPr>
          <w:rFonts w:hint="eastAsia" w:ascii="宋体" w:hAnsi="宋体" w:eastAsia="宋体" w:cs="宋体"/>
          <w:szCs w:val="21"/>
          <w:highlight w:val="none"/>
        </w:rPr>
        <w:t>解释权</w:t>
      </w:r>
      <w:r>
        <w:tab/>
      </w:r>
      <w:r>
        <w:fldChar w:fldCharType="begin"/>
      </w:r>
      <w:r>
        <w:instrText xml:space="preserve"> PAGEREF _Toc426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4E5E4AD">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_Toc20681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32. 监督管理机构</w:t>
      </w:r>
      <w:r>
        <w:tab/>
      </w:r>
      <w:r>
        <w:fldChar w:fldCharType="begin"/>
      </w:r>
      <w:r>
        <w:instrText xml:space="preserve"> PAGEREF _Toc20681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21FA4C9">
      <w:pPr>
        <w:pStyle w:val="14"/>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_Toc1112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第三章</w:t>
      </w:r>
      <w:r>
        <w:rPr>
          <w:rFonts w:hint="eastAsia" w:ascii="宋体" w:hAnsi="宋体" w:eastAsia="宋体" w:cs="宋体"/>
          <w:szCs w:val="32"/>
          <w:highlight w:val="none"/>
        </w:rPr>
        <w:t xml:space="preserve"> 采购需求</w:t>
      </w:r>
      <w:r>
        <w:tab/>
      </w:r>
      <w:r>
        <w:fldChar w:fldCharType="begin"/>
      </w:r>
      <w:r>
        <w:instrText xml:space="preserve"> PAGEREF _Toc1112 \h </w:instrText>
      </w:r>
      <w:r>
        <w:fldChar w:fldCharType="separate"/>
      </w:r>
      <w:r>
        <w:t>- 21 -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B40BD9B">
      <w:pPr>
        <w:pStyle w:val="14"/>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_Toc13829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第四章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评审办法</w:t>
      </w:r>
      <w:r>
        <w:tab/>
      </w:r>
      <w:r>
        <w:fldChar w:fldCharType="begin"/>
      </w:r>
      <w:r>
        <w:instrText xml:space="preserve"> PAGEREF _Toc13829 \h </w:instrText>
      </w:r>
      <w:r>
        <w:fldChar w:fldCharType="separate"/>
      </w:r>
      <w:r>
        <w:t>- 24 -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C472A17">
      <w:pPr>
        <w:pStyle w:val="14"/>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_Toc10603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第五章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采购合同（合同主要条款及格式）</w:t>
      </w:r>
      <w:r>
        <w:tab/>
      </w:r>
      <w:r>
        <w:fldChar w:fldCharType="begin"/>
      </w:r>
      <w:r>
        <w:instrText xml:space="preserve"> PAGEREF _Toc10603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BF431C6">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_Toc7573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第一条 合同文件</w:t>
      </w:r>
      <w:r>
        <w:tab/>
      </w:r>
      <w:r>
        <w:fldChar w:fldCharType="begin"/>
      </w:r>
      <w:r>
        <w:instrText xml:space="preserve"> PAGEREF _Toc7573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00C3752">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_Toc19253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第二条　合同金额</w:t>
      </w:r>
      <w:r>
        <w:tab/>
      </w:r>
      <w:r>
        <w:fldChar w:fldCharType="begin"/>
      </w:r>
      <w:r>
        <w:instrText xml:space="preserve"> PAGEREF _Toc19253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1F394A8">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_Toc1133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第三条  服务保证</w:t>
      </w:r>
      <w:r>
        <w:tab/>
      </w:r>
      <w:r>
        <w:fldChar w:fldCharType="begin"/>
      </w:r>
      <w:r>
        <w:instrText xml:space="preserve"> PAGEREF _Toc1133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93E40F1">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_Toc12589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第四条  服务期限</w:t>
      </w:r>
      <w:r>
        <w:tab/>
      </w:r>
      <w:r>
        <w:fldChar w:fldCharType="begin"/>
      </w:r>
      <w:r>
        <w:instrText xml:space="preserve"> PAGEREF _Toc12589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CDA9BC0">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_Toc1445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第五条  交付</w:t>
      </w:r>
      <w:r>
        <w:tab/>
      </w:r>
      <w:r>
        <w:fldChar w:fldCharType="begin"/>
      </w:r>
      <w:r>
        <w:instrText xml:space="preserve"> PAGEREF _Toc1445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F5C88A3">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_Toc3143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六</w:t>
      </w:r>
      <w:r>
        <w:rPr>
          <w:rFonts w:hint="eastAsia" w:ascii="宋体" w:hAnsi="宋体" w:eastAsia="宋体" w:cs="宋体"/>
          <w:bCs w:val="0"/>
          <w:szCs w:val="21"/>
          <w:highlight w:val="none"/>
        </w:rPr>
        <w:t>条  税费</w:t>
      </w:r>
      <w:r>
        <w:tab/>
      </w:r>
      <w:r>
        <w:fldChar w:fldCharType="begin"/>
      </w:r>
      <w:r>
        <w:instrText xml:space="preserve"> PAGEREF _Toc3143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540145F">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_Toc28594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七</w:t>
      </w:r>
      <w:r>
        <w:rPr>
          <w:rFonts w:hint="eastAsia" w:ascii="宋体" w:hAnsi="宋体" w:eastAsia="宋体" w:cs="宋体"/>
          <w:bCs w:val="0"/>
          <w:szCs w:val="21"/>
          <w:highlight w:val="none"/>
        </w:rPr>
        <w:t>条  付款方式</w:t>
      </w:r>
      <w:r>
        <w:tab/>
      </w:r>
      <w:r>
        <w:fldChar w:fldCharType="begin"/>
      </w:r>
      <w:r>
        <w:instrText xml:space="preserve"> PAGEREF _Toc28594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CB6D5D5">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_Toc21625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九</w:t>
      </w:r>
      <w:r>
        <w:rPr>
          <w:rFonts w:hint="eastAsia" w:ascii="宋体" w:hAnsi="宋体" w:eastAsia="宋体" w:cs="宋体"/>
          <w:bCs w:val="0"/>
          <w:szCs w:val="21"/>
          <w:highlight w:val="none"/>
        </w:rPr>
        <w:t>条  违约责任</w:t>
      </w:r>
      <w:r>
        <w:tab/>
      </w:r>
      <w:r>
        <w:fldChar w:fldCharType="begin"/>
      </w:r>
      <w:r>
        <w:instrText xml:space="preserve"> PAGEREF _Toc21625 \h </w:instrText>
      </w:r>
      <w:r>
        <w:fldChar w:fldCharType="separate"/>
      </w:r>
      <w:r>
        <w:t>- 30 -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B0892F2">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_Toc27274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十</w:t>
      </w:r>
      <w:r>
        <w:rPr>
          <w:rFonts w:hint="eastAsia" w:ascii="宋体" w:hAnsi="宋体" w:eastAsia="宋体" w:cs="宋体"/>
          <w:bCs w:val="0"/>
          <w:szCs w:val="21"/>
          <w:highlight w:val="none"/>
        </w:rPr>
        <w:t>条  不可抗力事件处理</w:t>
      </w:r>
      <w:r>
        <w:tab/>
      </w:r>
      <w:r>
        <w:fldChar w:fldCharType="begin"/>
      </w:r>
      <w:r>
        <w:instrText xml:space="preserve"> PAGEREF _Toc27274 \h </w:instrText>
      </w:r>
      <w:r>
        <w:fldChar w:fldCharType="separate"/>
      </w:r>
      <w:r>
        <w:t>- 30 -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41194F2">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_Toc17134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十</w:t>
      </w:r>
      <w:r>
        <w:rPr>
          <w:rFonts w:hint="eastAsia" w:ascii="宋体" w:hAnsi="宋体" w:cs="宋体"/>
          <w:bCs w:val="0"/>
          <w:szCs w:val="21"/>
          <w:highlight w:val="none"/>
          <w:lang w:eastAsia="zh-CN"/>
        </w:rPr>
        <w:t>一</w:t>
      </w:r>
      <w:r>
        <w:rPr>
          <w:rFonts w:hint="eastAsia" w:ascii="宋体" w:hAnsi="宋体" w:eastAsia="宋体" w:cs="宋体"/>
          <w:bCs w:val="0"/>
          <w:szCs w:val="21"/>
          <w:highlight w:val="none"/>
        </w:rPr>
        <w:t>条  合同争议解决</w:t>
      </w:r>
      <w:r>
        <w:tab/>
      </w:r>
      <w:r>
        <w:fldChar w:fldCharType="begin"/>
      </w:r>
      <w:r>
        <w:instrText xml:space="preserve"> PAGEREF _Toc17134 \h </w:instrText>
      </w:r>
      <w:r>
        <w:fldChar w:fldCharType="separate"/>
      </w:r>
      <w:r>
        <w:t>- 30 -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99A4038">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_Toc26283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二</w:t>
      </w:r>
      <w:r>
        <w:rPr>
          <w:rFonts w:hint="eastAsia" w:ascii="宋体" w:hAnsi="宋体" w:eastAsia="宋体" w:cs="宋体"/>
          <w:bCs w:val="0"/>
          <w:szCs w:val="21"/>
          <w:highlight w:val="none"/>
        </w:rPr>
        <w:t>条  合同生效及其它</w:t>
      </w:r>
      <w:r>
        <w:tab/>
      </w:r>
      <w:r>
        <w:fldChar w:fldCharType="begin"/>
      </w:r>
      <w:r>
        <w:instrText xml:space="preserve"> PAGEREF _Toc26283 \h </w:instrText>
      </w:r>
      <w:r>
        <w:fldChar w:fldCharType="separate"/>
      </w:r>
      <w:r>
        <w:t>- 30 -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6D8A27E">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_Toc16039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三</w:t>
      </w:r>
      <w:r>
        <w:rPr>
          <w:rFonts w:hint="eastAsia" w:ascii="宋体" w:hAnsi="宋体" w:eastAsia="宋体" w:cs="宋体"/>
          <w:bCs w:val="0"/>
          <w:szCs w:val="21"/>
          <w:highlight w:val="none"/>
        </w:rPr>
        <w:t>条  合同的变更、终止与转让</w:t>
      </w:r>
      <w:r>
        <w:tab/>
      </w:r>
      <w:r>
        <w:fldChar w:fldCharType="begin"/>
      </w:r>
      <w:r>
        <w:instrText xml:space="preserve"> PAGEREF _Toc16039 \h </w:instrText>
      </w:r>
      <w:r>
        <w:fldChar w:fldCharType="separate"/>
      </w:r>
      <w:r>
        <w:t>- 30 -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C15E90E">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_Toc20297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四</w:t>
      </w:r>
      <w:r>
        <w:rPr>
          <w:rFonts w:hint="eastAsia" w:ascii="宋体" w:hAnsi="宋体" w:eastAsia="宋体" w:cs="宋体"/>
          <w:bCs w:val="0"/>
          <w:szCs w:val="21"/>
          <w:highlight w:val="none"/>
        </w:rPr>
        <w:t>条  签订本合同依据</w:t>
      </w:r>
      <w:r>
        <w:tab/>
      </w:r>
      <w:r>
        <w:fldChar w:fldCharType="begin"/>
      </w:r>
      <w:r>
        <w:instrText xml:space="preserve"> PAGEREF _Toc20297 \h </w:instrText>
      </w:r>
      <w:r>
        <w:fldChar w:fldCharType="separate"/>
      </w:r>
      <w:r>
        <w:t>- 31 -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8978BDD">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_Toc27917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kern w:val="44"/>
          <w:szCs w:val="32"/>
          <w:highlight w:val="none"/>
        </w:rPr>
        <w:t xml:space="preserve">第六章  </w:t>
      </w:r>
      <w:r>
        <w:rPr>
          <w:rFonts w:hint="eastAsia" w:ascii="宋体" w:hAnsi="宋体" w:eastAsia="宋体" w:cs="宋体"/>
          <w:bCs/>
          <w:szCs w:val="32"/>
          <w:highlight w:val="none"/>
        </w:rPr>
        <w:t>响应文件（格式）</w:t>
      </w:r>
      <w:r>
        <w:tab/>
      </w:r>
      <w:r>
        <w:fldChar w:fldCharType="begin"/>
      </w:r>
      <w:r>
        <w:instrText xml:space="preserve"> PAGEREF _Toc27917 \h </w:instrText>
      </w:r>
      <w:r>
        <w:fldChar w:fldCharType="separate"/>
      </w:r>
      <w:r>
        <w:t>- 32 -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A9A4881">
      <w:pPr>
        <w:pStyle w:val="15"/>
        <w:tabs>
          <w:tab w:val="right" w:leader="dot" w:pos="10194"/>
        </w:tabs>
      </w:pPr>
    </w:p>
    <w:p w14:paraId="7F3A370B">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CC11665">
      <w:pPr>
        <w:rPr>
          <w:rFonts w:hint="eastAsia" w:ascii="宋体" w:hAnsi="宋体" w:eastAsia="宋体" w:cs="宋体"/>
          <w:b/>
          <w:bCs/>
          <w:color w:val="000000" w:themeColor="text1"/>
          <w:sz w:val="32"/>
          <w:szCs w:val="32"/>
          <w:highlight w:val="none"/>
          <w14:textFill>
            <w14:solidFill>
              <w14:schemeClr w14:val="tx1"/>
            </w14:solidFill>
          </w14:textFill>
        </w:rPr>
        <w:sectPr>
          <w:footerReference r:id="rId5" w:type="default"/>
          <w:pgSz w:w="11906" w:h="16838"/>
          <w:pgMar w:top="1440" w:right="935" w:bottom="1440" w:left="777" w:header="851" w:footer="992" w:gutter="0"/>
          <w:pgNumType w:fmt="numberInDash" w:start="1"/>
          <w:cols w:space="720" w:num="1"/>
          <w:rtlGutter w:val="0"/>
          <w:docGrid w:type="linesAndChars" w:linePitch="312" w:charSpace="0"/>
        </w:sectPr>
      </w:pPr>
    </w:p>
    <w:p w14:paraId="181D9B17">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highlight w:val="none"/>
          <w14:textFill>
            <w14:solidFill>
              <w14:schemeClr w14:val="tx1"/>
            </w14:solidFill>
          </w14:textFill>
        </w:rPr>
      </w:pPr>
      <w:bookmarkStart w:id="4" w:name="_Toc35393797"/>
      <w:bookmarkStart w:id="5" w:name="_Toc15600"/>
      <w:bookmarkStart w:id="6" w:name="_Toc28359011"/>
      <w:bookmarkStart w:id="7" w:name="_Toc26809"/>
      <w:bookmarkStart w:id="8" w:name="_Toc30170"/>
      <w:r>
        <w:rPr>
          <w:rFonts w:hint="eastAsia" w:ascii="宋体" w:hAnsi="宋体" w:eastAsia="宋体" w:cs="宋体"/>
          <w:color w:val="000000" w:themeColor="text1"/>
          <w:sz w:val="32"/>
          <w:szCs w:val="32"/>
          <w:highlight w:val="none"/>
          <w14:textFill>
            <w14:solidFill>
              <w14:schemeClr w14:val="tx1"/>
            </w14:solidFill>
          </w14:textFill>
        </w:rPr>
        <w:t>竞争性磋商公告</w:t>
      </w:r>
      <w:bookmarkEnd w:id="4"/>
      <w:bookmarkEnd w:id="5"/>
      <w:bookmarkEnd w:id="6"/>
      <w:bookmarkEnd w:id="7"/>
      <w:bookmarkEnd w:id="8"/>
    </w:p>
    <w:tbl>
      <w:tblPr>
        <w:tblStyle w:val="20"/>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2309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0" w:hRule="atLeast"/>
        </w:trPr>
        <w:tc>
          <w:tcPr>
            <w:tcW w:w="10220" w:type="dxa"/>
            <w:vAlign w:val="top"/>
          </w:tcPr>
          <w:p w14:paraId="35A4DB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23FEA7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桂林市政府集中采购中心受</w:t>
            </w:r>
            <w:r>
              <w:rPr>
                <w:rFonts w:hint="eastAsia" w:ascii="宋体" w:hAnsi="宋体" w:eastAsia="宋体" w:cs="宋体"/>
                <w:color w:val="000000" w:themeColor="text1"/>
                <w:sz w:val="24"/>
                <w:szCs w:val="24"/>
                <w:highlight w:val="none"/>
                <w:u w:val="single"/>
                <w14:textFill>
                  <w14:solidFill>
                    <w14:schemeClr w14:val="tx1"/>
                  </w14:solidFill>
                </w14:textFill>
              </w:rPr>
              <w:t>桂林市教育科学研究所</w:t>
            </w:r>
            <w:r>
              <w:rPr>
                <w:rFonts w:hint="eastAsia" w:ascii="宋体" w:hAnsi="宋体" w:eastAsia="宋体" w:cs="宋体"/>
                <w:color w:val="000000" w:themeColor="text1"/>
                <w:sz w:val="24"/>
                <w:szCs w:val="24"/>
                <w:highlight w:val="none"/>
                <w14:textFill>
                  <w14:solidFill>
                    <w14:schemeClr w14:val="tx1"/>
                  </w14:solidFill>
                </w14:textFill>
              </w:rPr>
              <w:t>委托，根据《中华人民共和国政府采购法》《中华人民共和国政府采购法实施条例》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政府采购竞争性磋商采购方式管理暂行办法》等规定，</w:t>
            </w:r>
            <w:r>
              <w:rPr>
                <w:rFonts w:hint="eastAsia" w:ascii="宋体" w:hAnsi="宋体" w:eastAsia="宋体" w:cs="宋体"/>
                <w:color w:val="000000" w:themeColor="text1"/>
                <w:sz w:val="24"/>
                <w:szCs w:val="24"/>
                <w:highlight w:val="none"/>
                <w:lang w:eastAsia="zh-CN"/>
                <w14:textFill>
                  <w14:solidFill>
                    <w14:schemeClr w14:val="tx1"/>
                  </w14:solidFill>
                </w14:textFill>
              </w:rPr>
              <w:t>现</w:t>
            </w:r>
            <w:r>
              <w:rPr>
                <w:rFonts w:hint="eastAsia" w:ascii="宋体" w:hAnsi="宋体" w:eastAsia="宋体" w:cs="宋体"/>
                <w:color w:val="000000" w:themeColor="text1"/>
                <w:sz w:val="24"/>
                <w:szCs w:val="24"/>
                <w:highlight w:val="none"/>
                <w14:textFill>
                  <w14:solidFill>
                    <w14:schemeClr w14:val="tx1"/>
                  </w14:solidFill>
                </w14:textFill>
              </w:rPr>
              <w:t>就</w:t>
            </w:r>
            <w:r>
              <w:rPr>
                <w:rFonts w:hint="eastAsia" w:ascii="宋体" w:hAnsi="宋体" w:eastAsia="宋体" w:cs="宋体"/>
                <w:color w:val="000000" w:themeColor="text1"/>
                <w:sz w:val="24"/>
                <w:szCs w:val="24"/>
                <w:highlight w:val="none"/>
                <w:u w:val="single"/>
                <w14:textFill>
                  <w14:solidFill>
                    <w14:schemeClr w14:val="tx1"/>
                  </w14:solidFill>
                </w14:textFill>
              </w:rPr>
              <w:t>桂林市教育科学研究所2025年期末质量检测试题命题项目</w:t>
            </w:r>
            <w:r>
              <w:rPr>
                <w:rFonts w:hint="eastAsia" w:ascii="宋体" w:hAnsi="宋体" w:eastAsia="宋体" w:cs="宋体"/>
                <w:color w:val="000000" w:themeColor="text1"/>
                <w:sz w:val="24"/>
                <w:szCs w:val="24"/>
                <w:highlight w:val="none"/>
                <w14:textFill>
                  <w14:solidFill>
                    <w14:schemeClr w14:val="tx1"/>
                  </w14:solidFill>
                </w14:textFill>
              </w:rPr>
              <w:t>进行竞争性磋商采购，</w:t>
            </w:r>
            <w:r>
              <w:rPr>
                <w:rFonts w:hint="eastAsia" w:ascii="宋体" w:hAnsi="宋体" w:eastAsia="宋体" w:cs="宋体"/>
                <w:color w:val="000000" w:themeColor="text1"/>
                <w:sz w:val="24"/>
                <w:highlight w:val="none"/>
                <w14:textFill>
                  <w14:solidFill>
                    <w14:schemeClr w14:val="tx1"/>
                  </w14:solidFill>
                </w14:textFill>
              </w:rPr>
              <w:t>欢迎符合条件的供应商</w:t>
            </w:r>
            <w:r>
              <w:rPr>
                <w:rFonts w:hint="eastAsia" w:ascii="宋体" w:hAnsi="宋体" w:eastAsia="宋体" w:cs="宋体"/>
                <w:color w:val="000000" w:themeColor="text1"/>
                <w:sz w:val="24"/>
                <w:highlight w:val="none"/>
                <w:lang w:eastAsia="zh-CN"/>
                <w14:textFill>
                  <w14:solidFill>
                    <w14:schemeClr w14:val="tx1"/>
                  </w14:solidFill>
                </w14:textFill>
              </w:rPr>
              <w:t>前来</w:t>
            </w:r>
            <w:r>
              <w:rPr>
                <w:rFonts w:hint="eastAsia" w:ascii="宋体" w:hAnsi="宋体" w:eastAsia="宋体" w:cs="宋体"/>
                <w:color w:val="000000" w:themeColor="text1"/>
                <w:sz w:val="24"/>
                <w:highlight w:val="none"/>
                <w14:textFill>
                  <w14:solidFill>
                    <w14:schemeClr w14:val="tx1"/>
                  </w14:solidFill>
                </w14:textFill>
              </w:rPr>
              <w:t>参加磋商活动，并于</w:t>
            </w:r>
            <w:r>
              <w:rPr>
                <w:rFonts w:hint="eastAsia" w:ascii="宋体" w:hAnsi="宋体" w:cs="宋体"/>
                <w:color w:val="000000" w:themeColor="text1"/>
                <w:sz w:val="24"/>
                <w:highlight w:val="none"/>
                <w:lang w:eastAsia="zh-CN"/>
                <w14:textFill>
                  <w14:solidFill>
                    <w14:schemeClr w14:val="tx1"/>
                  </w14:solidFill>
                </w14:textFill>
              </w:rPr>
              <w:t>2025年6月16日上午9时30分</w:t>
            </w:r>
            <w:r>
              <w:rPr>
                <w:rFonts w:hint="eastAsia" w:ascii="宋体" w:hAnsi="宋体" w:eastAsia="宋体" w:cs="宋体"/>
                <w:color w:val="000000" w:themeColor="text1"/>
                <w:sz w:val="24"/>
                <w:highlight w:val="none"/>
                <w14:textFill>
                  <w14:solidFill>
                    <w14:schemeClr w14:val="tx1"/>
                  </w14:solidFill>
                </w14:textFill>
              </w:rPr>
              <w:t>前递交响应文件。</w:t>
            </w:r>
            <w:r>
              <w:rPr>
                <w:rFonts w:hint="eastAsia" w:ascii="宋体" w:hAnsi="宋体" w:eastAsia="宋体" w:cs="宋体"/>
                <w:color w:val="000000" w:themeColor="text1"/>
                <w:sz w:val="24"/>
                <w:szCs w:val="24"/>
                <w:highlight w:val="none"/>
                <w14:textFill>
                  <w14:solidFill>
                    <w14:schemeClr w14:val="tx1"/>
                  </w14:solidFill>
                </w14:textFill>
              </w:rPr>
              <w:t>现将本次竞争性磋商的有关事项公告如下：</w:t>
            </w:r>
          </w:p>
        </w:tc>
      </w:tr>
    </w:tbl>
    <w:p w14:paraId="531E30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9" w:name="_Toc35393798"/>
      <w:bookmarkStart w:id="10" w:name="_Toc28359089"/>
      <w:bookmarkStart w:id="11" w:name="_Toc28359012"/>
      <w:bookmarkStart w:id="12" w:name="_Toc35393629"/>
      <w:r>
        <w:rPr>
          <w:rFonts w:hint="eastAsia" w:ascii="宋体" w:hAnsi="宋体" w:eastAsia="宋体" w:cs="宋体"/>
          <w:color w:val="000000" w:themeColor="text1"/>
          <w:sz w:val="24"/>
          <w:highlight w:val="none"/>
          <w14:textFill>
            <w14:solidFill>
              <w14:schemeClr w14:val="tx1"/>
            </w14:solidFill>
          </w14:textFill>
        </w:rPr>
        <w:t>一、项目基本情况</w:t>
      </w:r>
      <w:bookmarkEnd w:id="9"/>
      <w:bookmarkEnd w:id="10"/>
      <w:bookmarkEnd w:id="11"/>
      <w:bookmarkEnd w:id="12"/>
    </w:p>
    <w:p w14:paraId="40C7CA2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bookmarkStart w:id="13" w:name="OLE_LINK27"/>
      <w:r>
        <w:rPr>
          <w:rFonts w:hint="eastAsia" w:ascii="宋体" w:hAnsi="宋体" w:eastAsia="宋体" w:cs="宋体"/>
          <w:color w:val="000000" w:themeColor="text1"/>
          <w:sz w:val="24"/>
          <w:highlight w:val="none"/>
          <w:lang w:eastAsia="zh-CN"/>
          <w14:textFill>
            <w14:solidFill>
              <w14:schemeClr w14:val="tx1"/>
            </w14:solidFill>
          </w14:textFill>
        </w:rPr>
        <w:t>GLZC2025-C3-990</w:t>
      </w:r>
      <w:r>
        <w:rPr>
          <w:rFonts w:hint="eastAsia" w:ascii="宋体" w:hAnsi="宋体" w:eastAsia="宋体" w:cs="宋体"/>
          <w:color w:val="000000" w:themeColor="text1"/>
          <w:sz w:val="24"/>
          <w:highlight w:val="none"/>
          <w:lang w:val="en-US" w:eastAsia="zh-CN"/>
          <w14:textFill>
            <w14:solidFill>
              <w14:schemeClr w14:val="tx1"/>
            </w14:solidFill>
          </w14:textFill>
        </w:rPr>
        <w:t>193</w:t>
      </w:r>
      <w:r>
        <w:rPr>
          <w:rFonts w:hint="eastAsia" w:ascii="宋体" w:hAnsi="宋体" w:eastAsia="宋体" w:cs="宋体"/>
          <w:color w:val="000000" w:themeColor="text1"/>
          <w:sz w:val="24"/>
          <w:highlight w:val="none"/>
          <w:lang w:eastAsia="zh-CN"/>
          <w14:textFill>
            <w14:solidFill>
              <w14:schemeClr w14:val="tx1"/>
            </w14:solidFill>
          </w14:textFill>
        </w:rPr>
        <w:t>-GLSZ</w:t>
      </w:r>
    </w:p>
    <w:p w14:paraId="2BC790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000000" w:themeColor="text1"/>
          <w:sz w:val="24"/>
          <w:highlight w:val="yellow"/>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桂林市教育科学研究所2025年期末质量检测试题命题项目</w:t>
      </w:r>
    </w:p>
    <w:bookmarkEnd w:id="13"/>
    <w:p w14:paraId="6CFEF1A6">
      <w:pPr>
        <w:spacing w:line="24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14:paraId="2A60836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预算金额：</w:t>
      </w:r>
      <w:r>
        <w:rPr>
          <w:rFonts w:hint="eastAsia" w:ascii="宋体" w:hAnsi="宋体" w:cs="宋体"/>
          <w:color w:val="000000" w:themeColor="text1"/>
          <w:sz w:val="24"/>
          <w:highlight w:val="none"/>
          <w:lang w:val="en-US" w:eastAsia="zh-CN"/>
          <w14:textFill>
            <w14:solidFill>
              <w14:schemeClr w14:val="tx1"/>
            </w14:solidFill>
          </w14:textFill>
        </w:rPr>
        <w:t>预算金额</w:t>
      </w:r>
      <w:r>
        <w:rPr>
          <w:rFonts w:hint="eastAsia" w:ascii="宋体" w:hAnsi="宋体" w:cs="宋体"/>
          <w:b w:val="0"/>
          <w:bCs w:val="0"/>
          <w:color w:val="000000" w:themeColor="text1"/>
          <w:sz w:val="24"/>
          <w:highlight w:val="none"/>
          <w:lang w:eastAsia="zh-CN"/>
          <w14:textFill>
            <w14:solidFill>
              <w14:schemeClr w14:val="tx1"/>
            </w14:solidFill>
          </w14:textFill>
        </w:rPr>
        <w:t>人民币</w:t>
      </w:r>
      <w:r>
        <w:rPr>
          <w:rFonts w:hint="eastAsia" w:ascii="宋体" w:hAnsi="宋体" w:cs="宋体"/>
          <w:b w:val="0"/>
          <w:bCs w:val="0"/>
          <w:color w:val="000000" w:themeColor="text1"/>
          <w:sz w:val="24"/>
          <w:highlight w:val="none"/>
          <w:lang w:val="en-US" w:eastAsia="zh-CN"/>
          <w14:textFill>
            <w14:solidFill>
              <w14:schemeClr w14:val="tx1"/>
            </w14:solidFill>
          </w14:textFill>
        </w:rPr>
        <w:t>陆拾</w:t>
      </w:r>
      <w:r>
        <w:rPr>
          <w:rFonts w:hint="eastAsia" w:ascii="宋体" w:hAnsi="宋体" w:cs="宋体"/>
          <w:b w:val="0"/>
          <w:bCs w:val="0"/>
          <w:color w:val="000000" w:themeColor="text1"/>
          <w:sz w:val="24"/>
          <w:highlight w:val="none"/>
          <w:lang w:eastAsia="zh-CN"/>
          <w14:textFill>
            <w14:solidFill>
              <w14:schemeClr w14:val="tx1"/>
            </w14:solidFill>
          </w14:textFill>
        </w:rPr>
        <w:t>万元整(¥</w:t>
      </w:r>
      <w:r>
        <w:rPr>
          <w:rFonts w:hint="eastAsia" w:ascii="宋体" w:hAnsi="宋体" w:cs="宋体"/>
          <w:b w:val="0"/>
          <w:bCs w:val="0"/>
          <w:color w:val="000000" w:themeColor="text1"/>
          <w:sz w:val="24"/>
          <w:highlight w:val="none"/>
          <w:lang w:val="en-US" w:eastAsia="zh-CN"/>
          <w14:textFill>
            <w14:solidFill>
              <w14:schemeClr w14:val="tx1"/>
            </w14:solidFill>
          </w14:textFill>
        </w:rPr>
        <w:t>600000</w:t>
      </w:r>
      <w:r>
        <w:rPr>
          <w:rFonts w:hint="eastAsia" w:ascii="宋体" w:hAnsi="宋体" w:cs="宋体"/>
          <w:b w:val="0"/>
          <w:bCs w:val="0"/>
          <w:color w:val="000000" w:themeColor="text1"/>
          <w:sz w:val="24"/>
          <w:highlight w:val="none"/>
          <w:lang w:eastAsia="zh-CN"/>
          <w14:textFill>
            <w14:solidFill>
              <w14:schemeClr w14:val="tx1"/>
            </w14:solidFill>
          </w14:textFill>
        </w:rPr>
        <w:t>.00元)，最高限价：人民币伍拾捌万肆仟元整（¥</w:t>
      </w:r>
      <w:r>
        <w:rPr>
          <w:rFonts w:hint="eastAsia" w:ascii="宋体" w:hAnsi="宋体" w:cs="宋体"/>
          <w:b w:val="0"/>
          <w:bCs w:val="0"/>
          <w:color w:val="000000" w:themeColor="text1"/>
          <w:sz w:val="24"/>
          <w:highlight w:val="none"/>
          <w:lang w:val="en-US" w:eastAsia="zh-CN"/>
          <w14:textFill>
            <w14:solidFill>
              <w14:schemeClr w14:val="tx1"/>
            </w14:solidFill>
          </w14:textFill>
        </w:rPr>
        <w:t>584000</w:t>
      </w:r>
      <w:r>
        <w:rPr>
          <w:rFonts w:hint="eastAsia" w:ascii="宋体" w:hAnsi="宋体" w:cs="宋体"/>
          <w:b w:val="0"/>
          <w:bCs w:val="0"/>
          <w:color w:val="000000" w:themeColor="text1"/>
          <w:sz w:val="24"/>
          <w:highlight w:val="none"/>
          <w:lang w:eastAsia="zh-CN"/>
          <w14:textFill>
            <w14:solidFill>
              <w14:schemeClr w14:val="tx1"/>
            </w14:solidFill>
          </w14:textFill>
        </w:rPr>
        <w:t>.00）。</w:t>
      </w:r>
    </w:p>
    <w:p w14:paraId="0F71082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w:t>
      </w:r>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14:paraId="03D9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003A3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项号</w:t>
            </w:r>
          </w:p>
        </w:tc>
        <w:tc>
          <w:tcPr>
            <w:tcW w:w="3319" w:type="dxa"/>
            <w:tcBorders>
              <w:top w:val="single" w:color="auto" w:sz="4" w:space="0"/>
              <w:left w:val="nil"/>
              <w:bottom w:val="single" w:color="auto" w:sz="4" w:space="0"/>
              <w:right w:val="single" w:color="auto" w:sz="4" w:space="0"/>
            </w:tcBorders>
            <w:vAlign w:val="center"/>
          </w:tcPr>
          <w:p w14:paraId="3512CD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vAlign w:val="center"/>
          </w:tcPr>
          <w:p w14:paraId="20C56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vAlign w:val="center"/>
          </w:tcPr>
          <w:p w14:paraId="65E2D924">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vAlign w:val="center"/>
          </w:tcPr>
          <w:p w14:paraId="1EE360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项目要求及</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需求</w:t>
            </w:r>
          </w:p>
        </w:tc>
      </w:tr>
      <w:tr w14:paraId="641E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14:paraId="49BA1F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3319" w:type="dxa"/>
            <w:tcBorders>
              <w:top w:val="single" w:color="auto" w:sz="4" w:space="0"/>
              <w:left w:val="nil"/>
              <w:bottom w:val="single" w:color="auto" w:sz="4" w:space="0"/>
              <w:right w:val="single" w:color="auto" w:sz="4" w:space="0"/>
            </w:tcBorders>
            <w:vAlign w:val="center"/>
          </w:tcPr>
          <w:p w14:paraId="1F874D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val="en-US" w:eastAsia="zh-CN"/>
                <w14:textFill>
                  <w14:solidFill>
                    <w14:schemeClr w14:val="tx1"/>
                  </w14:solidFill>
                </w14:textFill>
              </w:rPr>
              <w:t>桂林市教育科学研究所2025年期末质量检测试题命题项目</w:t>
            </w:r>
          </w:p>
        </w:tc>
        <w:tc>
          <w:tcPr>
            <w:tcW w:w="725" w:type="dxa"/>
            <w:tcBorders>
              <w:top w:val="single" w:color="auto" w:sz="4" w:space="0"/>
              <w:left w:val="nil"/>
              <w:bottom w:val="single" w:color="auto" w:sz="4" w:space="0"/>
              <w:right w:val="single" w:color="auto" w:sz="4" w:space="0"/>
            </w:tcBorders>
            <w:vAlign w:val="center"/>
          </w:tcPr>
          <w:p w14:paraId="22494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63" w:type="dxa"/>
            <w:tcBorders>
              <w:top w:val="single" w:color="auto" w:sz="4" w:space="0"/>
              <w:left w:val="nil"/>
              <w:bottom w:val="single" w:color="auto" w:sz="4" w:space="0"/>
              <w:right w:val="single" w:color="auto" w:sz="4" w:space="0"/>
            </w:tcBorders>
            <w:vAlign w:val="center"/>
          </w:tcPr>
          <w:p w14:paraId="2E5B7F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w:t>
            </w:r>
          </w:p>
        </w:tc>
        <w:tc>
          <w:tcPr>
            <w:tcW w:w="2876" w:type="dxa"/>
            <w:tcBorders>
              <w:top w:val="single" w:color="auto" w:sz="4" w:space="0"/>
              <w:left w:val="nil"/>
              <w:bottom w:val="single" w:color="auto" w:sz="4" w:space="0"/>
              <w:right w:val="single" w:color="auto" w:sz="4" w:space="0"/>
            </w:tcBorders>
            <w:vAlign w:val="center"/>
          </w:tcPr>
          <w:p w14:paraId="1B3254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bookmarkStart w:id="14" w:name="OLE_LINK12"/>
            <w:r>
              <w:rPr>
                <w:rFonts w:hint="eastAsia" w:ascii="宋体" w:hAnsi="宋体" w:eastAsia="宋体" w:cs="宋体"/>
                <w:color w:val="000000" w:themeColor="text1"/>
                <w:sz w:val="24"/>
                <w:highlight w:val="none"/>
                <w14:textFill>
                  <w14:solidFill>
                    <w14:schemeClr w14:val="tx1"/>
                  </w14:solidFill>
                </w14:textFill>
              </w:rPr>
              <w:t>详见竞争性磋商文件</w:t>
            </w:r>
            <w:bookmarkEnd w:id="14"/>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tc>
      </w:tr>
    </w:tbl>
    <w:p w14:paraId="7DF059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采购需求的详细内容，详见竞争性磋商文件。</w:t>
      </w:r>
    </w:p>
    <w:p w14:paraId="1F7E5D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自合同签订之日起至服务期满。</w:t>
      </w:r>
    </w:p>
    <w:p w14:paraId="4E71B9F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本项目不接受联合体参与磋商。</w:t>
      </w:r>
    </w:p>
    <w:p w14:paraId="7D6F64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15" w:name="_Toc35393799"/>
      <w:bookmarkStart w:id="16" w:name="_Toc35393630"/>
      <w:bookmarkStart w:id="17" w:name="_Toc28359013"/>
      <w:bookmarkStart w:id="18" w:name="_Toc28359090"/>
      <w:r>
        <w:rPr>
          <w:rFonts w:hint="eastAsia" w:ascii="宋体" w:hAnsi="宋体" w:eastAsia="宋体" w:cs="宋体"/>
          <w:color w:val="000000" w:themeColor="text1"/>
          <w:sz w:val="24"/>
          <w:highlight w:val="none"/>
          <w14:textFill>
            <w14:solidFill>
              <w14:schemeClr w14:val="tx1"/>
            </w14:solidFill>
          </w14:textFill>
        </w:rPr>
        <w:t>二、申请人的资格要求：</w:t>
      </w:r>
      <w:bookmarkEnd w:id="15"/>
      <w:bookmarkEnd w:id="16"/>
      <w:bookmarkEnd w:id="17"/>
      <w:bookmarkEnd w:id="18"/>
    </w:p>
    <w:p w14:paraId="4F20BD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14:paraId="395417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0E75FE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bookmarkStart w:id="19" w:name="_Toc28359091"/>
      <w:bookmarkStart w:id="20" w:name="_Toc28359014"/>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bookmarkStart w:id="21" w:name="OLE_LINK14"/>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eastAsia="宋体" w:cs="宋体"/>
          <w:color w:val="000000" w:themeColor="text1"/>
          <w:sz w:val="24"/>
          <w:highlight w:val="none"/>
          <w:lang w:eastAsia="zh-CN"/>
          <w14:textFill>
            <w14:solidFill>
              <w14:schemeClr w14:val="tx1"/>
            </w14:solidFill>
          </w14:textFill>
        </w:rPr>
        <w:t>。</w:t>
      </w:r>
      <w:bookmarkEnd w:id="21"/>
    </w:p>
    <w:p w14:paraId="661F81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4.本项目的特定资格要求：</w:t>
      </w:r>
      <w:bookmarkStart w:id="22" w:name="_Toc35393800"/>
      <w:bookmarkStart w:id="23" w:name="_Toc35393631"/>
      <w:r>
        <w:rPr>
          <w:rFonts w:hint="eastAsia" w:ascii="宋体" w:hAnsi="宋体" w:cs="宋体"/>
          <w:b w:val="0"/>
          <w:bCs w:val="0"/>
          <w:color w:val="000000" w:themeColor="text1"/>
          <w:sz w:val="24"/>
          <w:highlight w:val="none"/>
          <w:lang w:val="en-US" w:eastAsia="zh-CN"/>
          <w14:textFill>
            <w14:solidFill>
              <w14:schemeClr w14:val="tx1"/>
            </w14:solidFill>
          </w14:textFill>
        </w:rPr>
        <w:t>无</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p>
    <w:bookmarkEnd w:id="19"/>
    <w:bookmarkEnd w:id="20"/>
    <w:bookmarkEnd w:id="22"/>
    <w:bookmarkEnd w:id="23"/>
    <w:p w14:paraId="0CE18A1B">
      <w:pPr>
        <w:rPr>
          <w:rFonts w:hint="eastAsia" w:ascii="宋体" w:hAnsi="宋体" w:eastAsia="宋体" w:cs="宋体"/>
          <w:color w:val="000000" w:themeColor="text1"/>
          <w:sz w:val="24"/>
          <w:highlight w:val="none"/>
          <w14:textFill>
            <w14:solidFill>
              <w14:schemeClr w14:val="tx1"/>
            </w14:solidFill>
          </w14:textFill>
        </w:rPr>
      </w:pPr>
      <w:bookmarkStart w:id="24" w:name="_Toc35393623"/>
      <w:bookmarkStart w:id="25" w:name="_Toc35393792"/>
      <w:bookmarkStart w:id="26" w:name="_Toc35393636"/>
      <w:bookmarkStart w:id="27" w:name="_Toc35393805"/>
      <w:bookmarkStart w:id="28" w:name="_Toc28359095"/>
      <w:bookmarkStart w:id="29" w:name="_Toc28359018"/>
      <w:r>
        <w:rPr>
          <w:rFonts w:hint="eastAsia" w:ascii="宋体" w:hAnsi="宋体" w:eastAsia="宋体" w:cs="宋体"/>
          <w:color w:val="000000" w:themeColor="text1"/>
          <w:sz w:val="24"/>
          <w:highlight w:val="none"/>
          <w14:textFill>
            <w14:solidFill>
              <w14:schemeClr w14:val="tx1"/>
            </w14:solidFill>
          </w14:textFill>
        </w:rPr>
        <w:t>三、获取</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w:t>
      </w:r>
      <w:bookmarkEnd w:id="24"/>
      <w:bookmarkEnd w:id="25"/>
    </w:p>
    <w:p w14:paraId="077BD5D2">
      <w:p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文件获取时间：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lang w:eastAsia="zh-CN"/>
          <w14:textFill>
            <w14:solidFill>
              <w14:schemeClr w14:val="tx1"/>
            </w14:solidFill>
          </w14:textFill>
        </w:rPr>
        <w:t>2025年6月16日上午9时30分</w:t>
      </w:r>
      <w:r>
        <w:rPr>
          <w:rFonts w:hint="eastAsia" w:ascii="宋体" w:hAnsi="宋体" w:eastAsia="宋体" w:cs="宋体"/>
          <w:color w:val="000000" w:themeColor="text1"/>
          <w:sz w:val="24"/>
          <w:highlight w:val="none"/>
          <w14:textFill>
            <w14:solidFill>
              <w14:schemeClr w14:val="tx1"/>
            </w14:solidFill>
          </w14:textFill>
        </w:rPr>
        <w:t>。</w:t>
      </w:r>
    </w:p>
    <w:p w14:paraId="74D02C44">
      <w:pPr>
        <w:pStyle w:val="22"/>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2.地点及方式：潜在供应商请</w:t>
      </w:r>
      <w:r>
        <w:rPr>
          <w:rFonts w:hint="eastAsia" w:ascii="宋体" w:hAnsi="宋体" w:cs="宋体"/>
          <w:color w:val="000000" w:themeColor="text1"/>
          <w:sz w:val="24"/>
          <w:highlight w:val="none"/>
          <w:lang w:val="en-US" w:eastAsia="zh-CN"/>
          <w14:textFill>
            <w14:solidFill>
              <w14:schemeClr w14:val="tx1"/>
            </w14:solidFill>
          </w14:textFill>
        </w:rPr>
        <w:t>登录广西政府采购云平台获取该项目采购文件。</w:t>
      </w:r>
    </w:p>
    <w:p w14:paraId="0EE8480E">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3.采购文件售价：本项目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文件不收取费用。</w:t>
      </w:r>
    </w:p>
    <w:p w14:paraId="6C67890B">
      <w:pPr>
        <w:rPr>
          <w:rFonts w:hint="eastAsia" w:ascii="宋体" w:hAnsi="宋体" w:eastAsia="宋体" w:cs="宋体"/>
          <w:color w:val="000000" w:themeColor="text1"/>
          <w:sz w:val="24"/>
          <w:highlight w:val="none"/>
          <w14:textFill>
            <w14:solidFill>
              <w14:schemeClr w14:val="tx1"/>
            </w14:solidFill>
          </w14:textFill>
        </w:rPr>
      </w:pPr>
      <w:bookmarkStart w:id="30" w:name="_Toc28359082"/>
      <w:bookmarkStart w:id="31" w:name="_Toc28359005"/>
      <w:bookmarkStart w:id="32" w:name="_Toc35393793"/>
      <w:bookmarkStart w:id="33" w:name="_Toc35393624"/>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bookmarkEnd w:id="30"/>
      <w:bookmarkEnd w:id="31"/>
      <w:r>
        <w:rPr>
          <w:rFonts w:hint="eastAsia" w:ascii="宋体" w:hAnsi="宋体" w:eastAsia="宋体" w:cs="宋体"/>
          <w:color w:val="000000" w:themeColor="text1"/>
          <w:sz w:val="24"/>
          <w:highlight w:val="none"/>
          <w:lang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时间和地点</w:t>
      </w:r>
      <w:bookmarkEnd w:id="32"/>
      <w:bookmarkEnd w:id="33"/>
    </w:p>
    <w:p w14:paraId="1AAA947E">
      <w:pPr>
        <w:spacing w:line="3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截止</w:t>
      </w: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2025年6月16日上午9时30分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p>
    <w:p w14:paraId="61BEC90D">
      <w:pPr>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点：通过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w:t>
      </w:r>
    </w:p>
    <w:p w14:paraId="19126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五、开启</w:t>
      </w:r>
    </w:p>
    <w:p w14:paraId="492A4A55">
      <w:pPr>
        <w:spacing w:line="340" w:lineRule="exact"/>
        <w:ind w:firstLine="5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2025年6月16日上午9时30分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北京时间）截标后。</w:t>
      </w:r>
    </w:p>
    <w:p w14:paraId="3A1C6F12">
      <w:pPr>
        <w:spacing w:line="340" w:lineRule="exact"/>
        <w:ind w:firstLine="57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lang w:eastAsia="zh-CN"/>
          <w14:textFill>
            <w14:solidFill>
              <w14:schemeClr w14:val="tx1"/>
            </w14:solidFill>
          </w14:textFill>
        </w:rPr>
        <w:t>桂林市公共资源交易中心</w:t>
      </w:r>
      <w:r>
        <w:rPr>
          <w:rFonts w:hint="eastAsia" w:ascii="宋体" w:hAnsi="宋体" w:cs="宋体"/>
          <w:color w:val="000000" w:themeColor="text1"/>
          <w:sz w:val="24"/>
          <w:highlight w:val="none"/>
          <w:u w:val="single"/>
          <w:lang w:val="en-US" w:eastAsia="zh-CN"/>
          <w14:textFill>
            <w14:solidFill>
              <w14:schemeClr w14:val="tx1"/>
            </w14:solidFill>
          </w14:textFill>
        </w:rPr>
        <w:t>4号</w:t>
      </w:r>
      <w:r>
        <w:rPr>
          <w:rFonts w:hint="eastAsia" w:ascii="宋体" w:hAnsi="宋体" w:eastAsia="宋体" w:cs="宋体"/>
          <w:color w:val="000000" w:themeColor="text1"/>
          <w:sz w:val="24"/>
          <w:highlight w:val="none"/>
          <w:lang w:val="en-US" w:eastAsia="zh-CN"/>
          <w14:textFill>
            <w14:solidFill>
              <w14:schemeClr w14:val="tx1"/>
            </w14:solidFill>
          </w14:textFill>
        </w:rPr>
        <w:t>开标</w:t>
      </w:r>
      <w:r>
        <w:rPr>
          <w:rFonts w:hint="eastAsia" w:ascii="宋体" w:hAnsi="宋体" w:cs="宋体"/>
          <w:color w:val="000000" w:themeColor="text1"/>
          <w:sz w:val="24"/>
          <w:highlight w:val="none"/>
          <w:lang w:val="en-US" w:eastAsia="zh-CN"/>
          <w14:textFill>
            <w14:solidFill>
              <w14:schemeClr w14:val="tx1"/>
            </w14:solidFill>
          </w14:textFill>
        </w:rPr>
        <w:t>仓</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实行在线解密开启。</w:t>
      </w:r>
    </w:p>
    <w:p w14:paraId="41C8B16C">
      <w:pPr>
        <w:rPr>
          <w:rFonts w:hint="eastAsia" w:ascii="宋体" w:hAnsi="宋体" w:eastAsia="宋体" w:cs="宋体"/>
          <w:color w:val="000000" w:themeColor="text1"/>
          <w:sz w:val="24"/>
          <w:highlight w:val="none"/>
          <w14:textFill>
            <w14:solidFill>
              <w14:schemeClr w14:val="tx1"/>
            </w14:solidFill>
          </w14:textFill>
        </w:rPr>
      </w:pPr>
      <w:bookmarkStart w:id="34" w:name="_Toc28359007"/>
      <w:bookmarkStart w:id="35" w:name="_Toc35393625"/>
      <w:bookmarkStart w:id="36" w:name="_Toc28359084"/>
      <w:bookmarkStart w:id="37" w:name="_Toc35393794"/>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、公告期限</w:t>
      </w:r>
      <w:bookmarkEnd w:id="34"/>
      <w:bookmarkEnd w:id="35"/>
      <w:bookmarkEnd w:id="36"/>
      <w:bookmarkEnd w:id="37"/>
    </w:p>
    <w:p w14:paraId="393FBCBD">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个工作日。</w:t>
      </w:r>
    </w:p>
    <w:p w14:paraId="0B896380">
      <w:pPr>
        <w:rPr>
          <w:rFonts w:hint="eastAsia" w:ascii="宋体" w:hAnsi="宋体" w:eastAsia="宋体" w:cs="宋体"/>
          <w:color w:val="000000" w:themeColor="text1"/>
          <w:sz w:val="24"/>
          <w:highlight w:val="none"/>
          <w14:textFill>
            <w14:solidFill>
              <w14:schemeClr w14:val="tx1"/>
            </w14:solidFill>
          </w14:textFill>
        </w:rPr>
      </w:pPr>
      <w:bookmarkStart w:id="38" w:name="_Toc35393626"/>
      <w:bookmarkStart w:id="39" w:name="_Toc35393795"/>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、其他补充事宜</w:t>
      </w:r>
      <w:bookmarkEnd w:id="38"/>
      <w:bookmarkEnd w:id="39"/>
    </w:p>
    <w:p w14:paraId="2A3493A3">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本项目无需缴纳</w:t>
      </w:r>
      <w:r>
        <w:rPr>
          <w:rFonts w:hint="eastAsia" w:ascii="宋体" w:hAnsi="宋体" w:eastAsia="宋体" w:cs="宋体"/>
          <w:b/>
          <w:bCs/>
          <w:color w:val="000000" w:themeColor="text1"/>
          <w:sz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保证金。</w:t>
      </w:r>
    </w:p>
    <w:p w14:paraId="126CD5AD">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本项目信息发布媒体：</w:t>
      </w:r>
    </w:p>
    <w:p w14:paraId="1C0B6FBE">
      <w:pPr>
        <w:spacing w:line="380" w:lineRule="exact"/>
        <w:ind w:firstLine="48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桂林市政府采购网（zfcg.czj.guilin.gov.cn）</w:t>
      </w:r>
    </w:p>
    <w:p w14:paraId="6F8AA174">
      <w:pPr>
        <w:spacing w:line="380" w:lineRule="exact"/>
        <w:ind w:firstLine="480" w:firstLineChars="200"/>
      </w:pPr>
      <w:r>
        <w:rPr>
          <w:rFonts w:hint="eastAsia" w:ascii="宋体" w:hAnsi="宋体" w:eastAsia="宋体" w:cs="宋体"/>
          <w:color w:val="000000" w:themeColor="text1"/>
          <w:sz w:val="24"/>
          <w:highlight w:val="none"/>
          <w14:textFill>
            <w14:solidFill>
              <w14:schemeClr w14:val="tx1"/>
            </w14:solidFill>
          </w14:textFill>
        </w:rPr>
        <w:t>广西壮族自治区政府采购网（www.ccgp-guangxi.gov.cn</w:t>
      </w:r>
      <w:r>
        <w:rPr>
          <w:rFonts w:hint="eastAsia" w:ascii="宋体" w:hAnsi="宋体" w:eastAsia="宋体" w:cs="宋体"/>
          <w:color w:val="000000" w:themeColor="text1"/>
          <w:sz w:val="24"/>
          <w:highlight w:val="none"/>
          <w:lang w:eastAsia="zh-CN"/>
          <w14:textFill>
            <w14:solidFill>
              <w14:schemeClr w14:val="tx1"/>
            </w14:solidFill>
          </w14:textFill>
        </w:rPr>
        <w:t>）</w:t>
      </w:r>
    </w:p>
    <w:p w14:paraId="2F0AED40">
      <w:pPr>
        <w:spacing w:line="38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中国政府采购网（www.ccgp.gov.cn/）</w:t>
      </w:r>
    </w:p>
    <w:p w14:paraId="5B956AA0">
      <w:pPr>
        <w:numPr>
          <w:ilvl w:val="0"/>
          <w:numId w:val="0"/>
        </w:numPr>
        <w:spacing w:line="38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响应文件解密时间：截标时间后30分钟内（</w:t>
      </w:r>
      <w:r>
        <w:rPr>
          <w:rFonts w:hint="eastAsia" w:ascii="宋体" w:hAnsi="宋体" w:cs="宋体"/>
          <w:color w:val="000000" w:themeColor="text1"/>
          <w:sz w:val="24"/>
          <w:highlight w:val="none"/>
          <w:lang w:eastAsia="zh-CN"/>
          <w14:textFill>
            <w14:solidFill>
              <w14:schemeClr w14:val="tx1"/>
            </w14:solidFill>
          </w14:textFill>
        </w:rPr>
        <w:t>2025年6月16日上午9时30分</w:t>
      </w:r>
      <w:r>
        <w:rPr>
          <w:rFonts w:hint="eastAsia" w:ascii="宋体" w:hAnsi="宋体" w:eastAsia="宋体" w:cs="宋体"/>
          <w:color w:val="000000" w:themeColor="text1"/>
          <w:sz w:val="24"/>
          <w:highlight w:val="none"/>
          <w:lang w:eastAsia="zh-CN"/>
          <w14:textFill>
            <w14:solidFill>
              <w14:schemeClr w14:val="tx1"/>
            </w14:solidFill>
          </w14:textFill>
        </w:rPr>
        <w:t>至</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lang w:eastAsia="zh-CN"/>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lang w:eastAsia="zh-CN"/>
          <w14:textFill>
            <w14:solidFill>
              <w14:schemeClr w14:val="tx1"/>
            </w14:solidFill>
          </w14:textFill>
        </w:rPr>
        <w:t>分</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供应商可以登录</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，用“项目采购-开标评标”功能进行解密</w:t>
      </w:r>
      <w:r>
        <w:rPr>
          <w:rFonts w:hint="eastAsia" w:ascii="宋体" w:hAnsi="宋体" w:eastAsia="宋体" w:cs="宋体"/>
          <w:color w:val="000000" w:themeColor="text1"/>
          <w:sz w:val="24"/>
          <w:highlight w:val="none"/>
          <w:lang w:val="en-US" w:eastAsia="zh-CN"/>
          <w14:textFill>
            <w14:solidFill>
              <w14:schemeClr w14:val="tx1"/>
            </w14:solidFill>
          </w14:textFill>
        </w:rPr>
        <w:t>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426BAE5F">
      <w:pPr>
        <w:numPr>
          <w:ilvl w:val="0"/>
          <w:numId w:val="0"/>
        </w:numPr>
        <w:spacing w:line="38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注：投标文件网上递交截止时间后，各</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须在解密时限内对上传政采云的投标文件进行解密，所有</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在规定的解密时限内解密完成或解密时限结束后，我中心开启已解密的响应文件。</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超过解密时限未解密的，系统默认自动放弃，造成投标无效的后果由</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自行承担，解密响应文件后，30分钟内在线签字确认，超过时间没有在线签字确认的系统将自动视为供应商认可。</w:t>
      </w:r>
    </w:p>
    <w:p w14:paraId="1DA1EC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八、在线投标响应（电子投标）说明</w:t>
      </w:r>
    </w:p>
    <w:p w14:paraId="185DC98E">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实行在线投标响应（电子投标），供应商需要先安装“政采云电子交易客户端”，并按照本</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文件和</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的要求，通过“政采云电子交易客户端”编制并加密响应文件。供应商未按规定编制并加密的响应文件，</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将予以拒收。</w:t>
      </w:r>
    </w:p>
    <w:p w14:paraId="6BC83E51">
      <w:pPr>
        <w:pStyle w:val="22"/>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“政采云电子交易客户端”请自行前往广西政府采购网下载并安装；电子投标具体操作流程参考《政府采购项目电子交易管理操作指南-供应商》；在使用政采云投标客户端时，建议使用WIN7及以上操作系统,通过</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参与在线投标时如遇平台技术问题详询</w:t>
      </w:r>
      <w:r>
        <w:rPr>
          <w:rFonts w:hint="eastAsia" w:ascii="宋体" w:hAnsi="宋体" w:cs="宋体"/>
          <w:color w:val="000000" w:themeColor="text1"/>
          <w:highlight w:val="none"/>
          <w:lang w:eastAsia="zh-CN"/>
          <w14:textFill>
            <w14:solidFill>
              <w14:schemeClr w14:val="tx1"/>
            </w14:solidFill>
          </w14:textFill>
        </w:rPr>
        <w:t>95763</w:t>
      </w:r>
      <w:r>
        <w:rPr>
          <w:rFonts w:hint="eastAsia" w:ascii="宋体" w:hAnsi="宋体" w:eastAsia="宋体" w:cs="宋体"/>
          <w:color w:val="000000" w:themeColor="text1"/>
          <w:highlight w:val="none"/>
          <w14:textFill>
            <w14:solidFill>
              <w14:schemeClr w14:val="tx1"/>
            </w14:solidFill>
          </w14:textFill>
        </w:rPr>
        <w:t>。</w:t>
      </w:r>
    </w:p>
    <w:p w14:paraId="00B793BC">
      <w:pPr>
        <w:spacing w:line="34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2.为确保网上操作合法、有效和安全，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截止时间前完成在“</w:t>
      </w:r>
      <w:r>
        <w:rPr>
          <w:rFonts w:hint="eastAsia" w:ascii="宋体" w:hAnsi="宋体" w:cs="宋体"/>
          <w:color w:val="000000" w:themeColor="text1"/>
          <w:sz w:val="24"/>
          <w:highlight w:val="none"/>
          <w:lang w:eastAsia="zh-CN"/>
          <w14:textFill>
            <w14:solidFill>
              <w14:schemeClr w14:val="tx1"/>
            </w14:solidFill>
          </w14:textFill>
        </w:rPr>
        <w:t>广西政府采购云</w:t>
      </w:r>
      <w:r>
        <w:rPr>
          <w:rFonts w:hint="eastAsia" w:ascii="宋体" w:hAnsi="宋体" w:eastAsia="宋体" w:cs="宋体"/>
          <w:color w:val="000000" w:themeColor="text1"/>
          <w:sz w:val="24"/>
          <w:highlight w:val="none"/>
          <w14:textFill>
            <w14:solidFill>
              <w14:schemeClr w14:val="tx1"/>
            </w14:solidFill>
          </w14:textFill>
        </w:rPr>
        <w:t>平台”的身份认证，确保在电子投标过程中能够对相关数据电文进行加密和使用电子签章。使用“政采云电子交易客户端”需要提前申领CA数字证书，申领流程请自行前往</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网站进行查阅；</w:t>
      </w:r>
      <w:r>
        <w:rPr>
          <w:rFonts w:hint="eastAsia" w:ascii="宋体" w:hAnsi="宋体" w:eastAsia="宋体" w:cs="宋体"/>
          <w:b/>
          <w:bCs/>
          <w:color w:val="000000" w:themeColor="text1"/>
          <w:sz w:val="24"/>
          <w:highlight w:val="none"/>
          <w14:textFill>
            <w14:solidFill>
              <w14:schemeClr w14:val="tx1"/>
            </w14:solidFill>
          </w14:textFill>
        </w:rPr>
        <w:t>（完成CA数字证书办理预计一周左右，建议供应商获取</w:t>
      </w:r>
      <w:r>
        <w:rPr>
          <w:rFonts w:hint="eastAsia" w:ascii="宋体" w:hAnsi="宋体" w:eastAsia="宋体" w:cs="宋体"/>
          <w:b/>
          <w:bCs/>
          <w:color w:val="000000" w:themeColor="text1"/>
          <w:sz w:val="24"/>
          <w:highlight w:val="none"/>
          <w:lang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文件后立即办理。）</w:t>
      </w:r>
    </w:p>
    <w:p w14:paraId="6697AD0F">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截止时间前，将生成的“电子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响应文件”上传递交至</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截止时间前可以撤回电子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响应文件。补充或者修改电子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截止时间前未完成传输的，视为撤回</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w:t>
      </w:r>
    </w:p>
    <w:p w14:paraId="474F1F20">
      <w:pPr>
        <w:pStyle w:val="22"/>
        <w:ind w:firstLine="480" w:firstLineChars="200"/>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4.本项目需要磋商供应商代表在截标当天截标后，按磋商小组要求及时登陆</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等候在线磋商及提交最后报价。</w:t>
      </w:r>
    </w:p>
    <w:p w14:paraId="02F2E4A3">
      <w:pPr>
        <w:pStyle w:val="22"/>
        <w:ind w:firstLine="480" w:firstLineChars="200"/>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14:paraId="23B057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、凡对本次采购提出询问，请按以下方式联系。</w:t>
      </w:r>
      <w:bookmarkEnd w:id="26"/>
      <w:bookmarkEnd w:id="27"/>
      <w:bookmarkEnd w:id="28"/>
      <w:bookmarkEnd w:id="29"/>
    </w:p>
    <w:p w14:paraId="4C641063">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40" w:name="_Toc35393637"/>
      <w:bookmarkStart w:id="41" w:name="_Toc28359019"/>
      <w:bookmarkStart w:id="42" w:name="_Toc35393806"/>
      <w:bookmarkStart w:id="43" w:name="_Toc28359096"/>
      <w:r>
        <w:rPr>
          <w:rFonts w:hint="eastAsia" w:ascii="宋体" w:hAnsi="宋体" w:eastAsia="宋体" w:cs="宋体"/>
          <w:color w:val="000000" w:themeColor="text1"/>
          <w:sz w:val="24"/>
          <w:highlight w:val="none"/>
          <w14:textFill>
            <w14:solidFill>
              <w14:schemeClr w14:val="tx1"/>
            </w14:solidFill>
          </w14:textFill>
        </w:rPr>
        <w:t>1.采购人信息</w:t>
      </w:r>
      <w:bookmarkEnd w:id="40"/>
      <w:bookmarkEnd w:id="41"/>
      <w:bookmarkEnd w:id="42"/>
      <w:bookmarkEnd w:id="43"/>
    </w:p>
    <w:p w14:paraId="33561424">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bookmarkStart w:id="44" w:name="_Toc28359020"/>
      <w:bookmarkStart w:id="45" w:name="_Toc28359097"/>
      <w:bookmarkStart w:id="46" w:name="_Toc35393638"/>
      <w:bookmarkStart w:id="47" w:name="_Toc35393807"/>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桂林市教育科学研究所 </w:t>
      </w:r>
    </w:p>
    <w:p w14:paraId="7D8AD024">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default" w:ascii="宋体" w:hAnsi="宋体" w:eastAsia="宋体" w:cs="宋体"/>
          <w:color w:val="000000" w:themeColor="text1"/>
          <w:sz w:val="24"/>
          <w:highlight w:val="yellow"/>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广西桂林市临桂区致远路2号</w:t>
      </w:r>
    </w:p>
    <w:p w14:paraId="768E1FCF">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eastAsia="zh-CN"/>
          <w14:textFill>
            <w14:solidFill>
              <w14:schemeClr w14:val="tx1"/>
            </w14:solidFill>
          </w14:textFill>
        </w:rPr>
        <w:t>陈老师</w:t>
      </w:r>
      <w:r>
        <w:rPr>
          <w:rFonts w:hint="eastAsia" w:ascii="宋体" w:hAnsi="宋体"/>
          <w:color w:val="000000" w:themeColor="text1"/>
          <w:sz w:val="24"/>
          <w:highlight w:val="none"/>
          <w:u w:val="single"/>
          <w:lang w:val="en-US" w:eastAsia="zh-CN"/>
          <w14:textFill>
            <w14:solidFill>
              <w14:schemeClr w14:val="tx1"/>
            </w14:solidFill>
          </w14:textFill>
        </w:rPr>
        <w:t xml:space="preserve"> 17776286855 </w:t>
      </w:r>
    </w:p>
    <w:p w14:paraId="0277F390">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w:t>
      </w:r>
      <w:bookmarkEnd w:id="44"/>
      <w:bookmarkEnd w:id="45"/>
      <w:bookmarkEnd w:id="46"/>
      <w:bookmarkEnd w:id="47"/>
    </w:p>
    <w:p w14:paraId="21D02121">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桂林市政府集中采购中心　</w:t>
      </w:r>
    </w:p>
    <w:p w14:paraId="5760EF13">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桂林市临桂区西城中路69号创业大厦西辅楼5楼　</w:t>
      </w:r>
    </w:p>
    <w:p w14:paraId="26F6CD56">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0773-5625</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66</w:t>
      </w:r>
    </w:p>
    <w:p w14:paraId="50B348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48" w:name="_Toc28359098"/>
      <w:bookmarkStart w:id="49" w:name="_Toc35393808"/>
      <w:bookmarkStart w:id="50" w:name="_Toc28359021"/>
      <w:bookmarkStart w:id="51" w:name="_Toc35393639"/>
      <w:r>
        <w:rPr>
          <w:rFonts w:hint="eastAsia" w:ascii="宋体" w:hAnsi="宋体" w:eastAsia="宋体" w:cs="宋体"/>
          <w:color w:val="000000" w:themeColor="text1"/>
          <w:sz w:val="24"/>
          <w:highlight w:val="none"/>
          <w14:textFill>
            <w14:solidFill>
              <w14:schemeClr w14:val="tx1"/>
            </w14:solidFill>
          </w14:textFill>
        </w:rPr>
        <w:t>3.项目联系方式</w:t>
      </w:r>
      <w:bookmarkEnd w:id="48"/>
      <w:bookmarkEnd w:id="49"/>
      <w:bookmarkEnd w:id="50"/>
      <w:bookmarkEnd w:id="51"/>
    </w:p>
    <w:p w14:paraId="2B6F7E5A">
      <w:pPr>
        <w:pStyle w:val="11"/>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hAnsi="宋体" w:cs="宋体"/>
          <w:color w:val="000000" w:themeColor="text1"/>
          <w:sz w:val="24"/>
          <w:szCs w:val="24"/>
          <w:highlight w:val="none"/>
          <w:u w:val="single"/>
          <w:lang w:val="en-US" w:eastAsia="zh-CN"/>
          <w14:textFill>
            <w14:solidFill>
              <w14:schemeClr w14:val="tx1"/>
            </w14:solidFill>
          </w14:textFill>
        </w:rPr>
        <w:t>张工</w:t>
      </w:r>
      <w:r>
        <w:rPr>
          <w:rFonts w:hint="eastAsia" w:hAnsi="宋体" w:cs="宋体"/>
          <w:color w:val="000000" w:themeColor="text1"/>
          <w:sz w:val="24"/>
          <w:szCs w:val="24"/>
          <w:highlight w:val="none"/>
          <w:u w:val="single"/>
          <w:lang w:val="en-US" w:eastAsia="zh-CN"/>
          <w14:textFill>
            <w14:solidFill>
              <w14:schemeClr w14:val="tx1"/>
            </w14:solidFill>
          </w14:textFill>
        </w:rPr>
        <w:tab/>
      </w:r>
    </w:p>
    <w:p w14:paraId="128F47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0773-56251</w:t>
      </w:r>
      <w:r>
        <w:rPr>
          <w:rFonts w:hint="eastAsia" w:ascii="宋体" w:hAnsi="宋体" w:cs="宋体"/>
          <w:color w:val="000000" w:themeColor="text1"/>
          <w:sz w:val="24"/>
          <w:highlight w:val="none"/>
          <w:u w:val="single"/>
          <w:lang w:val="en-US" w:eastAsia="zh-CN"/>
          <w14:textFill>
            <w14:solidFill>
              <w14:schemeClr w14:val="tx1"/>
            </w14:solidFill>
          </w14:textFill>
        </w:rPr>
        <w:t>75</w:t>
      </w:r>
    </w:p>
    <w:p w14:paraId="76778D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4.政府采购监督管理机构</w:t>
      </w:r>
    </w:p>
    <w:p w14:paraId="712864E6">
      <w:pPr>
        <w:spacing w:line="400" w:lineRule="exact"/>
        <w:ind w:firstLine="480" w:firstLineChars="200"/>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lang w:val="en-US" w:eastAsia="zh-CN"/>
          <w14:textFill>
            <w14:solidFill>
              <w14:schemeClr w14:val="tx1"/>
            </w14:solidFill>
          </w14:textFill>
        </w:rPr>
        <w:t>桂林市财政局</w:t>
      </w:r>
    </w:p>
    <w:p w14:paraId="0B1A1C12">
      <w:pPr>
        <w:spacing w:line="40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 xml:space="preserve">0773-2862142 </w:t>
      </w:r>
    </w:p>
    <w:p w14:paraId="2ED486F5">
      <w:pPr>
        <w:pStyle w:val="8"/>
        <w:rPr>
          <w:rFonts w:hint="eastAsia" w:ascii="宋体" w:hAnsi="宋体" w:eastAsia="宋体" w:cs="宋体"/>
          <w:color w:val="000000" w:themeColor="text1"/>
          <w:highlight w:val="none"/>
          <w14:textFill>
            <w14:solidFill>
              <w14:schemeClr w14:val="tx1"/>
            </w14:solidFill>
          </w14:textFill>
        </w:rPr>
      </w:pPr>
    </w:p>
    <w:p w14:paraId="164DC1A2">
      <w:pPr>
        <w:pStyle w:val="8"/>
        <w:rPr>
          <w:rFonts w:hint="eastAsia" w:ascii="宋体" w:hAnsi="宋体" w:eastAsia="宋体" w:cs="宋体"/>
          <w:color w:val="000000" w:themeColor="text1"/>
          <w:highlight w:val="none"/>
          <w14:textFill>
            <w14:solidFill>
              <w14:schemeClr w14:val="tx1"/>
            </w14:solidFill>
          </w14:textFill>
        </w:rPr>
      </w:pPr>
    </w:p>
    <w:p w14:paraId="1CF2B93E">
      <w:pPr>
        <w:pStyle w:val="8"/>
        <w:rPr>
          <w:rFonts w:hint="eastAsia" w:ascii="宋体" w:hAnsi="宋体" w:eastAsia="宋体" w:cs="宋体"/>
          <w:color w:val="000000" w:themeColor="text1"/>
          <w:highlight w:val="none"/>
          <w14:textFill>
            <w14:solidFill>
              <w14:schemeClr w14:val="tx1"/>
            </w14:solidFill>
          </w14:textFill>
        </w:rPr>
      </w:pPr>
    </w:p>
    <w:p w14:paraId="06ECB4A6">
      <w:pPr>
        <w:pStyle w:val="8"/>
        <w:rPr>
          <w:rFonts w:hint="eastAsia" w:ascii="宋体" w:hAnsi="宋体" w:eastAsia="宋体" w:cs="宋体"/>
          <w:color w:val="000000" w:themeColor="text1"/>
          <w:highlight w:val="none"/>
          <w14:textFill>
            <w14:solidFill>
              <w14:schemeClr w14:val="tx1"/>
            </w14:solidFill>
          </w14:textFill>
        </w:rPr>
      </w:pPr>
    </w:p>
    <w:p w14:paraId="1DBC0A9B">
      <w:pPr>
        <w:pStyle w:val="8"/>
        <w:rPr>
          <w:rFonts w:hint="eastAsia" w:ascii="宋体" w:hAnsi="宋体" w:eastAsia="宋体" w:cs="宋体"/>
          <w:color w:val="000000" w:themeColor="text1"/>
          <w:highlight w:val="none"/>
          <w14:textFill>
            <w14:solidFill>
              <w14:schemeClr w14:val="tx1"/>
            </w14:solidFill>
          </w14:textFill>
        </w:rPr>
      </w:pPr>
    </w:p>
    <w:p w14:paraId="45EEE295">
      <w:pPr>
        <w:pStyle w:val="8"/>
        <w:rPr>
          <w:rFonts w:hint="eastAsia" w:ascii="宋体" w:hAnsi="宋体" w:eastAsia="宋体" w:cs="宋体"/>
          <w:color w:val="000000" w:themeColor="text1"/>
          <w:highlight w:val="none"/>
          <w14:textFill>
            <w14:solidFill>
              <w14:schemeClr w14:val="tx1"/>
            </w14:solidFill>
          </w14:textFill>
        </w:rPr>
      </w:pPr>
    </w:p>
    <w:p w14:paraId="20A6AC2E">
      <w:pPr>
        <w:pStyle w:val="8"/>
        <w:rPr>
          <w:rFonts w:hint="eastAsia" w:ascii="宋体" w:hAnsi="宋体" w:eastAsia="宋体" w:cs="宋体"/>
          <w:color w:val="000000" w:themeColor="text1"/>
          <w:highlight w:val="none"/>
          <w14:textFill>
            <w14:solidFill>
              <w14:schemeClr w14:val="tx1"/>
            </w14:solidFill>
          </w14:textFill>
        </w:rPr>
      </w:pPr>
    </w:p>
    <w:p w14:paraId="5D440527">
      <w:pPr>
        <w:pStyle w:val="8"/>
        <w:rPr>
          <w:rFonts w:hint="eastAsia" w:ascii="宋体" w:hAnsi="宋体" w:eastAsia="宋体" w:cs="宋体"/>
          <w:color w:val="000000" w:themeColor="text1"/>
          <w:highlight w:val="none"/>
          <w14:textFill>
            <w14:solidFill>
              <w14:schemeClr w14:val="tx1"/>
            </w14:solidFill>
          </w14:textFill>
        </w:rPr>
      </w:pPr>
    </w:p>
    <w:p w14:paraId="40A30CC8">
      <w:pPr>
        <w:pStyle w:val="8"/>
        <w:rPr>
          <w:rFonts w:hint="eastAsia" w:ascii="宋体" w:hAnsi="宋体" w:eastAsia="宋体" w:cs="宋体"/>
          <w:color w:val="000000" w:themeColor="text1"/>
          <w:highlight w:val="none"/>
          <w14:textFill>
            <w14:solidFill>
              <w14:schemeClr w14:val="tx1"/>
            </w14:solidFill>
          </w14:textFill>
        </w:rPr>
      </w:pPr>
    </w:p>
    <w:p w14:paraId="1039E635">
      <w:pPr>
        <w:pStyle w:val="8"/>
        <w:rPr>
          <w:rFonts w:hint="eastAsia" w:ascii="宋体" w:hAnsi="宋体" w:eastAsia="宋体" w:cs="宋体"/>
          <w:color w:val="000000" w:themeColor="text1"/>
          <w:highlight w:val="none"/>
          <w14:textFill>
            <w14:solidFill>
              <w14:schemeClr w14:val="tx1"/>
            </w14:solidFill>
          </w14:textFill>
        </w:rPr>
      </w:pPr>
    </w:p>
    <w:p w14:paraId="723F6202">
      <w:pPr>
        <w:pStyle w:val="8"/>
        <w:rPr>
          <w:rFonts w:hint="eastAsia" w:ascii="宋体" w:hAnsi="宋体" w:eastAsia="宋体" w:cs="宋体"/>
          <w:color w:val="000000" w:themeColor="text1"/>
          <w:highlight w:val="none"/>
          <w14:textFill>
            <w14:solidFill>
              <w14:schemeClr w14:val="tx1"/>
            </w14:solidFill>
          </w14:textFill>
        </w:rPr>
      </w:pPr>
    </w:p>
    <w:p w14:paraId="0FA3F5A1">
      <w:pPr>
        <w:pStyle w:val="8"/>
        <w:rPr>
          <w:rFonts w:hint="eastAsia" w:ascii="宋体" w:hAnsi="宋体" w:eastAsia="宋体" w:cs="宋体"/>
          <w:color w:val="000000" w:themeColor="text1"/>
          <w:highlight w:val="none"/>
          <w14:textFill>
            <w14:solidFill>
              <w14:schemeClr w14:val="tx1"/>
            </w14:solidFill>
          </w14:textFill>
        </w:rPr>
      </w:pPr>
    </w:p>
    <w:p w14:paraId="05B888D5">
      <w:pPr>
        <w:rPr>
          <w:rFonts w:hint="eastAsia" w:ascii="宋体" w:hAnsi="宋体" w:eastAsia="宋体" w:cs="宋体"/>
          <w:color w:val="000000" w:themeColor="text1"/>
          <w:highlight w:val="none"/>
          <w14:textFill>
            <w14:solidFill>
              <w14:schemeClr w14:val="tx1"/>
            </w14:solidFill>
          </w14:textFill>
        </w:rPr>
      </w:pPr>
    </w:p>
    <w:p w14:paraId="0D72408F">
      <w:pPr>
        <w:pStyle w:val="3"/>
        <w:rPr>
          <w:rFonts w:hint="eastAsia" w:ascii="宋体" w:hAnsi="宋体" w:eastAsia="宋体" w:cs="宋体"/>
          <w:color w:val="000000" w:themeColor="text1"/>
          <w:highlight w:val="none"/>
          <w14:textFill>
            <w14:solidFill>
              <w14:schemeClr w14:val="tx1"/>
            </w14:solidFill>
          </w14:textFill>
        </w:rPr>
      </w:pPr>
    </w:p>
    <w:p w14:paraId="57CBC232">
      <w:pPr>
        <w:rPr>
          <w:rFonts w:hint="eastAsia"/>
          <w:color w:val="000000" w:themeColor="text1"/>
          <w:highlight w:val="none"/>
          <w14:textFill>
            <w14:solidFill>
              <w14:schemeClr w14:val="tx1"/>
            </w14:solidFill>
          </w14:textFill>
        </w:rPr>
      </w:pPr>
    </w:p>
    <w:p w14:paraId="109B2740">
      <w:pPr>
        <w:pStyle w:val="8"/>
        <w:rPr>
          <w:rFonts w:hint="eastAsia" w:ascii="宋体" w:hAnsi="宋体" w:eastAsia="宋体" w:cs="宋体"/>
          <w:color w:val="000000" w:themeColor="text1"/>
          <w:highlight w:val="none"/>
          <w14:textFill>
            <w14:solidFill>
              <w14:schemeClr w14:val="tx1"/>
            </w14:solidFill>
          </w14:textFill>
        </w:rPr>
      </w:pPr>
    </w:p>
    <w:p w14:paraId="29FBCA92">
      <w:pPr>
        <w:pStyle w:val="8"/>
        <w:rPr>
          <w:rFonts w:hint="eastAsia" w:ascii="宋体" w:hAnsi="宋体" w:eastAsia="宋体" w:cs="宋体"/>
          <w:color w:val="000000" w:themeColor="text1"/>
          <w:highlight w:val="none"/>
          <w14:textFill>
            <w14:solidFill>
              <w14:schemeClr w14:val="tx1"/>
            </w14:solidFill>
          </w14:textFill>
        </w:rPr>
      </w:pPr>
    </w:p>
    <w:p w14:paraId="3BA81273">
      <w:pPr>
        <w:pStyle w:val="8"/>
        <w:rPr>
          <w:rFonts w:hint="eastAsia" w:ascii="宋体" w:hAnsi="宋体" w:eastAsia="宋体" w:cs="宋体"/>
          <w:color w:val="000000" w:themeColor="text1"/>
          <w:highlight w:val="none"/>
          <w14:textFill>
            <w14:solidFill>
              <w14:schemeClr w14:val="tx1"/>
            </w14:solidFill>
          </w14:textFill>
        </w:rPr>
      </w:pPr>
    </w:p>
    <w:p w14:paraId="36D16C4A">
      <w:pPr>
        <w:pStyle w:val="8"/>
        <w:rPr>
          <w:rFonts w:hint="eastAsia" w:ascii="宋体" w:hAnsi="宋体" w:eastAsia="宋体" w:cs="宋体"/>
          <w:color w:val="000000" w:themeColor="text1"/>
          <w:highlight w:val="none"/>
          <w14:textFill>
            <w14:solidFill>
              <w14:schemeClr w14:val="tx1"/>
            </w14:solidFill>
          </w14:textFill>
        </w:rPr>
      </w:pPr>
    </w:p>
    <w:p w14:paraId="2CDD80EB">
      <w:pPr>
        <w:pStyle w:val="8"/>
        <w:rPr>
          <w:rFonts w:hint="eastAsia" w:ascii="宋体" w:hAnsi="宋体" w:eastAsia="宋体" w:cs="宋体"/>
          <w:color w:val="000000" w:themeColor="text1"/>
          <w:highlight w:val="none"/>
          <w14:textFill>
            <w14:solidFill>
              <w14:schemeClr w14:val="tx1"/>
            </w14:solidFill>
          </w14:textFill>
        </w:rPr>
      </w:pPr>
    </w:p>
    <w:p w14:paraId="3714DE53">
      <w:pPr>
        <w:pStyle w:val="8"/>
        <w:rPr>
          <w:rFonts w:hint="eastAsia" w:ascii="宋体" w:hAnsi="宋体" w:eastAsia="宋体" w:cs="宋体"/>
          <w:color w:val="000000" w:themeColor="text1"/>
          <w:highlight w:val="none"/>
          <w14:textFill>
            <w14:solidFill>
              <w14:schemeClr w14:val="tx1"/>
            </w14:solidFill>
          </w14:textFill>
        </w:rPr>
      </w:pPr>
    </w:p>
    <w:p w14:paraId="0895B83D">
      <w:pPr>
        <w:pStyle w:val="8"/>
        <w:rPr>
          <w:rFonts w:hint="eastAsia" w:ascii="宋体" w:hAnsi="宋体" w:eastAsia="宋体" w:cs="宋体"/>
          <w:color w:val="000000" w:themeColor="text1"/>
          <w:highlight w:val="none"/>
          <w14:textFill>
            <w14:solidFill>
              <w14:schemeClr w14:val="tx1"/>
            </w14:solidFill>
          </w14:textFill>
        </w:rPr>
      </w:pPr>
    </w:p>
    <w:p w14:paraId="59A8A5EC">
      <w:pPr>
        <w:pStyle w:val="3"/>
        <w:numPr>
          <w:ilvl w:val="0"/>
          <w:numId w:val="0"/>
        </w:numPr>
        <w:spacing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52" w:name="_Toc8294"/>
      <w:r>
        <w:rPr>
          <w:rFonts w:hint="eastAsia" w:ascii="宋体" w:hAnsi="宋体" w:eastAsia="宋体" w:cs="宋体"/>
          <w:color w:val="000000" w:themeColor="text1"/>
          <w:sz w:val="32"/>
          <w:szCs w:val="32"/>
          <w:highlight w:val="none"/>
          <w:lang w:eastAsia="zh-CN"/>
          <w14:textFill>
            <w14:solidFill>
              <w14:schemeClr w14:val="tx1"/>
            </w14:solidFill>
          </w14:textFill>
        </w:rPr>
        <w:t>第二章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供应商须知</w:t>
      </w:r>
      <w:bookmarkEnd w:id="0"/>
      <w:bookmarkEnd w:id="1"/>
      <w:bookmarkEnd w:id="52"/>
    </w:p>
    <w:p w14:paraId="57154AE9">
      <w:pPr>
        <w:pStyle w:val="4"/>
        <w:jc w:val="center"/>
        <w:rPr>
          <w:rFonts w:hint="eastAsia" w:ascii="宋体" w:hAnsi="宋体" w:eastAsia="宋体" w:cs="宋体"/>
          <w:b/>
          <w:bCs w:val="0"/>
          <w:color w:val="000000" w:themeColor="text1"/>
          <w:sz w:val="24"/>
          <w:szCs w:val="24"/>
          <w:highlight w:val="none"/>
          <w14:textFill>
            <w14:solidFill>
              <w14:schemeClr w14:val="tx1"/>
            </w14:solidFill>
          </w14:textFill>
        </w:rPr>
      </w:pPr>
      <w:bookmarkStart w:id="53" w:name="_Toc25063"/>
      <w:bookmarkStart w:id="54" w:name="_Toc13547"/>
      <w:bookmarkStart w:id="55" w:name="_Toc9508"/>
      <w:bookmarkStart w:id="56" w:name="_Toc2065"/>
      <w:r>
        <w:rPr>
          <w:rFonts w:hint="eastAsia" w:ascii="宋体" w:hAnsi="宋体" w:eastAsia="宋体" w:cs="宋体"/>
          <w:b/>
          <w:bCs w:val="0"/>
          <w:color w:val="000000" w:themeColor="text1"/>
          <w:sz w:val="24"/>
          <w:szCs w:val="24"/>
          <w:highlight w:val="none"/>
          <w14:textFill>
            <w14:solidFill>
              <w14:schemeClr w14:val="tx1"/>
            </w14:solidFill>
          </w14:textFill>
        </w:rPr>
        <w:t>供 应 商 须 知 前 附 表</w:t>
      </w:r>
      <w:bookmarkEnd w:id="53"/>
      <w:bookmarkEnd w:id="54"/>
      <w:bookmarkEnd w:id="55"/>
      <w:bookmarkEnd w:id="56"/>
    </w:p>
    <w:tbl>
      <w:tblPr>
        <w:tblStyle w:val="19"/>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1B97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0342CE6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942" w:type="dxa"/>
            <w:vAlign w:val="center"/>
          </w:tcPr>
          <w:p w14:paraId="3D86741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775" w:type="dxa"/>
            <w:vAlign w:val="center"/>
          </w:tcPr>
          <w:p w14:paraId="0C87B17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6912" w:type="dxa"/>
            <w:vAlign w:val="center"/>
          </w:tcPr>
          <w:p w14:paraId="637B689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内容、要求</w:t>
            </w:r>
          </w:p>
        </w:tc>
      </w:tr>
      <w:tr w14:paraId="3790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1A03889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2" w:type="dxa"/>
            <w:vAlign w:val="center"/>
          </w:tcPr>
          <w:p w14:paraId="5647CB6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775" w:type="dxa"/>
            <w:vAlign w:val="center"/>
          </w:tcPr>
          <w:p w14:paraId="17FE21B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项目名称及项目编号</w:t>
            </w:r>
          </w:p>
        </w:tc>
        <w:tc>
          <w:tcPr>
            <w:tcW w:w="6912" w:type="dxa"/>
            <w:vAlign w:val="top"/>
          </w:tcPr>
          <w:p w14:paraId="0458A7F6">
            <w:pPr>
              <w:spacing w:line="360" w:lineRule="auto"/>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项目名称：桂林市教育科学研究所2025年期末质量检测试题命题项目</w:t>
            </w:r>
          </w:p>
          <w:p w14:paraId="59A7ECDE">
            <w:p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GLZC2025-C3-990</w:t>
            </w:r>
            <w:r>
              <w:rPr>
                <w:rFonts w:hint="eastAsia" w:ascii="宋体" w:hAnsi="宋体" w:cs="宋体"/>
                <w:color w:val="000000" w:themeColor="text1"/>
                <w:sz w:val="21"/>
                <w:szCs w:val="21"/>
                <w:highlight w:val="none"/>
                <w:lang w:val="en-US" w:eastAsia="zh-CN"/>
                <w14:textFill>
                  <w14:solidFill>
                    <w14:schemeClr w14:val="tx1"/>
                  </w14:solidFill>
                </w14:textFill>
              </w:rPr>
              <w:t>193</w:t>
            </w:r>
            <w:r>
              <w:rPr>
                <w:rFonts w:hint="eastAsia" w:ascii="宋体" w:hAnsi="宋体" w:cs="宋体"/>
                <w:color w:val="000000" w:themeColor="text1"/>
                <w:sz w:val="21"/>
                <w:szCs w:val="21"/>
                <w:highlight w:val="none"/>
                <w:lang w:eastAsia="zh-CN"/>
                <w14:textFill>
                  <w14:solidFill>
                    <w14:schemeClr w14:val="tx1"/>
                  </w14:solidFill>
                </w14:textFill>
              </w:rPr>
              <w:t>-GLSZ</w:t>
            </w:r>
          </w:p>
        </w:tc>
      </w:tr>
      <w:tr w14:paraId="0107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0BFC3B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42" w:type="dxa"/>
            <w:vAlign w:val="center"/>
          </w:tcPr>
          <w:p w14:paraId="4AFB926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75" w:type="dxa"/>
            <w:vAlign w:val="center"/>
          </w:tcPr>
          <w:p w14:paraId="4736AC3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w:t>
            </w:r>
          </w:p>
        </w:tc>
        <w:tc>
          <w:tcPr>
            <w:tcW w:w="6912" w:type="dxa"/>
            <w:vAlign w:val="center"/>
          </w:tcPr>
          <w:p w14:paraId="1A5513B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符合《中华人民共和国政府采购法》第二十二条和《政府采购法实施条例》第十八条规定，具备合法资格的供应商；</w:t>
            </w:r>
          </w:p>
          <w:p w14:paraId="2B3E3C2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本项目不接受联合体参与磋商；</w:t>
            </w:r>
          </w:p>
          <w:p w14:paraId="489E5EB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89B2D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color w:val="000000" w:themeColor="text1"/>
                <w:sz w:val="21"/>
                <w:szCs w:val="21"/>
                <w:highlight w:val="none"/>
                <w:lang w:val="en-US" w:eastAsia="zh-CN"/>
                <w14:textFill>
                  <w14:solidFill>
                    <w14:schemeClr w14:val="tx1"/>
                  </w14:solidFill>
                </w14:textFill>
              </w:rPr>
              <w:t>无。</w:t>
            </w:r>
          </w:p>
          <w:p w14:paraId="33E0A9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tc>
      </w:tr>
      <w:tr w14:paraId="274E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04B404D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942" w:type="dxa"/>
            <w:vAlign w:val="center"/>
          </w:tcPr>
          <w:p w14:paraId="14BDF10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775" w:type="dxa"/>
            <w:vAlign w:val="center"/>
          </w:tcPr>
          <w:p w14:paraId="782237B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磋商费用</w:t>
            </w:r>
          </w:p>
        </w:tc>
        <w:tc>
          <w:tcPr>
            <w:tcW w:w="6912" w:type="dxa"/>
            <w:vAlign w:val="center"/>
          </w:tcPr>
          <w:p w14:paraId="70DBAE5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不论磋商结果如何，供应商均应自行承担所有与磋商有关的全部费用。 </w:t>
            </w:r>
          </w:p>
        </w:tc>
      </w:tr>
      <w:tr w14:paraId="5486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6A8F42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42" w:type="dxa"/>
            <w:vAlign w:val="center"/>
          </w:tcPr>
          <w:p w14:paraId="0363ECD3">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13</w:t>
            </w:r>
          </w:p>
        </w:tc>
        <w:tc>
          <w:tcPr>
            <w:tcW w:w="1775" w:type="dxa"/>
            <w:vAlign w:val="center"/>
          </w:tcPr>
          <w:p w14:paraId="45BF965F">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磋商报价及采购预算金额</w:t>
            </w:r>
          </w:p>
        </w:tc>
        <w:tc>
          <w:tcPr>
            <w:tcW w:w="6912" w:type="dxa"/>
            <w:vAlign w:val="center"/>
          </w:tcPr>
          <w:p w14:paraId="709405DF">
            <w:pPr>
              <w:spacing w:line="240" w:lineRule="auto"/>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预算金额</w:t>
            </w:r>
            <w:r>
              <w:rPr>
                <w:rFonts w:hint="eastAsia" w:ascii="宋体" w:hAnsi="宋体" w:cs="宋体"/>
                <w:b/>
                <w:bCs/>
                <w:color w:val="000000" w:themeColor="text1"/>
                <w:szCs w:val="21"/>
                <w:highlight w:val="none"/>
                <w:lang w:eastAsia="zh-CN"/>
                <w14:textFill>
                  <w14:solidFill>
                    <w14:schemeClr w14:val="tx1"/>
                  </w14:solidFill>
                </w14:textFill>
              </w:rPr>
              <w:t>人民币</w:t>
            </w:r>
            <w:r>
              <w:rPr>
                <w:rFonts w:hint="eastAsia" w:ascii="宋体" w:hAnsi="宋体" w:cs="宋体"/>
                <w:b/>
                <w:bCs/>
                <w:color w:val="000000" w:themeColor="text1"/>
                <w:szCs w:val="21"/>
                <w:highlight w:val="none"/>
                <w:lang w:val="en-US" w:eastAsia="zh-CN"/>
                <w14:textFill>
                  <w14:solidFill>
                    <w14:schemeClr w14:val="tx1"/>
                  </w14:solidFill>
                </w14:textFill>
              </w:rPr>
              <w:t>陆拾</w:t>
            </w:r>
            <w:r>
              <w:rPr>
                <w:rFonts w:hint="eastAsia" w:ascii="宋体" w:hAnsi="宋体" w:cs="宋体"/>
                <w:b/>
                <w:bCs/>
                <w:color w:val="000000" w:themeColor="text1"/>
                <w:szCs w:val="21"/>
                <w:highlight w:val="none"/>
                <w:lang w:eastAsia="zh-CN"/>
                <w14:textFill>
                  <w14:solidFill>
                    <w14:schemeClr w14:val="tx1"/>
                  </w14:solidFill>
                </w14:textFill>
              </w:rPr>
              <w:t>万元整(¥</w:t>
            </w:r>
            <w:r>
              <w:rPr>
                <w:rFonts w:hint="eastAsia" w:ascii="宋体" w:hAnsi="宋体" w:cs="宋体"/>
                <w:b/>
                <w:bCs/>
                <w:color w:val="000000" w:themeColor="text1"/>
                <w:szCs w:val="21"/>
                <w:highlight w:val="none"/>
                <w:lang w:val="en-US" w:eastAsia="zh-CN"/>
                <w14:textFill>
                  <w14:solidFill>
                    <w14:schemeClr w14:val="tx1"/>
                  </w14:solidFill>
                </w14:textFill>
              </w:rPr>
              <w:t>600000</w:t>
            </w:r>
            <w:r>
              <w:rPr>
                <w:rFonts w:hint="eastAsia" w:ascii="宋体" w:hAnsi="宋体" w:cs="宋体"/>
                <w:b/>
                <w:bCs/>
                <w:color w:val="000000" w:themeColor="text1"/>
                <w:szCs w:val="21"/>
                <w:highlight w:val="none"/>
                <w:lang w:eastAsia="zh-CN"/>
                <w14:textFill>
                  <w14:solidFill>
                    <w14:schemeClr w14:val="tx1"/>
                  </w14:solidFill>
                </w14:textFill>
              </w:rPr>
              <w:t>.00元)，最高限价：人民币伍拾捌万肆仟元整（¥</w:t>
            </w:r>
            <w:r>
              <w:rPr>
                <w:rFonts w:hint="eastAsia" w:ascii="宋体" w:hAnsi="宋体" w:cs="宋体"/>
                <w:b/>
                <w:bCs/>
                <w:color w:val="000000" w:themeColor="text1"/>
                <w:szCs w:val="21"/>
                <w:highlight w:val="none"/>
                <w:lang w:val="en-US" w:eastAsia="zh-CN"/>
                <w14:textFill>
                  <w14:solidFill>
                    <w14:schemeClr w14:val="tx1"/>
                  </w14:solidFill>
                </w14:textFill>
              </w:rPr>
              <w:t>584000</w:t>
            </w:r>
            <w:r>
              <w:rPr>
                <w:rFonts w:hint="eastAsia" w:ascii="宋体" w:hAnsi="宋体" w:cs="宋体"/>
                <w:b/>
                <w:bCs/>
                <w:color w:val="000000" w:themeColor="text1"/>
                <w:szCs w:val="21"/>
                <w:highlight w:val="none"/>
                <w:lang w:eastAsia="zh-CN"/>
                <w14:textFill>
                  <w14:solidFill>
                    <w14:schemeClr w14:val="tx1"/>
                  </w14:solidFill>
                </w14:textFill>
              </w:rPr>
              <w:t>.00）</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供应商报价</w:t>
            </w:r>
            <w:r>
              <w:rPr>
                <w:rFonts w:hint="eastAsia" w:ascii="宋体" w:hAnsi="宋体" w:eastAsia="宋体" w:cs="宋体"/>
                <w:color w:val="000000" w:themeColor="text1"/>
                <w:kern w:val="0"/>
                <w:szCs w:val="21"/>
                <w:highlight w:val="none"/>
                <w14:textFill>
                  <w14:solidFill>
                    <w14:schemeClr w14:val="tx1"/>
                  </w14:solidFill>
                </w14:textFill>
              </w:rPr>
              <w:t>超出</w:t>
            </w:r>
            <w:r>
              <w:rPr>
                <w:rFonts w:hint="eastAsia" w:ascii="宋体" w:hAnsi="宋体" w:cs="宋体"/>
                <w:color w:val="000000" w:themeColor="text1"/>
                <w:kern w:val="0"/>
                <w:szCs w:val="21"/>
                <w:highlight w:val="none"/>
                <w:lang w:eastAsia="zh-CN"/>
                <w14:textFill>
                  <w14:solidFill>
                    <w14:schemeClr w14:val="tx1"/>
                  </w14:solidFill>
                </w14:textFill>
              </w:rPr>
              <w:t>最高限价</w:t>
            </w:r>
            <w:r>
              <w:rPr>
                <w:rFonts w:hint="eastAsia" w:ascii="宋体" w:hAnsi="宋体" w:eastAsia="宋体" w:cs="宋体"/>
                <w:color w:val="000000" w:themeColor="text1"/>
                <w:kern w:val="0"/>
                <w:szCs w:val="21"/>
                <w:highlight w:val="none"/>
                <w14:textFill>
                  <w14:solidFill>
                    <w14:schemeClr w14:val="tx1"/>
                  </w14:solidFill>
                </w14:textFill>
              </w:rPr>
              <w:t>金额的，响应文件按无效处理。</w:t>
            </w:r>
          </w:p>
          <w:p w14:paraId="40F421DC">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13.2供应商必须就“采购需求”中所有内容作完整唯一报价，否则，其响应文件无效；响应文件只允许有一个报价，有选择的或有条件的报价将不予接受。</w:t>
            </w:r>
          </w:p>
          <w:p w14:paraId="049FFD95">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r>
              <w:rPr>
                <w:rFonts w:hint="eastAsia" w:ascii="宋体" w:hAnsi="宋体" w:eastAsia="宋体" w:cs="宋体"/>
                <w:color w:val="000000" w:themeColor="text1"/>
                <w:kern w:val="0"/>
                <w:szCs w:val="21"/>
                <w:highlight w:val="none"/>
                <w14:textFill>
                  <w14:solidFill>
                    <w14:schemeClr w14:val="tx1"/>
                  </w14:solidFill>
                </w14:textFill>
              </w:rPr>
              <w:t>供应商应在规定时间内</w:t>
            </w:r>
            <w:r>
              <w:rPr>
                <w:rFonts w:hint="eastAsia" w:ascii="宋体" w:hAnsi="宋体" w:eastAsia="宋体" w:cs="宋体"/>
                <w:color w:val="000000" w:themeColor="text1"/>
                <w:kern w:val="0"/>
                <w:szCs w:val="21"/>
                <w:highlight w:val="none"/>
                <w:lang w:eastAsia="zh-CN"/>
                <w14:textFill>
                  <w14:solidFill>
                    <w14:schemeClr w14:val="tx1"/>
                  </w14:solidFill>
                </w14:textFill>
              </w:rPr>
              <w:t>在政采云系统上</w:t>
            </w:r>
            <w:r>
              <w:rPr>
                <w:rFonts w:hint="eastAsia" w:ascii="宋体" w:hAnsi="宋体" w:eastAsia="宋体" w:cs="宋体"/>
                <w:color w:val="000000" w:themeColor="text1"/>
                <w:kern w:val="0"/>
                <w:szCs w:val="21"/>
                <w:highlight w:val="none"/>
                <w14:textFill>
                  <w14:solidFill>
                    <w14:schemeClr w14:val="tx1"/>
                  </w14:solidFill>
                </w14:textFill>
              </w:rPr>
              <w:t>提交最后报价，</w:t>
            </w:r>
            <w:r>
              <w:rPr>
                <w:rFonts w:hint="eastAsia" w:ascii="宋体" w:hAnsi="宋体" w:eastAsia="宋体" w:cs="宋体"/>
                <w:color w:val="000000" w:themeColor="text1"/>
                <w:kern w:val="0"/>
                <w:szCs w:val="21"/>
                <w:highlight w:val="none"/>
                <w:lang w:eastAsia="zh-CN"/>
                <w14:textFill>
                  <w14:solidFill>
                    <w14:schemeClr w14:val="tx1"/>
                  </w14:solidFill>
                </w14:textFill>
              </w:rPr>
              <w:t>超出评委设定的最后报价时限或其</w:t>
            </w:r>
            <w:r>
              <w:rPr>
                <w:rFonts w:hint="eastAsia" w:ascii="宋体" w:hAnsi="宋体" w:eastAsia="宋体" w:cs="宋体"/>
                <w:color w:val="000000" w:themeColor="text1"/>
                <w:kern w:val="0"/>
                <w:szCs w:val="21"/>
                <w:highlight w:val="none"/>
                <w14:textFill>
                  <w14:solidFill>
                    <w14:schemeClr w14:val="tx1"/>
                  </w14:solidFill>
                </w14:textFill>
              </w:rPr>
              <w:t>最后报价超出</w:t>
            </w:r>
            <w:r>
              <w:rPr>
                <w:rFonts w:hint="eastAsia" w:ascii="宋体" w:hAnsi="宋体" w:cs="宋体"/>
                <w:color w:val="000000" w:themeColor="text1"/>
                <w:kern w:val="0"/>
                <w:szCs w:val="21"/>
                <w:highlight w:val="none"/>
                <w:lang w:eastAsia="zh-CN"/>
                <w14:textFill>
                  <w14:solidFill>
                    <w14:schemeClr w14:val="tx1"/>
                  </w14:solidFill>
                </w14:textFill>
              </w:rPr>
              <w:t>最高限价</w:t>
            </w:r>
            <w:r>
              <w:rPr>
                <w:rFonts w:hint="eastAsia" w:ascii="宋体" w:hAnsi="宋体" w:eastAsia="宋体" w:cs="宋体"/>
                <w:color w:val="000000" w:themeColor="text1"/>
                <w:kern w:val="0"/>
                <w:szCs w:val="21"/>
                <w:highlight w:val="none"/>
                <w14:textFill>
                  <w14:solidFill>
                    <w14:schemeClr w14:val="tx1"/>
                  </w14:solidFill>
                </w14:textFill>
              </w:rPr>
              <w:t>导致已通过评审的响应文件无效的，按供应商在提交响应文件截止时间后撤回响应文件处理。</w:t>
            </w:r>
          </w:p>
        </w:tc>
      </w:tr>
      <w:tr w14:paraId="6B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B6C0E3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942" w:type="dxa"/>
            <w:vAlign w:val="center"/>
          </w:tcPr>
          <w:p w14:paraId="58920D98">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14.1</w:t>
            </w:r>
          </w:p>
        </w:tc>
        <w:tc>
          <w:tcPr>
            <w:tcW w:w="1775" w:type="dxa"/>
            <w:vAlign w:val="center"/>
          </w:tcPr>
          <w:p w14:paraId="1851D666">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响应文件有效期</w:t>
            </w:r>
          </w:p>
        </w:tc>
        <w:tc>
          <w:tcPr>
            <w:tcW w:w="6912" w:type="dxa"/>
            <w:vAlign w:val="top"/>
          </w:tcPr>
          <w:p w14:paraId="4F85FBC2">
            <w:pPr>
              <w:tabs>
                <w:tab w:val="left" w:pos="1305"/>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响应文件递交截止时间之日起90天，有效期不足的响应文件将被拒绝。</w:t>
            </w:r>
          </w:p>
        </w:tc>
      </w:tr>
      <w:tr w14:paraId="017A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26014C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42" w:type="dxa"/>
            <w:vAlign w:val="center"/>
          </w:tcPr>
          <w:p w14:paraId="4FAEA0CC">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15</w:t>
            </w:r>
          </w:p>
        </w:tc>
        <w:tc>
          <w:tcPr>
            <w:tcW w:w="1775" w:type="dxa"/>
            <w:vAlign w:val="center"/>
          </w:tcPr>
          <w:p w14:paraId="75CD11A0">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保证金</w:t>
            </w:r>
          </w:p>
        </w:tc>
        <w:tc>
          <w:tcPr>
            <w:tcW w:w="6912" w:type="dxa"/>
            <w:vAlign w:val="top"/>
          </w:tcPr>
          <w:p w14:paraId="5ABAE576">
            <w:pPr>
              <w:tabs>
                <w:tab w:val="left" w:pos="1305"/>
              </w:tabs>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本项目无需缴纳磋商保证金</w:t>
            </w:r>
            <w:r>
              <w:rPr>
                <w:rFonts w:hint="eastAsia" w:ascii="宋体" w:hAnsi="宋体" w:cs="宋体"/>
                <w:b/>
                <w:bCs/>
                <w:color w:val="000000" w:themeColor="text1"/>
                <w:szCs w:val="21"/>
                <w:highlight w:val="none"/>
                <w:lang w:eastAsia="zh-CN"/>
                <w14:textFill>
                  <w14:solidFill>
                    <w14:schemeClr w14:val="tx1"/>
                  </w14:solidFill>
                </w14:textFill>
              </w:rPr>
              <w:t>。</w:t>
            </w:r>
          </w:p>
        </w:tc>
      </w:tr>
      <w:tr w14:paraId="4D4D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4E66901">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942" w:type="dxa"/>
            <w:vAlign w:val="center"/>
          </w:tcPr>
          <w:p w14:paraId="7D90E642">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1775" w:type="dxa"/>
            <w:vAlign w:val="center"/>
          </w:tcPr>
          <w:p w14:paraId="06C8C41D">
            <w:pPr>
              <w:pStyle w:val="5"/>
              <w:spacing w:before="0" w:after="0" w:line="360" w:lineRule="auto"/>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bookmarkStart w:id="57" w:name="_Toc27452"/>
            <w:bookmarkStart w:id="58" w:name="_Toc19911"/>
            <w:bookmarkStart w:id="59" w:name="_Toc28471"/>
            <w:r>
              <w:rPr>
                <w:rFonts w:hint="eastAsia" w:ascii="宋体" w:hAnsi="宋体" w:eastAsia="宋体" w:cs="宋体"/>
                <w:b w:val="0"/>
                <w:bCs/>
                <w:color w:val="000000" w:themeColor="text1"/>
                <w:sz w:val="21"/>
                <w:szCs w:val="21"/>
                <w:highlight w:val="none"/>
                <w14:textFill>
                  <w14:solidFill>
                    <w14:schemeClr w14:val="tx1"/>
                  </w14:solidFill>
                </w14:textFill>
              </w:rPr>
              <w:t>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color w:val="000000" w:themeColor="text1"/>
                <w:sz w:val="21"/>
                <w:szCs w:val="21"/>
                <w:highlight w:val="none"/>
                <w14:textFill>
                  <w14:solidFill>
                    <w14:schemeClr w14:val="tx1"/>
                  </w14:solidFill>
                </w14:textFill>
              </w:rPr>
              <w:t>响应文件的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制作</w:t>
            </w:r>
            <w:bookmarkEnd w:id="57"/>
            <w:bookmarkEnd w:id="58"/>
            <w:bookmarkEnd w:id="59"/>
          </w:p>
          <w:p w14:paraId="463E455B">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6912" w:type="dxa"/>
            <w:vAlign w:val="center"/>
          </w:tcPr>
          <w:p w14:paraId="7B7D21F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3F448FE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供应商法人（负责人）或授权代表持有政采云个人CA签章的，应在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文件中涉及到签字的位置使用个人CA签章，没有办理政采云个人CA签章的可在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3A4DF04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48466821">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18923370">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2E6F8F37">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7E2E301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tc>
      </w:tr>
      <w:tr w14:paraId="29B8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4242955A">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942" w:type="dxa"/>
            <w:vAlign w:val="center"/>
          </w:tcPr>
          <w:p w14:paraId="2EAB8AB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1775" w:type="dxa"/>
            <w:vAlign w:val="center"/>
          </w:tcPr>
          <w:p w14:paraId="0899899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w:t>
            </w:r>
          </w:p>
        </w:tc>
        <w:tc>
          <w:tcPr>
            <w:tcW w:w="6912" w:type="dxa"/>
            <w:vAlign w:val="center"/>
          </w:tcPr>
          <w:p w14:paraId="5BF0FE2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2025年6月16日上午9时30分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tc>
      </w:tr>
      <w:tr w14:paraId="2BB0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46CD7361">
            <w:pPr>
              <w:spacing w:line="360" w:lineRule="auto"/>
              <w:jc w:val="center"/>
              <w:rPr>
                <w:rFonts w:hint="eastAsia" w:ascii="宋体" w:hAnsi="宋体" w:eastAsia="宋体" w:cs="宋体"/>
                <w:color w:val="000000" w:themeColor="text1"/>
                <w:position w:val="-2"/>
                <w:szCs w:val="21"/>
                <w:highlight w:val="none"/>
                <w:lang w:eastAsia="zh-CN"/>
                <w14:textFill>
                  <w14:solidFill>
                    <w14:schemeClr w14:val="tx1"/>
                  </w14:solidFill>
                </w14:textFill>
              </w:rPr>
            </w:pPr>
            <w:r>
              <w:rPr>
                <w:rFonts w:hint="eastAsia" w:ascii="宋体" w:hAnsi="宋体" w:eastAsia="宋体" w:cs="宋体"/>
                <w:color w:val="000000" w:themeColor="text1"/>
                <w:position w:val="-2"/>
                <w:szCs w:val="21"/>
                <w:highlight w:val="none"/>
                <w:lang w:val="en-US" w:eastAsia="zh-CN"/>
                <w14:textFill>
                  <w14:solidFill>
                    <w14:schemeClr w14:val="tx1"/>
                  </w14:solidFill>
                </w14:textFill>
              </w:rPr>
              <w:t>9</w:t>
            </w:r>
          </w:p>
        </w:tc>
        <w:tc>
          <w:tcPr>
            <w:tcW w:w="942" w:type="dxa"/>
            <w:vAlign w:val="center"/>
          </w:tcPr>
          <w:p w14:paraId="72BEA173">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18.2</w:t>
            </w:r>
          </w:p>
        </w:tc>
        <w:tc>
          <w:tcPr>
            <w:tcW w:w="1775" w:type="dxa"/>
            <w:vAlign w:val="center"/>
          </w:tcPr>
          <w:p w14:paraId="6DF3C56A">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磋商响应文件解密时间</w:t>
            </w:r>
            <w:r>
              <w:rPr>
                <w:rFonts w:hint="eastAsia" w:ascii="宋体" w:hAnsi="宋体" w:cs="宋体"/>
                <w:color w:val="000000" w:themeColor="text1"/>
                <w:szCs w:val="21"/>
                <w:highlight w:val="none"/>
                <w:lang w:eastAsia="zh-CN"/>
                <w14:textFill>
                  <w14:solidFill>
                    <w14:schemeClr w14:val="tx1"/>
                  </w14:solidFill>
                </w14:textFill>
              </w:rPr>
              <w:t>及地点</w:t>
            </w:r>
          </w:p>
        </w:tc>
        <w:tc>
          <w:tcPr>
            <w:tcW w:w="6912" w:type="dxa"/>
            <w:vAlign w:val="center"/>
          </w:tcPr>
          <w:p w14:paraId="1C0857FD">
            <w:pPr>
              <w:pStyle w:val="7"/>
              <w:rPr>
                <w:rFonts w:hint="eastAsia" w:ascii="宋体" w:hAnsi="宋体" w:eastAsia="宋体" w:cs="宋体"/>
                <w:b w:val="0"/>
                <w:bCs w:val="0"/>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磋商响应文件解密时间</w:t>
            </w:r>
            <w:r>
              <w:rPr>
                <w:rFonts w:hint="eastAsia" w:ascii="宋体" w:hAnsi="宋体" w:eastAsia="宋体" w:cs="宋体"/>
                <w:b w:val="0"/>
                <w:bCs w:val="0"/>
                <w:color w:val="000000" w:themeColor="text1"/>
                <w:kern w:val="2"/>
                <w:highlight w:val="none"/>
                <w:lang w:eastAsia="zh-CN"/>
                <w14:textFill>
                  <w14:solidFill>
                    <w14:schemeClr w14:val="tx1"/>
                  </w14:solidFill>
                </w14:textFill>
              </w:rPr>
              <w:t>：截标时间后</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30</w:t>
            </w:r>
            <w:r>
              <w:rPr>
                <w:rFonts w:hint="eastAsia" w:ascii="宋体" w:hAnsi="宋体" w:eastAsia="宋体" w:cs="宋体"/>
                <w:b w:val="0"/>
                <w:bCs w:val="0"/>
                <w:color w:val="000000" w:themeColor="text1"/>
                <w:kern w:val="2"/>
                <w:highlight w:val="none"/>
                <w:lang w:eastAsia="zh-CN"/>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2025年6月16日上午9时30分</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至</w:t>
            </w:r>
            <w:r>
              <w:rPr>
                <w:rFonts w:hint="eastAsia" w:ascii="宋体" w:hAnsi="宋体" w:eastAsia="宋体" w:cs="宋体"/>
                <w:b w:val="0"/>
                <w:bCs w:val="0"/>
                <w:color w:val="000000" w:themeColor="text1"/>
                <w:kern w:val="2"/>
                <w:highlight w:val="none"/>
                <w:u w:val="single"/>
                <w:lang w:val="en-US" w:eastAsia="zh-CN"/>
                <w14:textFill>
                  <w14:solidFill>
                    <w14:schemeClr w14:val="tx1"/>
                  </w14:solidFill>
                </w14:textFill>
              </w:rPr>
              <w:t>1</w:t>
            </w:r>
            <w:r>
              <w:rPr>
                <w:rFonts w:hint="eastAsia" w:ascii="宋体" w:hAnsi="宋体" w:cs="宋体"/>
                <w:b w:val="0"/>
                <w:bCs w:val="0"/>
                <w:color w:val="000000" w:themeColor="text1"/>
                <w:kern w:val="2"/>
                <w:highlight w:val="none"/>
                <w:u w:val="single"/>
                <w:lang w:val="en-US" w:eastAsia="zh-CN"/>
                <w14:textFill>
                  <w14:solidFill>
                    <w14:schemeClr w14:val="tx1"/>
                  </w14:solidFill>
                </w14:textFill>
              </w:rPr>
              <w:t>0</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时</w:t>
            </w:r>
            <w:r>
              <w:rPr>
                <w:rFonts w:hint="eastAsia" w:ascii="宋体" w:hAnsi="宋体" w:eastAsia="宋体" w:cs="宋体"/>
                <w:b w:val="0"/>
                <w:bCs w:val="0"/>
                <w:color w:val="000000" w:themeColor="text1"/>
                <w:kern w:val="2"/>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分</w:t>
            </w:r>
            <w:r>
              <w:rPr>
                <w:rFonts w:hint="eastAsia" w:ascii="宋体" w:hAnsi="宋体" w:eastAsia="宋体" w:cs="宋体"/>
                <w:b w:val="0"/>
                <w:bCs w:val="0"/>
                <w:color w:val="000000" w:themeColor="text1"/>
                <w:kern w:val="2"/>
                <w:highlight w:val="none"/>
                <w:lang w:eastAsia="zh-CN"/>
                <w14:textFill>
                  <w14:solidFill>
                    <w14:schemeClr w14:val="tx1"/>
                  </w14:solidFill>
                </w14:textFill>
              </w:rPr>
              <w:t>)磋商供应商可以登录</w:t>
            </w:r>
            <w:r>
              <w:rPr>
                <w:rFonts w:hint="eastAsia" w:ascii="宋体" w:hAnsi="宋体" w:cs="宋体"/>
                <w:b w:val="0"/>
                <w:bCs w:val="0"/>
                <w:color w:val="000000" w:themeColor="text1"/>
                <w:kern w:val="2"/>
                <w:highlight w:val="none"/>
                <w:lang w:eastAsia="zh-CN"/>
                <w14:textFill>
                  <w14:solidFill>
                    <w14:schemeClr w14:val="tx1"/>
                  </w14:solidFill>
                </w14:textFill>
              </w:rPr>
              <w:t>广西政府采购云平台</w:t>
            </w:r>
            <w:r>
              <w:rPr>
                <w:rFonts w:hint="eastAsia" w:ascii="宋体" w:hAnsi="宋体" w:eastAsia="宋体" w:cs="宋体"/>
                <w:b w:val="0"/>
                <w:bCs w:val="0"/>
                <w:color w:val="000000" w:themeColor="text1"/>
                <w:kern w:val="2"/>
                <w:highlight w:val="none"/>
                <w:lang w:eastAsia="zh-CN"/>
                <w14:textFill>
                  <w14:solidFill>
                    <w14:schemeClr w14:val="tx1"/>
                  </w14:solidFill>
                </w14:textFill>
              </w:rPr>
              <w:t>，用“项目采购-开标评标”功能进行解密</w:t>
            </w:r>
            <w:r>
              <w:rPr>
                <w:rFonts w:hint="eastAsia" w:ascii="宋体" w:hAnsi="宋体" w:eastAsia="宋体" w:cs="宋体"/>
                <w:color w:val="000000" w:themeColor="text1"/>
                <w:highlight w:val="none"/>
                <w:lang w:eastAsia="zh-CN"/>
                <w14:textFill>
                  <w14:solidFill>
                    <w14:schemeClr w14:val="tx1"/>
                  </w14:solidFill>
                </w14:textFill>
              </w:rPr>
              <w:t>磋商响应文件</w:t>
            </w:r>
            <w:r>
              <w:rPr>
                <w:rFonts w:hint="eastAsia" w:ascii="宋体" w:hAnsi="宋体" w:eastAsia="宋体" w:cs="宋体"/>
                <w:b w:val="0"/>
                <w:bCs w:val="0"/>
                <w:color w:val="000000" w:themeColor="text1"/>
                <w:kern w:val="2"/>
                <w:highlight w:val="none"/>
                <w:lang w:eastAsia="zh-CN"/>
                <w14:textFill>
                  <w14:solidFill>
                    <w14:schemeClr w14:val="tx1"/>
                  </w14:solidFill>
                </w14:textFill>
              </w:rPr>
              <w:t>。</w:t>
            </w:r>
          </w:p>
          <w:p w14:paraId="2BAE4AE1">
            <w:pPr>
              <w:pStyle w:val="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须在解密时限内对上传政采云的投标文件进行解密，所有</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在规定的解密时限内解密完成或解密时限结束后，我中心开启已解密的响应文件。</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超过解密时限未解密的，系统默认自动放弃，造成投标无效的后果由</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自行承担</w:t>
            </w:r>
            <w:r>
              <w:rPr>
                <w:rFonts w:hint="eastAsia" w:ascii="宋体" w:hAnsi="宋体" w:cs="宋体"/>
                <w:b/>
                <w:bCs/>
                <w:color w:val="000000" w:themeColor="text1"/>
                <w:szCs w:val="21"/>
                <w:highlight w:val="none"/>
                <w:lang w:val="en-US" w:eastAsia="zh-CN"/>
                <w14:textFill>
                  <w14:solidFill>
                    <w14:schemeClr w14:val="tx1"/>
                  </w14:solidFill>
                </w14:textFill>
              </w:rPr>
              <w:t>，解密响应文件后，30分钟内在线签字确认，超过时间没有在线签字确认的系统将自动视为供应商认可</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tc>
      </w:tr>
      <w:tr w14:paraId="4123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29DA88D0">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942" w:type="dxa"/>
            <w:vAlign w:val="center"/>
          </w:tcPr>
          <w:p w14:paraId="19F184B6">
            <w:pPr>
              <w:spacing w:line="360" w:lineRule="auto"/>
              <w:ind w:firstLine="105" w:firstLineChars="50"/>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19.1</w:t>
            </w:r>
          </w:p>
        </w:tc>
        <w:tc>
          <w:tcPr>
            <w:tcW w:w="1775" w:type="dxa"/>
            <w:vAlign w:val="center"/>
          </w:tcPr>
          <w:p w14:paraId="0C6C367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磋商小组组成</w:t>
            </w:r>
          </w:p>
        </w:tc>
        <w:tc>
          <w:tcPr>
            <w:tcW w:w="6912" w:type="dxa"/>
            <w:vAlign w:val="center"/>
          </w:tcPr>
          <w:p w14:paraId="596F011D">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tc>
      </w:tr>
      <w:tr w14:paraId="7897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5A4F92AA">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942" w:type="dxa"/>
            <w:vAlign w:val="center"/>
          </w:tcPr>
          <w:p w14:paraId="7896E29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w:t>
            </w:r>
          </w:p>
        </w:tc>
        <w:tc>
          <w:tcPr>
            <w:tcW w:w="1775" w:type="dxa"/>
            <w:vAlign w:val="center"/>
          </w:tcPr>
          <w:p w14:paraId="719ADD5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磋商时间、地点、人员</w:t>
            </w:r>
          </w:p>
        </w:tc>
        <w:tc>
          <w:tcPr>
            <w:tcW w:w="6912" w:type="dxa"/>
            <w:vAlign w:val="top"/>
          </w:tcPr>
          <w:p w14:paraId="6A6D2452">
            <w:pPr>
              <w:spacing w:line="360" w:lineRule="auto"/>
              <w:ind w:left="315" w:hanging="315" w:hanging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p>
          <w:p w14:paraId="65216381">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19.2.2磋商地点：本项目需要磋商供应商代表在截标当天截标后，按磋商小组要求及时登陆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3B04B9BC">
            <w:pPr>
              <w:spacing w:line="360" w:lineRule="auto"/>
              <w:ind w:left="15" w:hanging="14" w:hangingChars="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19.2.3磋商参加人员：供应商法定代表人、负责人、自然人或相应的委托代</w:t>
            </w:r>
            <w:r>
              <w:rPr>
                <w:rFonts w:hint="eastAsia" w:ascii="宋体" w:hAnsi="宋体" w:eastAsia="宋体" w:cs="宋体"/>
                <w:color w:val="000000" w:themeColor="text1"/>
                <w:szCs w:val="21"/>
                <w:highlight w:val="none"/>
                <w:u w:val="none"/>
                <w14:textFill>
                  <w14:solidFill>
                    <w14:schemeClr w14:val="tx1"/>
                  </w14:solidFill>
                </w14:textFill>
              </w:rPr>
              <w:t>理人持有效身份证原件</w:t>
            </w:r>
            <w:r>
              <w:rPr>
                <w:rFonts w:hint="eastAsia" w:ascii="宋体" w:hAnsi="宋体" w:eastAsia="宋体" w:cs="宋体"/>
                <w:color w:val="000000" w:themeColor="text1"/>
                <w:szCs w:val="21"/>
                <w:highlight w:val="none"/>
                <w:u w:val="none"/>
                <w:lang w:eastAsia="zh-CN"/>
                <w14:textFill>
                  <w14:solidFill>
                    <w14:schemeClr w14:val="tx1"/>
                  </w14:solidFill>
                </w14:textFill>
              </w:rPr>
              <w:t>和供应商</w:t>
            </w:r>
            <w:r>
              <w:rPr>
                <w:rFonts w:hint="eastAsia" w:ascii="宋体" w:hAnsi="宋体" w:cs="宋体"/>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u w:val="none"/>
                <w:lang w:val="en-US" w:eastAsia="zh-CN"/>
                <w14:textFill>
                  <w14:solidFill>
                    <w14:schemeClr w14:val="tx1"/>
                  </w14:solidFill>
                </w14:textFill>
              </w:rPr>
              <w:t>CA数字证书</w:t>
            </w:r>
            <w:r>
              <w:rPr>
                <w:rFonts w:hint="eastAsia" w:ascii="宋体" w:hAnsi="宋体" w:eastAsia="宋体" w:cs="宋体"/>
                <w:color w:val="000000" w:themeColor="text1"/>
                <w:szCs w:val="21"/>
                <w:highlight w:val="none"/>
                <w14:textFill>
                  <w14:solidFill>
                    <w14:schemeClr w14:val="tx1"/>
                  </w14:solidFill>
                </w14:textFill>
              </w:rPr>
              <w:t>参加磋商。请供应商按时到达指定地点等候磋商。</w:t>
            </w:r>
          </w:p>
          <w:p w14:paraId="3373E496">
            <w:pPr>
              <w:tabs>
                <w:tab w:val="left" w:pos="1140"/>
              </w:tabs>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19.2.4响应文件递交截止时间后，由磋商小组在评标室内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开启响应文件。</w:t>
            </w:r>
          </w:p>
        </w:tc>
      </w:tr>
      <w:tr w14:paraId="2ED6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4B416ED5">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p>
        </w:tc>
        <w:tc>
          <w:tcPr>
            <w:tcW w:w="942" w:type="dxa"/>
            <w:vAlign w:val="center"/>
          </w:tcPr>
          <w:p w14:paraId="43B8B1A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p>
        </w:tc>
        <w:tc>
          <w:tcPr>
            <w:tcW w:w="1775" w:type="dxa"/>
            <w:vAlign w:val="center"/>
          </w:tcPr>
          <w:p w14:paraId="3F308855">
            <w:pPr>
              <w:pStyle w:val="11"/>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评审办法</w:t>
            </w:r>
          </w:p>
        </w:tc>
        <w:tc>
          <w:tcPr>
            <w:tcW w:w="6912" w:type="dxa"/>
            <w:vAlign w:val="center"/>
          </w:tcPr>
          <w:p w14:paraId="14A56AD5">
            <w:pPr>
              <w:tabs>
                <w:tab w:val="left" w:pos="11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具体详见第四章评审办法。</w:t>
            </w:r>
          </w:p>
        </w:tc>
      </w:tr>
      <w:tr w14:paraId="26AC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DFAEF32">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942" w:type="dxa"/>
            <w:vAlign w:val="center"/>
          </w:tcPr>
          <w:p w14:paraId="0DE9064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1775" w:type="dxa"/>
            <w:vAlign w:val="center"/>
          </w:tcPr>
          <w:p w14:paraId="26A1A8E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w:t>
            </w:r>
          </w:p>
        </w:tc>
        <w:tc>
          <w:tcPr>
            <w:tcW w:w="6912" w:type="dxa"/>
            <w:vAlign w:val="center"/>
          </w:tcPr>
          <w:p w14:paraId="19544EDB">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w:t>
            </w:r>
            <w:r>
              <w:rPr>
                <w:rFonts w:hint="eastAsia"/>
                <w:color w:val="000000" w:themeColor="text1"/>
                <w:highlight w:val="none"/>
                <w:lang w:eastAsia="zh-CN"/>
                <w14:textFill>
                  <w14:solidFill>
                    <w14:schemeClr w14:val="tx1"/>
                  </w14:solidFill>
                </w14:textFill>
              </w:rPr>
              <w:t>号</w:t>
            </w:r>
            <w:r>
              <w:rPr>
                <w:rFonts w:hint="eastAsia" w:ascii="宋体" w:hAnsi="宋体" w:eastAsia="宋体" w:cs="宋体"/>
                <w:color w:val="000000" w:themeColor="text1"/>
                <w:szCs w:val="21"/>
                <w:highlight w:val="none"/>
                <w14:textFill>
                  <w14:solidFill>
                    <w14:schemeClr w14:val="tx1"/>
                  </w14:solidFill>
                </w14:textFill>
              </w:rPr>
              <w:t>），由采购代理机构对第一成交候选人进行信用查询：</w:t>
            </w:r>
          </w:p>
          <w:p w14:paraId="41315455">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⑴查询渠道：“信用中国”网站(www.creditchina.gov.cn)、中国政府采购网(www.ccgp.gov.cn)等；</w:t>
            </w:r>
          </w:p>
          <w:p w14:paraId="715347A2">
            <w:pPr>
              <w:spacing w:line="360" w:lineRule="auto"/>
              <w:ind w:left="315" w:hanging="315" w:hanging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⑵查询时间：成交通知书发出前；</w:t>
            </w:r>
          </w:p>
          <w:p w14:paraId="46657010">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⑶信用信息查询记录和证据留存方式：在查询网站中直接打印查询记录，打印材料作为采购活动资料保存；</w:t>
            </w:r>
          </w:p>
          <w:p w14:paraId="7B6F52B8">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53B2F5F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1727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6BFC0DD5">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p>
        </w:tc>
        <w:tc>
          <w:tcPr>
            <w:tcW w:w="942" w:type="dxa"/>
            <w:vAlign w:val="center"/>
          </w:tcPr>
          <w:p w14:paraId="70DF21B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775" w:type="dxa"/>
            <w:vAlign w:val="center"/>
          </w:tcPr>
          <w:p w14:paraId="775FFF1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成交结果公告</w:t>
            </w:r>
          </w:p>
          <w:p w14:paraId="48439B1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及成交通知书</w:t>
            </w:r>
          </w:p>
        </w:tc>
        <w:tc>
          <w:tcPr>
            <w:tcW w:w="6912" w:type="dxa"/>
            <w:vAlign w:val="top"/>
          </w:tcPr>
          <w:p w14:paraId="0CEF2C6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9387C5B">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tc>
      </w:tr>
      <w:tr w14:paraId="003A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683BC5CC">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942" w:type="dxa"/>
            <w:vAlign w:val="center"/>
          </w:tcPr>
          <w:p w14:paraId="1B1C674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775" w:type="dxa"/>
            <w:vAlign w:val="center"/>
          </w:tcPr>
          <w:p w14:paraId="2FD917C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912" w:type="dxa"/>
            <w:vAlign w:val="center"/>
          </w:tcPr>
          <w:p w14:paraId="40414784">
            <w:pPr>
              <w:keepNext w:val="0"/>
              <w:keepLines w:val="0"/>
              <w:widowControl/>
              <w:suppressLineNumbers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本项目无</w:t>
            </w:r>
            <w:r>
              <w:rPr>
                <w:rFonts w:ascii="宋体" w:hAnsi="宋体" w:eastAsia="宋体" w:cs="宋体"/>
                <w:color w:val="000000" w:themeColor="text1"/>
                <w:spacing w:val="0"/>
                <w:position w:val="0"/>
                <w:sz w:val="21"/>
                <w:highlight w:val="none"/>
                <w:shd w:val="clear" w:fill="auto"/>
                <w14:textFill>
                  <w14:solidFill>
                    <w14:schemeClr w14:val="tx1"/>
                  </w14:solidFill>
                </w14:textFill>
              </w:rPr>
              <w:t>履约保证金。</w:t>
            </w:r>
          </w:p>
        </w:tc>
      </w:tr>
      <w:tr w14:paraId="1CAA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5BFD201">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942" w:type="dxa"/>
            <w:vAlign w:val="center"/>
          </w:tcPr>
          <w:p w14:paraId="7F78BCF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775" w:type="dxa"/>
            <w:vAlign w:val="center"/>
          </w:tcPr>
          <w:p w14:paraId="2702348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签订合同时间</w:t>
            </w:r>
          </w:p>
        </w:tc>
        <w:tc>
          <w:tcPr>
            <w:tcW w:w="6912" w:type="dxa"/>
            <w:vAlign w:val="top"/>
          </w:tcPr>
          <w:p w14:paraId="42E6B91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发出之日起</w:t>
            </w:r>
            <w:r>
              <w:rPr>
                <w:rFonts w:hint="eastAsia" w:ascii="宋体" w:hAnsi="宋体" w:cs="宋体"/>
                <w:bCs/>
                <w:color w:val="000000" w:themeColor="text1"/>
                <w:kern w:val="0"/>
                <w:szCs w:val="21"/>
                <w:highlight w:val="none"/>
                <w:lang w:eastAsia="zh-CN"/>
                <w14:textFill>
                  <w14:solidFill>
                    <w14:schemeClr w14:val="tx1"/>
                  </w14:solidFill>
                </w14:textFill>
              </w:rPr>
              <w:t>八个工作日内</w:t>
            </w:r>
            <w:r>
              <w:rPr>
                <w:rFonts w:hint="eastAsia" w:ascii="宋体" w:hAnsi="宋体" w:eastAsia="宋体" w:cs="宋体"/>
                <w:bCs/>
                <w:color w:val="000000" w:themeColor="text1"/>
                <w:kern w:val="0"/>
                <w:szCs w:val="21"/>
                <w:highlight w:val="none"/>
                <w14:textFill>
                  <w14:solidFill>
                    <w14:schemeClr w14:val="tx1"/>
                  </w14:solidFill>
                </w14:textFill>
              </w:rPr>
              <w:t>签订合同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color w:val="000000" w:themeColor="text1"/>
                <w:szCs w:val="21"/>
                <w:highlight w:val="none"/>
                <w14:textFill>
                  <w14:solidFill>
                    <w14:schemeClr w14:val="tx1"/>
                  </w14:solidFill>
                </w14:textFill>
              </w:rPr>
              <w:t>后，应按</w:t>
            </w:r>
            <w:r>
              <w:rPr>
                <w:rFonts w:hint="eastAsia" w:ascii="宋体" w:hAnsi="宋体" w:cs="宋体"/>
                <w:color w:val="000000" w:themeColor="text1"/>
                <w:szCs w:val="21"/>
                <w:highlight w:val="none"/>
                <w:lang w:eastAsia="zh-CN"/>
                <w14:textFill>
                  <w14:solidFill>
                    <w14:schemeClr w14:val="tx1"/>
                  </w14:solidFill>
                </w14:textFill>
              </w:rPr>
              <w:t>规定与采购人在“广西政府采购云平台”上在线签订电子合同</w:t>
            </w:r>
            <w:r>
              <w:rPr>
                <w:rFonts w:hint="eastAsia" w:ascii="宋体" w:hAnsi="宋体" w:eastAsia="宋体" w:cs="宋体"/>
                <w:color w:val="000000" w:themeColor="text1"/>
                <w:szCs w:val="21"/>
                <w:highlight w:val="none"/>
                <w14:textFill>
                  <w14:solidFill>
                    <w14:schemeClr w14:val="tx1"/>
                  </w14:solidFill>
                </w14:textFill>
              </w:rPr>
              <w:t>。</w:t>
            </w:r>
          </w:p>
        </w:tc>
      </w:tr>
      <w:tr w14:paraId="329B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516BEDC">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p>
        </w:tc>
        <w:tc>
          <w:tcPr>
            <w:tcW w:w="942" w:type="dxa"/>
            <w:vAlign w:val="center"/>
          </w:tcPr>
          <w:p w14:paraId="23F1CFF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w:t>
            </w:r>
          </w:p>
        </w:tc>
        <w:tc>
          <w:tcPr>
            <w:tcW w:w="1775" w:type="dxa"/>
            <w:vAlign w:val="center"/>
          </w:tcPr>
          <w:p w14:paraId="23F6C50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合同备案存档</w:t>
            </w:r>
          </w:p>
        </w:tc>
        <w:tc>
          <w:tcPr>
            <w:tcW w:w="6912" w:type="dxa"/>
            <w:vAlign w:val="center"/>
          </w:tcPr>
          <w:p w14:paraId="1A513C1B">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tc>
      </w:tr>
      <w:tr w14:paraId="2557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5C54448">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p>
        </w:tc>
        <w:tc>
          <w:tcPr>
            <w:tcW w:w="942" w:type="dxa"/>
            <w:vAlign w:val="center"/>
          </w:tcPr>
          <w:p w14:paraId="7382D6C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775" w:type="dxa"/>
            <w:vAlign w:val="center"/>
          </w:tcPr>
          <w:p w14:paraId="0DF4B7E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w:t>
            </w:r>
          </w:p>
        </w:tc>
        <w:tc>
          <w:tcPr>
            <w:tcW w:w="6912" w:type="dxa"/>
            <w:vAlign w:val="top"/>
          </w:tcPr>
          <w:p w14:paraId="35CC3F9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本项目不收取采购代理服务费</w:t>
            </w:r>
          </w:p>
        </w:tc>
      </w:tr>
      <w:tr w14:paraId="3ED4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32A69D3">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p>
        </w:tc>
        <w:tc>
          <w:tcPr>
            <w:tcW w:w="942" w:type="dxa"/>
            <w:vAlign w:val="center"/>
          </w:tcPr>
          <w:p w14:paraId="01D1BDC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775" w:type="dxa"/>
            <w:vAlign w:val="center"/>
          </w:tcPr>
          <w:p w14:paraId="520190B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解释权</w:t>
            </w:r>
          </w:p>
        </w:tc>
        <w:tc>
          <w:tcPr>
            <w:tcW w:w="6912" w:type="dxa"/>
            <w:vAlign w:val="top"/>
          </w:tcPr>
          <w:p w14:paraId="5B3D6A0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E73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49CC1451">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942" w:type="dxa"/>
            <w:vAlign w:val="center"/>
          </w:tcPr>
          <w:p w14:paraId="06C36EB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775" w:type="dxa"/>
            <w:vAlign w:val="center"/>
          </w:tcPr>
          <w:p w14:paraId="71E6D40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监督管理机构</w:t>
            </w:r>
          </w:p>
        </w:tc>
        <w:tc>
          <w:tcPr>
            <w:tcW w:w="6912" w:type="dxa"/>
            <w:vAlign w:val="center"/>
          </w:tcPr>
          <w:p w14:paraId="4C6E6866">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桂林市财政局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 xml:space="preserve">0773-2862142 </w:t>
            </w:r>
          </w:p>
        </w:tc>
      </w:tr>
    </w:tbl>
    <w:p w14:paraId="4F130D85">
      <w:pPr>
        <w:pStyle w:val="18"/>
        <w:ind w:left="0" w:leftChars="0" w:firstLine="0" w:firstLineChars="0"/>
        <w:rPr>
          <w:rFonts w:hint="eastAsia" w:ascii="宋体" w:hAnsi="宋体" w:eastAsia="宋体" w:cs="宋体"/>
          <w:b/>
          <w:color w:val="000000" w:themeColor="text1"/>
          <w:sz w:val="28"/>
          <w:szCs w:val="28"/>
          <w:highlight w:val="none"/>
          <w14:textFill>
            <w14:solidFill>
              <w14:schemeClr w14:val="tx1"/>
            </w14:solidFill>
          </w14:textFill>
        </w:rPr>
      </w:pPr>
    </w:p>
    <w:p w14:paraId="6CF865EB">
      <w:pPr>
        <w:pStyle w:val="4"/>
        <w:ind w:left="0" w:leftChars="0" w:firstLine="0" w:firstLineChars="0"/>
        <w:jc w:val="both"/>
        <w:rPr>
          <w:rFonts w:hint="eastAsia" w:ascii="宋体" w:hAnsi="宋体" w:eastAsia="宋体" w:cs="宋体"/>
          <w:b/>
          <w:bCs w:val="0"/>
          <w:color w:val="000000" w:themeColor="text1"/>
          <w:szCs w:val="28"/>
          <w:highlight w:val="none"/>
          <w14:textFill>
            <w14:solidFill>
              <w14:schemeClr w14:val="tx1"/>
            </w14:solidFill>
          </w14:textFill>
        </w:rPr>
      </w:pPr>
    </w:p>
    <w:p w14:paraId="66E162C1">
      <w:pPr>
        <w:rPr>
          <w:rFonts w:hint="eastAsia"/>
          <w:color w:val="000000" w:themeColor="text1"/>
          <w:highlight w:val="none"/>
          <w14:textFill>
            <w14:solidFill>
              <w14:schemeClr w14:val="tx1"/>
            </w14:solidFill>
          </w14:textFill>
        </w:rPr>
      </w:pPr>
    </w:p>
    <w:p w14:paraId="69205F6F">
      <w:pPr>
        <w:rPr>
          <w:rFonts w:hint="eastAsia" w:ascii="宋体" w:hAnsi="宋体" w:eastAsia="宋体" w:cs="宋体"/>
          <w:color w:val="000000" w:themeColor="text1"/>
          <w:highlight w:val="none"/>
          <w14:textFill>
            <w14:solidFill>
              <w14:schemeClr w14:val="tx1"/>
            </w14:solidFill>
          </w14:textFill>
        </w:rPr>
      </w:pPr>
    </w:p>
    <w:p w14:paraId="3B969F0B">
      <w:pPr>
        <w:pStyle w:val="4"/>
        <w:rPr>
          <w:rFonts w:hint="eastAsia" w:ascii="宋体" w:hAnsi="宋体" w:eastAsia="宋体" w:cs="宋体"/>
          <w:color w:val="000000" w:themeColor="text1"/>
          <w:highlight w:val="none"/>
          <w14:textFill>
            <w14:solidFill>
              <w14:schemeClr w14:val="tx1"/>
            </w14:solidFill>
          </w14:textFill>
        </w:rPr>
      </w:pPr>
    </w:p>
    <w:p w14:paraId="3A1FAF48">
      <w:pPr>
        <w:rPr>
          <w:rFonts w:hint="eastAsia"/>
        </w:rPr>
      </w:pPr>
    </w:p>
    <w:p w14:paraId="53F41357">
      <w:pPr>
        <w:rPr>
          <w:rFonts w:hint="eastAsia"/>
        </w:rPr>
      </w:pPr>
    </w:p>
    <w:p w14:paraId="6E5F1E9D">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60" w:name="_Toc22792"/>
      <w:bookmarkStart w:id="61" w:name="_Toc19417"/>
      <w:r>
        <w:rPr>
          <w:rFonts w:hint="eastAsia" w:ascii="宋体" w:hAnsi="宋体" w:eastAsia="宋体" w:cs="宋体"/>
          <w:b/>
          <w:bCs w:val="0"/>
          <w:color w:val="000000" w:themeColor="text1"/>
          <w:szCs w:val="28"/>
          <w:highlight w:val="none"/>
          <w14:textFill>
            <w14:solidFill>
              <w14:schemeClr w14:val="tx1"/>
            </w14:solidFill>
          </w14:textFill>
        </w:rPr>
        <w:t>一、总则</w:t>
      </w:r>
      <w:bookmarkEnd w:id="60"/>
      <w:bookmarkEnd w:id="61"/>
    </w:p>
    <w:p w14:paraId="078AAE68">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2" w:name="_Toc6626"/>
      <w:bookmarkStart w:id="63" w:name="_Toc26919"/>
      <w:r>
        <w:rPr>
          <w:rFonts w:hint="eastAsia" w:ascii="宋体" w:hAnsi="宋体" w:eastAsia="宋体" w:cs="宋体"/>
          <w:color w:val="000000" w:themeColor="text1"/>
          <w:sz w:val="21"/>
          <w:szCs w:val="21"/>
          <w:highlight w:val="none"/>
          <w14:textFill>
            <w14:solidFill>
              <w14:schemeClr w14:val="tx1"/>
            </w14:solidFill>
          </w14:textFill>
        </w:rPr>
        <w:t>1. 适应范围</w:t>
      </w:r>
      <w:bookmarkEnd w:id="62"/>
      <w:bookmarkEnd w:id="63"/>
    </w:p>
    <w:p w14:paraId="7AA045A8">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项目名称及项目编号：</w:t>
      </w:r>
    </w:p>
    <w:p w14:paraId="1D832276">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项目名称：桂林市教育科学研究所2025年期末质量检测试题命题项目</w:t>
      </w:r>
    </w:p>
    <w:p w14:paraId="22965986">
      <w:pPr>
        <w:spacing w:line="360" w:lineRule="auto"/>
        <w:ind w:firstLine="420" w:firstLineChars="200"/>
        <w:rPr>
          <w:rFonts w:hint="default"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lang w:eastAsia="zh-CN"/>
          <w14:textFill>
            <w14:solidFill>
              <w14:schemeClr w14:val="tx1"/>
            </w14:solidFill>
          </w14:textFill>
        </w:rPr>
        <w:t>GLZC2025-C3-990</w:t>
      </w:r>
      <w:r>
        <w:rPr>
          <w:rFonts w:hint="eastAsia" w:ascii="宋体" w:hAnsi="宋体" w:eastAsia="宋体" w:cs="宋体"/>
          <w:color w:val="000000" w:themeColor="text1"/>
          <w:sz w:val="21"/>
          <w:szCs w:val="21"/>
          <w:highlight w:val="none"/>
          <w:lang w:val="en-US" w:eastAsia="zh-CN"/>
          <w14:textFill>
            <w14:solidFill>
              <w14:schemeClr w14:val="tx1"/>
            </w14:solidFill>
          </w14:textFill>
        </w:rPr>
        <w:t>193</w:t>
      </w:r>
      <w:r>
        <w:rPr>
          <w:rFonts w:hint="eastAsia" w:ascii="宋体" w:hAnsi="宋体" w:eastAsia="宋体" w:cs="宋体"/>
          <w:color w:val="000000" w:themeColor="text1"/>
          <w:sz w:val="21"/>
          <w:szCs w:val="21"/>
          <w:highlight w:val="none"/>
          <w:lang w:eastAsia="zh-CN"/>
          <w14:textFill>
            <w14:solidFill>
              <w14:schemeClr w14:val="tx1"/>
            </w14:solidFill>
          </w14:textFill>
        </w:rPr>
        <w:t>-GLSZ</w:t>
      </w:r>
    </w:p>
    <w:p w14:paraId="6C21E2FD">
      <w:pPr>
        <w:spacing w:line="36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14:paraId="69EEA9CF">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4" w:name="_Toc28336"/>
      <w:bookmarkStart w:id="65" w:name="_Toc31054"/>
      <w:r>
        <w:rPr>
          <w:rFonts w:hint="eastAsia" w:ascii="宋体" w:hAnsi="宋体" w:eastAsia="宋体" w:cs="宋体"/>
          <w:color w:val="000000" w:themeColor="text1"/>
          <w:sz w:val="21"/>
          <w:szCs w:val="21"/>
          <w:highlight w:val="none"/>
          <w14:textFill>
            <w14:solidFill>
              <w14:schemeClr w14:val="tx1"/>
            </w14:solidFill>
          </w14:textFill>
        </w:rPr>
        <w:t>2. 定义</w:t>
      </w:r>
      <w:bookmarkEnd w:id="64"/>
      <w:bookmarkEnd w:id="65"/>
    </w:p>
    <w:p w14:paraId="4A868EAC">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14:paraId="6DBA9564">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14:paraId="7AA54EA3">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2.3“服务”系指按磋商文件规定，供应商须承担的安装、调试、技术协助、校准、培训、技术指导以及其他类似的义务。</w:t>
      </w:r>
    </w:p>
    <w:p w14:paraId="7B6026D1">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2.4“项目”系指供应商按磋商文件规定向采购人提供的货物和服务。</w:t>
      </w:r>
    </w:p>
    <w:p w14:paraId="3D34385A">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2.5“书面形式”包括信函、传真、电报等。</w:t>
      </w:r>
    </w:p>
    <w:p w14:paraId="48553F55">
      <w:pPr>
        <w:spacing w:line="360" w:lineRule="exact"/>
        <w:ind w:firstLine="43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none"/>
          <w14:textFill>
            <w14:solidFill>
              <w14:schemeClr w14:val="tx1"/>
            </w14:solidFill>
          </w14:textFill>
        </w:rPr>
        <w:t>2.6实质性要求：</w:t>
      </w:r>
      <w:r>
        <w:rPr>
          <w:rFonts w:hint="eastAsia" w:ascii="宋体" w:hAnsi="宋体" w:cs="宋体"/>
          <w:b/>
          <w:bCs/>
          <w:color w:val="000000" w:themeColor="text1"/>
          <w:sz w:val="21"/>
          <w:szCs w:val="21"/>
          <w:highlight w:val="none"/>
          <w14:textFill>
            <w14:solidFill>
              <w14:schemeClr w14:val="tx1"/>
            </w14:solidFill>
          </w14:textFill>
        </w:rPr>
        <w:t>“采购需求”</w:t>
      </w:r>
      <w:r>
        <w:rPr>
          <w:rFonts w:hint="eastAsia" w:ascii="宋体" w:hAnsi="宋体" w:cs="宋体"/>
          <w:b/>
          <w:color w:val="000000"/>
          <w:szCs w:val="21"/>
          <w:highlight w:val="none"/>
          <w:lang w:val="en-US" w:eastAsia="zh-CN"/>
        </w:rPr>
        <w:t>均</w:t>
      </w:r>
      <w:r>
        <w:rPr>
          <w:rFonts w:hint="eastAsia" w:ascii="宋体" w:hAnsi="宋体" w:cs="宋体"/>
          <w:b/>
          <w:color w:val="000000"/>
          <w:szCs w:val="21"/>
          <w:highlight w:val="none"/>
        </w:rPr>
        <w:t>为实质性要求</w:t>
      </w:r>
      <w:r>
        <w:rPr>
          <w:rFonts w:hint="eastAsia" w:ascii="宋体" w:hAnsi="宋体" w:cs="宋体"/>
          <w:b/>
          <w:bCs/>
          <w:color w:val="000000" w:themeColor="text1"/>
          <w:sz w:val="21"/>
          <w:szCs w:val="21"/>
          <w:highlight w:val="none"/>
          <w14:textFill>
            <w14:solidFill>
              <w14:schemeClr w14:val="tx1"/>
            </w14:solidFill>
          </w14:textFill>
        </w:rPr>
        <w:t>，不允许负偏离，否则投标无效</w:t>
      </w:r>
      <w:r>
        <w:rPr>
          <w:rFonts w:hint="eastAsia" w:ascii="宋体" w:hAnsi="宋体" w:cs="宋体"/>
          <w:b/>
          <w:bCs/>
          <w:color w:val="000000" w:themeColor="text1"/>
          <w:sz w:val="21"/>
          <w:szCs w:val="21"/>
          <w:highlight w:val="none"/>
          <w:lang w:eastAsia="zh-CN"/>
          <w14:textFill>
            <w14:solidFill>
              <w14:schemeClr w14:val="tx1"/>
            </w14:solidFill>
          </w14:textFill>
        </w:rPr>
        <w:t>。</w:t>
      </w:r>
    </w:p>
    <w:p w14:paraId="152AF389">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6" w:name="_Toc25441"/>
      <w:bookmarkStart w:id="67" w:name="_Toc19348"/>
      <w:r>
        <w:rPr>
          <w:rFonts w:hint="eastAsia" w:ascii="宋体" w:hAnsi="宋体" w:eastAsia="宋体" w:cs="宋体"/>
          <w:color w:val="000000" w:themeColor="text1"/>
          <w:sz w:val="21"/>
          <w:szCs w:val="21"/>
          <w:highlight w:val="none"/>
          <w14:textFill>
            <w14:solidFill>
              <w14:schemeClr w14:val="tx1"/>
            </w14:solidFill>
          </w14:textFill>
        </w:rPr>
        <w:t>3. 供应商资格</w:t>
      </w:r>
      <w:bookmarkEnd w:id="66"/>
      <w:bookmarkEnd w:id="67"/>
    </w:p>
    <w:p w14:paraId="6EA4E461">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3.1符合《中华人民共和国政府采购法》第二十二条和《政府采购法实施条例》第十八条规定，具备合法资格的供应商；</w:t>
      </w:r>
    </w:p>
    <w:p w14:paraId="5030A9CB">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3.2本项目不接受联合体参与磋商；</w:t>
      </w:r>
    </w:p>
    <w:p w14:paraId="162E0D32">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55DD5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68" w:name="_Toc16496"/>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3C488F8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69" w:name="_Toc5736"/>
      <w:bookmarkStart w:id="70" w:name="_Toc24827"/>
      <w:bookmarkStart w:id="71" w:name="_Toc4527"/>
      <w:bookmarkStart w:id="72" w:name="_Toc11280"/>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bookmarkEnd w:id="69"/>
      <w:bookmarkEnd w:id="70"/>
      <w:bookmarkEnd w:id="71"/>
      <w:bookmarkEnd w:id="72"/>
    </w:p>
    <w:p w14:paraId="16D7A6B1">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3" w:name="_Toc23490"/>
      <w:r>
        <w:rPr>
          <w:rFonts w:hint="eastAsia" w:ascii="宋体" w:hAnsi="宋体" w:eastAsia="宋体" w:cs="宋体"/>
          <w:color w:val="000000" w:themeColor="text1"/>
          <w:sz w:val="21"/>
          <w:szCs w:val="21"/>
          <w:highlight w:val="none"/>
          <w14:textFill>
            <w14:solidFill>
              <w14:schemeClr w14:val="tx1"/>
            </w14:solidFill>
          </w14:textFill>
        </w:rPr>
        <w:t>4. 磋商费用</w:t>
      </w:r>
      <w:bookmarkEnd w:id="68"/>
      <w:bookmarkEnd w:id="73"/>
    </w:p>
    <w:p w14:paraId="5F883A57">
      <w:pPr>
        <w:tabs>
          <w:tab w:val="left" w:pos="1635"/>
        </w:tabs>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不论磋商结果如何，供应商均应自行承担所有与磋商有关的全部费用。</w:t>
      </w:r>
    </w:p>
    <w:p w14:paraId="6381A8BC">
      <w:pPr>
        <w:pStyle w:val="5"/>
        <w:numPr>
          <w:ilvl w:val="0"/>
          <w:numId w:val="2"/>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4" w:name="_Toc31376"/>
      <w:bookmarkStart w:id="75" w:name="_Toc10404"/>
      <w:r>
        <w:rPr>
          <w:rFonts w:hint="eastAsia" w:ascii="宋体" w:hAnsi="宋体" w:eastAsia="宋体" w:cs="宋体"/>
          <w:color w:val="000000" w:themeColor="text1"/>
          <w:sz w:val="21"/>
          <w:szCs w:val="21"/>
          <w:highlight w:val="none"/>
          <w14:textFill>
            <w14:solidFill>
              <w14:schemeClr w14:val="tx1"/>
            </w14:solidFill>
          </w14:textFill>
        </w:rPr>
        <w:t>联合体要求</w:t>
      </w:r>
      <w:bookmarkEnd w:id="74"/>
      <w:bookmarkEnd w:id="75"/>
    </w:p>
    <w:p w14:paraId="4561AC11">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本项目不接受联合体参与磋商</w:t>
      </w:r>
      <w:bookmarkStart w:id="76" w:name="_Toc6998"/>
    </w:p>
    <w:p w14:paraId="210EBE64">
      <w:pPr>
        <w:pStyle w:val="5"/>
        <w:numPr>
          <w:ilvl w:val="0"/>
          <w:numId w:val="2"/>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7" w:name="_Toc21104"/>
      <w:r>
        <w:rPr>
          <w:rFonts w:hint="eastAsia" w:ascii="宋体" w:hAnsi="宋体" w:eastAsia="宋体" w:cs="宋体"/>
          <w:color w:val="000000" w:themeColor="text1"/>
          <w:sz w:val="21"/>
          <w:szCs w:val="21"/>
          <w:highlight w:val="none"/>
          <w14:textFill>
            <w14:solidFill>
              <w14:schemeClr w14:val="tx1"/>
            </w14:solidFill>
          </w14:textFill>
        </w:rPr>
        <w:t>转包与分包</w:t>
      </w:r>
      <w:bookmarkEnd w:id="76"/>
      <w:bookmarkEnd w:id="77"/>
    </w:p>
    <w:p w14:paraId="70860360">
      <w:pPr>
        <w:bidi w:val="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.1 本项目不允许转包。</w:t>
      </w:r>
    </w:p>
    <w:p w14:paraId="4B6A692D">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本项目不可以分包。</w:t>
      </w:r>
    </w:p>
    <w:p w14:paraId="5634E6FD">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8" w:name="_Toc4152"/>
      <w:bookmarkStart w:id="79" w:name="_Toc18857"/>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质疑和投诉</w:t>
      </w:r>
      <w:bookmarkEnd w:id="78"/>
      <w:bookmarkEnd w:id="79"/>
      <w:r>
        <w:rPr>
          <w:rFonts w:hint="eastAsia" w:ascii="宋体" w:hAnsi="宋体" w:eastAsia="宋体" w:cs="宋体"/>
          <w:color w:val="000000" w:themeColor="text1"/>
          <w:sz w:val="21"/>
          <w:szCs w:val="21"/>
          <w:highlight w:val="none"/>
          <w14:textFill>
            <w14:solidFill>
              <w14:schemeClr w14:val="tx1"/>
            </w14:solidFill>
          </w14:textFill>
        </w:rPr>
        <w:tab/>
      </w:r>
    </w:p>
    <w:p w14:paraId="05033124">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.1供应商认为磋商文件使自己的合法权益受到损害的，应当在本项目竞争性磋商公告期限届满之日起七个工作日内以书面形式向采购人或桂林市政府集中采购中心提出质疑。供应商认为招标过程或</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成交</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结果使自己的合法权益受到损害的，应当在采购程序环节结束之日或中标</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（成交）</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公告期限届满之日起七个工作日内，以书面形式向采购人或桂林市政府集中采购中心提出质疑。</w:t>
      </w:r>
    </w:p>
    <w:p w14:paraId="596B4478">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接收质疑函方式：以书面形式（原件）提交。</w:t>
      </w:r>
    </w:p>
    <w:p w14:paraId="1576EFD6">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质疑联系人：桂林市政府集中采购中心，联系电话：0773-5625162</w:t>
      </w:r>
    </w:p>
    <w:p w14:paraId="283724FC">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通讯地址：桂林市临桂区西城中路69号创业大厦西辅楼5楼574室</w:t>
      </w:r>
    </w:p>
    <w:p w14:paraId="1423B90D">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.2收到供应商书面质疑函后，采购人应当在七个工作日内对质疑事项作出答复（答复内容不得涉及商业秘密），并委托采购代理机构以书面形式通知质疑供应商，在财政部门指定的媒体发布质疑答复公告。</w:t>
      </w:r>
    </w:p>
    <w:p w14:paraId="12369A89">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.3供应商对采购人或采购代理机构的答复不满意，或者采购人或采购代理机构未在规定的时间内作出答复的，可以在答复期满后十五个工作日内向本级财政部门投诉。</w:t>
      </w:r>
    </w:p>
    <w:p w14:paraId="1C9CC95F">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.4质疑、投诉应当采用书面形式，质疑书、投诉书实行实名制，均应明确阐述</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磋商</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文件、</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磋商</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过程或</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成交</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结果中使自己合法权益受到损害的实质性内容，并提供必要的证明材料。</w:t>
      </w:r>
    </w:p>
    <w:p w14:paraId="3974B325">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.5供应商在法定质疑期内应当一次性提出针对同一采购程序环节的质疑。</w:t>
      </w:r>
    </w:p>
    <w:p w14:paraId="4334140E">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.6 不在法定质疑期内提出的质疑函可以拒收。不符合要求的质疑函在法定质疑期内及时补充完整，否则作质疑不成立处理。</w:t>
      </w:r>
    </w:p>
    <w:p w14:paraId="3E7ED67B">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0" w:name="_Toc3368"/>
      <w:bookmarkStart w:id="81" w:name="_Toc21587"/>
      <w:r>
        <w:rPr>
          <w:rFonts w:hint="eastAsia" w:ascii="宋体" w:hAnsi="宋体" w:eastAsia="宋体" w:cs="宋体"/>
          <w:color w:val="000000" w:themeColor="text1"/>
          <w:sz w:val="21"/>
          <w:szCs w:val="21"/>
          <w:highlight w:val="none"/>
          <w14:textFill>
            <w14:solidFill>
              <w14:schemeClr w14:val="tx1"/>
            </w14:solidFill>
          </w14:textFill>
        </w:rPr>
        <w:t>8. 特别说明</w:t>
      </w:r>
      <w:bookmarkEnd w:id="80"/>
      <w:bookmarkEnd w:id="81"/>
    </w:p>
    <w:p w14:paraId="2BD68CB5">
      <w:pPr>
        <w:tabs>
          <w:tab w:val="left" w:pos="1635"/>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14:paraId="2CA5BE26">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14:paraId="618C54E8">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）为本采购项目提供整体设计、规范编制或者项目管理、监理、检测等服务的供应商，不得再参加本次采购活动。</w:t>
      </w:r>
    </w:p>
    <w:p w14:paraId="286E35E6">
      <w:pPr>
        <w:tabs>
          <w:tab w:val="left" w:pos="1635"/>
        </w:tabs>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w:t>
      </w:r>
      <w:r>
        <w:rPr>
          <w:rFonts w:hint="eastAsia" w:ascii="宋体" w:hAnsi="宋体" w:eastAsia="宋体" w:cs="宋体"/>
          <w:b/>
          <w:bCs/>
          <w:color w:val="000000" w:themeColor="text1"/>
          <w:szCs w:val="21"/>
          <w:highlight w:val="none"/>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73D8191F">
      <w:pPr>
        <w:pStyle w:val="8"/>
        <w:rPr>
          <w:rFonts w:hint="eastAsia" w:ascii="宋体" w:hAnsi="宋体" w:eastAsia="宋体" w:cs="宋体"/>
          <w:color w:val="000000" w:themeColor="text1"/>
          <w:highlight w:val="none"/>
          <w14:textFill>
            <w14:solidFill>
              <w14:schemeClr w14:val="tx1"/>
            </w14:solidFill>
          </w14:textFill>
        </w:rPr>
      </w:pPr>
    </w:p>
    <w:p w14:paraId="76AF7BC5">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82" w:name="_Toc22498"/>
      <w:bookmarkStart w:id="83" w:name="_Toc14529"/>
      <w:r>
        <w:rPr>
          <w:rFonts w:hint="eastAsia" w:ascii="宋体" w:hAnsi="宋体" w:eastAsia="宋体" w:cs="宋体"/>
          <w:b/>
          <w:bCs w:val="0"/>
          <w:color w:val="000000" w:themeColor="text1"/>
          <w:szCs w:val="28"/>
          <w:highlight w:val="none"/>
          <w14:textFill>
            <w14:solidFill>
              <w14:schemeClr w14:val="tx1"/>
            </w14:solidFill>
          </w14:textFill>
        </w:rPr>
        <w:t>二、磋商文件</w:t>
      </w:r>
      <w:bookmarkEnd w:id="82"/>
      <w:bookmarkEnd w:id="83"/>
    </w:p>
    <w:p w14:paraId="3F757F2A">
      <w:pPr>
        <w:pStyle w:val="5"/>
        <w:spacing w:before="0" w:after="0" w:line="360" w:lineRule="auto"/>
        <w:ind w:firstLine="420" w:firstLineChars="200"/>
        <w:rPr>
          <w:rFonts w:hint="eastAsia" w:ascii="宋体" w:hAnsi="宋体" w:eastAsia="宋体" w:cs="宋体"/>
          <w:color w:val="000000" w:themeColor="text1"/>
          <w:sz w:val="21"/>
          <w:szCs w:val="21"/>
          <w:highlight w:val="none"/>
          <w:lang w:val="pt-BR"/>
          <w14:textFill>
            <w14:solidFill>
              <w14:schemeClr w14:val="tx1"/>
            </w14:solidFill>
          </w14:textFill>
        </w:rPr>
      </w:pPr>
      <w:bookmarkStart w:id="84" w:name="_Toc18964"/>
      <w:bookmarkStart w:id="85" w:name="_Toc15842"/>
      <w:r>
        <w:rPr>
          <w:rFonts w:hint="eastAsia" w:ascii="宋体" w:hAnsi="宋体" w:eastAsia="宋体" w:cs="宋体"/>
          <w:color w:val="000000" w:themeColor="text1"/>
          <w:sz w:val="21"/>
          <w:szCs w:val="21"/>
          <w:highlight w:val="none"/>
          <w:lang w:val="pt-BR"/>
          <w14:textFill>
            <w14:solidFill>
              <w14:schemeClr w14:val="tx1"/>
            </w14:solidFill>
          </w14:textFill>
        </w:rPr>
        <w:t xml:space="preserve">9. </w:t>
      </w:r>
      <w:r>
        <w:rPr>
          <w:rFonts w:hint="eastAsia" w:ascii="宋体" w:hAnsi="宋体" w:eastAsia="宋体" w:cs="宋体"/>
          <w:color w:val="000000" w:themeColor="text1"/>
          <w:sz w:val="21"/>
          <w:szCs w:val="21"/>
          <w:highlight w:val="none"/>
          <w14:textFill>
            <w14:solidFill>
              <w14:schemeClr w14:val="tx1"/>
            </w14:solidFill>
          </w14:textFill>
        </w:rPr>
        <w:t>磋商文件的构成</w:t>
      </w:r>
      <w:bookmarkEnd w:id="84"/>
      <w:bookmarkEnd w:id="85"/>
    </w:p>
    <w:p w14:paraId="77B90FB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（1）竞争性磋商公告；</w:t>
      </w:r>
    </w:p>
    <w:p w14:paraId="47F1184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14:paraId="346624EF">
      <w:pPr>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w:t>
      </w:r>
      <w:r>
        <w:rPr>
          <w:rFonts w:hint="eastAsia" w:ascii="宋体" w:hAnsi="宋体" w:eastAsia="宋体" w:cs="宋体"/>
          <w:bCs/>
          <w:color w:val="000000" w:themeColor="text1"/>
          <w:szCs w:val="21"/>
          <w:highlight w:val="none"/>
          <w14:textFill>
            <w14:solidFill>
              <w14:schemeClr w14:val="tx1"/>
            </w14:solidFill>
          </w14:textFill>
        </w:rPr>
        <w:t>；</w:t>
      </w:r>
    </w:p>
    <w:p w14:paraId="72EE249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（4）评审办法；</w:t>
      </w:r>
    </w:p>
    <w:p w14:paraId="072F9DD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（5）采购合同（合同主要条款及格式）；</w:t>
      </w:r>
    </w:p>
    <w:p w14:paraId="3C5EFB2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（6）响应文件（格式）。</w:t>
      </w:r>
    </w:p>
    <w:p w14:paraId="03950A07">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6" w:name="_Toc9103"/>
      <w:bookmarkStart w:id="87" w:name="_Toc6190"/>
      <w:r>
        <w:rPr>
          <w:rFonts w:hint="eastAsia" w:ascii="宋体" w:hAnsi="宋体" w:eastAsia="宋体" w:cs="宋体"/>
          <w:color w:val="000000" w:themeColor="text1"/>
          <w:sz w:val="21"/>
          <w:szCs w:val="21"/>
          <w:highlight w:val="none"/>
          <w14:textFill>
            <w14:solidFill>
              <w14:schemeClr w14:val="tx1"/>
            </w14:solidFill>
          </w14:textFill>
        </w:rPr>
        <w:t>10. 磋商文件的澄清与修改</w:t>
      </w:r>
      <w:bookmarkEnd w:id="86"/>
      <w:bookmarkEnd w:id="87"/>
    </w:p>
    <w:p w14:paraId="3151201A">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提交首次响应文件截止之日前，采购代理机构可以对已发出的磋商文件进行必要澄清、答复、修改或</w:t>
      </w:r>
    </w:p>
    <w:p w14:paraId="2F9417D9">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前在本项目竞争性磋商公告发布的同一媒体上发布更正公告，不足</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的，应当顺延首次响应文件递交截止时间。</w:t>
      </w:r>
    </w:p>
    <w:p w14:paraId="2509A9C3">
      <w:pPr>
        <w:spacing w:line="360" w:lineRule="auto"/>
        <w:ind w:left="420" w:left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w:t>
      </w:r>
      <w:r>
        <w:rPr>
          <w:rFonts w:hint="eastAsia" w:ascii="宋体" w:hAnsi="宋体" w:eastAsia="宋体" w:cs="宋体"/>
          <w:b/>
          <w:bCs/>
          <w:color w:val="000000" w:themeColor="text1"/>
          <w:szCs w:val="21"/>
          <w:highlight w:val="none"/>
          <w14:textFill>
            <w14:solidFill>
              <w14:schemeClr w14:val="tx1"/>
            </w14:solidFill>
          </w14:textFill>
        </w:rPr>
        <w:t>供应商应实时关注本项目信息公告发布媒体相关网站了解澄清、修改等与项目有关的内容，如因供应</w:t>
      </w:r>
    </w:p>
    <w:p w14:paraId="71E1AC7F">
      <w:pPr>
        <w:spacing w:line="360" w:lineRule="auto"/>
        <w:ind w:left="0" w:leftChars="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商未及时登录相关网站了解澄清、修改等与项目有关的内容，从而导致响应文件无效的，由供应商自行承担责任。</w:t>
      </w:r>
    </w:p>
    <w:p w14:paraId="1771E613">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10.3澄清或者修改的内容为磋商文件的组成部分。当澄清或者修改通知就同一内容的表述不一致时，以最</w:t>
      </w:r>
    </w:p>
    <w:p w14:paraId="7DBF6822">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后发出的文件为准。</w:t>
      </w:r>
    </w:p>
    <w:p w14:paraId="4C19156F">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磋商文件的澄清或者修改都应该通过本项目采购代理机构以法定形式发布，采购人非通过本机构，不</w:t>
      </w:r>
    </w:p>
    <w:p w14:paraId="19202DE9">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得擅自澄清或者修改磋商文件。</w:t>
      </w:r>
    </w:p>
    <w:p w14:paraId="321E4D16">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10.5采购单位可以视采购具体情况，延长响应文件截止时间和磋商时间，在本项目竞争性磋商公告发布的</w:t>
      </w:r>
    </w:p>
    <w:p w14:paraId="2CDDE6E4">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同一媒体上发布变更公告。</w:t>
      </w:r>
    </w:p>
    <w:p w14:paraId="181A8181">
      <w:pPr>
        <w:pStyle w:val="22"/>
        <w:rPr>
          <w:rFonts w:hint="eastAsia" w:ascii="宋体" w:hAnsi="宋体" w:eastAsia="宋体" w:cs="宋体"/>
          <w:color w:val="000000" w:themeColor="text1"/>
          <w:highlight w:val="none"/>
          <w14:textFill>
            <w14:solidFill>
              <w14:schemeClr w14:val="tx1"/>
            </w14:solidFill>
          </w14:textFill>
        </w:rPr>
      </w:pPr>
    </w:p>
    <w:p w14:paraId="0289D0DC">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88" w:name="_Toc20830"/>
      <w:bookmarkStart w:id="89" w:name="_Toc2418"/>
      <w:r>
        <w:rPr>
          <w:rFonts w:hint="eastAsia" w:ascii="宋体" w:hAnsi="宋体" w:eastAsia="宋体" w:cs="宋体"/>
          <w:b/>
          <w:bCs w:val="0"/>
          <w:color w:val="000000" w:themeColor="text1"/>
          <w:szCs w:val="28"/>
          <w:highlight w:val="none"/>
          <w14:textFill>
            <w14:solidFill>
              <w14:schemeClr w14:val="tx1"/>
            </w14:solidFill>
          </w14:textFill>
        </w:rPr>
        <w:t>三、竞争性磋商响应文件的编制</w:t>
      </w:r>
      <w:bookmarkEnd w:id="88"/>
      <w:bookmarkEnd w:id="89"/>
    </w:p>
    <w:p w14:paraId="3484EC61">
      <w:pPr>
        <w:pStyle w:val="5"/>
        <w:spacing w:before="0" w:after="0" w:line="360" w:lineRule="auto"/>
        <w:ind w:firstLine="420"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90" w:name="_Toc15776"/>
      <w:r>
        <w:rPr>
          <w:rFonts w:hint="eastAsia" w:ascii="宋体" w:hAnsi="宋体" w:eastAsia="宋体" w:cs="宋体"/>
          <w:b/>
          <w:color w:val="000000" w:themeColor="text1"/>
          <w:sz w:val="21"/>
          <w:szCs w:val="21"/>
          <w:highlight w:val="none"/>
          <w:lang w:val="en-US" w:eastAsia="zh-CN"/>
          <w14:textFill>
            <w14:solidFill>
              <w14:schemeClr w14:val="tx1"/>
            </w14:solidFill>
          </w14:textFill>
        </w:rPr>
        <w:t>11.竞争性磋商响应文件编制基本要求</w:t>
      </w:r>
      <w:bookmarkEnd w:id="90"/>
    </w:p>
    <w:p w14:paraId="6B85CDF5">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 本项目实行电子投标，供应商应准备电子磋商响应文件：</w:t>
      </w:r>
    </w:p>
    <w:p w14:paraId="6E9FE1EF">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11.1.1 电子响应文件按</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要求及本磋商文件要求制作、加密并递交。具体操作流程可参考《政府采购项目电子交易管理操作指南-供应商》，指南可在</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下载。 </w:t>
      </w:r>
    </w:p>
    <w:p w14:paraId="3C821B42">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竞争性磋商响应文件（以下简称响应文件）的组成及要求</w:t>
      </w:r>
    </w:p>
    <w:p w14:paraId="1CDC1C4D">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Cs w:val="21"/>
          <w:highlight w:val="none"/>
          <w14:textFill>
            <w14:solidFill>
              <w14:schemeClr w14:val="tx1"/>
            </w14:solidFill>
          </w14:textFill>
        </w:rPr>
        <w:t>响应文件组成【格式见第六章“响应文件（格式）”】</w:t>
      </w:r>
    </w:p>
    <w:p w14:paraId="03AE9E4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Cs w:val="21"/>
          <w:highlight w:val="none"/>
          <w14:textFill>
            <w14:solidFill>
              <w14:schemeClr w14:val="tx1"/>
            </w14:solidFill>
          </w14:textFill>
        </w:rPr>
        <w:t>资格性响应证明材料：</w:t>
      </w:r>
    </w:p>
    <w:p w14:paraId="7F9655A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91" w:name="OLE_LINK15"/>
      <w:r>
        <w:rPr>
          <w:rFonts w:hint="eastAsia" w:ascii="宋体" w:hAnsi="宋体" w:eastAsia="宋体" w:cs="宋体"/>
          <w:color w:val="000000" w:themeColor="text1"/>
          <w:szCs w:val="21"/>
          <w:highlight w:val="none"/>
          <w14:textFill>
            <w14:solidFill>
              <w14:schemeClr w14:val="tx1"/>
            </w14:solidFill>
          </w14:textFill>
        </w:rPr>
        <w:t>供应商相应的法定代表人、负责人、自然人身份证正反两面</w:t>
      </w:r>
      <w:bookmarkEnd w:id="91"/>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0B8653F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（2）供应商的授权委托书原件、委托代理人身份证正反面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Cs w:val="21"/>
          <w:highlight w:val="none"/>
          <w:lang w:eastAsia="zh-CN"/>
          <w14:textFill>
            <w14:solidFill>
              <w14:schemeClr w14:val="tx1"/>
            </w14:solidFill>
          </w14:textFill>
        </w:rPr>
        <w:t>三个月内任意一个月</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bookmarkStart w:id="92" w:name="OLE_LINK16"/>
      <w:r>
        <w:rPr>
          <w:rFonts w:hint="eastAsia" w:ascii="宋体" w:hAnsi="宋体" w:eastAsia="宋体" w:cs="宋体"/>
          <w:color w:val="000000" w:themeColor="text1"/>
          <w:szCs w:val="21"/>
          <w:highlight w:val="none"/>
          <w14:textFill>
            <w14:solidFill>
              <w14:schemeClr w14:val="tx1"/>
            </w14:solidFill>
          </w14:textFill>
        </w:rPr>
        <w:t>除供应商为以下</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种情形的：</w:t>
      </w:r>
    </w:p>
    <w:p w14:paraId="7B37602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17F0D50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4B75DBA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③如委托代理人为免缴纳养老保险人员，提供免缴纳养老保险的证明材料扫描件</w:t>
      </w:r>
      <w:r>
        <w:rPr>
          <w:rFonts w:hint="eastAsia" w:ascii="宋体" w:hAnsi="宋体" w:eastAsia="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24A6A501">
      <w:pPr>
        <w:spacing w:beforeLines="0" w:afterLines="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bookmarkEnd w:id="92"/>
    <w:p w14:paraId="013DF7F0">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Cs w:val="21"/>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Cs w:val="21"/>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（委托代理时必须提供；如为联合体的，授权委托书原件须由牵头人出具）</w:t>
      </w:r>
    </w:p>
    <w:p w14:paraId="53DE178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（3）投标人参加政府采购活动前3年内在经营活动中没有重大违法记录及有关信用信息的书面声明或专项信用报告</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5B8829D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6C698C00">
      <w:pPr>
        <w:numPr>
          <w:ilvl w:val="0"/>
          <w:numId w:val="3"/>
        </w:num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（必须提供，自然人除外）；</w:t>
      </w:r>
    </w:p>
    <w:p w14:paraId="2D4BDAF9">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w:t>
      </w:r>
      <w:r>
        <w:rPr>
          <w:rFonts w:hint="eastAsia" w:ascii="宋体" w:hAnsi="宋体" w:cs="宋体"/>
          <w:b/>
          <w:bCs/>
          <w:color w:val="000000" w:themeColor="text1"/>
          <w:szCs w:val="21"/>
          <w:highlight w:val="none"/>
          <w:lang w:eastAsia="zh-CN"/>
          <w14:textFill>
            <w14:solidFill>
              <w14:schemeClr w14:val="tx1"/>
            </w14:solidFill>
          </w14:textFill>
        </w:rPr>
        <w:t>市场监督管理局</w:t>
      </w:r>
      <w:r>
        <w:rPr>
          <w:rFonts w:hint="eastAsia" w:ascii="宋体" w:hAnsi="宋体" w:eastAsia="宋体" w:cs="宋体"/>
          <w:b/>
          <w:bCs/>
          <w:color w:val="000000" w:themeColor="text1"/>
          <w:szCs w:val="21"/>
          <w:highlight w:val="none"/>
          <w14:textFill>
            <w14:solidFill>
              <w14:schemeClr w14:val="tx1"/>
            </w14:solidFill>
          </w14:textFill>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518CFFB">
      <w:pPr>
        <w:numPr>
          <w:ilvl w:val="0"/>
          <w:numId w:val="3"/>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财务状况报告</w:t>
      </w:r>
      <w:r>
        <w:rPr>
          <w:rFonts w:hint="eastAsia" w:ascii="宋体" w:hAnsi="宋体" w:cs="宋体"/>
          <w:b/>
          <w:bCs/>
          <w:color w:val="000000" w:themeColor="text1"/>
          <w:sz w:val="21"/>
          <w:szCs w:val="21"/>
          <w:highlight w:val="none"/>
          <w:lang w:val="en-US" w:eastAsia="zh-CN"/>
          <w14:textFill>
            <w14:solidFill>
              <w14:schemeClr w14:val="tx1"/>
            </w14:solidFill>
          </w14:textFill>
        </w:rPr>
        <w:t>（格式自拟，必须提供）</w:t>
      </w:r>
      <w:r>
        <w:rPr>
          <w:rFonts w:hint="eastAsia" w:ascii="宋体" w:hAnsi="宋体" w:eastAsia="宋体" w:cs="宋体"/>
          <w:color w:val="000000" w:themeColor="text1"/>
          <w:szCs w:val="21"/>
          <w:highlight w:val="none"/>
          <w14:textFill>
            <w14:solidFill>
              <w14:schemeClr w14:val="tx1"/>
            </w14:solidFill>
          </w14:textFill>
        </w:rPr>
        <w:t>；</w:t>
      </w:r>
    </w:p>
    <w:p w14:paraId="43D16A5D">
      <w:pPr>
        <w:numPr>
          <w:ilvl w:val="0"/>
          <w:numId w:val="3"/>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bookmarkStart w:id="93" w:name="OLE_LINK17"/>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val="en-US" w:eastAsia="zh-CN"/>
          <w14:textFill>
            <w14:solidFill>
              <w14:schemeClr w14:val="tx1"/>
            </w14:solidFill>
          </w14:textFill>
        </w:rPr>
        <w:t>在磋商当天前</w:t>
      </w:r>
      <w:r>
        <w:rPr>
          <w:rFonts w:hint="eastAsia" w:ascii="宋体" w:hAnsi="宋体" w:eastAsia="宋体" w:cs="宋体"/>
          <w:color w:val="000000" w:themeColor="text1"/>
          <w:szCs w:val="21"/>
          <w:highlight w:val="none"/>
          <w14:textFill>
            <w14:solidFill>
              <w14:schemeClr w14:val="tx1"/>
            </w14:solidFill>
          </w14:textFill>
        </w:rPr>
        <w:t>近半年内任意一个月或任一季度依法缴纳税收的证明材料【增值税发票(税收完税证明)或企业所得税完税证明或税务部门出具的免税证明】</w:t>
      </w:r>
      <w:bookmarkEnd w:id="93"/>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cs="宋体"/>
          <w:b/>
          <w:bCs/>
          <w:color w:val="000000" w:themeColor="text1"/>
          <w:szCs w:val="21"/>
          <w:highlight w:val="none"/>
          <w:lang w:eastAsia="zh-CN"/>
          <w14:textFill>
            <w14:solidFill>
              <w14:schemeClr w14:val="tx1"/>
            </w14:solidFill>
          </w14:textFill>
        </w:rPr>
        <w:t>；</w:t>
      </w:r>
    </w:p>
    <w:p w14:paraId="273744CA">
      <w:pPr>
        <w:pStyle w:val="18"/>
        <w:ind w:left="0" w:leftChars="0" w:firstLine="4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符合性响应证明材料：</w:t>
      </w:r>
    </w:p>
    <w:p w14:paraId="787A00C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94" w:name="_Toc16312"/>
      <w:bookmarkStart w:id="95" w:name="_Toc28932"/>
      <w:bookmarkStart w:id="96" w:name="_Toc2809"/>
      <w:r>
        <w:rPr>
          <w:rFonts w:hint="eastAsia" w:ascii="宋体" w:hAnsi="宋体" w:eastAsia="宋体" w:cs="宋体"/>
          <w:bCs w:val="0"/>
          <w:color w:val="000000" w:themeColor="text1"/>
          <w:sz w:val="21"/>
          <w:szCs w:val="21"/>
          <w:highlight w:val="none"/>
          <w:lang w:val="en-US"/>
          <w14:textFill>
            <w14:solidFill>
              <w14:schemeClr w14:val="tx1"/>
            </w14:solidFill>
          </w14:textFill>
        </w:rPr>
        <w:t>（1）响应函（格式见附件）</w:t>
      </w:r>
      <w:r>
        <w:rPr>
          <w:rFonts w:hint="eastAsia" w:ascii="宋体" w:hAnsi="宋体" w:eastAsia="宋体" w:cs="宋体"/>
          <w:b/>
          <w:color w:val="000000" w:themeColor="text1"/>
          <w:sz w:val="21"/>
          <w:szCs w:val="21"/>
          <w:highlight w:val="none"/>
          <w:lang w:val="en-US"/>
          <w14:textFill>
            <w14:solidFill>
              <w14:schemeClr w14:val="tx1"/>
            </w14:solidFill>
          </w14:textFill>
        </w:rPr>
        <w:t>（必须提供）</w:t>
      </w:r>
      <w:bookmarkEnd w:id="94"/>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bookmarkEnd w:id="95"/>
      <w:bookmarkEnd w:id="96"/>
    </w:p>
    <w:p w14:paraId="50325FA9">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）磋商报价表（格式见附件）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3041386A">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）服务（技术）响应、商务偏离情况说明表（格式见附件）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33AE319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）服务承诺书（由供应商根据本项目采购需求、特点及供应商自身的处理能力自行编写，承诺书内容至少应包括“采购需求”中的所有服务条款）（格式见附件）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7E9A7F69">
      <w:pPr>
        <w:numPr>
          <w:ilvl w:val="0"/>
          <w:numId w:val="0"/>
        </w:num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方案</w:t>
      </w:r>
      <w:r>
        <w:rPr>
          <w:rFonts w:hint="eastAsia" w:ascii="宋体" w:hAnsi="宋体" w:eastAsia="宋体" w:cs="宋体"/>
          <w:b w:val="0"/>
          <w:bCs w:val="0"/>
          <w:color w:val="000000" w:themeColor="text1"/>
          <w:sz w:val="21"/>
          <w:szCs w:val="21"/>
          <w:highlight w:val="none"/>
          <w14:textFill>
            <w14:solidFill>
              <w14:schemeClr w14:val="tx1"/>
            </w14:solidFill>
          </w14:textFill>
        </w:rPr>
        <w:t>（格式见附件）</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EFCD653">
      <w:pPr>
        <w:pStyle w:val="18"/>
        <w:ind w:left="0" w:leftChars="0"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其他有效证明材料</w:t>
      </w:r>
    </w:p>
    <w:p w14:paraId="33D945D3">
      <w:pPr>
        <w:numPr>
          <w:ilvl w:val="0"/>
          <w:numId w:val="4"/>
        </w:numPr>
        <w:spacing w:line="360" w:lineRule="auto"/>
        <w:ind w:firstLine="420"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项目实施人员一览表（格式见附件）</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如有，请提供）；</w:t>
      </w:r>
    </w:p>
    <w:p w14:paraId="2A254D41">
      <w:pPr>
        <w:numPr>
          <w:ilvl w:val="-1"/>
          <w:numId w:val="0"/>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）“采购需求”需提供的有效证明文件</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3137D96F">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Cs w:val="21"/>
          <w:highlight w:val="none"/>
          <w14:textFill>
            <w14:solidFill>
              <w14:schemeClr w14:val="tx1"/>
            </w14:solidFill>
          </w14:textFill>
        </w:rPr>
        <w:t>供应商自</w:t>
      </w:r>
      <w:r>
        <w:rPr>
          <w:rFonts w:hint="eastAsia" w:asciiTheme="majorEastAsia" w:hAnsiTheme="majorEastAsia" w:eastAsiaTheme="majorEastAsia" w:cstheme="majorEastAsia"/>
          <w:color w:val="000000" w:themeColor="text1"/>
          <w:kern w:val="0"/>
          <w:szCs w:val="21"/>
          <w:highlight w:val="none"/>
          <w:lang w:val="en-US" w:eastAsia="zh-CN"/>
          <w14:textFill>
            <w14:solidFill>
              <w14:schemeClr w14:val="tx1"/>
            </w14:solidFill>
          </w14:textFill>
        </w:rPr>
        <w:t>2023</w:t>
      </w:r>
      <w:r>
        <w:rPr>
          <w:rFonts w:hint="eastAsia" w:asciiTheme="majorEastAsia" w:hAnsiTheme="majorEastAsia" w:eastAsiaTheme="majorEastAsia" w:cstheme="majorEastAsia"/>
          <w:color w:val="000000" w:themeColor="text1"/>
          <w:kern w:val="0"/>
          <w:szCs w:val="21"/>
          <w:highlight w:val="none"/>
          <w14:textFill>
            <w14:solidFill>
              <w14:schemeClr w14:val="tx1"/>
            </w14:solidFill>
          </w14:textFill>
        </w:rPr>
        <w:t>年1月1日以来</w:t>
      </w:r>
      <w:r>
        <w:rPr>
          <w:rFonts w:hint="eastAsia" w:asciiTheme="majorEastAsia" w:hAnsiTheme="majorEastAsia" w:eastAsiaTheme="majorEastAsia" w:cstheme="majorEastAsia"/>
          <w:color w:val="000000" w:themeColor="text1"/>
          <w:highlight w:val="none"/>
          <w14:textFill>
            <w14:solidFill>
              <w14:schemeClr w14:val="tx1"/>
            </w14:solidFill>
          </w14:textFill>
        </w:rPr>
        <w:t>同类业绩的相关证明材料 [以中标（成交）通知书或采购合同复印件（能清晰反映项目名称、种类、金额)</w:t>
      </w:r>
      <w:r>
        <w:rPr>
          <w:rFonts w:hint="eastAsia" w:ascii="宋体" w:hAnsi="宋体" w:cs="宋体"/>
          <w:szCs w:val="21"/>
        </w:rPr>
        <w:t>，否则将不予计分；同一个编号的项目有两个或两个以上的分标中标的只算一次]</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78668FC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color w:val="auto"/>
          <w:highlight w:val="none"/>
        </w:rPr>
        <w:t>（如有，请提供）</w:t>
      </w:r>
    </w:p>
    <w:p w14:paraId="226AA5D3">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）《中小企业声明函》（见附件）</w:t>
      </w:r>
      <w:r>
        <w:rPr>
          <w:rFonts w:hint="eastAsia" w:ascii="宋体" w:hAnsi="宋体" w:eastAsia="宋体" w:cs="宋体"/>
          <w:b/>
          <w:bCs/>
          <w:color w:val="000000" w:themeColor="text1"/>
          <w:szCs w:val="21"/>
          <w:highlight w:val="none"/>
          <w:lang w:val="en-US" w:eastAsia="zh-CN"/>
          <w14:textFill>
            <w14:solidFill>
              <w14:schemeClr w14:val="tx1"/>
            </w14:solidFill>
          </w14:textFill>
        </w:rPr>
        <w:t>（除监狱企业及残疾人福利性单位外，</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5333DBC7">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（如供应商属于监狱企业的，</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0A2DCE57">
      <w:pPr>
        <w:spacing w:line="360" w:lineRule="auto"/>
        <w:ind w:firstLine="420" w:firstLineChars="200"/>
        <w:rPr>
          <w:rFonts w:hint="eastAsia"/>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（如供应商属于残疾人福利性单位的，</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w:t>
      </w:r>
    </w:p>
    <w:p w14:paraId="389A5736">
      <w:pPr>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highlight w:val="none"/>
          <w14:textFill>
            <w14:solidFill>
              <w14:schemeClr w14:val="tx1"/>
            </w14:solidFill>
          </w14:textFill>
        </w:rPr>
        <w:t>提供的以上相关证明材料属于“必须提供”的文件应加盖</w:t>
      </w:r>
      <w:r>
        <w:rPr>
          <w:rFonts w:hint="eastAsia" w:ascii="宋体" w:hAnsi="宋体" w:eastAsia="宋体" w:cs="宋体"/>
          <w:b/>
          <w:bCs/>
          <w:color w:val="000000" w:themeColor="text1"/>
          <w:highlight w:val="none"/>
          <w:lang w:eastAsia="zh-CN"/>
          <w14:textFill>
            <w14:solidFill>
              <w14:schemeClr w14:val="tx1"/>
            </w14:solidFill>
          </w14:textFill>
        </w:rPr>
        <w:t>磋商供应商</w:t>
      </w:r>
      <w:r>
        <w:rPr>
          <w:rFonts w:hint="eastAsia" w:ascii="宋体" w:hAnsi="宋体" w:eastAsia="宋体" w:cs="宋体"/>
          <w:b/>
          <w:bCs/>
          <w:color w:val="000000" w:themeColor="text1"/>
          <w:highlight w:val="none"/>
          <w14:textFill>
            <w14:solidFill>
              <w14:schemeClr w14:val="tx1"/>
            </w14:solidFill>
          </w14:textFill>
        </w:rPr>
        <w:t>公章（CA签章）</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自然人</w:t>
      </w:r>
      <w:r>
        <w:rPr>
          <w:rFonts w:hint="eastAsia" w:ascii="宋体" w:hAnsi="宋体" w:eastAsia="宋体" w:cs="宋体"/>
          <w:b/>
          <w:bCs/>
          <w:color w:val="000000" w:themeColor="text1"/>
          <w:highlight w:val="none"/>
          <w:lang w:eastAsia="zh-CN"/>
          <w14:textFill>
            <w14:solidFill>
              <w14:schemeClr w14:val="tx1"/>
            </w14:solidFill>
          </w14:textFill>
        </w:rPr>
        <w:t>签字或</w:t>
      </w:r>
      <w:r>
        <w:rPr>
          <w:rFonts w:hint="eastAsia" w:ascii="宋体" w:hAnsi="宋体" w:eastAsia="宋体" w:cs="宋体"/>
          <w:b/>
          <w:bCs/>
          <w:color w:val="000000" w:themeColor="text1"/>
          <w:highlight w:val="none"/>
          <w:lang w:val="en-US" w:eastAsia="zh-CN"/>
          <w14:textFill>
            <w14:solidFill>
              <w14:schemeClr w14:val="tx1"/>
            </w14:solidFill>
          </w14:textFill>
        </w:rPr>
        <w:t>个人</w:t>
      </w:r>
      <w:r>
        <w:rPr>
          <w:rFonts w:hint="eastAsia" w:ascii="宋体" w:hAnsi="宋体" w:eastAsia="宋体" w:cs="宋体"/>
          <w:b/>
          <w:bCs/>
          <w:color w:val="000000" w:themeColor="text1"/>
          <w:highlight w:val="none"/>
          <w14:textFill>
            <w14:solidFill>
              <w14:schemeClr w14:val="tx1"/>
            </w14:solidFill>
          </w14:textFill>
        </w:rPr>
        <w:t>CA签章，否则</w:t>
      </w:r>
      <w:r>
        <w:rPr>
          <w:rFonts w:hint="eastAsia" w:ascii="宋体" w:hAnsi="宋体" w:eastAsia="宋体" w:cs="宋体"/>
          <w:b/>
          <w:bCs/>
          <w:color w:val="000000" w:themeColor="text1"/>
          <w:highlight w:val="none"/>
          <w:lang w:val="en-US" w:eastAsia="zh-CN"/>
          <w14:textFill>
            <w14:solidFill>
              <w14:schemeClr w14:val="tx1"/>
            </w14:solidFill>
          </w14:textFill>
        </w:rPr>
        <w:t>响应</w:t>
      </w:r>
      <w:r>
        <w:rPr>
          <w:rFonts w:hint="eastAsia" w:ascii="宋体" w:hAnsi="宋体" w:eastAsia="宋体" w:cs="宋体"/>
          <w:b/>
          <w:bCs/>
          <w:color w:val="000000" w:themeColor="text1"/>
          <w:highlight w:val="none"/>
          <w14:textFill>
            <w14:solidFill>
              <w14:schemeClr w14:val="tx1"/>
            </w14:solidFill>
          </w14:textFill>
        </w:rPr>
        <w:t>无效。</w:t>
      </w:r>
    </w:p>
    <w:p w14:paraId="16B500E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供应商应按竞争性磋商文件第六章“响应文件（格式）”编制响应文件。</w:t>
      </w:r>
    </w:p>
    <w:p w14:paraId="0A7B401A">
      <w:pPr>
        <w:spacing w:line="36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w:t>
      </w:r>
    </w:p>
    <w:p w14:paraId="536059C1">
      <w:pPr>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（1）响</w:t>
      </w:r>
      <w:r>
        <w:rPr>
          <w:rFonts w:hint="eastAsia" w:ascii="宋体" w:hAnsi="宋体" w:eastAsia="宋体" w:cs="宋体"/>
          <w:b/>
          <w:color w:val="000000" w:themeColor="text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2DD8989A">
      <w:pPr>
        <w:numPr>
          <w:ilvl w:val="0"/>
          <w:numId w:val="5"/>
        </w:numPr>
        <w:spacing w:line="360" w:lineRule="exact"/>
        <w:ind w:left="0" w:leftChars="0"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Cs w:val="21"/>
          <w:highlight w:val="none"/>
          <w14:textFill>
            <w14:solidFill>
              <w14:schemeClr w14:val="tx1"/>
            </w14:solidFill>
          </w14:textFill>
        </w:rPr>
        <w:t>要求法定代表人（负责人）或委托代理人签字的部分必须签字然后扫描或者拍照做成 pdf 格式上传</w:t>
      </w:r>
      <w:r>
        <w:rPr>
          <w:rFonts w:hint="eastAsia" w:ascii="宋体" w:hAnsi="宋体" w:eastAsia="宋体" w:cs="宋体"/>
          <w:b/>
          <w:bCs/>
          <w:color w:val="000000" w:themeColor="text1"/>
          <w:szCs w:val="21"/>
          <w:highlight w:val="none"/>
          <w:lang w:eastAsia="zh-CN"/>
          <w14:textFill>
            <w14:solidFill>
              <w14:schemeClr w14:val="tx1"/>
            </w14:solidFill>
          </w14:textFill>
        </w:rPr>
        <w:t>（或加盖个人</w:t>
      </w:r>
      <w:r>
        <w:rPr>
          <w:rFonts w:hint="eastAsia" w:ascii="宋体" w:hAnsi="宋体" w:eastAsia="宋体" w:cs="宋体"/>
          <w:b/>
          <w:bCs/>
          <w:color w:val="000000" w:themeColor="text1"/>
          <w:szCs w:val="21"/>
          <w:highlight w:val="none"/>
          <w:lang w:val="en-US" w:eastAsia="zh-CN"/>
          <w14:textFill>
            <w14:solidFill>
              <w14:schemeClr w14:val="tx1"/>
            </w14:solidFill>
          </w14:textFill>
        </w:rPr>
        <w:t>CA签章</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，无签字的视为</w:t>
      </w:r>
      <w:r>
        <w:rPr>
          <w:rFonts w:hint="eastAsia" w:ascii="宋体" w:hAnsi="宋体" w:eastAsia="宋体" w:cs="宋体"/>
          <w:b/>
          <w:bCs/>
          <w:color w:val="000000" w:themeColor="text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Cs w:val="21"/>
          <w:highlight w:val="none"/>
          <w14:textFill>
            <w14:solidFill>
              <w14:schemeClr w14:val="tx1"/>
            </w14:solidFill>
          </w14:textFill>
        </w:rPr>
        <w:t>无效。</w:t>
      </w:r>
    </w:p>
    <w:p w14:paraId="1BA4C0B3">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7" w:name="_Toc2180"/>
      <w:bookmarkStart w:id="98" w:name="_Toc12248"/>
      <w:r>
        <w:rPr>
          <w:rFonts w:hint="eastAsia" w:ascii="宋体" w:hAnsi="宋体" w:eastAsia="宋体" w:cs="宋体"/>
          <w:color w:val="000000" w:themeColor="text1"/>
          <w:sz w:val="21"/>
          <w:szCs w:val="21"/>
          <w:highlight w:val="none"/>
          <w14:textFill>
            <w14:solidFill>
              <w14:schemeClr w14:val="tx1"/>
            </w14:solidFill>
          </w14:textFill>
        </w:rPr>
        <w:t>12. 响应文件的语言及计量</w:t>
      </w:r>
      <w:bookmarkEnd w:id="97"/>
      <w:bookmarkEnd w:id="98"/>
    </w:p>
    <w:p w14:paraId="78AA029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7C31166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14:paraId="09B84B9A">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9" w:name="_Toc10838"/>
      <w:bookmarkStart w:id="100" w:name="_Toc30936"/>
      <w:r>
        <w:rPr>
          <w:rFonts w:hint="eastAsia" w:ascii="宋体" w:hAnsi="宋体" w:eastAsia="宋体" w:cs="宋体"/>
          <w:color w:val="000000" w:themeColor="text1"/>
          <w:sz w:val="21"/>
          <w:szCs w:val="21"/>
          <w:highlight w:val="none"/>
          <w14:textFill>
            <w14:solidFill>
              <w14:schemeClr w14:val="tx1"/>
            </w14:solidFill>
          </w14:textFill>
        </w:rPr>
        <w:t>13. 磋商报价及采购预算金额</w:t>
      </w:r>
      <w:bookmarkEnd w:id="99"/>
      <w:bookmarkEnd w:id="100"/>
    </w:p>
    <w:p w14:paraId="2CA86DB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磋商报价应按磋商文件中相关附表格式填写。采购预算金额（人民币）：</w:t>
      </w:r>
      <w:r>
        <w:rPr>
          <w:rFonts w:hint="eastAsia" w:ascii="宋体" w:hAnsi="宋体" w:eastAsia="宋体" w:cs="宋体"/>
          <w:color w:val="000000" w:themeColor="text1"/>
          <w:szCs w:val="21"/>
          <w:highlight w:val="none"/>
          <w:lang w:eastAsia="zh-CN"/>
          <w14:textFill>
            <w14:solidFill>
              <w14:schemeClr w14:val="tx1"/>
            </w14:solidFill>
          </w14:textFill>
        </w:rPr>
        <w:t>人民币</w:t>
      </w:r>
      <w:r>
        <w:rPr>
          <w:rFonts w:hint="eastAsia" w:ascii="宋体" w:hAnsi="宋体" w:eastAsia="宋体" w:cs="宋体"/>
          <w:color w:val="000000" w:themeColor="text1"/>
          <w:szCs w:val="21"/>
          <w:highlight w:val="none"/>
          <w:lang w:val="en-US" w:eastAsia="zh-CN"/>
          <w14:textFill>
            <w14:solidFill>
              <w14:schemeClr w14:val="tx1"/>
            </w14:solidFill>
          </w14:textFill>
        </w:rPr>
        <w:t>陆拾</w:t>
      </w:r>
      <w:r>
        <w:rPr>
          <w:rFonts w:hint="eastAsia" w:ascii="宋体" w:hAnsi="宋体" w:eastAsia="宋体" w:cs="宋体"/>
          <w:color w:val="000000" w:themeColor="text1"/>
          <w:szCs w:val="21"/>
          <w:highlight w:val="none"/>
          <w:lang w:eastAsia="zh-CN"/>
          <w14:textFill>
            <w14:solidFill>
              <w14:schemeClr w14:val="tx1"/>
            </w14:solidFill>
          </w14:textFill>
        </w:rPr>
        <w:t>万元整(¥</w:t>
      </w:r>
      <w:r>
        <w:rPr>
          <w:rFonts w:hint="eastAsia" w:ascii="宋体" w:hAnsi="宋体" w:eastAsia="宋体" w:cs="宋体"/>
          <w:color w:val="000000" w:themeColor="text1"/>
          <w:szCs w:val="21"/>
          <w:highlight w:val="none"/>
          <w:lang w:val="en-US" w:eastAsia="zh-CN"/>
          <w14:textFill>
            <w14:solidFill>
              <w14:schemeClr w14:val="tx1"/>
            </w14:solidFill>
          </w14:textFill>
        </w:rPr>
        <w:t>600000</w:t>
      </w:r>
      <w:r>
        <w:rPr>
          <w:rFonts w:hint="eastAsia" w:ascii="宋体" w:hAnsi="宋体" w:eastAsia="宋体" w:cs="宋体"/>
          <w:color w:val="000000" w:themeColor="text1"/>
          <w:szCs w:val="21"/>
          <w:highlight w:val="none"/>
          <w:lang w:eastAsia="zh-CN"/>
          <w14:textFill>
            <w14:solidFill>
              <w14:schemeClr w14:val="tx1"/>
            </w14:solidFill>
          </w14:textFill>
        </w:rPr>
        <w:t>.00元)，最高限价：人民币伍拾捌万肆仟元整（¥</w:t>
      </w:r>
      <w:r>
        <w:rPr>
          <w:rFonts w:hint="eastAsia" w:ascii="宋体" w:hAnsi="宋体" w:eastAsia="宋体" w:cs="宋体"/>
          <w:color w:val="000000" w:themeColor="text1"/>
          <w:szCs w:val="21"/>
          <w:highlight w:val="none"/>
          <w:lang w:val="en-US" w:eastAsia="zh-CN"/>
          <w14:textFill>
            <w14:solidFill>
              <w14:schemeClr w14:val="tx1"/>
            </w14:solidFill>
          </w14:textFill>
        </w:rPr>
        <w:t>584000</w:t>
      </w:r>
      <w:r>
        <w:rPr>
          <w:rFonts w:hint="eastAsia" w:ascii="宋体" w:hAnsi="宋体" w:eastAsia="宋体" w:cs="宋体"/>
          <w:color w:val="000000" w:themeColor="text1"/>
          <w:szCs w:val="21"/>
          <w:highlight w:val="none"/>
          <w:lang w:eastAsia="zh-CN"/>
          <w14:textFill>
            <w14:solidFill>
              <w14:schemeClr w14:val="tx1"/>
            </w14:solidFill>
          </w14:textFill>
        </w:rPr>
        <w:t>.00）</w:t>
      </w:r>
      <w:r>
        <w:rPr>
          <w:rFonts w:hint="eastAsia" w:ascii="宋体" w:hAnsi="宋体" w:eastAsia="宋体" w:cs="宋体"/>
          <w:b w:val="0"/>
          <w:bCs w:val="0"/>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报价超过</w:t>
      </w:r>
      <w:r>
        <w:rPr>
          <w:rFonts w:hint="eastAsia" w:ascii="宋体" w:hAnsi="宋体" w:cs="宋体"/>
          <w:color w:val="000000" w:themeColor="text1"/>
          <w:szCs w:val="21"/>
          <w:highlight w:val="none"/>
          <w:lang w:eastAsia="zh-CN"/>
          <w14:textFill>
            <w14:solidFill>
              <w14:schemeClr w14:val="tx1"/>
            </w14:solidFill>
          </w14:textFill>
        </w:rPr>
        <w:t>最高限价</w:t>
      </w:r>
      <w:r>
        <w:rPr>
          <w:rFonts w:hint="eastAsia" w:ascii="宋体" w:hAnsi="宋体" w:eastAsia="宋体" w:cs="宋体"/>
          <w:color w:val="000000" w:themeColor="text1"/>
          <w:szCs w:val="21"/>
          <w:highlight w:val="none"/>
          <w14:textFill>
            <w14:solidFill>
              <w14:schemeClr w14:val="tx1"/>
            </w14:solidFill>
          </w14:textFill>
        </w:rPr>
        <w:t>金额的，响应文件按无效处理。</w:t>
      </w:r>
    </w:p>
    <w:p w14:paraId="4676E87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13.2供应商必须就“采购需求”中所竞所有内容作完整唯一报价，否则，其响应文件无效。响应文件只允许有一个报价，有选择的或有条件的报价将不予接受。</w:t>
      </w:r>
    </w:p>
    <w:p w14:paraId="4D87CB6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 磋商报价应包括本次采购范围内货物价款、货物随配标准附件、包装、运输、装卸、保险、税金、货到位以及调试、检验、售后服务、培训、保修及其他所有成本费用的总和；供应商综合考虑在报价中。</w:t>
      </w:r>
    </w:p>
    <w:p w14:paraId="08088231">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13.4供应商应在规定时间内在政采云系统上提交最后报价，超出评委设定的最后报价时限或其最后报价超出</w:t>
      </w:r>
      <w:r>
        <w:rPr>
          <w:rFonts w:hint="eastAsia" w:ascii="宋体" w:hAnsi="宋体" w:cs="宋体"/>
          <w:color w:val="000000" w:themeColor="text1"/>
          <w:szCs w:val="21"/>
          <w:highlight w:val="none"/>
          <w:lang w:eastAsia="zh-CN"/>
          <w14:textFill>
            <w14:solidFill>
              <w14:schemeClr w14:val="tx1"/>
            </w14:solidFill>
          </w14:textFill>
        </w:rPr>
        <w:t>最高限价</w:t>
      </w:r>
      <w:r>
        <w:rPr>
          <w:rFonts w:hint="eastAsia" w:ascii="宋体" w:hAnsi="宋体" w:eastAsia="宋体" w:cs="宋体"/>
          <w:color w:val="000000" w:themeColor="text1"/>
          <w:szCs w:val="21"/>
          <w:highlight w:val="none"/>
          <w14:textFill>
            <w14:solidFill>
              <w14:schemeClr w14:val="tx1"/>
            </w14:solidFill>
          </w14:textFill>
        </w:rPr>
        <w:t>导致已通过评审的响应文件无效的，按供应商在提交响应文件截止时间后撤回响应文件处理。</w:t>
      </w:r>
    </w:p>
    <w:p w14:paraId="7764C4A6">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1" w:name="_Toc26881"/>
      <w:bookmarkStart w:id="102" w:name="_Toc6924"/>
      <w:r>
        <w:rPr>
          <w:rFonts w:hint="eastAsia" w:ascii="宋体" w:hAnsi="宋体" w:eastAsia="宋体" w:cs="宋体"/>
          <w:color w:val="000000" w:themeColor="text1"/>
          <w:sz w:val="21"/>
          <w:szCs w:val="21"/>
          <w:highlight w:val="none"/>
          <w14:textFill>
            <w14:solidFill>
              <w14:schemeClr w14:val="tx1"/>
            </w14:solidFill>
          </w14:textFill>
        </w:rPr>
        <w:t>14. 响应文件有效期</w:t>
      </w:r>
      <w:bookmarkEnd w:id="101"/>
      <w:bookmarkEnd w:id="102"/>
    </w:p>
    <w:p w14:paraId="2894524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响应文件有效期：响应文件递交截止时间之日起90天，有效期不足的响应文件将被拒绝。</w:t>
      </w:r>
    </w:p>
    <w:p w14:paraId="61F05EB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 出现特殊情况下，需要延长响应文件有效期的，采购代理机构</w:t>
      </w:r>
      <w:r>
        <w:rPr>
          <w:rFonts w:hint="eastAsia" w:ascii="宋体" w:hAnsi="宋体" w:eastAsia="宋体" w:cs="宋体"/>
          <w:color w:val="000000" w:themeColor="text1"/>
          <w:szCs w:val="21"/>
          <w:highlight w:val="none"/>
          <w:lang w:eastAsia="zh-CN"/>
          <w14:textFill>
            <w14:solidFill>
              <w14:schemeClr w14:val="tx1"/>
            </w14:solidFill>
          </w14:textFill>
        </w:rPr>
        <w:t>书面</w:t>
      </w:r>
      <w:r>
        <w:rPr>
          <w:rFonts w:hint="eastAsia" w:ascii="宋体" w:hAnsi="宋体" w:eastAsia="宋体" w:cs="宋体"/>
          <w:color w:val="000000" w:themeColor="text1"/>
          <w:szCs w:val="21"/>
          <w:highlight w:val="none"/>
          <w14:textFill>
            <w14:solidFill>
              <w14:schemeClr w14:val="tx1"/>
            </w14:solidFill>
          </w14:textFill>
        </w:rPr>
        <w:t>通知供应商延长响应文件有效期。供应商同意延长的，但不能修改响应文件。供应商拒绝延长的，其响应文件无效。</w:t>
      </w:r>
    </w:p>
    <w:p w14:paraId="6448C090">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3" w:name="_Toc22602"/>
      <w:bookmarkStart w:id="104" w:name="_Toc26693"/>
      <w:r>
        <w:rPr>
          <w:rFonts w:hint="eastAsia" w:ascii="宋体" w:hAnsi="宋体" w:eastAsia="宋体" w:cs="宋体"/>
          <w:color w:val="000000" w:themeColor="text1"/>
          <w:sz w:val="21"/>
          <w:szCs w:val="21"/>
          <w:highlight w:val="none"/>
          <w14:textFill>
            <w14:solidFill>
              <w14:schemeClr w14:val="tx1"/>
            </w14:solidFill>
          </w14:textFill>
        </w:rPr>
        <w:t>15. 磋商保证金</w:t>
      </w:r>
      <w:bookmarkEnd w:id="103"/>
      <w:bookmarkEnd w:id="104"/>
    </w:p>
    <w:p w14:paraId="7DF0DEE6">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本项目无需缴纳磋商保证金。</w:t>
      </w:r>
    </w:p>
    <w:p w14:paraId="41F05881">
      <w:pPr>
        <w:pStyle w:val="5"/>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5" w:name="_Toc387"/>
      <w:bookmarkStart w:id="106" w:name="_Toc8912"/>
      <w:r>
        <w:rPr>
          <w:rFonts w:hint="eastAsia" w:ascii="宋体" w:hAnsi="宋体" w:eastAsia="宋体" w:cs="宋体"/>
          <w:color w:val="000000" w:themeColor="text1"/>
          <w:sz w:val="21"/>
          <w:szCs w:val="21"/>
          <w:highlight w:val="none"/>
          <w14:textFill>
            <w14:solidFill>
              <w14:schemeClr w14:val="tx1"/>
            </w14:solidFill>
          </w14:textFill>
        </w:rPr>
        <w:t>16. 竞争性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bookmarkEnd w:id="105"/>
      <w:r>
        <w:rPr>
          <w:rFonts w:hint="eastAsia" w:ascii="宋体" w:hAnsi="宋体" w:eastAsia="宋体" w:cs="宋体"/>
          <w:color w:val="000000" w:themeColor="text1"/>
          <w:sz w:val="21"/>
          <w:szCs w:val="21"/>
          <w:highlight w:val="none"/>
          <w:lang w:eastAsia="zh-CN"/>
          <w14:textFill>
            <w14:solidFill>
              <w14:schemeClr w14:val="tx1"/>
            </w14:solidFill>
          </w14:textFill>
        </w:rPr>
        <w:t>制作</w:t>
      </w:r>
      <w:bookmarkEnd w:id="106"/>
    </w:p>
    <w:p w14:paraId="4236942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08BCE09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供应商法人（负责人）或授权代表持有政采云个人CA签章的，应在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文件中涉及到签字的位置使用个人CA签章，没有办理政采云个人CA签章的可在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239BD3B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680FFD30">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110D743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1FFFA6E2">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5A47C7E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p w14:paraId="08891873">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7" w:name="_Toc4992"/>
      <w:r>
        <w:rPr>
          <w:rFonts w:hint="eastAsia" w:ascii="宋体" w:hAnsi="宋体" w:eastAsia="宋体" w:cs="宋体"/>
          <w:color w:val="000000" w:themeColor="text1"/>
          <w:sz w:val="21"/>
          <w:szCs w:val="21"/>
          <w:highlight w:val="none"/>
          <w14:textFill>
            <w14:solidFill>
              <w14:schemeClr w14:val="tx1"/>
            </w14:solidFill>
          </w14:textFill>
        </w:rPr>
        <w:t>17. 响应文件的修改和撤回</w:t>
      </w:r>
      <w:bookmarkEnd w:id="107"/>
    </w:p>
    <w:p w14:paraId="1DDE9A5B">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17.1 </w:t>
      </w:r>
      <w:r>
        <w:rPr>
          <w:rFonts w:hint="eastAsia" w:ascii="宋体" w:hAnsi="宋体" w:eastAsia="宋体" w:cs="宋体"/>
          <w:color w:val="000000" w:themeColor="text1"/>
          <w:szCs w:val="21"/>
          <w:highlight w:val="none"/>
          <w:lang w:eastAsia="zh-CN"/>
          <w14:textFill>
            <w14:solidFill>
              <w14:schemeClr w14:val="tx1"/>
            </w14:solidFill>
          </w14:textFill>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6C6D6FC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在响应文件递交截止时间后的响应文件有效期内，供应商不得撤回其响应文件。</w:t>
      </w:r>
    </w:p>
    <w:p w14:paraId="5004E8C8">
      <w:pPr>
        <w:pStyle w:val="5"/>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8" w:name="_Toc30156"/>
      <w:bookmarkStart w:id="109" w:name="_Toc2988"/>
      <w:r>
        <w:rPr>
          <w:rFonts w:hint="eastAsia" w:ascii="宋体" w:hAnsi="宋体" w:eastAsia="宋体" w:cs="宋体"/>
          <w:color w:val="000000" w:themeColor="text1"/>
          <w:sz w:val="21"/>
          <w:szCs w:val="21"/>
          <w:highlight w:val="none"/>
          <w14:textFill>
            <w14:solidFill>
              <w14:schemeClr w14:val="tx1"/>
            </w14:solidFill>
          </w14:textFill>
        </w:rPr>
        <w:t>18. 响应文件的递交</w:t>
      </w:r>
      <w:r>
        <w:rPr>
          <w:rFonts w:hint="eastAsia" w:ascii="宋体" w:hAnsi="宋体" w:eastAsia="宋体" w:cs="宋体"/>
          <w:color w:val="000000" w:themeColor="text1"/>
          <w:sz w:val="21"/>
          <w:szCs w:val="21"/>
          <w:highlight w:val="none"/>
          <w:lang w:eastAsia="zh-CN"/>
          <w14:textFill>
            <w14:solidFill>
              <w14:schemeClr w14:val="tx1"/>
            </w14:solidFill>
          </w14:textFill>
        </w:rPr>
        <w:t>和解密</w:t>
      </w:r>
      <w:bookmarkEnd w:id="108"/>
      <w:bookmarkEnd w:id="109"/>
    </w:p>
    <w:p w14:paraId="388A63E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18.1响应文件递交截止时间</w:t>
      </w:r>
      <w:r>
        <w:rPr>
          <w:rFonts w:hint="eastAsia" w:ascii="宋体" w:hAnsi="宋体" w:eastAsia="宋体" w:cs="宋体"/>
          <w:color w:val="000000" w:themeColor="text1"/>
          <w:szCs w:val="21"/>
          <w:highlight w:val="non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2025年6月16日上午9时30分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14:paraId="3B41C1C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18.2磋商响应文件解密时间：截标时间后</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2025年6月16日上午9时30分</w:t>
      </w:r>
      <w:r>
        <w:rPr>
          <w:rFonts w:hint="eastAsia" w:ascii="宋体" w:hAnsi="宋体" w:eastAsia="宋体" w:cs="宋体"/>
          <w:color w:val="000000" w:themeColor="text1"/>
          <w:szCs w:val="21"/>
          <w:highlight w:val="none"/>
          <w:u w:val="single"/>
          <w14:textFill>
            <w14:solidFill>
              <w14:schemeClr w14:val="tx1"/>
            </w14:solidFill>
          </w14:textFill>
        </w:rPr>
        <w:t>至</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Cs w:val="21"/>
          <w:highlight w:val="none"/>
          <w:u w:val="single"/>
          <w14:textFill>
            <w14:solidFill>
              <w14:schemeClr w14:val="tx1"/>
            </w14:solidFill>
          </w14:textFill>
        </w:rPr>
        <w:t>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Cs w:val="21"/>
          <w:highlight w:val="none"/>
          <w:u w:val="singl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)磋商供应商可以登录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，用“项目采购-开标评标”功能进行解密磋商文件。</w:t>
      </w:r>
    </w:p>
    <w:p w14:paraId="735C714A">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须在解密时限内对上传政采云的投标文件进行解密，所有</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在规定的解密时限内解密完成或解密时限结束后，我中心开启已解密的响应文件。</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超过解密时限未解密的，系统默认自动放弃，造成投标无效的后果由</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自行承担，解密响应文件后，30分钟内在线签字确认，超过时间没有在线签字确认的系统将自动视为供应商认可。</w:t>
      </w:r>
    </w:p>
    <w:p w14:paraId="6CE6B65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除竞争性磋商文件另有规定外，供应商所递交的响应文件不予退还。</w:t>
      </w:r>
    </w:p>
    <w:p w14:paraId="4182032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18.4 </w:t>
      </w:r>
      <w:r>
        <w:rPr>
          <w:rFonts w:hint="eastAsia" w:ascii="宋体" w:hAnsi="宋体" w:eastAsia="宋体" w:cs="宋体"/>
          <w:color w:val="000000" w:themeColor="text1"/>
          <w:szCs w:val="21"/>
          <w:highlight w:val="none"/>
          <w14:textFill>
            <w14:solidFill>
              <w14:schemeClr w14:val="tx1"/>
            </w14:solidFill>
          </w14:textFill>
        </w:rPr>
        <w:t>电子响应文件的相关说明</w:t>
      </w:r>
    </w:p>
    <w:p w14:paraId="0B8195A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（1）供应商进行电子投标应安装客户端软件，并按照采购文件和电子交易平台的要求编制并加密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响应文件。供应商未按规定加密的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响应文件，电子交易平台将拒收。供应商应当在</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截止时间前完成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响应文件的传输递交，并可以补充、修改或者撤回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响应文件。补充或者修改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截止时间前未完成传输的，视为撤回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截止时间后递交的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 xml:space="preserve">响应文件，电子交易平台将拒收。 </w:t>
      </w:r>
    </w:p>
    <w:p w14:paraId="60999E6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74940690">
      <w:pPr>
        <w:pStyle w:val="4"/>
        <w:jc w:val="center"/>
        <w:rPr>
          <w:rFonts w:hint="eastAsia" w:ascii="宋体" w:hAnsi="宋体" w:eastAsia="宋体" w:cs="宋体"/>
          <w:b/>
          <w:bCs w:val="0"/>
          <w:color w:val="000000" w:themeColor="text1"/>
          <w:szCs w:val="28"/>
          <w:highlight w:val="none"/>
          <w14:textFill>
            <w14:solidFill>
              <w14:schemeClr w14:val="tx1"/>
            </w14:solidFill>
          </w14:textFill>
        </w:rPr>
      </w:pPr>
      <w:bookmarkStart w:id="110" w:name="_Toc2433"/>
      <w:bookmarkStart w:id="111" w:name="_Toc738"/>
      <w:r>
        <w:rPr>
          <w:rFonts w:hint="eastAsia" w:ascii="宋体" w:hAnsi="宋体" w:eastAsia="宋体" w:cs="宋体"/>
          <w:b/>
          <w:bCs w:val="0"/>
          <w:color w:val="000000" w:themeColor="text1"/>
          <w:szCs w:val="28"/>
          <w:highlight w:val="none"/>
          <w14:textFill>
            <w14:solidFill>
              <w14:schemeClr w14:val="tx1"/>
            </w14:solidFill>
          </w14:textFill>
        </w:rPr>
        <w:t>四、竞争性磋商（简称磋商）与评审</w:t>
      </w:r>
      <w:bookmarkEnd w:id="110"/>
      <w:bookmarkEnd w:id="111"/>
    </w:p>
    <w:p w14:paraId="233BE0A4">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2" w:name="_Toc31588"/>
      <w:bookmarkStart w:id="113" w:name="_Toc708"/>
      <w:r>
        <w:rPr>
          <w:rFonts w:hint="eastAsia" w:ascii="宋体" w:hAnsi="宋体" w:eastAsia="宋体" w:cs="宋体"/>
          <w:color w:val="000000" w:themeColor="text1"/>
          <w:sz w:val="21"/>
          <w:szCs w:val="21"/>
          <w:highlight w:val="none"/>
          <w14:textFill>
            <w14:solidFill>
              <w14:schemeClr w14:val="tx1"/>
            </w14:solidFill>
          </w14:textFill>
        </w:rPr>
        <w:t>19. 磋商小组组成及磋商时间、地点、人员</w:t>
      </w:r>
      <w:bookmarkEnd w:id="112"/>
      <w:bookmarkEnd w:id="113"/>
    </w:p>
    <w:p w14:paraId="516E93C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磋商小组组成：</w:t>
      </w:r>
    </w:p>
    <w:p w14:paraId="469A1B8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 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 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p w14:paraId="0E0F86F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磋商时间、地点、人员：</w:t>
      </w:r>
    </w:p>
    <w:p w14:paraId="285CEF1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14" w:name="_Toc9878"/>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bookmarkEnd w:id="114"/>
    </w:p>
    <w:p w14:paraId="3256761C">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115" w:name="_Toc29268"/>
      <w:r>
        <w:rPr>
          <w:rFonts w:hint="eastAsia" w:ascii="宋体" w:hAnsi="宋体" w:eastAsia="宋体" w:cs="宋体"/>
          <w:color w:val="000000" w:themeColor="text1"/>
          <w:szCs w:val="21"/>
          <w:highlight w:val="none"/>
          <w:lang w:val="en-US" w:eastAsia="zh-CN"/>
          <w14:textFill>
            <w14:solidFill>
              <w14:schemeClr w14:val="tx1"/>
            </w14:solidFill>
          </w14:textFill>
        </w:rPr>
        <w:t>19.2.2磋商地点</w:t>
      </w:r>
      <w:r>
        <w:rPr>
          <w:rFonts w:hint="eastAsia" w:ascii="宋体" w:hAnsi="宋体" w:eastAsia="宋体" w:cs="宋体"/>
          <w:color w:val="000000" w:themeColor="text1"/>
          <w:szCs w:val="21"/>
          <w:highlight w:val="none"/>
          <w14:textFill>
            <w14:solidFill>
              <w14:schemeClr w14:val="tx1"/>
            </w14:solidFill>
          </w14:textFill>
        </w:rPr>
        <w:t>：</w:t>
      </w:r>
      <w:bookmarkEnd w:id="115"/>
      <w:r>
        <w:rPr>
          <w:rFonts w:hint="eastAsia" w:ascii="宋体" w:hAnsi="宋体" w:eastAsia="宋体" w:cs="宋体"/>
          <w:color w:val="000000" w:themeColor="text1"/>
          <w:szCs w:val="21"/>
          <w:highlight w:val="none"/>
          <w14:textFill>
            <w14:solidFill>
              <w14:schemeClr w14:val="tx1"/>
            </w14:solidFill>
          </w14:textFill>
        </w:rPr>
        <w:t>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25ED6E7B">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16" w:name="_Toc21307"/>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b w:val="0"/>
          <w:bCs/>
          <w:color w:val="000000" w:themeColor="text1"/>
          <w:sz w:val="21"/>
          <w:szCs w:val="21"/>
          <w:highlight w:val="none"/>
          <w14:textFill>
            <w14:solidFill>
              <w14:schemeClr w14:val="tx1"/>
            </w14:solidFill>
          </w14:textFill>
        </w:rPr>
        <w:t>.2.3磋商参加人员：供应商法定代表人、负责人、自然人或相应的委托代理人持</w:t>
      </w:r>
      <w:r>
        <w:rPr>
          <w:rFonts w:hint="eastAsia" w:ascii="宋体" w:hAnsi="宋体" w:eastAsia="宋体" w:cs="宋体"/>
          <w:b w:val="0"/>
          <w:bCs/>
          <w:color w:val="000000" w:themeColor="text1"/>
          <w:sz w:val="21"/>
          <w:szCs w:val="21"/>
          <w:highlight w:val="none"/>
          <w:u w:val="single"/>
          <w14:textFill>
            <w14:solidFill>
              <w14:schemeClr w14:val="tx1"/>
            </w14:solidFill>
          </w14:textFill>
        </w:rPr>
        <w:t>有效身份证原件</w:t>
      </w:r>
      <w:r>
        <w:rPr>
          <w:rFonts w:hint="eastAsia" w:ascii="宋体" w:hAnsi="宋体" w:eastAsia="宋体" w:cs="宋体"/>
          <w:b w:val="0"/>
          <w:bCs/>
          <w:color w:val="000000" w:themeColor="text1"/>
          <w:sz w:val="21"/>
          <w:szCs w:val="21"/>
          <w:highlight w:val="none"/>
          <w14:textFill>
            <w14:solidFill>
              <w14:schemeClr w14:val="tx1"/>
            </w14:solidFill>
          </w14:textFill>
        </w:rPr>
        <w:t>和供应商</w:t>
      </w:r>
      <w:r>
        <w:rPr>
          <w:rFonts w:hint="eastAsia" w:ascii="宋体" w:hAnsi="宋体" w:cs="宋体"/>
          <w:b w:val="0"/>
          <w:bCs/>
          <w:color w:val="000000" w:themeColor="text1"/>
          <w:sz w:val="21"/>
          <w:szCs w:val="21"/>
          <w:highlight w:val="none"/>
          <w:u w:val="single"/>
          <w:lang w:eastAsia="zh-CN"/>
          <w14:textFill>
            <w14:solidFill>
              <w14:schemeClr w14:val="tx1"/>
            </w14:solidFill>
          </w14:textFill>
        </w:rPr>
        <w:t>广西政府采购云平台</w:t>
      </w:r>
      <w:r>
        <w:rPr>
          <w:rFonts w:hint="eastAsia" w:ascii="宋体" w:hAnsi="宋体" w:eastAsia="宋体" w:cs="宋体"/>
          <w:b w:val="0"/>
          <w:bCs/>
          <w:color w:val="000000" w:themeColor="text1"/>
          <w:sz w:val="21"/>
          <w:szCs w:val="21"/>
          <w:highlight w:val="none"/>
          <w:u w:val="single"/>
          <w14:textFill>
            <w14:solidFill>
              <w14:schemeClr w14:val="tx1"/>
            </w14:solidFill>
          </w14:textFill>
        </w:rPr>
        <w:t>CA数字证书</w:t>
      </w:r>
      <w:r>
        <w:rPr>
          <w:rFonts w:hint="eastAsia" w:ascii="宋体" w:hAnsi="宋体" w:eastAsia="宋体" w:cs="宋体"/>
          <w:b w:val="0"/>
          <w:bCs/>
          <w:color w:val="000000" w:themeColor="text1"/>
          <w:sz w:val="21"/>
          <w:szCs w:val="21"/>
          <w:highlight w:val="none"/>
          <w14:textFill>
            <w14:solidFill>
              <w14:schemeClr w14:val="tx1"/>
            </w14:solidFill>
          </w14:textFill>
        </w:rPr>
        <w:t>参加磋商。请供应商</w:t>
      </w:r>
      <w:r>
        <w:rPr>
          <w:rFonts w:hint="eastAsia" w:ascii="宋体" w:hAnsi="宋体" w:cs="宋体"/>
          <w:b w:val="0"/>
          <w:bCs/>
          <w:color w:val="000000" w:themeColor="text1"/>
          <w:sz w:val="21"/>
          <w:szCs w:val="21"/>
          <w:highlight w:val="none"/>
          <w:lang w:val="en-US" w:eastAsia="zh-CN"/>
          <w14:textFill>
            <w14:solidFill>
              <w14:schemeClr w14:val="tx1"/>
            </w14:solidFill>
          </w14:textFill>
        </w:rPr>
        <w:t>在广西政府采购云平台在线</w:t>
      </w:r>
      <w:r>
        <w:rPr>
          <w:rFonts w:hint="eastAsia" w:ascii="宋体" w:hAnsi="宋体" w:eastAsia="宋体" w:cs="宋体"/>
          <w:b w:val="0"/>
          <w:bCs/>
          <w:color w:val="000000" w:themeColor="text1"/>
          <w:sz w:val="21"/>
          <w:szCs w:val="21"/>
          <w:highlight w:val="none"/>
          <w14:textFill>
            <w14:solidFill>
              <w14:schemeClr w14:val="tx1"/>
            </w14:solidFill>
          </w14:textFill>
        </w:rPr>
        <w:t>等候磋商。</w:t>
      </w:r>
      <w:bookmarkEnd w:id="116"/>
    </w:p>
    <w:p w14:paraId="113967D7">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17" w:name="_Toc6288"/>
      <w:r>
        <w:rPr>
          <w:rFonts w:hint="eastAsia" w:ascii="宋体" w:hAnsi="宋体" w:eastAsia="宋体" w:cs="宋体"/>
          <w:b w:val="0"/>
          <w:bCs/>
          <w:color w:val="000000" w:themeColor="text1"/>
          <w:sz w:val="21"/>
          <w:szCs w:val="21"/>
          <w:highlight w:val="none"/>
          <w14:textFill>
            <w14:solidFill>
              <w14:schemeClr w14:val="tx1"/>
            </w14:solidFill>
          </w14:textFill>
        </w:rPr>
        <w:t>19.2.4响应文件递交截止时间后，由磋商小组在评标室内线上开启响应文件。</w:t>
      </w:r>
      <w:bookmarkEnd w:id="117"/>
    </w:p>
    <w:p w14:paraId="01BFF38F">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8" w:name="_Toc25258"/>
      <w:bookmarkStart w:id="119" w:name="_Toc1153"/>
      <w:r>
        <w:rPr>
          <w:rFonts w:hint="eastAsia" w:ascii="宋体" w:hAnsi="宋体" w:eastAsia="宋体" w:cs="宋体"/>
          <w:color w:val="000000" w:themeColor="text1"/>
          <w:sz w:val="21"/>
          <w:szCs w:val="21"/>
          <w:highlight w:val="none"/>
          <w14:textFill>
            <w14:solidFill>
              <w14:schemeClr w14:val="tx1"/>
            </w14:solidFill>
          </w14:textFill>
        </w:rPr>
        <w:t>20. 评审原则</w:t>
      </w:r>
      <w:bookmarkEnd w:id="118"/>
      <w:bookmarkEnd w:id="119"/>
    </w:p>
    <w:p w14:paraId="281FE2D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磋商小组必须坚持公平、公正、科学和择优的原则。</w:t>
      </w:r>
    </w:p>
    <w:p w14:paraId="1F2C079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评审办法：综合评分法，具体详见第四章评审办法。</w:t>
      </w:r>
    </w:p>
    <w:p w14:paraId="355B172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磋商小组应按磋商文件进行评审，不得擅自更改评审办法。</w:t>
      </w:r>
    </w:p>
    <w:p w14:paraId="1C71C90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14:paraId="1FB17245">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14:paraId="3346ECF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 响应文件最后报价出现前后不一致的，除竞争性磋商文件另有规定外，按照下列规定修正：</w:t>
      </w:r>
    </w:p>
    <w:p w14:paraId="7EE07A8E">
      <w:pPr>
        <w:pStyle w:val="2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highlight w:val="none"/>
          <w14:textFill>
            <w14:solidFill>
              <w14:schemeClr w14:val="tx1"/>
            </w14:solidFill>
          </w14:textFill>
        </w:rPr>
        <w:t>响应文件中磋商报价表内容与响应文件中相应内容不一致的，以最后磋商报价表为准；</w:t>
      </w:r>
    </w:p>
    <w:p w14:paraId="2E6525C9">
      <w:pPr>
        <w:pStyle w:val="2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大写金额和小写金额不一致的，以大写金额为准；</w:t>
      </w:r>
    </w:p>
    <w:p w14:paraId="5AB58722">
      <w:pPr>
        <w:pStyle w:val="2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单价金额小数点或者百分比有明显错位的，以报价表的总价为准，并修改单价；</w:t>
      </w:r>
    </w:p>
    <w:p w14:paraId="18E95CD7">
      <w:pPr>
        <w:pStyle w:val="2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highlight w:val="none"/>
          <w14:textFill>
            <w14:solidFill>
              <w14:schemeClr w14:val="tx1"/>
            </w14:solidFill>
          </w14:textFill>
        </w:rPr>
        <w:t>总价金额与按单价汇总金额不一致的，以单价金额计算结果为准。</w:t>
      </w:r>
    </w:p>
    <w:p w14:paraId="5F579AA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676282C">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0" w:name="_Toc27193"/>
      <w:bookmarkStart w:id="121" w:name="_Toc9548"/>
      <w:r>
        <w:rPr>
          <w:rFonts w:hint="eastAsia" w:ascii="宋体" w:hAnsi="宋体" w:eastAsia="宋体" w:cs="宋体"/>
          <w:color w:val="000000" w:themeColor="text1"/>
          <w:sz w:val="21"/>
          <w:szCs w:val="21"/>
          <w:highlight w:val="none"/>
          <w14:textFill>
            <w14:solidFill>
              <w14:schemeClr w14:val="tx1"/>
            </w14:solidFill>
          </w14:textFill>
        </w:rPr>
        <w:t>21. 评审程序及磋商要求</w:t>
      </w:r>
      <w:bookmarkEnd w:id="120"/>
      <w:bookmarkEnd w:id="121"/>
    </w:p>
    <w:p w14:paraId="56983E3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21.1磋商小组成员的通讯工具或相关电子设备交由桂林市公共资源交易中心统一保管后到达评标室，采购 </w:t>
      </w:r>
    </w:p>
    <w:p w14:paraId="76B5395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代理机构核实磋商小组成员身份，告知回避要求，宣布评审工作纪律和程序，推选磋商小组组长。</w:t>
      </w:r>
    </w:p>
    <w:p w14:paraId="4C3256A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87B97E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4651A2C">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6339642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21.4.1 查询渠道：《国家企业信用信息公示系统》（网址：www.gsxt.gov.cn/index.html）</w:t>
      </w:r>
    </w:p>
    <w:p w14:paraId="04405FC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21.4.2 审查流程：</w:t>
      </w:r>
    </w:p>
    <w:p w14:paraId="27696AC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（1）进入《国家企业信用信息公示系统》（网址：www.gsxt.gov.cn/index.html），输入企业名称，进入企业信息主页面；</w:t>
      </w:r>
    </w:p>
    <w:p w14:paraId="3D63E5A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（2）查看主页“股东及出资信息”栏，或年报中的“股东及出资信息”栏信息；</w:t>
      </w:r>
    </w:p>
    <w:p w14:paraId="783571F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（3）将各供应商的股东及出资信息进行比对，得出审查结论；</w:t>
      </w:r>
    </w:p>
    <w:p w14:paraId="76B5CCC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（4）将相关资料作为评审资料打印存档。</w:t>
      </w:r>
    </w:p>
    <w:p w14:paraId="67B29BE3">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21.5 磋商小组如发现供应商提供的证明文件不齐全或不符合规定格式的，应一次性告知供应商，供应</w:t>
      </w:r>
    </w:p>
    <w:p w14:paraId="08267019">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商应在规定的时间内</w:t>
      </w:r>
      <w:r>
        <w:rPr>
          <w:rFonts w:hint="eastAsia" w:ascii="宋体" w:hAnsi="宋体" w:eastAsia="宋体" w:cs="宋体"/>
          <w:b/>
          <w:bCs/>
          <w:color w:val="000000" w:themeColor="text1"/>
          <w:szCs w:val="21"/>
          <w:highlight w:val="none"/>
          <w:lang w:eastAsia="zh-CN"/>
          <w14:textFill>
            <w14:solidFill>
              <w14:schemeClr w14:val="tx1"/>
            </w14:solidFill>
          </w14:textFill>
        </w:rPr>
        <w:t>线上</w:t>
      </w:r>
      <w:r>
        <w:rPr>
          <w:rFonts w:hint="eastAsia" w:ascii="宋体" w:hAnsi="宋体" w:eastAsia="宋体" w:cs="宋体"/>
          <w:b/>
          <w:bCs/>
          <w:color w:val="000000" w:themeColor="text1"/>
          <w:szCs w:val="21"/>
          <w:highlight w:val="none"/>
          <w14:textFill>
            <w14:solidFill>
              <w14:schemeClr w14:val="tx1"/>
            </w14:solidFill>
          </w14:textFill>
        </w:rPr>
        <w:t>补正或更正。</w:t>
      </w:r>
    </w:p>
    <w:p w14:paraId="56BE414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21.6 磋商小组在对响应文件的有效性、完整性和响应程度进行审查时，可以要求供应商对响应文件中含义 </w:t>
      </w:r>
    </w:p>
    <w:p w14:paraId="72E778C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不明确、同类问题表述不一致或者有明显文字和计算错误的内容等作出必要的澄清、说明或者更正。供应商的 </w:t>
      </w:r>
    </w:p>
    <w:p w14:paraId="5C21DF7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澄清、说明或者更正不得超出响应文件的范围或者改变响应文件的实质性内容。澄清、说明或者更正应由其法 </w:t>
      </w:r>
    </w:p>
    <w:p w14:paraId="21683B2D">
      <w:pPr>
        <w:pStyle w:val="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定代表人或相应的授权委托代表签字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个人CA签章)</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p>
    <w:p w14:paraId="2064E22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根据磋商文件规定的程序、评定成交的标准等事项与实质性响应竞争性磋商文件要求的供应商进行磋商。 </w:t>
      </w:r>
    </w:p>
    <w:p w14:paraId="72B0E34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未实质性响应磋商文件的响应文件按无效处理，磋商小组应当告知有关供应商。 </w:t>
      </w:r>
    </w:p>
    <w:p w14:paraId="66FC5F0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磋商小组所有成员应当按已确定的磋商顺序集中与单一供应商分别进行磋商，并给予所有实质性响应竞争 </w:t>
      </w:r>
    </w:p>
    <w:p w14:paraId="701EFC8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性磋商文件要求的供应商平等的磋商机会。 </w:t>
      </w:r>
    </w:p>
    <w:p w14:paraId="3636269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磋商中，磋商小组不得透露与磋商有关的其他供应商的技术资料、价格和其他信息。 </w:t>
      </w:r>
    </w:p>
    <w:p w14:paraId="6CB0B54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磋商小组对磋商过程和重要磋商内容进行记录，磋商双方在记录上签字确认。 </w:t>
      </w:r>
    </w:p>
    <w:p w14:paraId="7795B6D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5BE9736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21.8 在磋商过程中，磋商小组可以根据磋商文件和磋商情况实质性变动项目需求中的技术、服务要求以及 </w:t>
      </w:r>
    </w:p>
    <w:p w14:paraId="180F9A7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合同草案条款，但不得变动磋商文件中的其他内容。实质性变动的内容，须经采购人代表确认。 </w:t>
      </w:r>
    </w:p>
    <w:p w14:paraId="3510EB2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对磋商文件作出的实质性变动是磋商文件的有效组成部分，磋商小组应当及时</w:t>
      </w:r>
      <w:r>
        <w:rPr>
          <w:rFonts w:hint="eastAsia" w:ascii="宋体" w:hAnsi="宋体" w:eastAsia="宋体" w:cs="宋体"/>
          <w:color w:val="000000" w:themeColor="text1"/>
          <w:szCs w:val="21"/>
          <w:highlight w:val="none"/>
          <w:lang w:eastAsia="zh-CN"/>
          <w14:textFill>
            <w14:solidFill>
              <w14:schemeClr w14:val="tx1"/>
            </w14:solidFill>
          </w14:textFill>
        </w:rPr>
        <w:t>通过</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同时</w:t>
      </w:r>
      <w:r>
        <w:rPr>
          <w:rFonts w:hint="eastAsia" w:ascii="宋体" w:hAnsi="宋体" w:eastAsia="宋体" w:cs="宋体"/>
          <w:color w:val="000000" w:themeColor="text1"/>
          <w:szCs w:val="21"/>
          <w:highlight w:val="none"/>
          <w14:textFill>
            <w14:solidFill>
              <w14:schemeClr w14:val="tx1"/>
            </w14:solidFill>
          </w14:textFill>
        </w:rPr>
        <w:t xml:space="preserve">通知所有参加磋商的供应商。 </w:t>
      </w:r>
    </w:p>
    <w:p w14:paraId="50D98E3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供应商应当按照磋商文件的变动情况和磋商小组的要求重新提交响应文件，并由其法定代表人、负责人、</w:t>
      </w:r>
      <w:r>
        <w:rPr>
          <w:rFonts w:hint="eastAsia" w:ascii="宋体" w:hAnsi="宋体" w:eastAsia="宋体" w:cs="宋体"/>
          <w:color w:val="000000" w:themeColor="text1"/>
          <w:szCs w:val="21"/>
          <w:highlight w:val="none"/>
          <w:lang w:eastAsia="zh-CN"/>
          <w14:textFill>
            <w14:solidFill>
              <w14:schemeClr w14:val="tx1"/>
            </w14:solidFill>
          </w14:textFill>
        </w:rPr>
        <w:t>自然人或相应的授权委托代表签字（个人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 xml:space="preserve">。逾时不交的，视同放弃磋商。 </w:t>
      </w:r>
    </w:p>
    <w:p w14:paraId="6BAA148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21.9 第二轮磋商</w:t>
      </w:r>
    </w:p>
    <w:p w14:paraId="212F8A2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53BDAF4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磋商后，供应商根据磋商小组统一整理的书面磋商记录要求做出书面承诺，并由其法定代表人或授权代表签字或者加盖公章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后按时</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lang w:val="en-US" w:eastAsia="zh-CN"/>
          <w14:textFill>
            <w14:solidFill>
              <w14:schemeClr w14:val="tx1"/>
            </w14:solidFill>
          </w14:textFill>
        </w:rPr>
        <w:t>提交</w:t>
      </w:r>
      <w:r>
        <w:rPr>
          <w:rFonts w:hint="eastAsia" w:ascii="宋体" w:hAnsi="宋体" w:eastAsia="宋体" w:cs="宋体"/>
          <w:color w:val="000000" w:themeColor="text1"/>
          <w:szCs w:val="21"/>
          <w:highlight w:val="none"/>
          <w14:textFill>
            <w14:solidFill>
              <w14:schemeClr w14:val="tx1"/>
            </w14:solidFill>
          </w14:textFill>
        </w:rPr>
        <w:t>。</w:t>
      </w:r>
    </w:p>
    <w:p w14:paraId="4E78F4B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50B9D9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21.10 在采购过程中符合竞争要求的供应商或者报价未超过</w:t>
      </w:r>
      <w:r>
        <w:rPr>
          <w:rFonts w:hint="eastAsia" w:ascii="宋体" w:hAnsi="宋体" w:cs="宋体"/>
          <w:color w:val="000000" w:themeColor="text1"/>
          <w:szCs w:val="21"/>
          <w:highlight w:val="none"/>
          <w:lang w:eastAsia="zh-CN"/>
          <w14:textFill>
            <w14:solidFill>
              <w14:schemeClr w14:val="tx1"/>
            </w14:solidFill>
          </w14:textFill>
        </w:rPr>
        <w:t>最高限价</w:t>
      </w:r>
      <w:r>
        <w:rPr>
          <w:rFonts w:hint="eastAsia" w:ascii="宋体" w:hAnsi="宋体" w:eastAsia="宋体" w:cs="宋体"/>
          <w:color w:val="000000" w:themeColor="text1"/>
          <w:szCs w:val="21"/>
          <w:highlight w:val="none"/>
          <w14:textFill>
            <w14:solidFill>
              <w14:schemeClr w14:val="tx1"/>
            </w14:solidFill>
          </w14:textFill>
        </w:rPr>
        <w:t xml:space="preserve">的供应商不足 3 家的，采购人或者采购代理机构应当终止竞争性磋商采购活动。 </w:t>
      </w:r>
    </w:p>
    <w:p w14:paraId="607F094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21.11 最后报价 </w:t>
      </w:r>
    </w:p>
    <w:p w14:paraId="1718D06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提交最后报价，提交最后报价的供应商不得少于 3 家。 </w:t>
      </w:r>
    </w:p>
    <w:p w14:paraId="7C45A4D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 </w:t>
      </w:r>
    </w:p>
    <w:p w14:paraId="06B2598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21.11.3 根据《财政部关于政府采购竞争性磋商采购方式管理暂行办法有关问题的补充通知》</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提交最后报价；采购过程中符合要求的供应商（社会资本）只有 1 家的，采购人或者采购代理机构应当终止竞争性磋商采购活动，发布项目终止公告并说明原因，重新开展采购活动。 </w:t>
      </w:r>
    </w:p>
    <w:p w14:paraId="1E479671">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21.11.4 根据《政府采购竞争性磋商采购方式管理暂行办法》</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w:t>
      </w:r>
      <w:r>
        <w:rPr>
          <w:rFonts w:hint="eastAsia" w:ascii="宋体" w:hAnsi="宋体" w:eastAsia="宋体" w:cs="宋体"/>
          <w:b/>
          <w:bCs/>
          <w:color w:val="000000" w:themeColor="text1"/>
          <w:szCs w:val="21"/>
          <w:highlight w:val="none"/>
          <w14:textFill>
            <w14:solidFill>
              <w14:schemeClr w14:val="tx1"/>
            </w14:solidFill>
          </w14:textFill>
        </w:rPr>
        <w:t xml:space="preserve">最后报价是供应商响应文件的有效组成部分。 </w:t>
      </w:r>
      <w:r>
        <w:rPr>
          <w:rFonts w:hint="eastAsia" w:ascii="宋体" w:hAnsi="宋体" w:eastAsia="宋体" w:cs="宋体"/>
          <w:color w:val="000000" w:themeColor="text1"/>
          <w:szCs w:val="21"/>
          <w:highlight w:val="none"/>
          <w14:textFill>
            <w14:solidFill>
              <w14:schemeClr w14:val="tx1"/>
            </w14:solidFill>
          </w14:textFill>
        </w:rPr>
        <w:t>符合本办法(财库〔2014〕214号)第三条第四项情形的，提交最后报价的供应商可以为2家。</w:t>
      </w:r>
      <w:r>
        <w:rPr>
          <w:rFonts w:hint="eastAsia" w:ascii="宋体" w:hAnsi="宋体" w:eastAsia="宋体" w:cs="宋体"/>
          <w:b/>
          <w:bCs/>
          <w:color w:val="000000" w:themeColor="text1"/>
          <w:szCs w:val="21"/>
          <w:highlight w:val="none"/>
          <w14:textFill>
            <w14:solidFill>
              <w14:schemeClr w14:val="tx1"/>
            </w14:solidFill>
          </w14:textFill>
        </w:rPr>
        <w:t>（财库〔2014〕214号文第三条第四项：市场竞争不充分的科研项目，以及需要扶持的科技成果转化项目。）</w:t>
      </w:r>
    </w:p>
    <w:p w14:paraId="0673FE4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21.12 已提交响应文件的供应商，在提交最后报价之前，可以根据磋商情况书面退出磋商。 </w:t>
      </w:r>
    </w:p>
    <w:p w14:paraId="587285C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未书面退出磋商的供应商在规定时间内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提交最后报价，其最后报价超出</w:t>
      </w:r>
      <w:r>
        <w:rPr>
          <w:rFonts w:hint="eastAsia" w:ascii="宋体" w:hAnsi="宋体" w:cs="宋体"/>
          <w:color w:val="000000" w:themeColor="text1"/>
          <w:szCs w:val="21"/>
          <w:highlight w:val="none"/>
          <w:lang w:eastAsia="zh-CN"/>
          <w14:textFill>
            <w14:solidFill>
              <w14:schemeClr w14:val="tx1"/>
            </w14:solidFill>
          </w14:textFill>
        </w:rPr>
        <w:t>最高限价</w:t>
      </w:r>
      <w:r>
        <w:rPr>
          <w:rFonts w:hint="eastAsia" w:ascii="宋体" w:hAnsi="宋体" w:eastAsia="宋体" w:cs="宋体"/>
          <w:color w:val="000000" w:themeColor="text1"/>
          <w:szCs w:val="21"/>
          <w:highlight w:val="none"/>
          <w14:textFill>
            <w14:solidFill>
              <w14:schemeClr w14:val="tx1"/>
            </w14:solidFill>
          </w14:textFill>
        </w:rPr>
        <w:t xml:space="preserve">导致已通过评审的响 </w:t>
      </w:r>
    </w:p>
    <w:p w14:paraId="1F4DC6A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应文件无效的，按供应商在提交响应文件截止时间后撤回响应文件处理。 </w:t>
      </w:r>
    </w:p>
    <w:p w14:paraId="3B76466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21.13 评审报告 </w:t>
      </w:r>
    </w:p>
    <w:p w14:paraId="2ABB689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14:paraId="4D2F9B0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21.14 在评审过程中出现法律法规和磋商文件均没有明确规定的情形时，由磋商小组现场协商解决，协商 </w:t>
      </w:r>
    </w:p>
    <w:p w14:paraId="4669FF0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不一致的，由全体磋商小组投票表决，以得票率二分之一以上磋商小组成员的意见为准。 </w:t>
      </w:r>
    </w:p>
    <w:p w14:paraId="3B1E016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21.15 采购代理机构发现磋商小组有明显的违规倾向或歧视现象，或不按评审办法进行，或其他不正常行 </w:t>
      </w:r>
    </w:p>
    <w:p w14:paraId="60B7C80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为的，应当及时制止。如制止无效，应及时向</w:t>
      </w:r>
      <w:r>
        <w:rPr>
          <w:rFonts w:hint="eastAsia" w:ascii="宋体" w:hAnsi="宋体" w:eastAsia="宋体" w:cs="宋体"/>
          <w:color w:val="000000" w:themeColor="text1"/>
          <w:szCs w:val="21"/>
          <w:highlight w:val="none"/>
          <w:lang w:eastAsia="zh-CN"/>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政府采购监督管理机构报告。</w:t>
      </w:r>
    </w:p>
    <w:p w14:paraId="287A3275">
      <w:pPr>
        <w:spacing w:line="360" w:lineRule="auto"/>
        <w:ind w:firstLine="42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eastAsia="宋体" w:cs="宋体"/>
          <w:b/>
          <w:bCs/>
          <w:color w:val="000000" w:themeColor="text1"/>
          <w:szCs w:val="21"/>
          <w:highlight w:val="none"/>
          <w14:textFill>
            <w14:solidFill>
              <w14:schemeClr w14:val="tx1"/>
            </w14:solidFill>
          </w14:textFill>
        </w:rPr>
        <w:t>综合评分法。</w:t>
      </w:r>
    </w:p>
    <w:p w14:paraId="3042E639">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2" w:name="_Toc32470"/>
      <w:bookmarkStart w:id="123" w:name="_Toc4695"/>
      <w:r>
        <w:rPr>
          <w:rFonts w:hint="eastAsia" w:ascii="宋体" w:hAnsi="宋体" w:eastAsia="宋体" w:cs="宋体"/>
          <w:color w:val="000000" w:themeColor="text1"/>
          <w:sz w:val="21"/>
          <w:szCs w:val="21"/>
          <w:highlight w:val="none"/>
          <w14:textFill>
            <w14:solidFill>
              <w14:schemeClr w14:val="tx1"/>
            </w14:solidFill>
          </w14:textFill>
        </w:rPr>
        <w:t>22. 确定成交供应商</w:t>
      </w:r>
      <w:bookmarkEnd w:id="122"/>
      <w:bookmarkEnd w:id="123"/>
    </w:p>
    <w:p w14:paraId="607A012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5DCEA3CC">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22.2采购单位应当确定磋商小组推荐排名第一的成交候选人为成交供应商。</w:t>
      </w:r>
    </w:p>
    <w:p w14:paraId="6D4F40F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0110324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14:paraId="04A5B9AE">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4" w:name="_Toc21715"/>
      <w:bookmarkStart w:id="125" w:name="_Toc22692"/>
      <w:r>
        <w:rPr>
          <w:rFonts w:hint="eastAsia" w:ascii="宋体" w:hAnsi="宋体" w:eastAsia="宋体" w:cs="宋体"/>
          <w:color w:val="000000" w:themeColor="text1"/>
          <w:sz w:val="21"/>
          <w:szCs w:val="21"/>
          <w:highlight w:val="none"/>
          <w14:textFill>
            <w14:solidFill>
              <w14:schemeClr w14:val="tx1"/>
            </w14:solidFill>
          </w14:textFill>
        </w:rPr>
        <w:t>23. 属于下列情况之一者，响应文件无效</w:t>
      </w:r>
      <w:bookmarkEnd w:id="124"/>
      <w:bookmarkEnd w:id="125"/>
    </w:p>
    <w:p w14:paraId="5366426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（1）未按磋商文件规定完整</w:t>
      </w:r>
      <w:r>
        <w:rPr>
          <w:rFonts w:hint="eastAsia" w:ascii="宋体" w:hAnsi="宋体" w:eastAsia="宋体" w:cs="宋体"/>
          <w:color w:val="000000" w:themeColor="text1"/>
          <w:szCs w:val="21"/>
          <w:highlight w:val="none"/>
          <w:lang w:val="en-US"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提交响应文件或未按规定要求</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val="en-US" w:eastAsia="zh-CN"/>
          <w14:textFill>
            <w14:solidFill>
              <w14:schemeClr w14:val="tx1"/>
            </w14:solidFill>
          </w14:textFill>
        </w:rPr>
        <w:t>签章</w:t>
      </w:r>
      <w:r>
        <w:rPr>
          <w:rFonts w:hint="eastAsia" w:ascii="宋体" w:hAnsi="宋体" w:eastAsia="宋体" w:cs="宋体"/>
          <w:color w:val="000000" w:themeColor="text1"/>
          <w:szCs w:val="21"/>
          <w:highlight w:val="none"/>
          <w14:textFill>
            <w14:solidFill>
              <w14:schemeClr w14:val="tx1"/>
            </w14:solidFill>
          </w14:textFill>
        </w:rPr>
        <w:t>的；</w:t>
      </w:r>
    </w:p>
    <w:p w14:paraId="202871B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（2）不具备磋商文件规定的资格要求的；</w:t>
      </w:r>
    </w:p>
    <w:p w14:paraId="74F5F26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（3）响应文件未按磋商文件的内容和要求编制，或提供虚假材料的；</w:t>
      </w:r>
    </w:p>
    <w:p w14:paraId="2CF7870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（4）响应文件有效期、交货时间、免费保修期（升级、维护）期/维护期、售后服务不能满足磋商文件要求的；</w:t>
      </w:r>
    </w:p>
    <w:p w14:paraId="5D649F4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（5）供应商未就“采购需求”中的所有内容作完整唯一报价的，或报价超出</w:t>
      </w:r>
      <w:r>
        <w:rPr>
          <w:rFonts w:hint="eastAsia" w:ascii="宋体" w:hAnsi="宋体" w:cs="宋体"/>
          <w:color w:val="000000" w:themeColor="text1"/>
          <w:szCs w:val="21"/>
          <w:highlight w:val="none"/>
          <w:lang w:eastAsia="zh-CN"/>
          <w14:textFill>
            <w14:solidFill>
              <w14:schemeClr w14:val="tx1"/>
            </w14:solidFill>
          </w14:textFill>
        </w:rPr>
        <w:t>最高限价</w:t>
      </w:r>
      <w:r>
        <w:rPr>
          <w:rFonts w:hint="eastAsia" w:ascii="宋体" w:hAnsi="宋体" w:eastAsia="宋体" w:cs="宋体"/>
          <w:color w:val="000000" w:themeColor="text1"/>
          <w:szCs w:val="21"/>
          <w:highlight w:val="none"/>
          <w14:textFill>
            <w14:solidFill>
              <w14:schemeClr w14:val="tx1"/>
            </w14:solidFill>
          </w14:textFill>
        </w:rPr>
        <w:t>总金额的；</w:t>
      </w:r>
    </w:p>
    <w:p w14:paraId="778FA4B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（6）未在磋商小组规定的时间内提交响应文件(包括最后报价)的；</w:t>
      </w:r>
    </w:p>
    <w:p w14:paraId="663B94F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（7）超越了按照法律法规规定必须获得行政许可或者行政审批的经营范围的；</w:t>
      </w:r>
    </w:p>
    <w:p w14:paraId="701CE40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（8）未满足磋商文件实质性要求的或者响应文件有采购人不能接受的附加条件的；</w:t>
      </w:r>
    </w:p>
    <w:p w14:paraId="7C88885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（9）响应文件实质性要求未做变动，供应商最后报价高于第一次报价的；</w:t>
      </w:r>
    </w:p>
    <w:p w14:paraId="6474529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（10）不符合法律、法规和磋商文件规定的其他实质性要求和条件的。</w:t>
      </w:r>
    </w:p>
    <w:p w14:paraId="6F967FE8">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供应商有下列情形之一的视为供应商相互串通磋商，响应文件将被视为无效</w:t>
      </w:r>
    </w:p>
    <w:p w14:paraId="292F482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14:paraId="373F2F2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（2）不同供应商委托同一单位或者个人办理磋商事宜；</w:t>
      </w:r>
    </w:p>
    <w:p w14:paraId="76C322B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（3）不同的供应商的响应文件载明的项目管理员为同一个人；</w:t>
      </w:r>
    </w:p>
    <w:p w14:paraId="5793A46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（4）不同供应商的响应文件异常一致或竞标报价呈规律性差异；</w:t>
      </w:r>
    </w:p>
    <w:p w14:paraId="7A79966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（5）不同供应商的响应文件相互混</w:t>
      </w:r>
      <w:r>
        <w:rPr>
          <w:rFonts w:hint="eastAsia" w:ascii="宋体" w:hAnsi="宋体" w:cs="宋体"/>
          <w:color w:val="000000" w:themeColor="text1"/>
          <w:szCs w:val="21"/>
          <w:highlight w:val="none"/>
          <w:lang w:eastAsia="zh-CN"/>
          <w14:textFill>
            <w14:solidFill>
              <w14:schemeClr w14:val="tx1"/>
            </w14:solidFill>
          </w14:textFill>
        </w:rPr>
        <w:t>编</w:t>
      </w:r>
      <w:r>
        <w:rPr>
          <w:rFonts w:hint="eastAsia" w:ascii="宋体" w:hAnsi="宋体" w:eastAsia="宋体" w:cs="宋体"/>
          <w:color w:val="000000" w:themeColor="text1"/>
          <w:szCs w:val="21"/>
          <w:highlight w:val="none"/>
          <w14:textFill>
            <w14:solidFill>
              <w14:schemeClr w14:val="tx1"/>
            </w14:solidFill>
          </w14:textFill>
        </w:rPr>
        <w:t>；</w:t>
      </w:r>
    </w:p>
    <w:p w14:paraId="2C8423E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（6）不同供应商的磋商保证金从同一单位或者个人账户转出。</w:t>
      </w:r>
    </w:p>
    <w:p w14:paraId="6ACD6353">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6" w:name="_Toc5714"/>
      <w:bookmarkStart w:id="127" w:name="_Toc10850"/>
      <w:r>
        <w:rPr>
          <w:rFonts w:hint="eastAsia" w:ascii="宋体" w:hAnsi="宋体" w:eastAsia="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126"/>
      <w:bookmarkEnd w:id="127"/>
    </w:p>
    <w:p w14:paraId="0E19A87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14:paraId="5C468F5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（2）出现影响采购公正的违法、违规行为的； </w:t>
      </w:r>
    </w:p>
    <w:p w14:paraId="5E86173E">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（3）在采购过程中符合竞争要求的供应商或者报价未超过</w:t>
      </w:r>
      <w:r>
        <w:rPr>
          <w:rFonts w:hint="eastAsia" w:ascii="宋体" w:hAnsi="宋体" w:cs="宋体"/>
          <w:color w:val="000000" w:themeColor="text1"/>
          <w:szCs w:val="21"/>
          <w:highlight w:val="none"/>
          <w:lang w:eastAsia="zh-CN"/>
          <w14:textFill>
            <w14:solidFill>
              <w14:schemeClr w14:val="tx1"/>
            </w14:solidFill>
          </w14:textFill>
        </w:rPr>
        <w:t>最高限价</w:t>
      </w:r>
      <w:r>
        <w:rPr>
          <w:rFonts w:hint="eastAsia" w:ascii="宋体" w:hAnsi="宋体" w:eastAsia="宋体" w:cs="宋体"/>
          <w:color w:val="000000" w:themeColor="text1"/>
          <w:szCs w:val="21"/>
          <w:highlight w:val="none"/>
          <w14:textFill>
            <w14:solidFill>
              <w14:schemeClr w14:val="tx1"/>
            </w14:solidFill>
          </w14:textFill>
        </w:rPr>
        <w:t>的供应商不足3家的。</w:t>
      </w:r>
      <w:r>
        <w:rPr>
          <w:rFonts w:hint="eastAsia" w:ascii="宋体" w:hAnsi="宋体" w:eastAsia="宋体" w:cs="宋体"/>
          <w:b/>
          <w:bCs/>
          <w:color w:val="000000" w:themeColor="text1"/>
          <w:szCs w:val="21"/>
          <w:highlight w:val="none"/>
          <w14:textFill>
            <w14:solidFill>
              <w14:schemeClr w14:val="tx1"/>
            </w14:solidFill>
          </w14:textFill>
        </w:rPr>
        <w:t xml:space="preserve">（除财库〔2014〕214 号《政府采购竞争性磋商采购方式管理暂行办法》第二十一条第三款规定的情形外） </w:t>
      </w:r>
    </w:p>
    <w:p w14:paraId="21B477FC">
      <w:pPr>
        <w:pStyle w:val="5"/>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8" w:name="_Toc19105"/>
      <w:bookmarkStart w:id="129" w:name="_Toc8299"/>
      <w:r>
        <w:rPr>
          <w:rFonts w:hint="eastAsia" w:ascii="宋体" w:hAnsi="宋体" w:eastAsia="宋体" w:cs="宋体"/>
          <w:color w:val="000000" w:themeColor="text1"/>
          <w:sz w:val="21"/>
          <w:szCs w:val="21"/>
          <w:highlight w:val="none"/>
          <w14:textFill>
            <w14:solidFill>
              <w14:schemeClr w14:val="tx1"/>
            </w14:solidFill>
          </w14:textFill>
        </w:rPr>
        <w:t>25. 磋商过程的监控</w:t>
      </w:r>
      <w:bookmarkEnd w:id="128"/>
      <w:bookmarkEnd w:id="129"/>
    </w:p>
    <w:p w14:paraId="02FA82A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14:paraId="48EFDC73">
      <w:pPr>
        <w:pStyle w:val="5"/>
        <w:numPr>
          <w:ilvl w:val="0"/>
          <w:numId w:val="6"/>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30" w:name="_Toc14787"/>
      <w:bookmarkStart w:id="131" w:name="_Toc12537"/>
      <w:r>
        <w:rPr>
          <w:rFonts w:hint="eastAsia" w:ascii="宋体" w:hAnsi="宋体" w:eastAsia="宋体" w:cs="宋体"/>
          <w:color w:val="000000" w:themeColor="text1"/>
          <w:sz w:val="21"/>
          <w:szCs w:val="21"/>
          <w:highlight w:val="none"/>
          <w14:textFill>
            <w14:solidFill>
              <w14:schemeClr w14:val="tx1"/>
            </w14:solidFill>
          </w14:textFill>
        </w:rPr>
        <w:t>信用查询</w:t>
      </w:r>
      <w:bookmarkEnd w:id="130"/>
      <w:bookmarkEnd w:id="131"/>
    </w:p>
    <w:p w14:paraId="1C109E2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桂财采〔2016〕37号</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，采购代理机构对成交人的成交资格进行信用查询：</w:t>
      </w:r>
    </w:p>
    <w:p w14:paraId="3B90D41E">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（1）查询渠道：“信用中国”网站(www.creditchina.gov.cn)、中国政府采购网(www.ccgp.gov.cn)等；</w:t>
      </w:r>
    </w:p>
    <w:p w14:paraId="54D5EE08">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（2）查询时间：成交通知书发出前；</w:t>
      </w:r>
    </w:p>
    <w:p w14:paraId="7969DE93">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（3）信用信息查询记录和证据留存方式：在查询网站中直接打印查询记录，打印材料作为采购活动资料保存。</w:t>
      </w:r>
    </w:p>
    <w:p w14:paraId="0BB51131">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EAEBAF9">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13FDE6">
      <w:pPr>
        <w:pStyle w:val="5"/>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2" w:name="_Toc9438"/>
      <w:bookmarkStart w:id="133" w:name="_Toc18947"/>
      <w:r>
        <w:rPr>
          <w:rFonts w:hint="eastAsia" w:ascii="宋体" w:hAnsi="宋体" w:eastAsia="宋体" w:cs="宋体"/>
          <w:color w:val="000000" w:themeColor="text1"/>
          <w:sz w:val="21"/>
          <w:szCs w:val="21"/>
          <w:highlight w:val="none"/>
          <w14:textFill>
            <w14:solidFill>
              <w14:schemeClr w14:val="tx1"/>
            </w14:solidFill>
          </w14:textFill>
        </w:rPr>
        <w:t>27. 成交结果公告及成交通知书</w:t>
      </w:r>
      <w:bookmarkEnd w:id="132"/>
      <w:bookmarkEnd w:id="133"/>
    </w:p>
    <w:p w14:paraId="6AB51E44">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7428CBE">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27.2 </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p w14:paraId="72A14E4D">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27.3 采购代理机构无义务向未成交的供应商解释未成交原因和退还响应文件。</w:t>
      </w:r>
    </w:p>
    <w:p w14:paraId="034E0AE5">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34" w:name="_Toc25593"/>
      <w:bookmarkStart w:id="135" w:name="_Toc30389"/>
      <w:r>
        <w:rPr>
          <w:rFonts w:hint="eastAsia" w:ascii="宋体" w:hAnsi="宋体" w:eastAsia="宋体" w:cs="宋体"/>
          <w:b/>
          <w:bCs w:val="0"/>
          <w:color w:val="000000" w:themeColor="text1"/>
          <w:szCs w:val="28"/>
          <w:highlight w:val="none"/>
          <w14:textFill>
            <w14:solidFill>
              <w14:schemeClr w14:val="tx1"/>
            </w14:solidFill>
          </w14:textFill>
        </w:rPr>
        <w:t>五、</w:t>
      </w:r>
      <w:r>
        <w:rPr>
          <w:rFonts w:hint="eastAsia" w:ascii="宋体" w:hAnsi="宋体" w:cs="宋体"/>
          <w:b/>
          <w:color w:val="000000" w:themeColor="text1"/>
          <w:sz w:val="28"/>
          <w:szCs w:val="28"/>
          <w:highlight w:val="none"/>
          <w14:textFill>
            <w14:solidFill>
              <w14:schemeClr w14:val="tx1"/>
            </w14:solidFill>
          </w14:textFill>
        </w:rPr>
        <w:t>履约保证金及</w:t>
      </w:r>
      <w:r>
        <w:rPr>
          <w:rFonts w:hint="eastAsia" w:ascii="宋体" w:hAnsi="宋体" w:eastAsia="宋体" w:cs="宋体"/>
          <w:b/>
          <w:bCs w:val="0"/>
          <w:color w:val="000000" w:themeColor="text1"/>
          <w:szCs w:val="28"/>
          <w:highlight w:val="none"/>
          <w14:textFill>
            <w14:solidFill>
              <w14:schemeClr w14:val="tx1"/>
            </w14:solidFill>
          </w14:textFill>
        </w:rPr>
        <w:t>签订合同</w:t>
      </w:r>
      <w:bookmarkEnd w:id="134"/>
      <w:bookmarkEnd w:id="135"/>
    </w:p>
    <w:p w14:paraId="4012081A">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136" w:name="_Toc26520"/>
      <w:bookmarkStart w:id="137" w:name="_Toc16735"/>
      <w:r>
        <w:rPr>
          <w:rFonts w:hint="eastAsia" w:ascii="宋体" w:hAnsi="宋体" w:eastAsia="宋体" w:cs="宋体"/>
          <w:color w:val="000000" w:themeColor="text1"/>
          <w:sz w:val="21"/>
          <w:szCs w:val="21"/>
          <w:highlight w:val="none"/>
          <w14:textFill>
            <w14:solidFill>
              <w14:schemeClr w14:val="tx1"/>
            </w14:solidFill>
          </w14:textFill>
        </w:rPr>
        <w:t>28. 履约保证金</w:t>
      </w:r>
      <w:bookmarkEnd w:id="136"/>
      <w:bookmarkEnd w:id="137"/>
    </w:p>
    <w:p w14:paraId="0DADDC18">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8" w:name="_Toc16644"/>
      <w:bookmarkStart w:id="139" w:name="_Toc6233"/>
      <w:bookmarkStart w:id="140" w:name="_Toc1682"/>
      <w:bookmarkStart w:id="141" w:name="_Toc4956"/>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本项目无</w:t>
      </w:r>
      <w:r>
        <w:rPr>
          <w:rFonts w:ascii="宋体" w:hAnsi="宋体" w:eastAsia="宋体" w:cs="宋体"/>
          <w:color w:val="000000" w:themeColor="text1"/>
          <w:spacing w:val="0"/>
          <w:position w:val="0"/>
          <w:sz w:val="21"/>
          <w:highlight w:val="none"/>
          <w:shd w:val="clear" w:fill="auto"/>
          <w14:textFill>
            <w14:solidFill>
              <w14:schemeClr w14:val="tx1"/>
            </w14:solidFill>
          </w14:textFill>
        </w:rPr>
        <w:t>履约保证金。</w:t>
      </w:r>
      <w:bookmarkEnd w:id="138"/>
      <w:bookmarkEnd w:id="139"/>
      <w:bookmarkEnd w:id="140"/>
    </w:p>
    <w:p w14:paraId="6C66269C">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2" w:name="_Toc16657"/>
      <w:r>
        <w:rPr>
          <w:rFonts w:hint="eastAsia" w:ascii="宋体" w:hAnsi="宋体" w:eastAsia="宋体" w:cs="宋体"/>
          <w:color w:val="000000" w:themeColor="text1"/>
          <w:sz w:val="21"/>
          <w:szCs w:val="21"/>
          <w:highlight w:val="none"/>
          <w14:textFill>
            <w14:solidFill>
              <w14:schemeClr w14:val="tx1"/>
            </w14:solidFill>
          </w14:textFill>
        </w:rPr>
        <w:t>29. 签订合同</w:t>
      </w:r>
      <w:bookmarkEnd w:id="141"/>
      <w:bookmarkEnd w:id="142"/>
    </w:p>
    <w:p w14:paraId="0D8BAB9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29.1 签订合同时间：</w:t>
      </w:r>
      <w:r>
        <w:rPr>
          <w:rFonts w:hint="eastAsia" w:ascii="宋体" w:hAnsi="宋体" w:eastAsia="宋体" w:cs="宋体"/>
          <w:b/>
          <w:bCs/>
          <w:color w:val="000000" w:themeColor="text1"/>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szCs w:val="21"/>
          <w:highlight w:val="none"/>
          <w14:textFill>
            <w14:solidFill>
              <w14:schemeClr w14:val="tx1"/>
            </w14:solidFill>
          </w14:textFill>
        </w:rPr>
        <w:t>发出之日起</w:t>
      </w:r>
      <w:r>
        <w:rPr>
          <w:rFonts w:hint="eastAsia" w:ascii="宋体" w:hAnsi="宋体" w:cs="宋体"/>
          <w:b/>
          <w:bCs/>
          <w:color w:val="000000" w:themeColor="text1"/>
          <w:szCs w:val="21"/>
          <w:highlight w:val="none"/>
          <w:lang w:eastAsia="zh-CN"/>
          <w14:textFill>
            <w14:solidFill>
              <w14:schemeClr w14:val="tx1"/>
            </w14:solidFill>
          </w14:textFill>
        </w:rPr>
        <w:t>八个工作日内</w:t>
      </w:r>
      <w:r>
        <w:rPr>
          <w:rFonts w:hint="eastAsia" w:ascii="宋体" w:hAnsi="宋体" w:eastAsia="宋体" w:cs="宋体"/>
          <w:b/>
          <w:bCs/>
          <w:color w:val="000000" w:themeColor="text1"/>
          <w:szCs w:val="21"/>
          <w:highlight w:val="none"/>
          <w14:textFill>
            <w14:solidFill>
              <w14:schemeClr w14:val="tx1"/>
            </w14:solidFill>
          </w14:textFill>
        </w:rPr>
        <w:t>签订合同。</w:t>
      </w:r>
      <w:r>
        <w:rPr>
          <w:rFonts w:hint="eastAsia" w:ascii="宋体" w:hAnsi="宋体" w:cs="宋体"/>
          <w:b/>
          <w:bCs/>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b/>
          <w:bCs/>
          <w:color w:val="000000" w:themeColor="text1"/>
          <w:szCs w:val="21"/>
          <w:highlight w:val="none"/>
          <w14:textFill>
            <w14:solidFill>
              <w14:schemeClr w14:val="tx1"/>
            </w14:solidFill>
          </w14:textFill>
        </w:rPr>
        <w:t>后，应按</w:t>
      </w:r>
      <w:r>
        <w:rPr>
          <w:rFonts w:hint="eastAsia" w:ascii="宋体" w:hAnsi="宋体" w:cs="宋体"/>
          <w:b/>
          <w:bCs/>
          <w:color w:val="000000" w:themeColor="text1"/>
          <w:szCs w:val="21"/>
          <w:highlight w:val="none"/>
          <w:lang w:eastAsia="zh-CN"/>
          <w14:textFill>
            <w14:solidFill>
              <w14:schemeClr w14:val="tx1"/>
            </w14:solidFill>
          </w14:textFill>
        </w:rPr>
        <w:t>规定与采购人在“广西政府采购云平台”上在线签订电子合同</w:t>
      </w:r>
      <w:r>
        <w:rPr>
          <w:rFonts w:hint="eastAsia" w:ascii="宋体" w:hAnsi="宋体" w:eastAsia="宋体" w:cs="宋体"/>
          <w:b/>
          <w:bCs/>
          <w:color w:val="000000" w:themeColor="text1"/>
          <w:szCs w:val="21"/>
          <w:highlight w:val="none"/>
          <w14:textFill>
            <w14:solidFill>
              <w14:schemeClr w14:val="tx1"/>
            </w14:solidFill>
          </w14:textFill>
        </w:rPr>
        <w:t>。</w:t>
      </w:r>
    </w:p>
    <w:p w14:paraId="31B112A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5D04BB72">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（1）成交后不与采购人签订合同的（不可抗力除外）；</w:t>
      </w:r>
    </w:p>
    <w:p w14:paraId="62CDF901">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（2）将成交项目转让给他人，或者在响应文件中未说明，且未经采购人同意，将成交项目分包给他人的；</w:t>
      </w:r>
    </w:p>
    <w:p w14:paraId="67B5D768">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（3）拒绝履行合同义务的。</w:t>
      </w:r>
    </w:p>
    <w:p w14:paraId="508DE187">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 合同备案存档：</w:t>
      </w:r>
      <w:r>
        <w:rPr>
          <w:rFonts w:hint="eastAsia" w:ascii="宋体" w:hAnsi="宋体" w:cs="宋体"/>
          <w:color w:val="000000" w:themeColor="text1"/>
          <w:highlight w:val="none"/>
          <w:lang w:eastAsia="zh-CN"/>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p w14:paraId="37B26351">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43" w:name="_Toc16348"/>
      <w:bookmarkStart w:id="144" w:name="_Toc17982"/>
      <w:r>
        <w:rPr>
          <w:rFonts w:hint="eastAsia" w:ascii="宋体" w:hAnsi="宋体" w:eastAsia="宋体" w:cs="宋体"/>
          <w:b/>
          <w:bCs w:val="0"/>
          <w:color w:val="000000" w:themeColor="text1"/>
          <w:szCs w:val="28"/>
          <w:highlight w:val="none"/>
          <w14:textFill>
            <w14:solidFill>
              <w14:schemeClr w14:val="tx1"/>
            </w14:solidFill>
          </w14:textFill>
        </w:rPr>
        <w:t>六、其他事项</w:t>
      </w:r>
      <w:bookmarkEnd w:id="143"/>
      <w:bookmarkEnd w:id="144"/>
    </w:p>
    <w:p w14:paraId="3784742A">
      <w:pPr>
        <w:pStyle w:val="5"/>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5" w:name="_Toc28647"/>
      <w:bookmarkStart w:id="146" w:name="_Toc24557"/>
      <w:r>
        <w:rPr>
          <w:rFonts w:hint="eastAsia" w:ascii="宋体" w:hAnsi="宋体" w:eastAsia="宋体" w:cs="宋体"/>
          <w:color w:val="000000" w:themeColor="text1"/>
          <w:sz w:val="21"/>
          <w:szCs w:val="21"/>
          <w:highlight w:val="none"/>
          <w14:textFill>
            <w14:solidFill>
              <w14:schemeClr w14:val="tx1"/>
            </w14:solidFill>
          </w14:textFill>
        </w:rPr>
        <w:t>30. 采购代理服务费</w:t>
      </w:r>
      <w:bookmarkEnd w:id="145"/>
      <w:bookmarkEnd w:id="146"/>
    </w:p>
    <w:p w14:paraId="405F9CEB">
      <w:pPr>
        <w:pStyle w:val="18"/>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本项目不收采购取代理服务费</w:t>
      </w:r>
      <w:r>
        <w:rPr>
          <w:rFonts w:hint="eastAsia" w:ascii="宋体" w:hAnsi="宋体" w:cs="宋体"/>
          <w:b w:val="0"/>
          <w:bCs w:val="0"/>
          <w:color w:val="000000" w:themeColor="text1"/>
          <w:szCs w:val="21"/>
          <w:highlight w:val="none"/>
          <w:lang w:eastAsia="zh-CN"/>
          <w14:textFill>
            <w14:solidFill>
              <w14:schemeClr w14:val="tx1"/>
            </w14:solidFill>
          </w14:textFill>
        </w:rPr>
        <w:t>。</w:t>
      </w:r>
    </w:p>
    <w:p w14:paraId="71455AD3">
      <w:pPr>
        <w:keepNext w:val="0"/>
        <w:keepLines w:val="0"/>
        <w:pageBreakBefore w:val="0"/>
        <w:widowControl w:val="0"/>
        <w:numPr>
          <w:ilvl w:val="0"/>
          <w:numId w:val="7"/>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bookmarkStart w:id="147" w:name="_Toc12374"/>
      <w:bookmarkStart w:id="148" w:name="_Toc426"/>
      <w:r>
        <w:rPr>
          <w:rStyle w:val="24"/>
          <w:rFonts w:hint="eastAsia" w:ascii="宋体" w:hAnsi="宋体" w:eastAsia="宋体" w:cs="宋体"/>
          <w:color w:val="000000" w:themeColor="text1"/>
          <w:sz w:val="21"/>
          <w:szCs w:val="21"/>
          <w:highlight w:val="none"/>
          <w14:textFill>
            <w14:solidFill>
              <w14:schemeClr w14:val="tx1"/>
            </w14:solidFill>
          </w14:textFill>
        </w:rPr>
        <w:t>解释权</w:t>
      </w:r>
      <w:bookmarkEnd w:id="147"/>
      <w:bookmarkEnd w:id="148"/>
    </w:p>
    <w:p w14:paraId="00021425">
      <w:pPr>
        <w:keepNext w:val="0"/>
        <w:keepLines w:val="0"/>
        <w:pageBreakBefore w:val="0"/>
        <w:widowControl w:val="0"/>
        <w:numPr>
          <w:ilvl w:val="0"/>
          <w:numId w:val="0"/>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47184AA">
      <w:pPr>
        <w:snapToGrid w:val="0"/>
        <w:spacing w:line="400" w:lineRule="exact"/>
        <w:ind w:firstLine="420" w:firstLineChars="200"/>
        <w:rPr>
          <w:rFonts w:hint="eastAsia" w:ascii="宋体" w:hAnsi="宋体" w:eastAsia="宋体" w:cs="宋体"/>
          <w:color w:val="000000" w:themeColor="text1"/>
          <w:szCs w:val="21"/>
          <w:highlight w:val="yellow"/>
          <w:lang w:eastAsia="zh-CN"/>
          <w14:textFill>
            <w14:solidFill>
              <w14:schemeClr w14:val="tx1"/>
            </w14:solidFill>
          </w14:textFill>
        </w:rPr>
      </w:pPr>
      <w:bookmarkStart w:id="149" w:name="_Toc20681"/>
      <w:r>
        <w:rPr>
          <w:rStyle w:val="24"/>
          <w:rFonts w:hint="eastAsia" w:ascii="宋体" w:hAnsi="宋体" w:eastAsia="宋体" w:cs="宋体"/>
          <w:color w:val="000000" w:themeColor="text1"/>
          <w:sz w:val="21"/>
          <w:szCs w:val="21"/>
          <w:highlight w:val="none"/>
          <w14:textFill>
            <w14:solidFill>
              <w14:schemeClr w14:val="tx1"/>
            </w14:solidFill>
          </w14:textFill>
        </w:rPr>
        <w:t>32. 监督管理机构</w:t>
      </w:r>
      <w:bookmarkEnd w:id="149"/>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桂林市财政局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0773-2862142</w:t>
      </w:r>
      <w:r>
        <w:rPr>
          <w:rFonts w:hint="eastAsia" w:ascii="宋体" w:hAnsi="宋体" w:eastAsia="宋体" w:cs="宋体"/>
          <w:color w:val="000000" w:themeColor="text1"/>
          <w:szCs w:val="21"/>
          <w:highlight w:val="none"/>
          <w:lang w:eastAsia="zh-CN"/>
          <w14:textFill>
            <w14:solidFill>
              <w14:schemeClr w14:val="tx1"/>
            </w14:solidFill>
          </w14:textFill>
        </w:rPr>
        <w:t>。</w:t>
      </w:r>
    </w:p>
    <w:p w14:paraId="7A5142F0">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eastAsia="宋体"/>
          <w:color w:val="000000" w:themeColor="text1"/>
          <w:highlight w:val="none"/>
          <w:lang w:eastAsia="zh-CN"/>
          <w14:textFill>
            <w14:solidFill>
              <w14:schemeClr w14:val="tx1"/>
            </w14:solidFill>
          </w14:textFill>
        </w:rPr>
      </w:pPr>
    </w:p>
    <w:p w14:paraId="7FEB434B">
      <w:pPr>
        <w:pStyle w:val="8"/>
        <w:rPr>
          <w:rFonts w:hint="eastAsia" w:ascii="宋体" w:hAnsi="宋体" w:eastAsia="宋体" w:cs="宋体"/>
          <w:color w:val="000000" w:themeColor="text1"/>
          <w:sz w:val="32"/>
          <w:szCs w:val="32"/>
          <w:highlight w:val="none"/>
          <w:lang w:eastAsia="zh-CN"/>
          <w14:textFill>
            <w14:solidFill>
              <w14:schemeClr w14:val="tx1"/>
            </w14:solidFill>
          </w14:textFill>
        </w:rPr>
      </w:pPr>
    </w:p>
    <w:p w14:paraId="6C3C4F76">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4DFD2D18">
      <w:pPr>
        <w:pStyle w:val="4"/>
        <w:rPr>
          <w:rFonts w:hint="eastAsia" w:ascii="宋体" w:hAnsi="宋体" w:eastAsia="宋体" w:cs="宋体"/>
          <w:color w:val="000000" w:themeColor="text1"/>
          <w:sz w:val="32"/>
          <w:szCs w:val="32"/>
          <w:highlight w:val="none"/>
          <w:lang w:eastAsia="zh-CN"/>
          <w14:textFill>
            <w14:solidFill>
              <w14:schemeClr w14:val="tx1"/>
            </w14:solidFill>
          </w14:textFill>
        </w:rPr>
      </w:pPr>
    </w:p>
    <w:p w14:paraId="0CEB9248">
      <w:pPr>
        <w:rPr>
          <w:rFonts w:hint="eastAsia"/>
          <w:lang w:eastAsia="zh-CN"/>
        </w:rPr>
      </w:pPr>
    </w:p>
    <w:p w14:paraId="3969F22F">
      <w:pPr>
        <w:rPr>
          <w:rFonts w:hint="eastAsia"/>
          <w:color w:val="000000" w:themeColor="text1"/>
          <w:highlight w:val="none"/>
          <w:lang w:eastAsia="zh-CN"/>
          <w14:textFill>
            <w14:solidFill>
              <w14:schemeClr w14:val="tx1"/>
            </w14:solidFill>
          </w14:textFill>
        </w:rPr>
      </w:pPr>
    </w:p>
    <w:p w14:paraId="4BFA2A3B">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50" w:name="_Toc1112"/>
      <w:r>
        <w:rPr>
          <w:rFonts w:hint="eastAsia" w:ascii="宋体" w:hAnsi="宋体" w:eastAsia="宋体" w:cs="宋体"/>
          <w:color w:val="000000" w:themeColor="text1"/>
          <w:sz w:val="32"/>
          <w:szCs w:val="32"/>
          <w:highlight w:val="none"/>
          <w:lang w:eastAsia="zh-CN"/>
          <w14:textFill>
            <w14:solidFill>
              <w14:schemeClr w14:val="tx1"/>
            </w14:solidFill>
          </w14:textFill>
        </w:rPr>
        <w:t>第三章</w:t>
      </w:r>
      <w:r>
        <w:rPr>
          <w:rFonts w:hint="eastAsia" w:ascii="宋体" w:hAnsi="宋体" w:eastAsia="宋体" w:cs="宋体"/>
          <w:color w:val="000000" w:themeColor="text1"/>
          <w:sz w:val="32"/>
          <w:szCs w:val="32"/>
          <w:highlight w:val="none"/>
          <w14:textFill>
            <w14:solidFill>
              <w14:schemeClr w14:val="tx1"/>
            </w14:solidFill>
          </w14:textFill>
        </w:rPr>
        <w:t xml:space="preserve"> </w:t>
      </w:r>
      <w:bookmarkStart w:id="151" w:name="_Toc22353"/>
      <w:bookmarkStart w:id="152" w:name="_Toc24601"/>
      <w:r>
        <w:rPr>
          <w:rFonts w:hint="eastAsia" w:ascii="宋体" w:hAnsi="宋体" w:eastAsia="宋体" w:cs="宋体"/>
          <w:color w:val="000000" w:themeColor="text1"/>
          <w:sz w:val="32"/>
          <w:szCs w:val="32"/>
          <w:highlight w:val="none"/>
          <w14:textFill>
            <w14:solidFill>
              <w14:schemeClr w14:val="tx1"/>
            </w14:solidFill>
          </w14:textFill>
        </w:rPr>
        <w:t>采购需求</w:t>
      </w:r>
      <w:bookmarkEnd w:id="150"/>
      <w:bookmarkEnd w:id="151"/>
      <w:bookmarkEnd w:id="152"/>
    </w:p>
    <w:p w14:paraId="2D3CB21F">
      <w:pPr>
        <w:pStyle w:val="3"/>
        <w:numPr>
          <w:ilvl w:val="0"/>
          <w:numId w:val="0"/>
        </w:numPr>
        <w:tabs>
          <w:tab w:val="left" w:pos="0"/>
        </w:tabs>
        <w:autoSpaceDE w:val="0"/>
        <w:autoSpaceDN w:val="0"/>
        <w:adjustRightInd w:val="0"/>
        <w:spacing w:before="0" w:after="0" w:line="360" w:lineRule="auto"/>
        <w:jc w:val="both"/>
        <w:rPr>
          <w:rFonts w:hint="eastAsia"/>
          <w:color w:val="000000" w:themeColor="text1"/>
          <w:highlight w:val="none"/>
          <w:lang w:eastAsia="zh-CN"/>
          <w14:textFill>
            <w14:solidFill>
              <w14:schemeClr w14:val="tx1"/>
            </w14:solidFill>
          </w14:textFill>
        </w:rPr>
      </w:pPr>
      <w:bookmarkStart w:id="153" w:name="_Toc11359"/>
      <w:bookmarkStart w:id="154" w:name="_Toc26022"/>
      <w:bookmarkStart w:id="155" w:name="_Toc3351"/>
      <w:bookmarkStart w:id="156" w:name="_Toc2989"/>
      <w:r>
        <w:rPr>
          <w:rFonts w:hint="eastAsia" w:ascii="宋体" w:hAnsi="宋体" w:cs="宋体"/>
          <w:b/>
          <w:bCs/>
          <w:color w:val="000000" w:themeColor="text1"/>
          <w:sz w:val="21"/>
          <w:szCs w:val="21"/>
          <w:highlight w:val="none"/>
          <w:lang w:val="en-US" w:eastAsia="zh-CN"/>
          <w14:textFill>
            <w14:solidFill>
              <w14:schemeClr w14:val="tx1"/>
            </w14:solidFill>
          </w14:textFill>
        </w:rPr>
        <w:t>注</w:t>
      </w:r>
      <w:bookmarkEnd w:id="153"/>
      <w:bookmarkEnd w:id="154"/>
      <w:r>
        <w:rPr>
          <w:rFonts w:hint="eastAsia" w:ascii="宋体" w:hAnsi="宋体" w:cs="宋体"/>
          <w:b/>
          <w:bCs/>
          <w:color w:val="000000" w:themeColor="text1"/>
          <w:sz w:val="21"/>
          <w:szCs w:val="21"/>
          <w:highlight w:val="none"/>
          <w:lang w:val="en-US" w:eastAsia="zh-CN"/>
          <w14:textFill>
            <w14:solidFill>
              <w14:schemeClr w14:val="tx1"/>
            </w14:solidFill>
          </w14:textFill>
        </w:rPr>
        <w:t>“采购需求”中所有要求均为实质性要求，不允许负偏离，否则视为无效响应。</w:t>
      </w:r>
      <w:bookmarkEnd w:id="155"/>
    </w:p>
    <w:p w14:paraId="26125D33">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
          <w:bCs/>
          <w:color w:val="auto"/>
          <w:szCs w:val="21"/>
        </w:rPr>
        <w:t>一、</w:t>
      </w:r>
      <w:r>
        <w:rPr>
          <w:rFonts w:hint="eastAsia" w:ascii="宋体" w:hAnsi="宋体" w:cs="宋体"/>
          <w:color w:val="auto"/>
          <w:szCs w:val="21"/>
        </w:rPr>
        <w:t>202</w:t>
      </w:r>
      <w:r>
        <w:rPr>
          <w:rFonts w:ascii="宋体" w:hAnsi="宋体" w:cs="宋体"/>
          <w:color w:val="auto"/>
          <w:szCs w:val="21"/>
        </w:rPr>
        <w:t>5</w:t>
      </w:r>
      <w:r>
        <w:rPr>
          <w:rFonts w:hint="eastAsia" w:ascii="宋体" w:hAnsi="宋体" w:cs="宋体"/>
          <w:color w:val="auto"/>
          <w:szCs w:val="21"/>
        </w:rPr>
        <w:t>年期末质量检测试题命题项目</w:t>
      </w:r>
      <w:r>
        <w:rPr>
          <w:rFonts w:hint="eastAsia" w:ascii="宋体" w:hAnsi="宋体" w:cs="宋体"/>
          <w:bCs/>
          <w:color w:val="auto"/>
          <w:szCs w:val="21"/>
        </w:rPr>
        <w:t>基本情况</w:t>
      </w:r>
    </w:p>
    <w:p w14:paraId="5CDC38F1">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桂林市教育科学研究所202</w:t>
      </w:r>
      <w:r>
        <w:rPr>
          <w:rFonts w:ascii="宋体" w:hAnsi="宋体" w:cs="宋体"/>
          <w:bCs/>
          <w:color w:val="auto"/>
          <w:szCs w:val="21"/>
        </w:rPr>
        <w:t>5</w:t>
      </w:r>
      <w:r>
        <w:rPr>
          <w:rFonts w:hint="eastAsia" w:ascii="宋体" w:hAnsi="宋体" w:cs="宋体"/>
          <w:bCs/>
          <w:color w:val="auto"/>
          <w:szCs w:val="21"/>
        </w:rPr>
        <w:t>年期末质量检测试题命题项目是为了进一步贯彻落实《教育部关于积极推进中小学的评价与考试制度改革的通知》精神，加强对我市中小学教学的管理及质量监控，了解全市中小学的学科教学状况，准确评价中小学教师的教育教学水平，保证我市义务教育均衡发展，全面提升高中教学质量，按照桂林市教育科学研究所202</w:t>
      </w:r>
      <w:r>
        <w:rPr>
          <w:rFonts w:ascii="宋体" w:hAnsi="宋体" w:cs="宋体"/>
          <w:bCs/>
          <w:color w:val="auto"/>
          <w:szCs w:val="21"/>
        </w:rPr>
        <w:t>5</w:t>
      </w:r>
      <w:r>
        <w:rPr>
          <w:rFonts w:hint="eastAsia" w:ascii="宋体" w:hAnsi="宋体" w:cs="宋体"/>
          <w:bCs/>
          <w:color w:val="auto"/>
          <w:szCs w:val="21"/>
        </w:rPr>
        <w:t>年期末质量检测的安排，对初中、高中进行全市期末统一检测所需的期末质量检测试卷命题、审题、校对。</w:t>
      </w:r>
    </w:p>
    <w:p w14:paraId="14363057">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二、项目服务需求</w:t>
      </w:r>
    </w:p>
    <w:p w14:paraId="5988EF60">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组建桂林市202</w:t>
      </w:r>
      <w:r>
        <w:rPr>
          <w:rFonts w:ascii="宋体" w:hAnsi="宋体" w:cs="宋体"/>
          <w:bCs/>
          <w:color w:val="auto"/>
          <w:szCs w:val="21"/>
        </w:rPr>
        <w:t>5</w:t>
      </w:r>
      <w:r>
        <w:rPr>
          <w:rFonts w:hint="eastAsia" w:ascii="宋体" w:hAnsi="宋体" w:cs="宋体"/>
          <w:bCs/>
          <w:color w:val="auto"/>
          <w:szCs w:val="21"/>
        </w:rPr>
        <w:t>年期末质量检测试题命题、审题、校对专家队伍，在桂林市教育科学研究所的指导下完成桂林市202</w:t>
      </w:r>
      <w:r>
        <w:rPr>
          <w:rFonts w:ascii="宋体" w:hAnsi="宋体" w:cs="宋体"/>
          <w:bCs/>
          <w:color w:val="auto"/>
          <w:szCs w:val="21"/>
        </w:rPr>
        <w:t>5</w:t>
      </w:r>
      <w:r>
        <w:rPr>
          <w:rFonts w:hint="eastAsia" w:ascii="宋体" w:hAnsi="宋体" w:cs="宋体"/>
          <w:bCs/>
          <w:color w:val="auto"/>
          <w:szCs w:val="21"/>
        </w:rPr>
        <w:t>年期末质量检测试题命题、审题、校对工作。服务内容包括：试题命制，参考答案、评分细则，答题卡制作，以及封闭式命题人员住宿、伙食、交通费用。</w:t>
      </w:r>
    </w:p>
    <w:p w14:paraId="62A8177F">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三、项目服务要覆盖的学段、学科：</w:t>
      </w:r>
    </w:p>
    <w:p w14:paraId="3E249C0C">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2025年期末质量检测试题命题项目共需完成2次（分别为3</w:t>
      </w:r>
      <w:r>
        <w:rPr>
          <w:rFonts w:ascii="宋体" w:hAnsi="宋体" w:cs="宋体"/>
          <w:bCs/>
          <w:color w:val="auto"/>
          <w:szCs w:val="21"/>
        </w:rPr>
        <w:t>3</w:t>
      </w:r>
      <w:r>
        <w:rPr>
          <w:rFonts w:hint="eastAsia" w:ascii="宋体" w:hAnsi="宋体" w:cs="宋体"/>
          <w:bCs/>
          <w:color w:val="auto"/>
          <w:szCs w:val="21"/>
        </w:rPr>
        <w:t>套、40套）共计</w:t>
      </w:r>
      <w:r>
        <w:rPr>
          <w:rFonts w:ascii="宋体" w:hAnsi="宋体" w:cs="宋体"/>
          <w:bCs/>
          <w:color w:val="auto"/>
          <w:szCs w:val="21"/>
        </w:rPr>
        <w:t>73</w:t>
      </w:r>
      <w:r>
        <w:rPr>
          <w:rFonts w:hint="eastAsia" w:ascii="宋体" w:hAnsi="宋体" w:cs="宋体"/>
          <w:bCs/>
          <w:color w:val="auto"/>
          <w:szCs w:val="21"/>
        </w:rPr>
        <w:t>套试题的命题、审题和校对工作。具体项目服务应覆盖的学段、学科如下：</w:t>
      </w:r>
    </w:p>
    <w:p w14:paraId="0BC414FA">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（一）202</w:t>
      </w:r>
      <w:r>
        <w:rPr>
          <w:rFonts w:ascii="宋体" w:hAnsi="宋体" w:cs="宋体"/>
          <w:bCs/>
          <w:color w:val="auto"/>
          <w:szCs w:val="21"/>
        </w:rPr>
        <w:t>5</w:t>
      </w:r>
      <w:r>
        <w:rPr>
          <w:rFonts w:hint="eastAsia" w:ascii="宋体" w:hAnsi="宋体" w:cs="宋体"/>
          <w:bCs/>
          <w:color w:val="auto"/>
          <w:szCs w:val="21"/>
        </w:rPr>
        <w:t>年春季学期期末质量检测命题科目：</w:t>
      </w:r>
    </w:p>
    <w:p w14:paraId="6A780BB3">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1、初中七年级7科：语文、数学、英语、道德与法治、历史、地理、生物学。</w:t>
      </w:r>
    </w:p>
    <w:p w14:paraId="33F27D20">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2、初中八年级8科：语文、数学、英语、道德与法治、历史、物理、地理、生物学。</w:t>
      </w:r>
    </w:p>
    <w:p w14:paraId="38A33D94">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3、高中一年级9科:语文、数学、英语、物理、化学、生物学、政治、历史、地理。</w:t>
      </w:r>
    </w:p>
    <w:p w14:paraId="5B3094FB">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4、高中二年级9科:语文、数学、英语、物理、化学、生物学、政治、历史、地理。</w:t>
      </w:r>
    </w:p>
    <w:p w14:paraId="5E733216">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（二）202</w:t>
      </w:r>
      <w:r>
        <w:rPr>
          <w:rFonts w:ascii="宋体" w:hAnsi="宋体" w:cs="宋体"/>
          <w:bCs/>
          <w:color w:val="auto"/>
          <w:szCs w:val="21"/>
        </w:rPr>
        <w:t>5</w:t>
      </w:r>
      <w:r>
        <w:rPr>
          <w:rFonts w:hint="eastAsia" w:ascii="宋体" w:hAnsi="宋体" w:cs="宋体"/>
          <w:bCs/>
          <w:color w:val="auto"/>
          <w:szCs w:val="21"/>
        </w:rPr>
        <w:t>年秋季学期期末质量检测命题科目：</w:t>
      </w:r>
    </w:p>
    <w:p w14:paraId="13D59748">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1、初中七年级7科：语文、数学、英语、道德与法治、历史、地理、生物学。</w:t>
      </w:r>
    </w:p>
    <w:p w14:paraId="12B269EA">
      <w:pPr>
        <w:tabs>
          <w:tab w:val="left" w:pos="180"/>
          <w:tab w:val="left" w:pos="1620"/>
        </w:tabs>
        <w:spacing w:line="440" w:lineRule="exact"/>
        <w:ind w:firstLine="420" w:firstLineChars="200"/>
        <w:rPr>
          <w:rFonts w:ascii="宋体" w:hAnsi="宋体" w:cs="宋体"/>
          <w:bCs/>
          <w:color w:val="auto"/>
          <w:szCs w:val="21"/>
        </w:rPr>
      </w:pPr>
      <w:r>
        <w:rPr>
          <w:rFonts w:ascii="宋体" w:hAnsi="宋体" w:cs="宋体"/>
          <w:bCs/>
          <w:color w:val="auto"/>
          <w:szCs w:val="21"/>
        </w:rPr>
        <w:t>2</w:t>
      </w:r>
      <w:r>
        <w:rPr>
          <w:rFonts w:hint="eastAsia" w:ascii="宋体" w:hAnsi="宋体" w:cs="宋体"/>
          <w:bCs/>
          <w:color w:val="auto"/>
          <w:szCs w:val="21"/>
        </w:rPr>
        <w:t>、初中八年级8科：语文、数学、英语、道德与法治、历史、物理、地理、生物学。</w:t>
      </w:r>
    </w:p>
    <w:p w14:paraId="340D3AC1">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3、初中九年级7科：语文、数学、英语、道德与法治、历史、物理、化学。</w:t>
      </w:r>
    </w:p>
    <w:p w14:paraId="09810935">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4、高中一年级9科:语文、数学、英语、物理、化学、生物学、政治、历史、地理。</w:t>
      </w:r>
    </w:p>
    <w:p w14:paraId="26DB602D">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5、高中二年级9科:语文、数学、英语、物理、化学、生物学、政治、历史、地理。</w:t>
      </w:r>
    </w:p>
    <w:p w14:paraId="07AE25F0">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四、项目服务要求：</w:t>
      </w:r>
    </w:p>
    <w:p w14:paraId="3AEB62F2">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1.规格</w:t>
      </w:r>
    </w:p>
    <w:p w14:paraId="2BE9B6E6">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（1）所有学科的考试时长、试题范围（可参考各学段各学科的考试时长、考试命题范围）要求制作，试卷以WORD2010版本16K版心A4页面排版，同时交付PDF版本，答题卡中语文、数学等学科A3双面，其它学科A4双面。</w:t>
      </w:r>
    </w:p>
    <w:p w14:paraId="5CC47683">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（2）均为可编辑WORD2010版本（或CDRX4）版本，需同时提供字库。</w:t>
      </w:r>
    </w:p>
    <w:p w14:paraId="0ADE6C57">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（3）答题卡与阅卷系统完全匹配。</w:t>
      </w:r>
    </w:p>
    <w:p w14:paraId="2F365EFC">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2．命题的理论、命题技术（原理、原则、技术）、命题流程：</w:t>
      </w:r>
    </w:p>
    <w:p w14:paraId="3AA9660B">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（1）依据经典测量理论（难度、区分度、信度、效度）。</w:t>
      </w:r>
    </w:p>
    <w:p w14:paraId="1DF2E592">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 xml:space="preserve">（2）命题技术要求 </w:t>
      </w:r>
    </w:p>
    <w:p w14:paraId="402D08CB">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A.原理：目的性设计原理、有效性设计原理、体现命题思想原理、协调性设计原理。</w:t>
      </w:r>
    </w:p>
    <w:p w14:paraId="75C68D85">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B.原则：处理好不同题型之间的关系、处理好不同测试目标之间的关系、处理好层次性与综合性的关系、处理好试题与试卷之间的关系。</w:t>
      </w:r>
    </w:p>
    <w:p w14:paraId="2C0A7C03">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C.技术：按照不同题型（选择题、判断题、填空题、简答题、论述题、开放题）的特点、功能来命制试题。</w:t>
      </w:r>
    </w:p>
    <w:p w14:paraId="09D51DCB">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a.选择题</w:t>
      </w:r>
    </w:p>
    <w:p w14:paraId="61B302B3">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设计要求：取材与铺陈、知识与技能、题干与选项、传统与创新；</w:t>
      </w:r>
    </w:p>
    <w:p w14:paraId="35929C51">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编制技术：概念混淆法、条件疏漏法、计算差错法、推理错乱法、题意误解法、集合变更法、字符误用法、图形错觉法、顺序颠倒法、逻辑排列法。</w:t>
      </w:r>
    </w:p>
    <w:p w14:paraId="28277725">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b.填空题</w:t>
      </w:r>
    </w:p>
    <w:p w14:paraId="00A2877D">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设计要求：考查中心突出、集中、鲜明，陈述简洁、精炼、确切，求解过程亦短；</w:t>
      </w:r>
    </w:p>
    <w:p w14:paraId="7ECF3714">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编制技术：调控难度（改变设问、变动参数等）。</w:t>
      </w:r>
    </w:p>
    <w:p w14:paraId="73B19F03">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c.解答题</w:t>
      </w:r>
    </w:p>
    <w:p w14:paraId="0F76A4CB">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设计要求：选材与立意、搭架与构题、加工与调整、审查与复核；</w:t>
      </w:r>
    </w:p>
    <w:p w14:paraId="411FC543">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编制技术：保证科学性（题意可知、题设充分、题设条件独立并兼容、求证结论存在）、适纲性、调节难度。</w:t>
      </w:r>
    </w:p>
    <w:p w14:paraId="32B5A224">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 xml:space="preserve">d.开放题 </w:t>
      </w:r>
    </w:p>
    <w:p w14:paraId="7D743055">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删去法、添加推演法、图案或方案的设计手段、类比联想、利用性质、利用异同。</w:t>
      </w:r>
    </w:p>
    <w:p w14:paraId="5073D5B5">
      <w:pPr>
        <w:tabs>
          <w:tab w:val="left" w:pos="180"/>
          <w:tab w:val="left" w:pos="1620"/>
        </w:tabs>
        <w:spacing w:line="440" w:lineRule="exact"/>
        <w:ind w:firstLine="210" w:firstLineChars="100"/>
        <w:rPr>
          <w:rFonts w:ascii="宋体" w:hAnsi="宋体" w:cs="宋体"/>
          <w:bCs/>
          <w:color w:val="auto"/>
          <w:szCs w:val="21"/>
        </w:rPr>
      </w:pPr>
      <w:r>
        <w:rPr>
          <w:rFonts w:hint="eastAsia" w:ascii="宋体" w:hAnsi="宋体" w:cs="宋体"/>
          <w:bCs/>
          <w:color w:val="auto"/>
          <w:szCs w:val="21"/>
        </w:rPr>
        <w:t>（3）从准备命题到形成试卷的整个命题流程要完整，每一步都要有操作的说明。</w:t>
      </w:r>
    </w:p>
    <w:p w14:paraId="2D9E640B">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3．命题团队组成：</w:t>
      </w:r>
    </w:p>
    <w:p w14:paraId="235531DC">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团队包括8个初中命题组，9个高中命题组，共计17个命题组（每组命题人为2人，包含组长、组员。其中组长需持有中学一级教师中级及以上职称。）合计34人。</w:t>
      </w:r>
    </w:p>
    <w:p w14:paraId="1578AD1C">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4.为保证项目实施进度需安排项目负责人1人，高中组试卷需要另外配备审题2人、校对1人；初中组试卷需要另外配备审题2人、校对1人。</w:t>
      </w:r>
    </w:p>
    <w:p w14:paraId="70EF00C2">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5.本项目实施人员为命题组34人，项目负责人1人，审题4人，校对2人</w:t>
      </w:r>
      <w:r>
        <w:rPr>
          <w:rFonts w:hint="eastAsia"/>
          <w:color w:val="auto"/>
        </w:rPr>
        <w:t>，总计41人。</w:t>
      </w:r>
    </w:p>
    <w:p w14:paraId="370DD9EF">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6．保密的要求：</w:t>
      </w:r>
      <w:r>
        <w:rPr>
          <w:rFonts w:hint="eastAsia" w:ascii="宋体" w:hAnsi="宋体" w:cs="宋体"/>
          <w:bCs/>
          <w:color w:val="auto"/>
          <w:szCs w:val="21"/>
          <w:lang w:eastAsia="zh-CN"/>
        </w:rPr>
        <w:t>磋商供应商</w:t>
      </w:r>
      <w:r>
        <w:rPr>
          <w:rFonts w:hint="eastAsia" w:ascii="宋体" w:hAnsi="宋体" w:cs="宋体"/>
          <w:bCs/>
          <w:color w:val="auto"/>
          <w:szCs w:val="21"/>
        </w:rPr>
        <w:t>签署承诺保密合同，参与命题过程的全体人员签署承诺书及保密协议作为合同的一部分，时效为一年。在考试结束之前，参与命题工作所有工作人员不得以任何形式将命题相关的信息、内容等透露给第三人，不得将试题发布于网络或在本地区试测。试题未使用前为秘密，由于供应商造成考试卷内容泄漏的，采购人不予验收，并由供应商赔偿采购人经济损失（成交价的3倍以上）、承担社会后果。</w:t>
      </w:r>
    </w:p>
    <w:p w14:paraId="0E094CAD">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7．全卷试题尽量避免有陈题出现，文科试题必须原创，理科试题原创不低于百分之六十，改编题不高于百分之四十。</w:t>
      </w:r>
    </w:p>
    <w:p w14:paraId="179101F7">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8．命题完成后，根据修改意见和建议，经多次打磨后在指定时间内完成命题。命题应当科学、严谨、准确，确保命题无知识性、逻辑性、科学性错误。</w:t>
      </w:r>
    </w:p>
    <w:p w14:paraId="5D4D353A">
      <w:pPr>
        <w:tabs>
          <w:tab w:val="left" w:pos="180"/>
          <w:tab w:val="left" w:pos="1620"/>
        </w:tabs>
        <w:spacing w:line="440" w:lineRule="exact"/>
        <w:ind w:firstLine="420" w:firstLineChars="200"/>
        <w:rPr>
          <w:rFonts w:ascii="宋体" w:hAnsi="宋体" w:cs="宋体"/>
          <w:bCs/>
          <w:color w:val="auto"/>
          <w:szCs w:val="21"/>
        </w:rPr>
      </w:pPr>
      <w:r>
        <w:rPr>
          <w:rFonts w:hint="eastAsia" w:ascii="宋体" w:hAnsi="宋体" w:cs="宋体"/>
          <w:bCs/>
          <w:color w:val="auto"/>
          <w:szCs w:val="21"/>
        </w:rPr>
        <w:t>9．桂林市教育科学研究所对该项目命制的试题享有完全知识产权。</w:t>
      </w:r>
    </w:p>
    <w:p w14:paraId="53924C1A">
      <w:pPr>
        <w:tabs>
          <w:tab w:val="left" w:pos="180"/>
          <w:tab w:val="left" w:pos="1620"/>
        </w:tabs>
        <w:spacing w:line="440" w:lineRule="exact"/>
        <w:ind w:firstLine="420" w:firstLineChars="200"/>
        <w:rPr>
          <w:rFonts w:ascii="宋体" w:hAnsi="宋体" w:cs="宋体"/>
          <w:color w:val="auto"/>
          <w:szCs w:val="21"/>
        </w:rPr>
      </w:pPr>
      <w:r>
        <w:rPr>
          <w:rFonts w:hint="eastAsia" w:ascii="宋体" w:hAnsi="宋体" w:cs="宋体"/>
          <w:bCs/>
          <w:color w:val="auto"/>
          <w:szCs w:val="21"/>
        </w:rPr>
        <w:t>10.成交供应商应按照《桂林市国内公务接待管理实施细则》规定提供项目实施人员的住宿、伙食、交通。</w:t>
      </w:r>
    </w:p>
    <w:p w14:paraId="4287089F">
      <w:pPr>
        <w:tabs>
          <w:tab w:val="left" w:pos="180"/>
          <w:tab w:val="left" w:pos="1620"/>
        </w:tabs>
        <w:spacing w:line="440" w:lineRule="exact"/>
        <w:ind w:firstLine="420" w:firstLineChars="200"/>
        <w:rPr>
          <w:rFonts w:ascii="宋体" w:hAnsi="宋体" w:cs="宋体"/>
          <w:b/>
          <w:bCs/>
          <w:color w:val="auto"/>
          <w:szCs w:val="21"/>
        </w:rPr>
      </w:pPr>
      <w:r>
        <w:rPr>
          <w:rFonts w:hint="eastAsia" w:ascii="宋体" w:hAnsi="宋体" w:cs="宋体"/>
          <w:b/>
          <w:bCs/>
          <w:color w:val="auto"/>
          <w:szCs w:val="21"/>
        </w:rPr>
        <w:t>二、商务</w:t>
      </w:r>
      <w:r>
        <w:rPr>
          <w:rFonts w:hint="eastAsia" w:ascii="宋体" w:hAnsi="宋体" w:cs="宋体"/>
          <w:b/>
          <w:bCs/>
          <w:color w:val="auto"/>
          <w:szCs w:val="21"/>
          <w:lang w:eastAsia="zh-CN"/>
        </w:rPr>
        <w:t>要求</w:t>
      </w:r>
      <w:r>
        <w:rPr>
          <w:rFonts w:hint="eastAsia" w:ascii="宋体" w:hAnsi="宋体" w:cs="宋体"/>
          <w:b/>
          <w:bCs/>
          <w:color w:val="auto"/>
          <w:szCs w:val="21"/>
        </w:rPr>
        <w:t>:</w:t>
      </w:r>
    </w:p>
    <w:p w14:paraId="018A721A">
      <w:pPr>
        <w:spacing w:line="44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.时间和进度要求：202</w:t>
      </w:r>
      <w:r>
        <w:rPr>
          <w:rFonts w:ascii="宋体" w:hAnsi="宋体" w:cs="宋体"/>
          <w:color w:val="auto"/>
          <w:szCs w:val="21"/>
        </w:rPr>
        <w:t>5</w:t>
      </w:r>
      <w:r>
        <w:rPr>
          <w:rFonts w:hint="eastAsia" w:ascii="宋体" w:hAnsi="宋体" w:cs="宋体"/>
          <w:color w:val="auto"/>
          <w:szCs w:val="21"/>
        </w:rPr>
        <w:t>年6月</w:t>
      </w:r>
      <w:r>
        <w:rPr>
          <w:rFonts w:hint="eastAsia" w:ascii="宋体" w:hAnsi="宋体" w:cs="宋体"/>
          <w:color w:val="auto"/>
          <w:szCs w:val="21"/>
          <w:lang w:val="en-US" w:eastAsia="zh-CN"/>
        </w:rPr>
        <w:t>20</w:t>
      </w:r>
      <w:r>
        <w:rPr>
          <w:rFonts w:hint="eastAsia" w:ascii="宋体" w:hAnsi="宋体" w:cs="宋体"/>
          <w:color w:val="auto"/>
          <w:szCs w:val="21"/>
        </w:rPr>
        <w:t>前成题交稿。</w:t>
      </w:r>
    </w:p>
    <w:p w14:paraId="26B86FDD">
      <w:pPr>
        <w:tabs>
          <w:tab w:val="left" w:pos="180"/>
          <w:tab w:val="left" w:pos="1620"/>
        </w:tabs>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2</w:t>
      </w:r>
      <w:r>
        <w:rPr>
          <w:rFonts w:ascii="宋体" w:hAnsi="宋体" w:cs="宋体"/>
          <w:color w:val="auto"/>
          <w:szCs w:val="21"/>
        </w:rPr>
        <w:t>.</w:t>
      </w:r>
      <w:r>
        <w:rPr>
          <w:rFonts w:hint="eastAsia" w:ascii="宋体" w:hAnsi="宋体"/>
          <w:color w:val="auto"/>
          <w:szCs w:val="21"/>
        </w:rPr>
        <w:t>合同签订时间: 自成交通知书发出之日起8个工作日内</w:t>
      </w:r>
      <w:r>
        <w:rPr>
          <w:rFonts w:hint="eastAsia" w:ascii="宋体" w:hAnsi="宋体"/>
          <w:color w:val="auto"/>
          <w:szCs w:val="21"/>
          <w:lang w:eastAsia="zh-CN"/>
        </w:rPr>
        <w:t>。</w:t>
      </w:r>
    </w:p>
    <w:p w14:paraId="49453AE0">
      <w:pPr>
        <w:tabs>
          <w:tab w:val="left" w:pos="180"/>
          <w:tab w:val="left" w:pos="1620"/>
        </w:tabs>
        <w:spacing w:line="440" w:lineRule="exact"/>
        <w:ind w:firstLine="420" w:firstLineChars="200"/>
        <w:rPr>
          <w:rFonts w:ascii="宋体" w:hAnsi="宋体"/>
          <w:color w:val="auto"/>
          <w:szCs w:val="21"/>
        </w:rPr>
      </w:pPr>
      <w:r>
        <w:rPr>
          <w:rFonts w:hint="eastAsia" w:ascii="宋体" w:hAnsi="宋体"/>
          <w:color w:val="auto"/>
          <w:szCs w:val="21"/>
        </w:rPr>
        <w:t>3、项目验收：能按规定时间完成成题交稿、完成印刷稿审校复核；所有试题内容符合社会主义核心价值观，没有出现任何思想品德性错误；考试结束，验证命题科学、严谨、准确，无知识性、逻辑性、科学性错误；无超范围、超标准的废题；阅卷指标难度、区分度、信度、效度在合理范围内。</w:t>
      </w:r>
    </w:p>
    <w:p w14:paraId="1E8E9B56">
      <w:pPr>
        <w:tabs>
          <w:tab w:val="left" w:pos="180"/>
          <w:tab w:val="left" w:pos="1620"/>
        </w:tabs>
        <w:spacing w:line="440" w:lineRule="exact"/>
        <w:ind w:firstLine="420" w:firstLineChars="200"/>
        <w:rPr>
          <w:rFonts w:ascii="宋体" w:hAnsi="宋体"/>
          <w:color w:val="auto"/>
          <w:szCs w:val="21"/>
        </w:rPr>
      </w:pPr>
      <w:r>
        <w:rPr>
          <w:rFonts w:hint="eastAsia" w:ascii="宋体" w:hAnsi="宋体"/>
          <w:color w:val="auto"/>
          <w:szCs w:val="21"/>
        </w:rPr>
        <w:t>4、付款方式：</w:t>
      </w:r>
      <w:r>
        <w:rPr>
          <w:color w:val="auto"/>
        </w:rPr>
        <w:t>成题交稿验收后一次性付清</w:t>
      </w:r>
      <w:r>
        <w:rPr>
          <w:rFonts w:hint="eastAsia"/>
          <w:color w:val="auto"/>
        </w:rPr>
        <w:t>。</w:t>
      </w:r>
    </w:p>
    <w:p w14:paraId="282ACCBA">
      <w:pPr>
        <w:tabs>
          <w:tab w:val="left" w:pos="180"/>
          <w:tab w:val="left" w:pos="1620"/>
        </w:tabs>
        <w:spacing w:line="440" w:lineRule="exact"/>
        <w:ind w:firstLine="420" w:firstLineChars="200"/>
        <w:rPr>
          <w:rFonts w:ascii="宋体" w:hAnsi="宋体"/>
          <w:color w:val="auto"/>
          <w:szCs w:val="21"/>
        </w:rPr>
      </w:pPr>
      <w:r>
        <w:rPr>
          <w:rFonts w:hint="eastAsia" w:ascii="宋体" w:hAnsi="宋体"/>
          <w:color w:val="auto"/>
          <w:szCs w:val="21"/>
        </w:rPr>
        <w:t>5、采购项目预算金额：本采购项目预算总金额为人民币：</w:t>
      </w:r>
      <w:r>
        <w:rPr>
          <w:rFonts w:hint="eastAsia" w:ascii="宋体" w:hAnsi="宋体"/>
          <w:color w:val="auto"/>
          <w:szCs w:val="21"/>
          <w:lang w:val="en-US" w:eastAsia="zh-CN"/>
        </w:rPr>
        <w:t>陆拾</w:t>
      </w:r>
      <w:r>
        <w:rPr>
          <w:rFonts w:hint="eastAsia" w:ascii="宋体" w:hAnsi="宋体"/>
          <w:color w:val="auto"/>
          <w:szCs w:val="21"/>
          <w:lang w:eastAsia="zh-CN"/>
        </w:rPr>
        <w:t>万元整(¥</w:t>
      </w:r>
      <w:r>
        <w:rPr>
          <w:rFonts w:hint="eastAsia" w:ascii="宋体" w:hAnsi="宋体"/>
          <w:color w:val="auto"/>
          <w:szCs w:val="21"/>
          <w:lang w:val="en-US" w:eastAsia="zh-CN"/>
        </w:rPr>
        <w:t>600000</w:t>
      </w:r>
      <w:r>
        <w:rPr>
          <w:rFonts w:hint="eastAsia" w:ascii="宋体" w:hAnsi="宋体"/>
          <w:color w:val="auto"/>
          <w:szCs w:val="21"/>
          <w:lang w:eastAsia="zh-CN"/>
        </w:rPr>
        <w:t>.00元)，最高限价：人民币伍拾捌万肆仟元整（¥</w:t>
      </w:r>
      <w:r>
        <w:rPr>
          <w:rFonts w:hint="eastAsia" w:ascii="宋体" w:hAnsi="宋体"/>
          <w:color w:val="auto"/>
          <w:szCs w:val="21"/>
          <w:lang w:val="en-US" w:eastAsia="zh-CN"/>
        </w:rPr>
        <w:t>584000</w:t>
      </w:r>
      <w:r>
        <w:rPr>
          <w:rFonts w:hint="eastAsia" w:ascii="宋体" w:hAnsi="宋体"/>
          <w:color w:val="auto"/>
          <w:szCs w:val="21"/>
          <w:lang w:eastAsia="zh-CN"/>
        </w:rPr>
        <w:t>.00）</w:t>
      </w:r>
      <w:r>
        <w:rPr>
          <w:rFonts w:hint="eastAsia" w:ascii="宋体" w:hAnsi="宋体"/>
          <w:color w:val="auto"/>
          <w:szCs w:val="21"/>
        </w:rPr>
        <w:t>，供应商最后报价超出</w:t>
      </w:r>
      <w:r>
        <w:rPr>
          <w:rFonts w:hint="eastAsia" w:ascii="宋体" w:hAnsi="宋体"/>
          <w:color w:val="auto"/>
          <w:szCs w:val="21"/>
          <w:lang w:eastAsia="zh-CN"/>
        </w:rPr>
        <w:t>最高限价</w:t>
      </w:r>
      <w:r>
        <w:rPr>
          <w:rFonts w:hint="eastAsia" w:ascii="宋体" w:hAnsi="宋体"/>
          <w:color w:val="auto"/>
          <w:szCs w:val="21"/>
        </w:rPr>
        <w:t>金额的将被视为无效报价。</w:t>
      </w:r>
    </w:p>
    <w:p w14:paraId="308B9218">
      <w:pPr>
        <w:tabs>
          <w:tab w:val="left" w:pos="180"/>
          <w:tab w:val="left" w:pos="1620"/>
        </w:tabs>
        <w:spacing w:line="440" w:lineRule="exact"/>
        <w:ind w:firstLine="420" w:firstLineChars="200"/>
        <w:rPr>
          <w:rFonts w:hint="eastAsia" w:ascii="宋体" w:hAnsi="宋体" w:eastAsia="宋体" w:cs="Times New Roman"/>
          <w:b/>
          <w:bCs/>
          <w:color w:val="auto"/>
          <w:szCs w:val="21"/>
          <w:lang w:eastAsia="zh-CN"/>
        </w:rPr>
      </w:pPr>
      <w:r>
        <w:rPr>
          <w:rFonts w:hint="eastAsia" w:ascii="宋体" w:hAnsi="宋体" w:eastAsia="宋体" w:cs="Times New Roman"/>
          <w:b/>
          <w:bCs/>
          <w:color w:val="auto"/>
          <w:szCs w:val="21"/>
        </w:rPr>
        <w:t>6、本项目所属行业：其他未列明行业。</w:t>
      </w:r>
    </w:p>
    <w:p w14:paraId="081AA646">
      <w:pPr>
        <w:rPr>
          <w:rFonts w:hint="eastAsia"/>
          <w:color w:val="000000" w:themeColor="text1"/>
          <w:highlight w:val="none"/>
          <w:lang w:eastAsia="zh-CN"/>
          <w14:textFill>
            <w14:solidFill>
              <w14:schemeClr w14:val="tx1"/>
            </w14:solidFill>
          </w14:textFill>
        </w:rPr>
      </w:pPr>
    </w:p>
    <w:p w14:paraId="0ADA9EB9">
      <w:pPr>
        <w:rPr>
          <w:rFonts w:hint="eastAsia"/>
          <w:color w:val="000000" w:themeColor="text1"/>
          <w:highlight w:val="none"/>
          <w:lang w:eastAsia="zh-CN"/>
          <w14:textFill>
            <w14:solidFill>
              <w14:schemeClr w14:val="tx1"/>
            </w14:solidFill>
          </w14:textFill>
        </w:rPr>
      </w:pPr>
    </w:p>
    <w:p w14:paraId="6CEB3FB2">
      <w:pPr>
        <w:rPr>
          <w:rFonts w:hint="eastAsia"/>
          <w:color w:val="000000" w:themeColor="text1"/>
          <w:highlight w:val="none"/>
          <w:lang w:eastAsia="zh-CN"/>
          <w14:textFill>
            <w14:solidFill>
              <w14:schemeClr w14:val="tx1"/>
            </w14:solidFill>
          </w14:textFill>
        </w:rPr>
      </w:pPr>
    </w:p>
    <w:p w14:paraId="136022FC">
      <w:pPr>
        <w:pStyle w:val="22"/>
        <w:rPr>
          <w:rFonts w:hint="eastAsia"/>
          <w:color w:val="000000" w:themeColor="text1"/>
          <w:highlight w:val="none"/>
          <w:lang w:eastAsia="zh-CN"/>
          <w14:textFill>
            <w14:solidFill>
              <w14:schemeClr w14:val="tx1"/>
            </w14:solidFill>
          </w14:textFill>
        </w:rPr>
      </w:pPr>
    </w:p>
    <w:p w14:paraId="76D58026">
      <w:pPr>
        <w:pStyle w:val="22"/>
        <w:rPr>
          <w:rFonts w:hint="eastAsia"/>
          <w:color w:val="000000" w:themeColor="text1"/>
          <w:highlight w:val="none"/>
          <w:lang w:eastAsia="zh-CN"/>
          <w14:textFill>
            <w14:solidFill>
              <w14:schemeClr w14:val="tx1"/>
            </w14:solidFill>
          </w14:textFill>
        </w:rPr>
      </w:pPr>
    </w:p>
    <w:p w14:paraId="2F898BCF">
      <w:pPr>
        <w:pStyle w:val="22"/>
        <w:rPr>
          <w:rFonts w:hint="eastAsia"/>
          <w:color w:val="000000" w:themeColor="text1"/>
          <w:highlight w:val="none"/>
          <w:lang w:eastAsia="zh-CN"/>
          <w14:textFill>
            <w14:solidFill>
              <w14:schemeClr w14:val="tx1"/>
            </w14:solidFill>
          </w14:textFill>
        </w:rPr>
      </w:pPr>
    </w:p>
    <w:p w14:paraId="7735C1CF">
      <w:pPr>
        <w:pStyle w:val="22"/>
        <w:rPr>
          <w:rFonts w:hint="eastAsia"/>
          <w:color w:val="000000" w:themeColor="text1"/>
          <w:highlight w:val="none"/>
          <w:lang w:eastAsia="zh-CN"/>
          <w14:textFill>
            <w14:solidFill>
              <w14:schemeClr w14:val="tx1"/>
            </w14:solidFill>
          </w14:textFill>
        </w:rPr>
      </w:pPr>
    </w:p>
    <w:p w14:paraId="2E10D4A1">
      <w:pPr>
        <w:pStyle w:val="22"/>
        <w:rPr>
          <w:rFonts w:hint="eastAsia"/>
          <w:color w:val="000000" w:themeColor="text1"/>
          <w:highlight w:val="none"/>
          <w:lang w:eastAsia="zh-CN"/>
          <w14:textFill>
            <w14:solidFill>
              <w14:schemeClr w14:val="tx1"/>
            </w14:solidFill>
          </w14:textFill>
        </w:rPr>
      </w:pPr>
    </w:p>
    <w:p w14:paraId="7A9BA936">
      <w:pPr>
        <w:pStyle w:val="22"/>
        <w:rPr>
          <w:rFonts w:hint="eastAsia"/>
          <w:color w:val="000000" w:themeColor="text1"/>
          <w:highlight w:val="none"/>
          <w:lang w:eastAsia="zh-CN"/>
          <w14:textFill>
            <w14:solidFill>
              <w14:schemeClr w14:val="tx1"/>
            </w14:solidFill>
          </w14:textFill>
        </w:rPr>
      </w:pPr>
    </w:p>
    <w:p w14:paraId="007F7CE9">
      <w:pPr>
        <w:pStyle w:val="22"/>
        <w:rPr>
          <w:rFonts w:hint="eastAsia"/>
          <w:color w:val="000000" w:themeColor="text1"/>
          <w:highlight w:val="none"/>
          <w:lang w:eastAsia="zh-CN"/>
          <w14:textFill>
            <w14:solidFill>
              <w14:schemeClr w14:val="tx1"/>
            </w14:solidFill>
          </w14:textFill>
        </w:rPr>
      </w:pPr>
    </w:p>
    <w:p w14:paraId="6B50EBBE">
      <w:pPr>
        <w:pStyle w:val="22"/>
        <w:rPr>
          <w:rFonts w:hint="eastAsia"/>
          <w:color w:val="000000" w:themeColor="text1"/>
          <w:highlight w:val="none"/>
          <w:lang w:eastAsia="zh-CN"/>
          <w14:textFill>
            <w14:solidFill>
              <w14:schemeClr w14:val="tx1"/>
            </w14:solidFill>
          </w14:textFill>
        </w:rPr>
      </w:pPr>
    </w:p>
    <w:p w14:paraId="473F90D7">
      <w:pPr>
        <w:pStyle w:val="22"/>
        <w:rPr>
          <w:rFonts w:hint="eastAsia"/>
          <w:color w:val="000000" w:themeColor="text1"/>
          <w:highlight w:val="none"/>
          <w:lang w:eastAsia="zh-CN"/>
          <w14:textFill>
            <w14:solidFill>
              <w14:schemeClr w14:val="tx1"/>
            </w14:solidFill>
          </w14:textFill>
        </w:rPr>
      </w:pPr>
    </w:p>
    <w:p w14:paraId="5413DFFF">
      <w:pPr>
        <w:pStyle w:val="22"/>
        <w:rPr>
          <w:rFonts w:hint="eastAsia"/>
          <w:color w:val="000000" w:themeColor="text1"/>
          <w:highlight w:val="none"/>
          <w:lang w:eastAsia="zh-CN"/>
          <w14:textFill>
            <w14:solidFill>
              <w14:schemeClr w14:val="tx1"/>
            </w14:solidFill>
          </w14:textFill>
        </w:rPr>
      </w:pPr>
    </w:p>
    <w:p w14:paraId="2DD7190C">
      <w:pPr>
        <w:pStyle w:val="22"/>
        <w:rPr>
          <w:rFonts w:hint="eastAsia"/>
          <w:color w:val="000000" w:themeColor="text1"/>
          <w:highlight w:val="none"/>
          <w:lang w:eastAsia="zh-CN"/>
          <w14:textFill>
            <w14:solidFill>
              <w14:schemeClr w14:val="tx1"/>
            </w14:solidFill>
          </w14:textFill>
        </w:rPr>
      </w:pPr>
    </w:p>
    <w:p w14:paraId="4FEA3526">
      <w:pPr>
        <w:pStyle w:val="22"/>
        <w:rPr>
          <w:rFonts w:hint="eastAsia"/>
          <w:color w:val="000000" w:themeColor="text1"/>
          <w:highlight w:val="none"/>
          <w:lang w:eastAsia="zh-CN"/>
          <w14:textFill>
            <w14:solidFill>
              <w14:schemeClr w14:val="tx1"/>
            </w14:solidFill>
          </w14:textFill>
        </w:rPr>
      </w:pPr>
    </w:p>
    <w:p w14:paraId="0FA5C017">
      <w:pPr>
        <w:pStyle w:val="22"/>
        <w:rPr>
          <w:rFonts w:hint="eastAsia"/>
          <w:color w:val="000000" w:themeColor="text1"/>
          <w:highlight w:val="none"/>
          <w:lang w:eastAsia="zh-CN"/>
          <w14:textFill>
            <w14:solidFill>
              <w14:schemeClr w14:val="tx1"/>
            </w14:solidFill>
          </w14:textFill>
        </w:rPr>
      </w:pPr>
    </w:p>
    <w:p w14:paraId="138E9971">
      <w:pPr>
        <w:rPr>
          <w:rFonts w:hint="eastAsia"/>
          <w:color w:val="000000" w:themeColor="text1"/>
          <w:highlight w:val="none"/>
          <w:lang w:eastAsia="zh-CN"/>
          <w14:textFill>
            <w14:solidFill>
              <w14:schemeClr w14:val="tx1"/>
            </w14:solidFill>
          </w14:textFill>
        </w:rPr>
      </w:pPr>
    </w:p>
    <w:p w14:paraId="2DE715FC">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57" w:name="_Toc13829"/>
      <w:r>
        <w:rPr>
          <w:rFonts w:hint="eastAsia" w:ascii="宋体" w:hAnsi="宋体" w:eastAsia="宋体" w:cs="宋体"/>
          <w:color w:val="000000" w:themeColor="text1"/>
          <w:sz w:val="32"/>
          <w:szCs w:val="32"/>
          <w:highlight w:val="none"/>
          <w:lang w:eastAsia="zh-CN"/>
          <w14:textFill>
            <w14:solidFill>
              <w14:schemeClr w14:val="tx1"/>
            </w14:solidFill>
          </w14:textFill>
        </w:rPr>
        <w:t>第四章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评审办法</w:t>
      </w:r>
      <w:bookmarkEnd w:id="156"/>
      <w:bookmarkEnd w:id="157"/>
    </w:p>
    <w:p w14:paraId="677C4BE1">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一、评审依据</w:t>
      </w:r>
    </w:p>
    <w:p w14:paraId="5268F7F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评审依据：磋商小组以磋商文件和响应文件为评审依据，对供应商的响应文件进行评审。</w:t>
      </w:r>
    </w:p>
    <w:p w14:paraId="095FF92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评审方式：以封闭方式进行评审。</w:t>
      </w:r>
    </w:p>
    <w:p w14:paraId="1C7793C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14:paraId="654AB110">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二、评审办法</w:t>
      </w:r>
    </w:p>
    <w:p w14:paraId="0B362E16">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w:t>
      </w:r>
      <w:r>
        <w:rPr>
          <w:rFonts w:hint="eastAsia" w:ascii="宋体" w:hAnsi="宋体" w:eastAsia="宋体" w:cs="宋体"/>
          <w:b/>
          <w:bCs/>
          <w:color w:val="000000" w:themeColor="text1"/>
          <w:sz w:val="21"/>
          <w:szCs w:val="21"/>
          <w:highlight w:val="non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w:t>
      </w:r>
    </w:p>
    <w:p w14:paraId="7B61549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w:t>
      </w:r>
      <w:r>
        <w:rPr>
          <w:rFonts w:hint="eastAsia" w:hAnsi="宋体" w:cs="宋体"/>
          <w:bCs/>
          <w:color w:val="000000" w:themeColor="text1"/>
          <w:szCs w:val="21"/>
          <w:highlight w:val="none"/>
          <w14:textFill>
            <w14:solidFill>
              <w14:schemeClr w14:val="tx1"/>
            </w14:solidFill>
          </w14:textFill>
        </w:rPr>
        <w:t>按四舍五入取至百分位</w:t>
      </w:r>
      <w:r>
        <w:rPr>
          <w:rFonts w:hint="eastAsia" w:ascii="宋体" w:hAnsi="宋体" w:eastAsia="宋体" w:cs="宋体"/>
          <w:color w:val="000000" w:themeColor="text1"/>
          <w:sz w:val="21"/>
          <w:szCs w:val="21"/>
          <w:highlight w:val="none"/>
          <w14:textFill>
            <w14:solidFill>
              <w14:schemeClr w14:val="tx1"/>
            </w14:solidFill>
          </w14:textFill>
        </w:rPr>
        <w:t>）</w:t>
      </w:r>
    </w:p>
    <w:p w14:paraId="408ACCB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价格分………………………………………………………………………………………</w:t>
      </w:r>
      <w:r>
        <w:rPr>
          <w:rFonts w:hint="eastAsia" w:hAnsi="宋体" w:cs="宋体"/>
          <w:b/>
          <w:bCs/>
          <w:szCs w:val="21"/>
        </w:rPr>
        <w:t>……</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14:paraId="26B5944D">
      <w:pPr>
        <w:pStyle w:val="11"/>
        <w:spacing w:line="360" w:lineRule="auto"/>
        <w:ind w:firstLine="420" w:firstLineChars="200"/>
        <w:rPr>
          <w:rFonts w:hint="eastAsia" w:hAnsi="宋体" w:cs="宋体"/>
          <w:color w:val="000000"/>
          <w:szCs w:val="21"/>
        </w:rPr>
      </w:pPr>
      <w:r>
        <w:rPr>
          <w:rFonts w:hint="eastAsia" w:hAnsi="宋体" w:cs="宋体"/>
          <w:bCs/>
          <w:color w:val="000000"/>
          <w:szCs w:val="21"/>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14:paraId="1663D0FF">
      <w:pPr>
        <w:pStyle w:val="11"/>
        <w:spacing w:line="360" w:lineRule="auto"/>
        <w:ind w:firstLine="420"/>
        <w:rPr>
          <w:rFonts w:hAnsi="宋体" w:cs="宋体"/>
          <w:color w:val="000000"/>
          <w:szCs w:val="21"/>
        </w:rPr>
      </w:pPr>
      <w:r>
        <w:rPr>
          <w:rFonts w:hint="eastAsia" w:hAnsi="宋体" w:cs="宋体"/>
          <w:b/>
          <w:color w:val="000000"/>
          <w:szCs w:val="21"/>
        </w:rPr>
        <w:t>注：中小微型企业划分标准按照《国家统计局关于印发〈统计上大中小微型企业划分办法〉〔2017〕的通知》（国统字〔2017〕213号）执行，具体划分标准见附表《统计上大中小微型企业划分标准》。</w:t>
      </w:r>
    </w:p>
    <w:p w14:paraId="7B28D57E">
      <w:pPr>
        <w:pStyle w:val="11"/>
        <w:numPr>
          <w:ilvl w:val="0"/>
          <w:numId w:val="8"/>
        </w:numPr>
        <w:spacing w:line="360" w:lineRule="auto"/>
        <w:ind w:firstLine="420"/>
        <w:rPr>
          <w:rFonts w:hAnsi="宋体" w:cs="宋体"/>
          <w:color w:val="000000"/>
          <w:kern w:val="0"/>
          <w:szCs w:val="21"/>
        </w:rPr>
      </w:pPr>
      <w:r>
        <w:rPr>
          <w:rFonts w:hint="eastAsia" w:hAnsi="宋体" w:cs="宋体"/>
          <w:color w:val="000000"/>
          <w:kern w:val="0"/>
          <w:szCs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6D2F91CB">
      <w:pPr>
        <w:pStyle w:val="11"/>
        <w:numPr>
          <w:ilvl w:val="0"/>
          <w:numId w:val="8"/>
        </w:numPr>
        <w:spacing w:line="360" w:lineRule="auto"/>
        <w:ind w:firstLine="420"/>
        <w:rPr>
          <w:rFonts w:hAnsi="宋体" w:cs="宋体"/>
          <w:color w:val="000000"/>
          <w:szCs w:val="21"/>
        </w:rPr>
      </w:pPr>
      <w:r>
        <w:rPr>
          <w:rFonts w:hint="eastAsia" w:hAnsi="宋体" w:cs="宋体"/>
          <w:color w:val="000000"/>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w:t>
      </w:r>
      <w:r>
        <w:rPr>
          <w:rFonts w:hint="eastAsia" w:hAnsi="宋体" w:cs="宋体"/>
          <w:color w:val="000000"/>
          <w:szCs w:val="21"/>
          <w:lang w:eastAsia="zh-CN"/>
        </w:rPr>
        <w:t>成交供应商</w:t>
      </w:r>
      <w:r>
        <w:rPr>
          <w:rFonts w:hint="eastAsia" w:hAnsi="宋体" w:cs="宋体"/>
          <w:color w:val="000000"/>
          <w:szCs w:val="21"/>
        </w:rPr>
        <w:t>为残疾人福利性单位的，采购代理机构应当随成交结果同时公告其《残疾人福利性单位声明函》，接受社会监督。</w:t>
      </w:r>
    </w:p>
    <w:p w14:paraId="66384C50">
      <w:pPr>
        <w:pStyle w:val="11"/>
        <w:spacing w:line="360" w:lineRule="auto"/>
        <w:ind w:firstLine="420" w:firstLineChars="200"/>
        <w:rPr>
          <w:rFonts w:hAnsi="宋体" w:cs="宋体"/>
          <w:color w:val="000000"/>
          <w:szCs w:val="21"/>
        </w:rPr>
      </w:pPr>
      <w:r>
        <w:rPr>
          <w:rFonts w:hint="eastAsia" w:hAnsi="宋体" w:cs="宋体"/>
          <w:color w:val="000000"/>
          <w:szCs w:val="21"/>
        </w:rPr>
        <w:t>对于不属于以上情形的</w:t>
      </w:r>
      <w:r>
        <w:rPr>
          <w:rFonts w:hint="eastAsia" w:hAnsi="宋体" w:cs="宋体"/>
          <w:color w:val="000000"/>
          <w:szCs w:val="21"/>
          <w:lang w:eastAsia="zh-CN"/>
        </w:rPr>
        <w:t>供应商</w:t>
      </w:r>
      <w:r>
        <w:rPr>
          <w:rFonts w:hint="eastAsia" w:hAnsi="宋体" w:cs="宋体"/>
          <w:color w:val="000000"/>
          <w:szCs w:val="21"/>
        </w:rPr>
        <w:t>，其投标报价即为评标价。</w:t>
      </w:r>
    </w:p>
    <w:p w14:paraId="2EA24EAE">
      <w:pPr>
        <w:pStyle w:val="11"/>
        <w:spacing w:line="360" w:lineRule="auto"/>
        <w:ind w:firstLine="420"/>
        <w:rPr>
          <w:rFonts w:hAnsi="宋体" w:cs="宋体"/>
          <w:color w:val="000000"/>
          <w:kern w:val="0"/>
          <w:szCs w:val="21"/>
        </w:rPr>
      </w:pPr>
      <w:r>
        <w:rPr>
          <w:rFonts w:hint="eastAsia" w:hAnsi="宋体" w:cs="宋体"/>
          <w:color w:val="000000"/>
          <w:kern w:val="0"/>
          <w:szCs w:val="21"/>
        </w:rPr>
        <w:t>（4）价格分采用低价优先法计算，即满足招标文件要求且评标报价最低的评标报价为评标基准价，其价格分为</w:t>
      </w:r>
      <w:r>
        <w:rPr>
          <w:rFonts w:hint="eastAsia" w:hAnsi="宋体" w:cs="宋体"/>
          <w:color w:val="000000"/>
          <w:kern w:val="0"/>
          <w:szCs w:val="21"/>
          <w:highlight w:val="none"/>
        </w:rPr>
        <w:t>30</w:t>
      </w:r>
      <w:r>
        <w:rPr>
          <w:rFonts w:hint="eastAsia" w:hAnsi="宋体" w:cs="宋体"/>
          <w:color w:val="000000"/>
          <w:kern w:val="0"/>
          <w:szCs w:val="21"/>
        </w:rPr>
        <w:t>分。</w:t>
      </w:r>
    </w:p>
    <w:p w14:paraId="1DAA874B">
      <w:pPr>
        <w:pStyle w:val="11"/>
        <w:spacing w:line="360" w:lineRule="auto"/>
        <w:ind w:firstLine="420"/>
        <w:rPr>
          <w:rFonts w:hAnsi="宋体" w:cs="宋体"/>
          <w:color w:val="000000"/>
          <w:kern w:val="0"/>
          <w:szCs w:val="21"/>
        </w:rPr>
      </w:pPr>
      <w:r>
        <w:rPr>
          <w:rFonts w:hint="eastAsia" w:hAnsi="宋体" w:cs="宋体"/>
          <w:color w:val="000000"/>
          <w:kern w:val="0"/>
          <w:szCs w:val="21"/>
        </w:rPr>
        <w:t>（5）价格分计算公式：</w:t>
      </w:r>
    </w:p>
    <w:p w14:paraId="2110DCCA">
      <w:pPr>
        <w:pStyle w:val="11"/>
        <w:spacing w:line="360" w:lineRule="auto"/>
        <w:ind w:firstLine="3087" w:firstLineChars="1470"/>
        <w:rPr>
          <w:rFonts w:hAnsi="宋体" w:cs="宋体"/>
          <w:bCs/>
          <w:color w:val="000000"/>
          <w:szCs w:val="21"/>
        </w:rPr>
      </w:pPr>
      <w:r>
        <w:rPr>
          <w:rFonts w:hint="eastAsia" w:hAnsi="宋体" w:cs="宋体"/>
          <w:bCs/>
          <w:color w:val="000000"/>
          <w:szCs w:val="21"/>
        </w:rPr>
        <w:t>最低</w:t>
      </w:r>
      <w:r>
        <w:rPr>
          <w:rFonts w:hint="eastAsia" w:hAnsi="宋体" w:cs="宋体"/>
          <w:bCs/>
          <w:color w:val="000000"/>
          <w:szCs w:val="21"/>
          <w:lang w:eastAsia="zh-CN"/>
        </w:rPr>
        <w:t>供应商</w:t>
      </w:r>
      <w:r>
        <w:rPr>
          <w:rFonts w:hint="eastAsia" w:hAnsi="宋体" w:cs="宋体"/>
          <w:color w:val="000000"/>
          <w:szCs w:val="21"/>
        </w:rPr>
        <w:t>评标报价</w:t>
      </w:r>
      <w:r>
        <w:rPr>
          <w:rFonts w:hint="eastAsia" w:hAnsi="宋体" w:cs="宋体"/>
          <w:bCs/>
          <w:color w:val="000000"/>
          <w:szCs w:val="21"/>
        </w:rPr>
        <w:t xml:space="preserve">金额          </w:t>
      </w:r>
    </w:p>
    <w:p w14:paraId="69912DDD">
      <w:pPr>
        <w:pStyle w:val="11"/>
        <w:spacing w:line="360" w:lineRule="auto"/>
        <w:ind w:firstLine="420"/>
        <w:rPr>
          <w:rFonts w:hAnsi="宋体" w:cs="宋体"/>
          <w:bCs/>
          <w:color w:val="000000"/>
          <w:szCs w:val="21"/>
        </w:rPr>
      </w:pPr>
      <w:r>
        <w:rPr>
          <w:rFonts w:hAnsi="宋体" w:cs="宋体"/>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BSdZvp+AEAAPIDAAAOAAAAAAAAAAEAIAAAACUBAABkcnMvZTJvRG9jLnht&#10;bFBLBQYAAAAABgAGAFkBAACPBQAAAAA=&#10;">
                <v:fill on="f" focussize="0,0"/>
                <v:stroke color="#000000" joinstyle="round"/>
                <v:imagedata o:title=""/>
                <o:lock v:ext="edit" aspectratio="f"/>
              </v:line>
            </w:pict>
          </mc:Fallback>
        </mc:AlternateContent>
      </w:r>
      <w:r>
        <w:rPr>
          <w:rFonts w:hint="eastAsia" w:hAnsi="宋体" w:cs="宋体"/>
          <w:bCs/>
          <w:color w:val="000000"/>
          <w:szCs w:val="21"/>
        </w:rPr>
        <w:t>某</w:t>
      </w:r>
      <w:r>
        <w:rPr>
          <w:rFonts w:hint="eastAsia" w:hAnsi="宋体" w:cs="宋体"/>
          <w:bCs/>
          <w:color w:val="000000"/>
          <w:szCs w:val="21"/>
          <w:lang w:eastAsia="zh-CN"/>
        </w:rPr>
        <w:t>供应商</w:t>
      </w:r>
      <w:r>
        <w:rPr>
          <w:rFonts w:hint="eastAsia" w:hAnsi="宋体" w:cs="宋体"/>
          <w:bCs/>
          <w:color w:val="000000"/>
          <w:szCs w:val="21"/>
        </w:rPr>
        <w:t xml:space="preserve">价格分 =                                      </w:t>
      </w:r>
      <w:r>
        <w:rPr>
          <w:rFonts w:hint="eastAsia" w:hAnsi="宋体" w:cs="宋体"/>
          <w:bCs/>
          <w:color w:val="000000"/>
          <w:szCs w:val="21"/>
          <w:highlight w:val="none"/>
        </w:rPr>
        <w:t xml:space="preserve">×   30 </w:t>
      </w:r>
      <w:r>
        <w:rPr>
          <w:rFonts w:hint="eastAsia" w:hAnsi="宋体" w:cs="宋体"/>
          <w:bCs/>
          <w:color w:val="000000"/>
          <w:szCs w:val="21"/>
        </w:rPr>
        <w:t>分</w:t>
      </w:r>
    </w:p>
    <w:p w14:paraId="0252A6ED">
      <w:pPr>
        <w:pStyle w:val="11"/>
        <w:spacing w:line="360" w:lineRule="auto"/>
        <w:ind w:firstLine="420" w:firstLineChars="200"/>
        <w:rPr>
          <w:rFonts w:hAnsi="宋体" w:cs="宋体"/>
          <w:b/>
          <w:color w:val="000000"/>
          <w:szCs w:val="21"/>
        </w:rPr>
      </w:pPr>
      <w:r>
        <w:rPr>
          <w:rFonts w:hint="eastAsia" w:hAnsi="宋体" w:cs="宋体"/>
          <w:bCs/>
          <w:color w:val="000000"/>
          <w:szCs w:val="21"/>
        </w:rPr>
        <w:t xml:space="preserve">                           某</w:t>
      </w:r>
      <w:r>
        <w:rPr>
          <w:rFonts w:hint="eastAsia" w:hAnsi="宋体" w:cs="宋体"/>
          <w:bCs/>
          <w:color w:val="000000"/>
          <w:szCs w:val="21"/>
          <w:lang w:eastAsia="zh-CN"/>
        </w:rPr>
        <w:t>供应商</w:t>
      </w:r>
      <w:r>
        <w:rPr>
          <w:rFonts w:hint="eastAsia" w:hAnsi="宋体" w:cs="宋体"/>
          <w:color w:val="000000"/>
          <w:szCs w:val="21"/>
        </w:rPr>
        <w:t>评标报价</w:t>
      </w:r>
      <w:r>
        <w:rPr>
          <w:rFonts w:hint="eastAsia" w:hAnsi="宋体" w:cs="宋体"/>
          <w:bCs/>
          <w:color w:val="000000"/>
          <w:szCs w:val="21"/>
        </w:rPr>
        <w:t xml:space="preserve">金额  </w:t>
      </w:r>
    </w:p>
    <w:p w14:paraId="7B43E595">
      <w:pPr>
        <w:pStyle w:val="11"/>
        <w:spacing w:line="400" w:lineRule="exact"/>
        <w:ind w:left="420" w:leftChars="200"/>
        <w:rPr>
          <w:rFonts w:hint="eastAsia" w:hAnsi="宋体" w:cs="宋体"/>
          <w:b/>
          <w:bCs/>
          <w:kern w:val="0"/>
          <w:szCs w:val="21"/>
        </w:rPr>
      </w:pPr>
      <w:r>
        <w:rPr>
          <w:rFonts w:hint="eastAsia" w:hAnsi="宋体" w:cs="宋体"/>
          <w:b/>
          <w:bCs/>
          <w:kern w:val="0"/>
          <w:szCs w:val="21"/>
          <w:lang w:val="en-US" w:eastAsia="zh-CN"/>
        </w:rPr>
        <w:t>2.</w:t>
      </w:r>
      <w:r>
        <w:rPr>
          <w:rFonts w:hint="eastAsia" w:hAnsi="宋体" w:cs="宋体"/>
          <w:b/>
          <w:bCs/>
          <w:kern w:val="0"/>
          <w:szCs w:val="21"/>
        </w:rPr>
        <w:t>服务质量分……………………………………………………………………………</w:t>
      </w:r>
      <w:r>
        <w:rPr>
          <w:rFonts w:hint="eastAsia" w:hAnsi="宋体" w:cs="宋体"/>
          <w:b/>
          <w:bCs/>
          <w:szCs w:val="21"/>
        </w:rPr>
        <w:t>…………</w:t>
      </w:r>
      <w:r>
        <w:rPr>
          <w:rFonts w:hint="eastAsia" w:hAnsi="宋体" w:cs="宋体"/>
          <w:b/>
          <w:bCs/>
          <w:kern w:val="0"/>
          <w:szCs w:val="21"/>
        </w:rPr>
        <w:t>…………</w:t>
      </w:r>
      <w:r>
        <w:rPr>
          <w:rFonts w:hint="eastAsia" w:hAnsi="宋体" w:cs="宋体"/>
          <w:b/>
          <w:bCs/>
          <w:kern w:val="0"/>
          <w:szCs w:val="21"/>
          <w:lang w:val="en-US" w:eastAsia="zh-CN"/>
        </w:rPr>
        <w:t>42分</w:t>
      </w:r>
    </w:p>
    <w:p w14:paraId="676F8051">
      <w:pPr>
        <w:pStyle w:val="11"/>
        <w:spacing w:line="360" w:lineRule="auto"/>
        <w:ind w:firstLine="420" w:firstLineChars="200"/>
        <w:rPr>
          <w:rFonts w:hAnsi="宋体"/>
          <w:b/>
          <w:szCs w:val="21"/>
        </w:rPr>
      </w:pPr>
      <w:r>
        <w:rPr>
          <w:rFonts w:hint="eastAsia" w:hAnsi="宋体"/>
          <w:b/>
          <w:szCs w:val="21"/>
        </w:rPr>
        <w:t>（1）项目负责人（满分4分）</w:t>
      </w:r>
    </w:p>
    <w:p w14:paraId="51B4EFA9">
      <w:pPr>
        <w:adjustRightInd w:val="0"/>
        <w:snapToGrid w:val="0"/>
        <w:spacing w:line="400" w:lineRule="exact"/>
        <w:ind w:firstLine="420" w:firstLineChars="200"/>
      </w:pPr>
      <w:r>
        <w:rPr>
          <w:rFonts w:hint="eastAsia"/>
        </w:rPr>
        <w:t>拟投入项目负责人具有教师系列副高级职称得2分；具有教师系列正高级职称得4分。</w:t>
      </w:r>
    </w:p>
    <w:p w14:paraId="7CC8F6F1">
      <w:pPr>
        <w:pStyle w:val="11"/>
        <w:spacing w:line="360" w:lineRule="auto"/>
        <w:ind w:firstLine="420" w:firstLineChars="200"/>
        <w:rPr>
          <w:rFonts w:ascii="Times New Roman" w:hAnsi="Times New Roman"/>
          <w:b/>
          <w:bCs/>
        </w:rPr>
      </w:pPr>
      <w:r>
        <w:rPr>
          <w:rFonts w:hint="eastAsia" w:ascii="Times New Roman" w:hAnsi="Times New Roman"/>
          <w:b/>
          <w:bCs/>
        </w:rPr>
        <w:t>注：需于响应文件中提供对应的职称证书复印件，同一人的职称以级别高的为准，未按要求提供的不予以计分。</w:t>
      </w:r>
    </w:p>
    <w:p w14:paraId="45AE0734">
      <w:pPr>
        <w:spacing w:line="360" w:lineRule="auto"/>
        <w:ind w:firstLine="420" w:firstLineChars="200"/>
        <w:rPr>
          <w:rFonts w:ascii="宋体" w:hAnsi="Courier New"/>
          <w:b/>
          <w:szCs w:val="21"/>
        </w:rPr>
      </w:pPr>
      <w:r>
        <w:rPr>
          <w:rFonts w:hint="eastAsia" w:ascii="宋体" w:hAnsi="Courier New"/>
          <w:b/>
          <w:szCs w:val="21"/>
        </w:rPr>
        <w:t>（2）命题组组长（满分28分）</w:t>
      </w:r>
    </w:p>
    <w:p w14:paraId="5277F838">
      <w:pPr>
        <w:pStyle w:val="18"/>
        <w:spacing w:after="0" w:line="380" w:lineRule="exact"/>
        <w:ind w:left="0" w:leftChars="0"/>
        <w:rPr>
          <w:rFonts w:ascii="宋体" w:hAnsi="Courier New"/>
          <w:szCs w:val="21"/>
        </w:rPr>
      </w:pPr>
      <w:r>
        <w:rPr>
          <w:rFonts w:hint="eastAsia"/>
        </w:rPr>
        <w:t>拟投入命题组组长</w:t>
      </w:r>
      <w:r>
        <w:rPr>
          <w:rFonts w:hint="eastAsia" w:ascii="宋体" w:hAnsi="Courier New"/>
          <w:szCs w:val="21"/>
        </w:rPr>
        <w:t>具有教师系列副高级职称的每有一人得2分；具有教师系列正高级职称的每有一人得4分，满分28分。</w:t>
      </w:r>
    </w:p>
    <w:p w14:paraId="1392009D">
      <w:pPr>
        <w:pStyle w:val="18"/>
        <w:spacing w:after="0" w:line="380" w:lineRule="exact"/>
        <w:ind w:left="0" w:leftChars="0" w:firstLine="422"/>
        <w:rPr>
          <w:rFonts w:ascii="宋体" w:hAnsi="宋体" w:cs="宋体"/>
        </w:rPr>
      </w:pPr>
      <w:r>
        <w:rPr>
          <w:rFonts w:hint="eastAsia" w:ascii="宋体" w:hAnsi="Courier New"/>
          <w:b/>
          <w:bCs/>
          <w:szCs w:val="21"/>
        </w:rPr>
        <w:t>注：需于响应文件中提供对应的职称证书复印件，同一人的职称以级别高的为准，未按要求提供的不予以计分。</w:t>
      </w:r>
      <w:r>
        <w:rPr>
          <w:rFonts w:hint="eastAsia" w:ascii="宋体" w:hAnsi="Courier New"/>
          <w:szCs w:val="21"/>
        </w:rPr>
        <w:t xml:space="preserve"> </w:t>
      </w:r>
    </w:p>
    <w:p w14:paraId="3F10FFEB">
      <w:pPr>
        <w:pStyle w:val="11"/>
        <w:spacing w:line="360" w:lineRule="auto"/>
        <w:ind w:firstLine="420" w:firstLineChars="200"/>
        <w:rPr>
          <w:rFonts w:hAnsi="宋体"/>
          <w:b/>
          <w:szCs w:val="21"/>
        </w:rPr>
      </w:pPr>
      <w:r>
        <w:rPr>
          <w:rFonts w:hint="eastAsia"/>
          <w:b/>
          <w:szCs w:val="21"/>
        </w:rPr>
        <w:t>（3）其他团队成员（满分10分）</w:t>
      </w:r>
    </w:p>
    <w:p w14:paraId="47E16114">
      <w:pPr>
        <w:pStyle w:val="11"/>
        <w:spacing w:line="360" w:lineRule="auto"/>
        <w:ind w:firstLine="420" w:firstLineChars="200"/>
        <w:rPr>
          <w:rFonts w:hAnsi="宋体"/>
        </w:rPr>
      </w:pPr>
      <w:r>
        <w:rPr>
          <w:rFonts w:hint="eastAsia" w:hAnsi="宋体"/>
        </w:rPr>
        <w:t>拟投入团队成员人数在满足竞争性磋商文件要求41人的基础上，每增加1人且有中学一级及以上职称的学科教师的得1分，满分10分；</w:t>
      </w:r>
    </w:p>
    <w:p w14:paraId="4AF47CBE">
      <w:pPr>
        <w:spacing w:line="360" w:lineRule="auto"/>
        <w:ind w:firstLine="420" w:firstLineChars="200"/>
        <w:rPr>
          <w:rFonts w:hint="eastAsia" w:hAnsi="宋体" w:cs="宋体"/>
          <w:color w:val="auto"/>
          <w:szCs w:val="21"/>
          <w:highlight w:val="none"/>
          <w:lang w:eastAsia="zh-CN"/>
        </w:rPr>
      </w:pPr>
      <w:r>
        <w:rPr>
          <w:rFonts w:hint="eastAsia" w:hAnsi="宋体"/>
          <w:b/>
          <w:bCs/>
        </w:rPr>
        <w:t>注：需于响应文件中提供对应的职称证书复印件，未按要求提供的不予以计分。</w:t>
      </w:r>
    </w:p>
    <w:p w14:paraId="280B098C">
      <w:pPr>
        <w:pStyle w:val="1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Ansi="宋体" w:cs="宋体"/>
          <w:b/>
          <w:bCs/>
          <w:szCs w:val="21"/>
        </w:rPr>
      </w:pPr>
      <w:r>
        <w:rPr>
          <w:rFonts w:hint="eastAsia" w:hAnsi="宋体" w:cs="宋体"/>
          <w:b/>
          <w:bCs/>
          <w:szCs w:val="21"/>
        </w:rPr>
        <w:t>3</w:t>
      </w:r>
      <w:r>
        <w:rPr>
          <w:rFonts w:hint="eastAsia" w:hAnsi="宋体" w:cs="宋体"/>
          <w:b/>
          <w:bCs/>
          <w:szCs w:val="21"/>
          <w:lang w:val="en-US" w:eastAsia="zh-CN"/>
        </w:rPr>
        <w:t>.</w:t>
      </w:r>
      <w:r>
        <w:rPr>
          <w:rFonts w:hint="eastAsia" w:hAnsi="宋体" w:cs="宋体"/>
          <w:b/>
          <w:bCs/>
          <w:szCs w:val="21"/>
        </w:rPr>
        <w:t>项目实施方案分……………………………………………………………………………………………</w:t>
      </w:r>
      <w:r>
        <w:rPr>
          <w:rFonts w:hint="eastAsia" w:hAnsi="宋体" w:cs="宋体"/>
          <w:b/>
          <w:bCs/>
          <w:szCs w:val="21"/>
          <w:lang w:val="en-US" w:eastAsia="zh-CN"/>
        </w:rPr>
        <w:t>24</w:t>
      </w:r>
      <w:r>
        <w:rPr>
          <w:rFonts w:hint="eastAsia" w:hAnsi="宋体" w:cs="宋体"/>
          <w:b/>
          <w:bCs/>
          <w:szCs w:val="21"/>
        </w:rPr>
        <w:t>分</w:t>
      </w:r>
    </w:p>
    <w:p w14:paraId="599E18C2">
      <w:pPr>
        <w:spacing w:line="360" w:lineRule="auto"/>
        <w:ind w:firstLine="420" w:firstLineChars="200"/>
        <w:rPr>
          <w:rFonts w:ascii="宋体" w:hAnsi="宋体" w:cs="宋体"/>
          <w:b/>
          <w:bCs/>
          <w:szCs w:val="21"/>
        </w:rPr>
      </w:pPr>
      <w:r>
        <w:rPr>
          <w:rFonts w:hint="eastAsia" w:ascii="宋体" w:hAnsi="宋体" w:cs="宋体"/>
          <w:b/>
          <w:bCs/>
          <w:szCs w:val="21"/>
        </w:rPr>
        <w:t>磋商小组各成员根据供应商提供的项目实施方案进行独立评分：</w:t>
      </w:r>
    </w:p>
    <w:p w14:paraId="7E413825">
      <w:pPr>
        <w:spacing w:line="360" w:lineRule="auto"/>
        <w:ind w:firstLine="420" w:firstLineChars="200"/>
        <w:rPr>
          <w:rFonts w:ascii="宋体" w:hAnsi="宋体" w:cs="宋体"/>
          <w:b/>
          <w:bCs/>
          <w:szCs w:val="21"/>
        </w:rPr>
      </w:pPr>
      <w:r>
        <w:rPr>
          <w:rFonts w:hint="eastAsia" w:ascii="宋体" w:hAnsi="宋体" w:cs="宋体"/>
          <w:b/>
          <w:bCs/>
          <w:szCs w:val="21"/>
        </w:rPr>
        <w:t>（1）实施计划安排分（满分8分）</w:t>
      </w:r>
    </w:p>
    <w:p w14:paraId="3EBDED02">
      <w:pPr>
        <w:spacing w:line="360" w:lineRule="auto"/>
        <w:ind w:firstLine="420" w:firstLineChars="200"/>
        <w:rPr>
          <w:rFonts w:ascii="宋体" w:hAnsi="宋体" w:cs="宋体"/>
          <w:szCs w:val="21"/>
        </w:rPr>
      </w:pPr>
      <w:r>
        <w:rPr>
          <w:rFonts w:hint="eastAsia" w:ascii="宋体" w:hAnsi="宋体" w:cs="宋体"/>
          <w:szCs w:val="21"/>
        </w:rPr>
        <w:t>一档（1分）：计划紊乱，缺乏针对性，项目难以执行；</w:t>
      </w:r>
    </w:p>
    <w:p w14:paraId="4057A5E7">
      <w:pPr>
        <w:spacing w:line="360" w:lineRule="auto"/>
        <w:ind w:firstLine="420" w:firstLineChars="200"/>
        <w:rPr>
          <w:rFonts w:ascii="宋体" w:hAnsi="宋体" w:cs="宋体"/>
          <w:szCs w:val="21"/>
        </w:rPr>
      </w:pPr>
      <w:r>
        <w:rPr>
          <w:rFonts w:hint="eastAsia" w:ascii="宋体" w:hAnsi="宋体" w:cs="宋体"/>
          <w:szCs w:val="21"/>
        </w:rPr>
        <w:t>二档（5分）：计划全面但不够细致，有项目实施的基本服务保障措施，计划内容有重点，对项目有调研分析；</w:t>
      </w:r>
    </w:p>
    <w:p w14:paraId="01783EAE">
      <w:pPr>
        <w:spacing w:line="360" w:lineRule="auto"/>
        <w:ind w:firstLine="420" w:firstLineChars="200"/>
        <w:rPr>
          <w:rFonts w:ascii="宋体" w:hAnsi="宋体" w:cs="宋体"/>
          <w:szCs w:val="21"/>
        </w:rPr>
      </w:pPr>
      <w:r>
        <w:rPr>
          <w:rFonts w:hint="eastAsia" w:ascii="宋体" w:hAnsi="宋体" w:cs="宋体"/>
          <w:szCs w:val="21"/>
        </w:rPr>
        <w:t>三档（8分）：在二档的基础上，计划安排科学合理、有具体的服务保障措施（内容包含但不限于工作失误后的补救措施、项目实施人员的保密性措施等）内容全面，能针对本项目实际需求进行合理优化，有效保证项目实施进度。</w:t>
      </w:r>
    </w:p>
    <w:p w14:paraId="4BFDC206">
      <w:pPr>
        <w:spacing w:line="360" w:lineRule="auto"/>
        <w:ind w:firstLine="420" w:firstLineChars="200"/>
        <w:rPr>
          <w:rFonts w:ascii="宋体" w:hAnsi="宋体" w:cs="宋体"/>
          <w:b/>
          <w:bCs/>
          <w:szCs w:val="21"/>
        </w:rPr>
      </w:pPr>
      <w:r>
        <w:rPr>
          <w:rFonts w:hint="eastAsia" w:ascii="宋体" w:hAnsi="宋体" w:cs="宋体"/>
          <w:b/>
          <w:bCs/>
          <w:szCs w:val="21"/>
        </w:rPr>
        <w:t>（2）命题设计方案分（满分8分）</w:t>
      </w:r>
    </w:p>
    <w:p w14:paraId="5EECE276">
      <w:pPr>
        <w:spacing w:line="360" w:lineRule="auto"/>
        <w:ind w:firstLine="420" w:firstLineChars="200"/>
        <w:rPr>
          <w:rFonts w:ascii="宋体" w:hAnsi="宋体" w:cs="宋体"/>
          <w:szCs w:val="21"/>
        </w:rPr>
      </w:pPr>
      <w:r>
        <w:rPr>
          <w:rFonts w:hint="eastAsia" w:ascii="宋体" w:hAnsi="宋体" w:cs="宋体"/>
          <w:szCs w:val="21"/>
        </w:rPr>
        <w:t>一档（1分）：命题设计符合桂林市现行教材使用要求，资源内容存在缺失，质量保证计划存在明显疏漏；</w:t>
      </w:r>
    </w:p>
    <w:p w14:paraId="5D6DEB84">
      <w:pPr>
        <w:spacing w:line="360" w:lineRule="auto"/>
        <w:ind w:firstLine="420" w:firstLineChars="200"/>
        <w:rPr>
          <w:rFonts w:ascii="宋体" w:hAnsi="宋体" w:cs="宋体"/>
          <w:szCs w:val="21"/>
        </w:rPr>
      </w:pPr>
      <w:r>
        <w:rPr>
          <w:rFonts w:hint="eastAsia" w:ascii="宋体" w:hAnsi="宋体" w:cs="宋体"/>
          <w:szCs w:val="21"/>
        </w:rPr>
        <w:t>二档（5分）：命题设计符合桂林市现行教材使用要求，资源内容丰富，表述完整，且提供命题资源方案；</w:t>
      </w:r>
    </w:p>
    <w:p w14:paraId="06B53626">
      <w:pPr>
        <w:spacing w:line="360" w:lineRule="auto"/>
        <w:ind w:firstLine="420" w:firstLineChars="200"/>
        <w:rPr>
          <w:rFonts w:ascii="宋体" w:hAnsi="宋体" w:cs="宋体"/>
          <w:szCs w:val="21"/>
        </w:rPr>
      </w:pPr>
      <w:r>
        <w:rPr>
          <w:rFonts w:hint="eastAsia" w:ascii="宋体" w:hAnsi="宋体" w:cs="宋体"/>
          <w:szCs w:val="21"/>
        </w:rPr>
        <w:t>三档（8分）：在二档基础上，设计科学完善，且提供命题原创方案。</w:t>
      </w:r>
    </w:p>
    <w:p w14:paraId="6034EA26">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textAlignment w:val="auto"/>
        <w:rPr>
          <w:b/>
          <w:bCs/>
        </w:rPr>
      </w:pPr>
      <w:bookmarkStart w:id="259" w:name="_GoBack"/>
      <w:bookmarkEnd w:id="259"/>
      <w:r>
        <w:rPr>
          <w:rFonts w:hint="eastAsia" w:ascii="宋体" w:hAnsi="宋体" w:cs="宋体"/>
          <w:b/>
          <w:bCs/>
          <w:szCs w:val="21"/>
          <w:lang w:eastAsia="zh-CN"/>
        </w:rPr>
        <w:t>（</w:t>
      </w:r>
      <w:r>
        <w:rPr>
          <w:rFonts w:hint="eastAsia" w:ascii="宋体" w:hAnsi="宋体" w:cs="宋体"/>
          <w:b/>
          <w:bCs/>
          <w:szCs w:val="21"/>
          <w:lang w:val="en-US" w:eastAsia="zh-CN"/>
        </w:rPr>
        <w:t>3</w:t>
      </w:r>
      <w:r>
        <w:rPr>
          <w:rFonts w:hint="eastAsia" w:ascii="宋体" w:hAnsi="宋体" w:cs="宋体"/>
          <w:b/>
          <w:bCs/>
          <w:szCs w:val="21"/>
          <w:lang w:eastAsia="zh-CN"/>
        </w:rPr>
        <w:t>）</w:t>
      </w:r>
      <w:r>
        <w:rPr>
          <w:rFonts w:hint="eastAsia" w:ascii="宋体" w:hAnsi="宋体" w:cs="宋体"/>
          <w:b/>
          <w:bCs/>
          <w:szCs w:val="21"/>
        </w:rPr>
        <w:t>服务承诺分（满分8分）</w:t>
      </w:r>
    </w:p>
    <w:p w14:paraId="5E44E63A">
      <w:pPr>
        <w:spacing w:line="360" w:lineRule="auto"/>
        <w:ind w:firstLine="420" w:firstLineChars="200"/>
        <w:rPr>
          <w:rFonts w:ascii="宋体" w:hAnsi="宋体" w:cs="宋体"/>
          <w:b/>
          <w:bCs/>
          <w:szCs w:val="21"/>
        </w:rPr>
      </w:pPr>
      <w:r>
        <w:rPr>
          <w:rFonts w:hint="eastAsia" w:ascii="宋体" w:hAnsi="宋体" w:cs="宋体"/>
          <w:szCs w:val="21"/>
        </w:rPr>
        <w:t>一档（1分）：有基本的服务承诺内容，满足采购需求</w:t>
      </w:r>
      <w:r>
        <w:rPr>
          <w:rFonts w:hint="eastAsia" w:ascii="宋体" w:hAnsi="宋体" w:cs="宋体"/>
          <w:b/>
          <w:bCs/>
          <w:szCs w:val="21"/>
        </w:rPr>
        <w:t>。</w:t>
      </w:r>
    </w:p>
    <w:p w14:paraId="2F2D8B06">
      <w:pPr>
        <w:ind w:firstLine="420" w:firstLineChars="200"/>
      </w:pPr>
      <w:r>
        <w:rPr>
          <w:rFonts w:hint="eastAsia"/>
        </w:rPr>
        <w:t>二档（5分）：在一档的基础上，提供命题办公场所的服务承诺。</w:t>
      </w:r>
    </w:p>
    <w:p w14:paraId="585A10FC">
      <w:pPr>
        <w:tabs>
          <w:tab w:val="left" w:pos="4214"/>
        </w:tabs>
        <w:spacing w:line="360" w:lineRule="auto"/>
        <w:ind w:firstLine="420" w:firstLineChars="200"/>
        <w:rPr>
          <w:rFonts w:hAnsi="宋体" w:cs="宋体"/>
          <w:kern w:val="0"/>
          <w:szCs w:val="21"/>
        </w:rPr>
      </w:pPr>
      <w:r>
        <w:rPr>
          <w:rFonts w:hint="eastAsia"/>
        </w:rPr>
        <w:t>三档（8分）：在二档的基础上，提供命题使用的办公设备及相关耗材（计算机≥40台，打印机≥5台，碎纸机≥2台）的服务承诺。</w:t>
      </w:r>
    </w:p>
    <w:p w14:paraId="33B8DC76">
      <w:pPr>
        <w:pStyle w:val="11"/>
        <w:spacing w:line="440" w:lineRule="exact"/>
        <w:rPr>
          <w:rFonts w:hint="eastAsia" w:hAnsi="宋体" w:cs="宋体"/>
          <w:b/>
          <w:bCs/>
          <w:szCs w:val="21"/>
        </w:rPr>
      </w:pPr>
      <w:r>
        <w:rPr>
          <w:rFonts w:hint="eastAsia" w:hAnsi="宋体" w:cs="宋体"/>
          <w:b/>
          <w:bCs/>
          <w:szCs w:val="21"/>
        </w:rPr>
        <w:t>4、</w:t>
      </w:r>
      <w:r>
        <w:rPr>
          <w:rFonts w:hint="eastAsia" w:hAnsi="宋体" w:cs="宋体"/>
          <w:b/>
          <w:bCs/>
          <w:szCs w:val="21"/>
          <w:lang w:eastAsia="zh-CN"/>
        </w:rPr>
        <w:t>业绩</w:t>
      </w:r>
      <w:r>
        <w:rPr>
          <w:rFonts w:hint="eastAsia" w:hAnsi="宋体" w:cs="宋体"/>
          <w:b/>
          <w:bCs/>
          <w:szCs w:val="21"/>
        </w:rPr>
        <w:t>分……………………………………………………………………………………………………………</w:t>
      </w:r>
      <w:r>
        <w:rPr>
          <w:rFonts w:hint="eastAsia" w:hAnsi="宋体" w:cs="宋体"/>
          <w:b/>
          <w:bCs/>
          <w:szCs w:val="21"/>
          <w:lang w:val="en-US" w:eastAsia="zh-CN"/>
        </w:rPr>
        <w:t>4</w:t>
      </w:r>
      <w:r>
        <w:rPr>
          <w:rFonts w:hint="eastAsia" w:hAnsi="宋体" w:cs="宋体"/>
          <w:b/>
          <w:bCs/>
          <w:szCs w:val="21"/>
        </w:rPr>
        <w:t>分</w:t>
      </w:r>
    </w:p>
    <w:p w14:paraId="6A501DBA">
      <w:pPr>
        <w:pStyle w:val="11"/>
        <w:spacing w:line="400" w:lineRule="exact"/>
        <w:ind w:firstLine="420" w:firstLineChars="200"/>
        <w:rPr>
          <w:rFonts w:hint="eastAsia" w:hAnsi="宋体" w:cs="宋体"/>
          <w:szCs w:val="21"/>
          <w:highlight w:val="none"/>
        </w:rPr>
      </w:pPr>
      <w:r>
        <w:rPr>
          <w:rFonts w:hint="eastAsia" w:hAnsi="宋体" w:cs="宋体"/>
          <w:szCs w:val="21"/>
          <w:highlight w:val="none"/>
        </w:rPr>
        <w:t>供应商自</w:t>
      </w:r>
      <w:r>
        <w:rPr>
          <w:rFonts w:hint="eastAsia" w:hAnsi="宋体" w:cs="宋体"/>
          <w:szCs w:val="21"/>
          <w:highlight w:val="none"/>
          <w:lang w:val="en-US" w:eastAsia="zh-CN"/>
        </w:rPr>
        <w:t>2023</w:t>
      </w:r>
      <w:r>
        <w:rPr>
          <w:rFonts w:hint="eastAsia" w:hAnsi="宋体" w:cs="宋体"/>
          <w:szCs w:val="21"/>
          <w:highlight w:val="none"/>
        </w:rPr>
        <w:t xml:space="preserve">年1月1日以来同类业绩的相关证明材料 [以中标（成交）通知书或采购合同复印件（能清晰反映项目名称、种类、金额)，否则将不予计分；同一个编号的项目有两个或两个以上的分标中标的只算一次]，每提供一个得2分，满分4分。[投标文件中提供证明材料复印件其应与原件一致，并加盖投标人CA签章，如有弄虚作假，按政府采购相关规定处罚。] </w:t>
      </w:r>
    </w:p>
    <w:p w14:paraId="000C206D">
      <w:pPr>
        <w:pStyle w:val="11"/>
        <w:spacing w:line="400" w:lineRule="exact"/>
        <w:ind w:firstLine="420" w:firstLineChars="200"/>
        <w:rPr>
          <w:rFonts w:hint="eastAsia" w:hAnsi="宋体" w:cs="宋体"/>
          <w:szCs w:val="21"/>
        </w:rPr>
      </w:pPr>
      <w:r>
        <w:rPr>
          <w:rFonts w:hint="eastAsia" w:hAnsi="宋体" w:cs="宋体"/>
          <w:b/>
          <w:bCs/>
          <w:szCs w:val="21"/>
          <w:highlight w:val="none"/>
        </w:rPr>
        <w:t>（</w:t>
      </w:r>
      <w:r>
        <w:rPr>
          <w:rFonts w:hint="eastAsia" w:hAnsi="宋体" w:cs="宋体"/>
          <w:b/>
          <w:bCs/>
          <w:szCs w:val="21"/>
          <w:highlight w:val="none"/>
          <w:lang w:val="en-US" w:eastAsia="zh-CN"/>
        </w:rPr>
        <w:t>需</w:t>
      </w:r>
      <w:r>
        <w:rPr>
          <w:rFonts w:hint="eastAsia" w:hAnsi="宋体" w:cs="宋体"/>
          <w:b/>
          <w:bCs/>
          <w:szCs w:val="21"/>
          <w:highlight w:val="none"/>
        </w:rPr>
        <w:t>提供相关证明材料</w:t>
      </w:r>
      <w:r>
        <w:rPr>
          <w:rFonts w:hint="eastAsia" w:hAnsi="宋体" w:cs="宋体"/>
          <w:b/>
          <w:bCs/>
          <w:szCs w:val="21"/>
          <w:highlight w:val="none"/>
          <w:lang w:eastAsia="zh-CN"/>
        </w:rPr>
        <w:t>扫描件</w:t>
      </w:r>
      <w:r>
        <w:rPr>
          <w:rFonts w:hint="eastAsia" w:hAnsi="宋体" w:cs="宋体"/>
          <w:b/>
          <w:bCs/>
          <w:szCs w:val="21"/>
          <w:highlight w:val="none"/>
        </w:rPr>
        <w:t>并加盖单位公章（CA签章）</w:t>
      </w:r>
      <w:r>
        <w:rPr>
          <w:rFonts w:hint="eastAsia" w:ascii="宋体" w:hAnsi="宋体" w:cs="宋体"/>
          <w:b/>
          <w:bCs/>
          <w:szCs w:val="20"/>
          <w:highlight w:val="none"/>
        </w:rPr>
        <w:t>，</w:t>
      </w:r>
      <w:r>
        <w:rPr>
          <w:rFonts w:hint="eastAsia" w:ascii="宋体" w:hAnsi="宋体" w:cs="宋体"/>
          <w:b/>
          <w:bCs/>
          <w:szCs w:val="20"/>
          <w:highlight w:val="none"/>
          <w:lang w:val="en-US" w:eastAsia="zh-CN"/>
        </w:rPr>
        <w:t>否则</w:t>
      </w:r>
      <w:r>
        <w:rPr>
          <w:rFonts w:hint="eastAsia" w:ascii="宋体" w:hAnsi="宋体" w:cs="宋体"/>
          <w:b/>
          <w:bCs/>
          <w:szCs w:val="20"/>
          <w:highlight w:val="none"/>
        </w:rPr>
        <w:t>不得分</w:t>
      </w:r>
      <w:r>
        <w:rPr>
          <w:rFonts w:hint="eastAsia" w:hAnsi="宋体" w:cs="宋体"/>
          <w:b/>
          <w:bCs/>
          <w:szCs w:val="20"/>
          <w:highlight w:val="none"/>
          <w:lang w:eastAsia="zh-CN"/>
        </w:rPr>
        <w:t>）</w:t>
      </w:r>
    </w:p>
    <w:p w14:paraId="333F497B">
      <w:pPr>
        <w:spacing w:before="0" w:after="0" w:line="400" w:lineRule="auto"/>
        <w:ind w:left="0" w:right="0" w:firstLine="0"/>
        <w:jc w:val="left"/>
        <w:outlineLvl w:val="3"/>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5</w:t>
      </w:r>
      <w:r>
        <w:rPr>
          <w:rFonts w:hint="eastAsia" w:ascii="宋体" w:hAnsi="宋体" w:cs="宋体"/>
          <w:b/>
          <w:bCs/>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综合得分＝1+2+3+4</w:t>
      </w:r>
    </w:p>
    <w:p w14:paraId="6AE25F07">
      <w:pPr>
        <w:pStyle w:val="11"/>
        <w:tabs>
          <w:tab w:val="left" w:pos="4214"/>
        </w:tabs>
        <w:spacing w:line="360" w:lineRule="auto"/>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三、推荐及确定</w:t>
      </w:r>
      <w:r>
        <w:rPr>
          <w:rFonts w:hint="eastAsia" w:hAnsi="宋体" w:cs="宋体"/>
          <w:b/>
          <w:color w:val="000000" w:themeColor="text1"/>
          <w:szCs w:val="21"/>
          <w:highlight w:val="none"/>
          <w:lang w:eastAsia="zh-CN"/>
          <w14:textFill>
            <w14:solidFill>
              <w14:schemeClr w14:val="tx1"/>
            </w14:solidFill>
          </w14:textFill>
        </w:rPr>
        <w:t>成交</w:t>
      </w:r>
      <w:r>
        <w:rPr>
          <w:rFonts w:hint="eastAsia" w:hAnsi="宋体" w:cs="宋体"/>
          <w:b/>
          <w:color w:val="000000" w:themeColor="text1"/>
          <w:szCs w:val="21"/>
          <w:highlight w:val="none"/>
          <w14:textFill>
            <w14:solidFill>
              <w14:schemeClr w14:val="tx1"/>
            </w14:solidFill>
          </w14:textFill>
        </w:rPr>
        <w:t>候选供应商原则</w:t>
      </w:r>
    </w:p>
    <w:p w14:paraId="3FB619A0">
      <w:pPr>
        <w:pStyle w:val="11"/>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1.评标委员会根据综合得分由高到低排列次序，若得分相同时，按</w:t>
      </w:r>
      <w:r>
        <w:rPr>
          <w:rFonts w:hint="eastAsia" w:hAnsi="宋体" w:cs="宋体"/>
          <w:color w:val="000000" w:themeColor="text1"/>
          <w:szCs w:val="21"/>
          <w:highlight w:val="none"/>
          <w:u w:val="none"/>
          <w:lang w:eastAsia="zh-CN"/>
          <w14:textFill>
            <w14:solidFill>
              <w14:schemeClr w14:val="tx1"/>
            </w14:solidFill>
          </w14:textFill>
        </w:rPr>
        <w:t>评审价</w:t>
      </w:r>
      <w:r>
        <w:rPr>
          <w:rFonts w:hint="eastAsia" w:hAnsi="宋体" w:cs="宋体"/>
          <w:color w:val="000000" w:themeColor="text1"/>
          <w:szCs w:val="21"/>
          <w:highlight w:val="none"/>
          <w14:textFill>
            <w14:solidFill>
              <w14:schemeClr w14:val="tx1"/>
            </w14:solidFill>
          </w14:textFill>
        </w:rPr>
        <w:t>由低到高顺序排列；得分相同且</w:t>
      </w:r>
      <w:r>
        <w:rPr>
          <w:rFonts w:hint="eastAsia" w:hAnsi="宋体" w:cs="宋体"/>
          <w:color w:val="000000" w:themeColor="text1"/>
          <w:szCs w:val="21"/>
          <w:highlight w:val="none"/>
          <w:u w:val="none"/>
          <w:lang w:eastAsia="zh-CN"/>
          <w14:textFill>
            <w14:solidFill>
              <w14:schemeClr w14:val="tx1"/>
            </w14:solidFill>
          </w14:textFill>
        </w:rPr>
        <w:t>评审价</w:t>
      </w:r>
      <w:r>
        <w:rPr>
          <w:rFonts w:hint="eastAsia" w:hAnsi="宋体" w:cs="宋体"/>
          <w:color w:val="000000" w:themeColor="text1"/>
          <w:szCs w:val="21"/>
          <w:highlight w:val="none"/>
          <w14:textFill>
            <w14:solidFill>
              <w14:schemeClr w14:val="tx1"/>
            </w14:solidFill>
          </w14:textFill>
        </w:rPr>
        <w:t>也相同的由评标委员会按照抽签的方式决定排次次序。</w:t>
      </w:r>
    </w:p>
    <w:p w14:paraId="644BAA47">
      <w:pPr>
        <w:pStyle w:val="11"/>
        <w:tabs>
          <w:tab w:val="left" w:pos="4214"/>
        </w:tabs>
        <w:spacing w:line="360" w:lineRule="auto"/>
        <w:ind w:firstLine="42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2.评标委员会可推荐前三名为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候选人，采购人应当确定评标委员会推荐排名第一的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w:t>
      </w:r>
    </w:p>
    <w:p w14:paraId="1F76C421">
      <w:pPr>
        <w:pStyle w:val="11"/>
        <w:tabs>
          <w:tab w:val="left" w:pos="4214"/>
        </w:tabs>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候选人放弃</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、因不可抗力提出不能履行合同，或者</w:t>
      </w:r>
      <w:r>
        <w:rPr>
          <w:rFonts w:hint="eastAsia" w:hAnsi="宋体" w:cs="宋体"/>
          <w:color w:val="000000" w:themeColor="text1"/>
          <w:szCs w:val="21"/>
          <w:highlight w:val="none"/>
          <w:u w:val="none"/>
          <w:lang w:eastAsia="zh-CN"/>
          <w14:textFill>
            <w14:solidFill>
              <w14:schemeClr w14:val="tx1"/>
            </w14:solidFill>
          </w14:textFill>
        </w:rPr>
        <w:t>磋商文件</w:t>
      </w:r>
      <w:r>
        <w:rPr>
          <w:rFonts w:hint="eastAsia" w:hAnsi="宋体" w:cs="宋体"/>
          <w:color w:val="000000" w:themeColor="text1"/>
          <w:szCs w:val="21"/>
          <w:highlight w:val="none"/>
          <w14:textFill>
            <w14:solidFill>
              <w14:schemeClr w14:val="tx1"/>
            </w14:solidFill>
          </w14:textFill>
        </w:rPr>
        <w:t>规定应当提交履约保证金而在规定的期限内未能提交的，或因失信行为被取消</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候选人资格的，采购人可以确定排名第二的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人，并依此类推。</w:t>
      </w:r>
    </w:p>
    <w:p w14:paraId="36CE0C6F">
      <w:pPr>
        <w:spacing w:line="360" w:lineRule="auto"/>
        <w:ind w:firstLine="424" w:firstLineChars="202"/>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四、特别说明</w:t>
      </w:r>
    </w:p>
    <w:p w14:paraId="12973A9E">
      <w:pPr>
        <w:spacing w:line="340" w:lineRule="exact"/>
        <w:ind w:firstLine="420" w:firstLineChars="200"/>
        <w:rPr>
          <w:rFonts w:hint="eastAsia"/>
          <w:highlight w:val="none"/>
          <w:lang w:val="en-US" w:eastAsia="zh-CN"/>
        </w:rPr>
      </w:pPr>
      <w:r>
        <w:rPr>
          <w:rFonts w:hint="eastAsia" w:ascii="宋体" w:hAnsi="宋体" w:cs="宋体"/>
          <w:b/>
          <w:bCs/>
          <w:color w:val="000000" w:themeColor="text1"/>
          <w:szCs w:val="21"/>
          <w:highlight w:val="none"/>
          <w:u w:val="double"/>
          <w14:textFill>
            <w14:solidFill>
              <w14:schemeClr w14:val="tx1"/>
            </w14:solidFill>
          </w14:textFill>
        </w:rPr>
        <w:t>评审时，评标委员会认为投标人的报价明显低于其他通过符合性审查投标人的报价，有可能影响产品质量或者不能诚信履约的，应当在评标委员会要求的时间内按其要求提供书面说明，必要时提交相关证明材料；投标人不能证明其报价合理性的，评标委员会应当将其作为无效投标处理。</w:t>
      </w:r>
      <w:bookmarkStart w:id="158" w:name="_Toc28361_WPSOffice_Level2"/>
    </w:p>
    <w:p w14:paraId="0AEF2764">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1A33BF3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34E12748">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1CD30C50">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6A2CB5D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43C64E3C">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27526F7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50CAAD24">
      <w:pPr>
        <w:rPr>
          <w:rFonts w:hint="eastAsia" w:ascii="宋体" w:hAnsi="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cs="宋体"/>
          <w:b/>
          <w:bCs/>
          <w:color w:val="000000" w:themeColor="text1"/>
          <w:kern w:val="0"/>
          <w:sz w:val="30"/>
          <w:szCs w:val="30"/>
          <w:highlight w:val="none"/>
          <w:lang w:val="en-US" w:eastAsia="zh-CN"/>
          <w14:textFill>
            <w14:solidFill>
              <w14:schemeClr w14:val="tx1"/>
            </w14:solidFill>
          </w14:textFill>
        </w:rPr>
        <w:br w:type="page"/>
      </w:r>
    </w:p>
    <w:p w14:paraId="61B5286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cs="宋体"/>
          <w:b/>
          <w:bCs/>
          <w:color w:val="000000" w:themeColor="text1"/>
          <w:kern w:val="0"/>
          <w:sz w:val="30"/>
          <w:szCs w:val="30"/>
          <w:highlight w:val="none"/>
          <w:lang w:val="en-US" w:eastAsia="zh-CN"/>
          <w14:textFill>
            <w14:solidFill>
              <w14:schemeClr w14:val="tx1"/>
            </w14:solidFill>
          </w14:textFill>
        </w:rPr>
        <w:t>附件</w:t>
      </w:r>
    </w:p>
    <w:p w14:paraId="286A39D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right="0" w:rightChars="0"/>
        <w:jc w:val="center"/>
        <w:textAlignment w:val="auto"/>
        <w:outlineLvl w:val="9"/>
        <w:rPr>
          <w:rFonts w:hint="eastAsia" w:ascii="宋体" w:hAnsi="宋体" w:eastAsia="宋体" w:cs="宋体"/>
          <w:b/>
          <w:bCs/>
          <w:color w:val="000000" w:themeColor="text1"/>
          <w:kern w:val="0"/>
          <w:sz w:val="30"/>
          <w:szCs w:val="30"/>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bookmarkEnd w:id="15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DA9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noWrap w:val="0"/>
            <w:vAlign w:val="center"/>
          </w:tcPr>
          <w:p w14:paraId="7368E9EF">
            <w:pPr>
              <w:widowControl/>
              <w:spacing w:line="240" w:lineRule="exact"/>
              <w:jc w:val="center"/>
              <w:rPr>
                <w:b/>
                <w:bCs/>
                <w:kern w:val="0"/>
                <w:sz w:val="18"/>
                <w:szCs w:val="21"/>
              </w:rPr>
            </w:pPr>
            <w:r>
              <w:rPr>
                <w:b/>
                <w:bCs/>
                <w:kern w:val="0"/>
                <w:sz w:val="18"/>
                <w:szCs w:val="21"/>
              </w:rPr>
              <w:t>行业名称</w:t>
            </w:r>
          </w:p>
        </w:tc>
        <w:tc>
          <w:tcPr>
            <w:tcW w:w="1369" w:type="dxa"/>
            <w:shd w:val="clear" w:color="auto" w:fill="FFFFFF"/>
            <w:noWrap w:val="0"/>
            <w:vAlign w:val="center"/>
          </w:tcPr>
          <w:p w14:paraId="68C1F626">
            <w:pPr>
              <w:widowControl/>
              <w:jc w:val="center"/>
              <w:rPr>
                <w:b/>
                <w:bCs/>
                <w:kern w:val="0"/>
                <w:sz w:val="18"/>
                <w:szCs w:val="18"/>
              </w:rPr>
            </w:pPr>
            <w:r>
              <w:rPr>
                <w:b/>
                <w:bCs/>
                <w:kern w:val="0"/>
                <w:sz w:val="18"/>
                <w:szCs w:val="18"/>
              </w:rPr>
              <w:t>指标名称</w:t>
            </w:r>
          </w:p>
        </w:tc>
        <w:tc>
          <w:tcPr>
            <w:tcW w:w="709" w:type="dxa"/>
            <w:shd w:val="clear" w:color="auto" w:fill="FFFFFF"/>
            <w:noWrap w:val="0"/>
            <w:vAlign w:val="center"/>
          </w:tcPr>
          <w:p w14:paraId="688DEEBA">
            <w:pPr>
              <w:widowControl/>
              <w:jc w:val="center"/>
              <w:rPr>
                <w:rFonts w:hint="eastAsia"/>
                <w:b/>
                <w:bCs/>
                <w:kern w:val="0"/>
                <w:sz w:val="18"/>
                <w:szCs w:val="18"/>
              </w:rPr>
            </w:pPr>
            <w:r>
              <w:rPr>
                <w:b/>
                <w:bCs/>
                <w:kern w:val="0"/>
                <w:sz w:val="18"/>
                <w:szCs w:val="18"/>
              </w:rPr>
              <w:t>计量</w:t>
            </w:r>
          </w:p>
          <w:p w14:paraId="39A9361C">
            <w:pPr>
              <w:widowControl/>
              <w:jc w:val="center"/>
              <w:rPr>
                <w:b/>
                <w:bCs/>
                <w:kern w:val="0"/>
                <w:sz w:val="18"/>
                <w:szCs w:val="18"/>
              </w:rPr>
            </w:pPr>
            <w:r>
              <w:rPr>
                <w:b/>
                <w:bCs/>
                <w:kern w:val="0"/>
                <w:sz w:val="18"/>
                <w:szCs w:val="18"/>
              </w:rPr>
              <w:t>单位</w:t>
            </w:r>
          </w:p>
        </w:tc>
        <w:tc>
          <w:tcPr>
            <w:tcW w:w="1125" w:type="dxa"/>
            <w:shd w:val="clear" w:color="auto" w:fill="FFFFFF"/>
            <w:noWrap w:val="0"/>
            <w:vAlign w:val="center"/>
          </w:tcPr>
          <w:p w14:paraId="463E6795">
            <w:pPr>
              <w:widowControl/>
              <w:jc w:val="center"/>
              <w:rPr>
                <w:b/>
                <w:bCs/>
                <w:kern w:val="0"/>
                <w:sz w:val="18"/>
                <w:szCs w:val="18"/>
              </w:rPr>
            </w:pPr>
            <w:r>
              <w:rPr>
                <w:b/>
                <w:bCs/>
                <w:kern w:val="0"/>
                <w:sz w:val="18"/>
                <w:szCs w:val="18"/>
              </w:rPr>
              <w:t>大型</w:t>
            </w:r>
          </w:p>
        </w:tc>
        <w:tc>
          <w:tcPr>
            <w:tcW w:w="1701" w:type="dxa"/>
            <w:shd w:val="clear" w:color="auto" w:fill="FFFFFF"/>
            <w:noWrap w:val="0"/>
            <w:vAlign w:val="center"/>
          </w:tcPr>
          <w:p w14:paraId="157F7199">
            <w:pPr>
              <w:widowControl/>
              <w:jc w:val="center"/>
              <w:rPr>
                <w:b/>
                <w:bCs/>
                <w:kern w:val="0"/>
                <w:sz w:val="18"/>
                <w:szCs w:val="18"/>
              </w:rPr>
            </w:pPr>
            <w:r>
              <w:rPr>
                <w:b/>
                <w:bCs/>
                <w:kern w:val="0"/>
                <w:sz w:val="18"/>
                <w:szCs w:val="18"/>
              </w:rPr>
              <w:t>中型</w:t>
            </w:r>
          </w:p>
        </w:tc>
        <w:tc>
          <w:tcPr>
            <w:tcW w:w="1426" w:type="dxa"/>
            <w:shd w:val="clear" w:color="auto" w:fill="FFFFFF"/>
            <w:noWrap w:val="0"/>
            <w:vAlign w:val="center"/>
          </w:tcPr>
          <w:p w14:paraId="1FC83F5F">
            <w:pPr>
              <w:widowControl/>
              <w:jc w:val="center"/>
              <w:rPr>
                <w:b/>
                <w:bCs/>
                <w:kern w:val="0"/>
                <w:sz w:val="18"/>
                <w:szCs w:val="18"/>
              </w:rPr>
            </w:pPr>
            <w:r>
              <w:rPr>
                <w:b/>
                <w:bCs/>
                <w:kern w:val="0"/>
                <w:sz w:val="18"/>
                <w:szCs w:val="18"/>
              </w:rPr>
              <w:t>小型</w:t>
            </w:r>
          </w:p>
        </w:tc>
        <w:tc>
          <w:tcPr>
            <w:tcW w:w="992" w:type="dxa"/>
            <w:shd w:val="clear" w:color="auto" w:fill="FFFFFF"/>
            <w:noWrap w:val="0"/>
            <w:vAlign w:val="center"/>
          </w:tcPr>
          <w:p w14:paraId="0DEB6F31">
            <w:pPr>
              <w:widowControl/>
              <w:jc w:val="center"/>
              <w:rPr>
                <w:b/>
                <w:bCs/>
                <w:kern w:val="0"/>
                <w:sz w:val="18"/>
                <w:szCs w:val="18"/>
              </w:rPr>
            </w:pPr>
            <w:r>
              <w:rPr>
                <w:b/>
                <w:bCs/>
                <w:kern w:val="0"/>
                <w:sz w:val="18"/>
                <w:szCs w:val="18"/>
              </w:rPr>
              <w:t>微型</w:t>
            </w:r>
          </w:p>
        </w:tc>
      </w:tr>
      <w:tr w14:paraId="2993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A5A9C2D">
            <w:pPr>
              <w:widowControl/>
              <w:spacing w:line="240" w:lineRule="exact"/>
              <w:jc w:val="left"/>
              <w:rPr>
                <w:kern w:val="0"/>
                <w:sz w:val="18"/>
                <w:szCs w:val="18"/>
              </w:rPr>
            </w:pPr>
            <w:r>
              <w:rPr>
                <w:kern w:val="0"/>
                <w:sz w:val="18"/>
                <w:szCs w:val="18"/>
              </w:rPr>
              <w:t>农、林、牧、渔业</w:t>
            </w:r>
          </w:p>
        </w:tc>
        <w:tc>
          <w:tcPr>
            <w:tcW w:w="1369" w:type="dxa"/>
            <w:noWrap w:val="0"/>
            <w:vAlign w:val="center"/>
          </w:tcPr>
          <w:p w14:paraId="1DDFDF4A">
            <w:pPr>
              <w:widowControl/>
              <w:jc w:val="center"/>
              <w:rPr>
                <w:kern w:val="0"/>
                <w:sz w:val="18"/>
                <w:szCs w:val="18"/>
              </w:rPr>
            </w:pPr>
            <w:r>
              <w:rPr>
                <w:kern w:val="0"/>
                <w:sz w:val="18"/>
                <w:szCs w:val="18"/>
              </w:rPr>
              <w:t>营业收入(Y)</w:t>
            </w:r>
          </w:p>
        </w:tc>
        <w:tc>
          <w:tcPr>
            <w:tcW w:w="709" w:type="dxa"/>
            <w:noWrap w:val="0"/>
            <w:vAlign w:val="center"/>
          </w:tcPr>
          <w:p w14:paraId="5228B37F">
            <w:pPr>
              <w:widowControl/>
              <w:jc w:val="center"/>
              <w:rPr>
                <w:kern w:val="0"/>
                <w:sz w:val="18"/>
                <w:szCs w:val="18"/>
              </w:rPr>
            </w:pPr>
            <w:r>
              <w:rPr>
                <w:kern w:val="0"/>
                <w:sz w:val="18"/>
                <w:szCs w:val="18"/>
              </w:rPr>
              <w:t>万元</w:t>
            </w:r>
          </w:p>
        </w:tc>
        <w:tc>
          <w:tcPr>
            <w:tcW w:w="1125" w:type="dxa"/>
            <w:noWrap w:val="0"/>
            <w:vAlign w:val="center"/>
          </w:tcPr>
          <w:p w14:paraId="2BBB092C">
            <w:pPr>
              <w:widowControl/>
              <w:jc w:val="center"/>
              <w:rPr>
                <w:kern w:val="0"/>
                <w:sz w:val="18"/>
                <w:szCs w:val="18"/>
              </w:rPr>
            </w:pPr>
            <w:r>
              <w:rPr>
                <w:kern w:val="0"/>
                <w:sz w:val="18"/>
                <w:szCs w:val="18"/>
              </w:rPr>
              <w:t>Y≥20000</w:t>
            </w:r>
          </w:p>
        </w:tc>
        <w:tc>
          <w:tcPr>
            <w:tcW w:w="1701" w:type="dxa"/>
            <w:noWrap w:val="0"/>
            <w:vAlign w:val="center"/>
          </w:tcPr>
          <w:p w14:paraId="540C8EEC">
            <w:pPr>
              <w:widowControl/>
              <w:jc w:val="center"/>
              <w:rPr>
                <w:kern w:val="0"/>
                <w:sz w:val="18"/>
                <w:szCs w:val="18"/>
              </w:rPr>
            </w:pPr>
            <w:r>
              <w:rPr>
                <w:kern w:val="0"/>
                <w:sz w:val="18"/>
                <w:szCs w:val="18"/>
              </w:rPr>
              <w:t>500≤Y＜20000</w:t>
            </w:r>
          </w:p>
        </w:tc>
        <w:tc>
          <w:tcPr>
            <w:tcW w:w="1426" w:type="dxa"/>
            <w:noWrap w:val="0"/>
            <w:vAlign w:val="center"/>
          </w:tcPr>
          <w:p w14:paraId="3F0DCB91">
            <w:pPr>
              <w:widowControl/>
              <w:jc w:val="center"/>
              <w:rPr>
                <w:kern w:val="0"/>
                <w:sz w:val="18"/>
                <w:szCs w:val="18"/>
              </w:rPr>
            </w:pPr>
            <w:r>
              <w:rPr>
                <w:kern w:val="0"/>
                <w:sz w:val="18"/>
                <w:szCs w:val="18"/>
              </w:rPr>
              <w:t>50≤Y＜500</w:t>
            </w:r>
          </w:p>
        </w:tc>
        <w:tc>
          <w:tcPr>
            <w:tcW w:w="992" w:type="dxa"/>
            <w:noWrap w:val="0"/>
            <w:vAlign w:val="center"/>
          </w:tcPr>
          <w:p w14:paraId="5E8814C9">
            <w:pPr>
              <w:widowControl/>
              <w:jc w:val="center"/>
              <w:rPr>
                <w:kern w:val="0"/>
                <w:sz w:val="18"/>
                <w:szCs w:val="18"/>
              </w:rPr>
            </w:pPr>
            <w:r>
              <w:rPr>
                <w:kern w:val="0"/>
                <w:sz w:val="18"/>
                <w:szCs w:val="18"/>
              </w:rPr>
              <w:t>Y＜50</w:t>
            </w:r>
          </w:p>
        </w:tc>
      </w:tr>
      <w:tr w14:paraId="01FE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6085AF">
            <w:pPr>
              <w:widowControl/>
              <w:spacing w:line="240" w:lineRule="exact"/>
              <w:jc w:val="left"/>
              <w:rPr>
                <w:rFonts w:hint="eastAsia"/>
                <w:kern w:val="0"/>
                <w:sz w:val="18"/>
                <w:szCs w:val="18"/>
              </w:rPr>
            </w:pPr>
            <w:r>
              <w:rPr>
                <w:kern w:val="0"/>
                <w:sz w:val="18"/>
                <w:szCs w:val="18"/>
              </w:rPr>
              <w:t xml:space="preserve">工业 </w:t>
            </w:r>
            <w:r>
              <w:rPr>
                <w:rFonts w:hint="eastAsia" w:ascii="宋体" w:hAnsi="宋体" w:cs="宋体"/>
                <w:kern w:val="0"/>
                <w:sz w:val="18"/>
                <w:szCs w:val="18"/>
              </w:rPr>
              <w:t>※</w:t>
            </w:r>
          </w:p>
        </w:tc>
        <w:tc>
          <w:tcPr>
            <w:tcW w:w="1369" w:type="dxa"/>
            <w:noWrap w:val="0"/>
            <w:vAlign w:val="center"/>
          </w:tcPr>
          <w:p w14:paraId="7300A90E">
            <w:pPr>
              <w:widowControl/>
              <w:jc w:val="center"/>
              <w:rPr>
                <w:kern w:val="0"/>
                <w:sz w:val="18"/>
                <w:szCs w:val="18"/>
              </w:rPr>
            </w:pPr>
            <w:r>
              <w:rPr>
                <w:kern w:val="0"/>
                <w:sz w:val="18"/>
                <w:szCs w:val="18"/>
              </w:rPr>
              <w:t>从业人员(X)</w:t>
            </w:r>
          </w:p>
        </w:tc>
        <w:tc>
          <w:tcPr>
            <w:tcW w:w="709" w:type="dxa"/>
            <w:noWrap w:val="0"/>
            <w:vAlign w:val="center"/>
          </w:tcPr>
          <w:p w14:paraId="351961EF">
            <w:pPr>
              <w:widowControl/>
              <w:jc w:val="center"/>
              <w:rPr>
                <w:kern w:val="0"/>
                <w:sz w:val="18"/>
                <w:szCs w:val="18"/>
              </w:rPr>
            </w:pPr>
            <w:r>
              <w:rPr>
                <w:kern w:val="0"/>
                <w:sz w:val="18"/>
                <w:szCs w:val="18"/>
              </w:rPr>
              <w:t>人</w:t>
            </w:r>
          </w:p>
        </w:tc>
        <w:tc>
          <w:tcPr>
            <w:tcW w:w="1125" w:type="dxa"/>
            <w:noWrap w:val="0"/>
            <w:vAlign w:val="center"/>
          </w:tcPr>
          <w:p w14:paraId="76C463D8">
            <w:pPr>
              <w:widowControl/>
              <w:jc w:val="center"/>
              <w:rPr>
                <w:kern w:val="0"/>
                <w:sz w:val="18"/>
                <w:szCs w:val="18"/>
              </w:rPr>
            </w:pPr>
            <w:r>
              <w:rPr>
                <w:kern w:val="0"/>
                <w:sz w:val="18"/>
                <w:szCs w:val="18"/>
              </w:rPr>
              <w:t>X≥1000</w:t>
            </w:r>
          </w:p>
        </w:tc>
        <w:tc>
          <w:tcPr>
            <w:tcW w:w="1701" w:type="dxa"/>
            <w:noWrap w:val="0"/>
            <w:vAlign w:val="center"/>
          </w:tcPr>
          <w:p w14:paraId="34E2F0CB">
            <w:pPr>
              <w:widowControl/>
              <w:jc w:val="center"/>
              <w:rPr>
                <w:kern w:val="0"/>
                <w:sz w:val="18"/>
                <w:szCs w:val="18"/>
              </w:rPr>
            </w:pPr>
            <w:r>
              <w:rPr>
                <w:kern w:val="0"/>
                <w:sz w:val="18"/>
                <w:szCs w:val="18"/>
              </w:rPr>
              <w:t>300≤X＜1000</w:t>
            </w:r>
          </w:p>
        </w:tc>
        <w:tc>
          <w:tcPr>
            <w:tcW w:w="1426" w:type="dxa"/>
            <w:noWrap w:val="0"/>
            <w:vAlign w:val="center"/>
          </w:tcPr>
          <w:p w14:paraId="0ECBA33A">
            <w:pPr>
              <w:widowControl/>
              <w:jc w:val="center"/>
              <w:rPr>
                <w:kern w:val="0"/>
                <w:sz w:val="18"/>
                <w:szCs w:val="18"/>
              </w:rPr>
            </w:pPr>
            <w:r>
              <w:rPr>
                <w:kern w:val="0"/>
                <w:sz w:val="18"/>
                <w:szCs w:val="18"/>
              </w:rPr>
              <w:t>20≤X＜300</w:t>
            </w:r>
          </w:p>
        </w:tc>
        <w:tc>
          <w:tcPr>
            <w:tcW w:w="992" w:type="dxa"/>
            <w:noWrap w:val="0"/>
            <w:vAlign w:val="center"/>
          </w:tcPr>
          <w:p w14:paraId="57A9540E">
            <w:pPr>
              <w:widowControl/>
              <w:jc w:val="center"/>
              <w:rPr>
                <w:kern w:val="0"/>
                <w:sz w:val="18"/>
                <w:szCs w:val="18"/>
              </w:rPr>
            </w:pPr>
            <w:r>
              <w:rPr>
                <w:kern w:val="0"/>
                <w:sz w:val="18"/>
                <w:szCs w:val="18"/>
              </w:rPr>
              <w:t>X＜20</w:t>
            </w:r>
          </w:p>
        </w:tc>
      </w:tr>
      <w:tr w14:paraId="66C9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15D4DE">
            <w:pPr>
              <w:widowControl/>
              <w:jc w:val="left"/>
              <w:rPr>
                <w:kern w:val="0"/>
                <w:sz w:val="18"/>
                <w:szCs w:val="18"/>
              </w:rPr>
            </w:pPr>
          </w:p>
        </w:tc>
        <w:tc>
          <w:tcPr>
            <w:tcW w:w="1369" w:type="dxa"/>
            <w:noWrap w:val="0"/>
            <w:vAlign w:val="center"/>
          </w:tcPr>
          <w:p w14:paraId="378DC606">
            <w:pPr>
              <w:widowControl/>
              <w:spacing w:line="240" w:lineRule="exact"/>
              <w:jc w:val="center"/>
              <w:rPr>
                <w:kern w:val="0"/>
                <w:sz w:val="18"/>
                <w:szCs w:val="18"/>
              </w:rPr>
            </w:pPr>
            <w:r>
              <w:rPr>
                <w:kern w:val="0"/>
                <w:sz w:val="18"/>
                <w:szCs w:val="18"/>
              </w:rPr>
              <w:t>营业收入(Y)</w:t>
            </w:r>
          </w:p>
        </w:tc>
        <w:tc>
          <w:tcPr>
            <w:tcW w:w="709" w:type="dxa"/>
            <w:noWrap w:val="0"/>
            <w:vAlign w:val="center"/>
          </w:tcPr>
          <w:p w14:paraId="34BFEA56">
            <w:pPr>
              <w:widowControl/>
              <w:jc w:val="center"/>
              <w:rPr>
                <w:kern w:val="0"/>
                <w:sz w:val="18"/>
                <w:szCs w:val="18"/>
              </w:rPr>
            </w:pPr>
            <w:r>
              <w:rPr>
                <w:kern w:val="0"/>
                <w:sz w:val="18"/>
                <w:szCs w:val="18"/>
              </w:rPr>
              <w:t>万元</w:t>
            </w:r>
          </w:p>
        </w:tc>
        <w:tc>
          <w:tcPr>
            <w:tcW w:w="1125" w:type="dxa"/>
            <w:noWrap w:val="0"/>
            <w:vAlign w:val="center"/>
          </w:tcPr>
          <w:p w14:paraId="3E5DC3D3">
            <w:pPr>
              <w:widowControl/>
              <w:jc w:val="center"/>
              <w:rPr>
                <w:kern w:val="0"/>
                <w:sz w:val="18"/>
                <w:szCs w:val="18"/>
              </w:rPr>
            </w:pPr>
            <w:r>
              <w:rPr>
                <w:kern w:val="0"/>
                <w:sz w:val="18"/>
                <w:szCs w:val="18"/>
              </w:rPr>
              <w:t>Y≥40000</w:t>
            </w:r>
          </w:p>
        </w:tc>
        <w:tc>
          <w:tcPr>
            <w:tcW w:w="1701" w:type="dxa"/>
            <w:noWrap w:val="0"/>
            <w:vAlign w:val="center"/>
          </w:tcPr>
          <w:p w14:paraId="0DEE3F67">
            <w:pPr>
              <w:widowControl/>
              <w:jc w:val="center"/>
              <w:rPr>
                <w:kern w:val="0"/>
                <w:sz w:val="18"/>
                <w:szCs w:val="18"/>
              </w:rPr>
            </w:pPr>
            <w:r>
              <w:rPr>
                <w:kern w:val="0"/>
                <w:sz w:val="18"/>
                <w:szCs w:val="18"/>
              </w:rPr>
              <w:t>2000≤Y＜40000</w:t>
            </w:r>
          </w:p>
        </w:tc>
        <w:tc>
          <w:tcPr>
            <w:tcW w:w="1426" w:type="dxa"/>
            <w:noWrap w:val="0"/>
            <w:vAlign w:val="center"/>
          </w:tcPr>
          <w:p w14:paraId="148FEFB4">
            <w:pPr>
              <w:widowControl/>
              <w:jc w:val="center"/>
              <w:rPr>
                <w:kern w:val="0"/>
                <w:sz w:val="18"/>
                <w:szCs w:val="18"/>
              </w:rPr>
            </w:pPr>
            <w:r>
              <w:rPr>
                <w:kern w:val="0"/>
                <w:sz w:val="18"/>
                <w:szCs w:val="18"/>
              </w:rPr>
              <w:t>300≤Y＜2000</w:t>
            </w:r>
          </w:p>
        </w:tc>
        <w:tc>
          <w:tcPr>
            <w:tcW w:w="992" w:type="dxa"/>
            <w:noWrap w:val="0"/>
            <w:vAlign w:val="center"/>
          </w:tcPr>
          <w:p w14:paraId="6CE7B26D">
            <w:pPr>
              <w:widowControl/>
              <w:jc w:val="center"/>
              <w:rPr>
                <w:kern w:val="0"/>
                <w:sz w:val="18"/>
                <w:szCs w:val="18"/>
              </w:rPr>
            </w:pPr>
            <w:r>
              <w:rPr>
                <w:kern w:val="0"/>
                <w:sz w:val="18"/>
                <w:szCs w:val="18"/>
              </w:rPr>
              <w:t>Y＜300</w:t>
            </w:r>
          </w:p>
        </w:tc>
      </w:tr>
      <w:tr w14:paraId="3F0F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ED47628">
            <w:pPr>
              <w:widowControl/>
              <w:spacing w:line="240" w:lineRule="exact"/>
              <w:jc w:val="left"/>
              <w:rPr>
                <w:kern w:val="0"/>
                <w:sz w:val="18"/>
                <w:szCs w:val="18"/>
              </w:rPr>
            </w:pPr>
            <w:r>
              <w:rPr>
                <w:kern w:val="0"/>
                <w:sz w:val="18"/>
                <w:szCs w:val="18"/>
              </w:rPr>
              <w:t>建筑业</w:t>
            </w:r>
          </w:p>
        </w:tc>
        <w:tc>
          <w:tcPr>
            <w:tcW w:w="1369" w:type="dxa"/>
            <w:noWrap w:val="0"/>
            <w:vAlign w:val="center"/>
          </w:tcPr>
          <w:p w14:paraId="092A17A0">
            <w:pPr>
              <w:widowControl/>
              <w:jc w:val="center"/>
              <w:rPr>
                <w:kern w:val="0"/>
                <w:sz w:val="18"/>
                <w:szCs w:val="18"/>
              </w:rPr>
            </w:pPr>
            <w:r>
              <w:rPr>
                <w:kern w:val="0"/>
                <w:sz w:val="18"/>
                <w:szCs w:val="18"/>
              </w:rPr>
              <w:t>营业收入(Y)</w:t>
            </w:r>
          </w:p>
        </w:tc>
        <w:tc>
          <w:tcPr>
            <w:tcW w:w="709" w:type="dxa"/>
            <w:noWrap w:val="0"/>
            <w:vAlign w:val="center"/>
          </w:tcPr>
          <w:p w14:paraId="4732F686">
            <w:pPr>
              <w:widowControl/>
              <w:jc w:val="center"/>
              <w:rPr>
                <w:kern w:val="0"/>
                <w:sz w:val="18"/>
                <w:szCs w:val="18"/>
              </w:rPr>
            </w:pPr>
            <w:r>
              <w:rPr>
                <w:kern w:val="0"/>
                <w:sz w:val="18"/>
                <w:szCs w:val="18"/>
              </w:rPr>
              <w:t>万元</w:t>
            </w:r>
          </w:p>
        </w:tc>
        <w:tc>
          <w:tcPr>
            <w:tcW w:w="1125" w:type="dxa"/>
            <w:noWrap w:val="0"/>
            <w:vAlign w:val="center"/>
          </w:tcPr>
          <w:p w14:paraId="54A1CC39">
            <w:pPr>
              <w:widowControl/>
              <w:jc w:val="center"/>
              <w:rPr>
                <w:kern w:val="0"/>
                <w:sz w:val="18"/>
                <w:szCs w:val="18"/>
              </w:rPr>
            </w:pPr>
            <w:r>
              <w:rPr>
                <w:kern w:val="0"/>
                <w:sz w:val="18"/>
                <w:szCs w:val="18"/>
              </w:rPr>
              <w:t>Y≥80000</w:t>
            </w:r>
          </w:p>
        </w:tc>
        <w:tc>
          <w:tcPr>
            <w:tcW w:w="1701" w:type="dxa"/>
            <w:noWrap w:val="0"/>
            <w:vAlign w:val="center"/>
          </w:tcPr>
          <w:p w14:paraId="03624D3F">
            <w:pPr>
              <w:widowControl/>
              <w:jc w:val="center"/>
              <w:rPr>
                <w:kern w:val="0"/>
                <w:sz w:val="18"/>
                <w:szCs w:val="18"/>
              </w:rPr>
            </w:pPr>
            <w:r>
              <w:rPr>
                <w:kern w:val="0"/>
                <w:sz w:val="18"/>
                <w:szCs w:val="18"/>
              </w:rPr>
              <w:t>6000≤Y＜80000</w:t>
            </w:r>
          </w:p>
        </w:tc>
        <w:tc>
          <w:tcPr>
            <w:tcW w:w="1426" w:type="dxa"/>
            <w:noWrap w:val="0"/>
            <w:vAlign w:val="center"/>
          </w:tcPr>
          <w:p w14:paraId="6A4DC62B">
            <w:pPr>
              <w:widowControl/>
              <w:jc w:val="center"/>
              <w:rPr>
                <w:kern w:val="0"/>
                <w:sz w:val="18"/>
                <w:szCs w:val="18"/>
              </w:rPr>
            </w:pPr>
            <w:r>
              <w:rPr>
                <w:kern w:val="0"/>
                <w:sz w:val="18"/>
                <w:szCs w:val="18"/>
              </w:rPr>
              <w:t>300≤Y＜6000</w:t>
            </w:r>
          </w:p>
        </w:tc>
        <w:tc>
          <w:tcPr>
            <w:tcW w:w="992" w:type="dxa"/>
            <w:noWrap w:val="0"/>
            <w:vAlign w:val="center"/>
          </w:tcPr>
          <w:p w14:paraId="5877BFAC">
            <w:pPr>
              <w:widowControl/>
              <w:jc w:val="center"/>
              <w:rPr>
                <w:kern w:val="0"/>
                <w:sz w:val="18"/>
                <w:szCs w:val="18"/>
              </w:rPr>
            </w:pPr>
            <w:r>
              <w:rPr>
                <w:kern w:val="0"/>
                <w:sz w:val="18"/>
                <w:szCs w:val="18"/>
              </w:rPr>
              <w:t>Y＜300</w:t>
            </w:r>
          </w:p>
        </w:tc>
      </w:tr>
      <w:tr w14:paraId="3204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79377FD">
            <w:pPr>
              <w:widowControl/>
              <w:jc w:val="left"/>
              <w:rPr>
                <w:kern w:val="0"/>
                <w:sz w:val="18"/>
                <w:szCs w:val="18"/>
              </w:rPr>
            </w:pPr>
          </w:p>
        </w:tc>
        <w:tc>
          <w:tcPr>
            <w:tcW w:w="1369" w:type="dxa"/>
            <w:noWrap w:val="0"/>
            <w:vAlign w:val="center"/>
          </w:tcPr>
          <w:p w14:paraId="373A0A52">
            <w:pPr>
              <w:widowControl/>
              <w:spacing w:line="240" w:lineRule="exact"/>
              <w:jc w:val="center"/>
              <w:rPr>
                <w:kern w:val="0"/>
                <w:sz w:val="18"/>
                <w:szCs w:val="18"/>
              </w:rPr>
            </w:pPr>
            <w:r>
              <w:rPr>
                <w:kern w:val="0"/>
                <w:sz w:val="18"/>
                <w:szCs w:val="18"/>
              </w:rPr>
              <w:t>资产总额(Z)</w:t>
            </w:r>
          </w:p>
        </w:tc>
        <w:tc>
          <w:tcPr>
            <w:tcW w:w="709" w:type="dxa"/>
            <w:noWrap w:val="0"/>
            <w:vAlign w:val="center"/>
          </w:tcPr>
          <w:p w14:paraId="715847CD">
            <w:pPr>
              <w:widowControl/>
              <w:jc w:val="center"/>
              <w:rPr>
                <w:kern w:val="0"/>
                <w:sz w:val="18"/>
                <w:szCs w:val="18"/>
              </w:rPr>
            </w:pPr>
            <w:r>
              <w:rPr>
                <w:kern w:val="0"/>
                <w:sz w:val="18"/>
                <w:szCs w:val="18"/>
              </w:rPr>
              <w:t>万元</w:t>
            </w:r>
          </w:p>
        </w:tc>
        <w:tc>
          <w:tcPr>
            <w:tcW w:w="1125" w:type="dxa"/>
            <w:noWrap w:val="0"/>
            <w:vAlign w:val="center"/>
          </w:tcPr>
          <w:p w14:paraId="7C1D1667">
            <w:pPr>
              <w:widowControl/>
              <w:jc w:val="center"/>
              <w:rPr>
                <w:kern w:val="0"/>
                <w:sz w:val="18"/>
                <w:szCs w:val="18"/>
              </w:rPr>
            </w:pPr>
            <w:r>
              <w:rPr>
                <w:kern w:val="0"/>
                <w:sz w:val="18"/>
                <w:szCs w:val="18"/>
              </w:rPr>
              <w:t>Z≥80000</w:t>
            </w:r>
          </w:p>
        </w:tc>
        <w:tc>
          <w:tcPr>
            <w:tcW w:w="1701" w:type="dxa"/>
            <w:noWrap w:val="0"/>
            <w:vAlign w:val="center"/>
          </w:tcPr>
          <w:p w14:paraId="06B3BD83">
            <w:pPr>
              <w:widowControl/>
              <w:jc w:val="center"/>
              <w:rPr>
                <w:kern w:val="0"/>
                <w:sz w:val="18"/>
                <w:szCs w:val="18"/>
              </w:rPr>
            </w:pPr>
            <w:r>
              <w:rPr>
                <w:kern w:val="0"/>
                <w:sz w:val="18"/>
                <w:szCs w:val="18"/>
              </w:rPr>
              <w:t>5000≤Z＜80000</w:t>
            </w:r>
          </w:p>
        </w:tc>
        <w:tc>
          <w:tcPr>
            <w:tcW w:w="1426" w:type="dxa"/>
            <w:noWrap w:val="0"/>
            <w:vAlign w:val="center"/>
          </w:tcPr>
          <w:p w14:paraId="369FEE9A">
            <w:pPr>
              <w:widowControl/>
              <w:jc w:val="center"/>
              <w:rPr>
                <w:kern w:val="0"/>
                <w:sz w:val="18"/>
                <w:szCs w:val="18"/>
              </w:rPr>
            </w:pPr>
            <w:r>
              <w:rPr>
                <w:kern w:val="0"/>
                <w:sz w:val="18"/>
                <w:szCs w:val="18"/>
              </w:rPr>
              <w:t>300≤Z＜5000</w:t>
            </w:r>
          </w:p>
        </w:tc>
        <w:tc>
          <w:tcPr>
            <w:tcW w:w="992" w:type="dxa"/>
            <w:noWrap w:val="0"/>
            <w:vAlign w:val="center"/>
          </w:tcPr>
          <w:p w14:paraId="48F10B76">
            <w:pPr>
              <w:widowControl/>
              <w:jc w:val="center"/>
              <w:rPr>
                <w:kern w:val="0"/>
                <w:sz w:val="18"/>
                <w:szCs w:val="18"/>
              </w:rPr>
            </w:pPr>
            <w:r>
              <w:rPr>
                <w:kern w:val="0"/>
                <w:sz w:val="18"/>
                <w:szCs w:val="18"/>
              </w:rPr>
              <w:t>Z＜300</w:t>
            </w:r>
          </w:p>
        </w:tc>
      </w:tr>
      <w:tr w14:paraId="222E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B1A4AE1">
            <w:pPr>
              <w:widowControl/>
              <w:spacing w:line="240" w:lineRule="exact"/>
              <w:jc w:val="left"/>
              <w:rPr>
                <w:kern w:val="0"/>
                <w:sz w:val="18"/>
                <w:szCs w:val="18"/>
              </w:rPr>
            </w:pPr>
            <w:r>
              <w:rPr>
                <w:kern w:val="0"/>
                <w:sz w:val="18"/>
                <w:szCs w:val="18"/>
              </w:rPr>
              <w:t>批发业</w:t>
            </w:r>
          </w:p>
        </w:tc>
        <w:tc>
          <w:tcPr>
            <w:tcW w:w="1369" w:type="dxa"/>
            <w:noWrap w:val="0"/>
            <w:vAlign w:val="center"/>
          </w:tcPr>
          <w:p w14:paraId="61770469">
            <w:pPr>
              <w:widowControl/>
              <w:jc w:val="center"/>
              <w:rPr>
                <w:kern w:val="0"/>
                <w:sz w:val="18"/>
                <w:szCs w:val="18"/>
              </w:rPr>
            </w:pPr>
            <w:r>
              <w:rPr>
                <w:kern w:val="0"/>
                <w:sz w:val="18"/>
                <w:szCs w:val="18"/>
              </w:rPr>
              <w:t>从业人员(X)</w:t>
            </w:r>
          </w:p>
        </w:tc>
        <w:tc>
          <w:tcPr>
            <w:tcW w:w="709" w:type="dxa"/>
            <w:noWrap w:val="0"/>
            <w:vAlign w:val="center"/>
          </w:tcPr>
          <w:p w14:paraId="25E2ED8F">
            <w:pPr>
              <w:widowControl/>
              <w:jc w:val="center"/>
              <w:rPr>
                <w:kern w:val="0"/>
                <w:sz w:val="18"/>
                <w:szCs w:val="18"/>
              </w:rPr>
            </w:pPr>
            <w:r>
              <w:rPr>
                <w:kern w:val="0"/>
                <w:sz w:val="18"/>
                <w:szCs w:val="18"/>
              </w:rPr>
              <w:t>人</w:t>
            </w:r>
          </w:p>
        </w:tc>
        <w:tc>
          <w:tcPr>
            <w:tcW w:w="1125" w:type="dxa"/>
            <w:noWrap w:val="0"/>
            <w:vAlign w:val="center"/>
          </w:tcPr>
          <w:p w14:paraId="17C901FF">
            <w:pPr>
              <w:widowControl/>
              <w:jc w:val="center"/>
              <w:rPr>
                <w:kern w:val="0"/>
                <w:sz w:val="18"/>
                <w:szCs w:val="18"/>
              </w:rPr>
            </w:pPr>
            <w:r>
              <w:rPr>
                <w:kern w:val="0"/>
                <w:sz w:val="18"/>
                <w:szCs w:val="18"/>
              </w:rPr>
              <w:t>X≥200</w:t>
            </w:r>
          </w:p>
        </w:tc>
        <w:tc>
          <w:tcPr>
            <w:tcW w:w="1701" w:type="dxa"/>
            <w:noWrap w:val="0"/>
            <w:vAlign w:val="center"/>
          </w:tcPr>
          <w:p w14:paraId="034ACCDB">
            <w:pPr>
              <w:widowControl/>
              <w:jc w:val="center"/>
              <w:rPr>
                <w:kern w:val="0"/>
                <w:sz w:val="18"/>
                <w:szCs w:val="18"/>
              </w:rPr>
            </w:pPr>
            <w:r>
              <w:rPr>
                <w:kern w:val="0"/>
                <w:sz w:val="18"/>
                <w:szCs w:val="18"/>
              </w:rPr>
              <w:t>20≤X＜200</w:t>
            </w:r>
          </w:p>
        </w:tc>
        <w:tc>
          <w:tcPr>
            <w:tcW w:w="1426" w:type="dxa"/>
            <w:noWrap w:val="0"/>
            <w:vAlign w:val="center"/>
          </w:tcPr>
          <w:p w14:paraId="739708D4">
            <w:pPr>
              <w:widowControl/>
              <w:jc w:val="center"/>
              <w:rPr>
                <w:kern w:val="0"/>
                <w:sz w:val="18"/>
                <w:szCs w:val="18"/>
              </w:rPr>
            </w:pPr>
            <w:r>
              <w:rPr>
                <w:kern w:val="0"/>
                <w:sz w:val="18"/>
                <w:szCs w:val="18"/>
              </w:rPr>
              <w:t>5≤X＜20</w:t>
            </w:r>
          </w:p>
        </w:tc>
        <w:tc>
          <w:tcPr>
            <w:tcW w:w="992" w:type="dxa"/>
            <w:noWrap w:val="0"/>
            <w:vAlign w:val="center"/>
          </w:tcPr>
          <w:p w14:paraId="2F9B851F">
            <w:pPr>
              <w:widowControl/>
              <w:jc w:val="center"/>
              <w:rPr>
                <w:kern w:val="0"/>
                <w:sz w:val="18"/>
                <w:szCs w:val="18"/>
              </w:rPr>
            </w:pPr>
            <w:r>
              <w:rPr>
                <w:kern w:val="0"/>
                <w:sz w:val="18"/>
                <w:szCs w:val="18"/>
              </w:rPr>
              <w:t>X＜5</w:t>
            </w:r>
          </w:p>
        </w:tc>
      </w:tr>
      <w:tr w14:paraId="4342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E07309">
            <w:pPr>
              <w:widowControl/>
              <w:jc w:val="left"/>
              <w:rPr>
                <w:kern w:val="0"/>
                <w:sz w:val="18"/>
                <w:szCs w:val="18"/>
              </w:rPr>
            </w:pPr>
          </w:p>
        </w:tc>
        <w:tc>
          <w:tcPr>
            <w:tcW w:w="1369" w:type="dxa"/>
            <w:noWrap w:val="0"/>
            <w:vAlign w:val="center"/>
          </w:tcPr>
          <w:p w14:paraId="085FB178">
            <w:pPr>
              <w:widowControl/>
              <w:spacing w:line="240" w:lineRule="exact"/>
              <w:jc w:val="center"/>
              <w:rPr>
                <w:kern w:val="0"/>
                <w:sz w:val="18"/>
                <w:szCs w:val="18"/>
              </w:rPr>
            </w:pPr>
            <w:r>
              <w:rPr>
                <w:kern w:val="0"/>
                <w:sz w:val="18"/>
                <w:szCs w:val="18"/>
              </w:rPr>
              <w:t>营业收入(Y)</w:t>
            </w:r>
          </w:p>
        </w:tc>
        <w:tc>
          <w:tcPr>
            <w:tcW w:w="709" w:type="dxa"/>
            <w:noWrap w:val="0"/>
            <w:vAlign w:val="center"/>
          </w:tcPr>
          <w:p w14:paraId="64F267F0">
            <w:pPr>
              <w:widowControl/>
              <w:jc w:val="center"/>
              <w:rPr>
                <w:kern w:val="0"/>
                <w:sz w:val="18"/>
                <w:szCs w:val="18"/>
              </w:rPr>
            </w:pPr>
            <w:r>
              <w:rPr>
                <w:kern w:val="0"/>
                <w:sz w:val="18"/>
                <w:szCs w:val="18"/>
              </w:rPr>
              <w:t>万元</w:t>
            </w:r>
          </w:p>
        </w:tc>
        <w:tc>
          <w:tcPr>
            <w:tcW w:w="1125" w:type="dxa"/>
            <w:noWrap w:val="0"/>
            <w:vAlign w:val="center"/>
          </w:tcPr>
          <w:p w14:paraId="0A57AA5A">
            <w:pPr>
              <w:widowControl/>
              <w:jc w:val="center"/>
              <w:rPr>
                <w:kern w:val="0"/>
                <w:sz w:val="18"/>
                <w:szCs w:val="18"/>
              </w:rPr>
            </w:pPr>
            <w:r>
              <w:rPr>
                <w:kern w:val="0"/>
                <w:sz w:val="18"/>
                <w:szCs w:val="18"/>
              </w:rPr>
              <w:t>Y≥40000</w:t>
            </w:r>
          </w:p>
        </w:tc>
        <w:tc>
          <w:tcPr>
            <w:tcW w:w="1701" w:type="dxa"/>
            <w:noWrap w:val="0"/>
            <w:vAlign w:val="center"/>
          </w:tcPr>
          <w:p w14:paraId="4D19C64D">
            <w:pPr>
              <w:widowControl/>
              <w:jc w:val="center"/>
              <w:rPr>
                <w:kern w:val="0"/>
                <w:sz w:val="18"/>
                <w:szCs w:val="18"/>
              </w:rPr>
            </w:pPr>
            <w:r>
              <w:rPr>
                <w:kern w:val="0"/>
                <w:sz w:val="18"/>
                <w:szCs w:val="18"/>
              </w:rPr>
              <w:t>5000≤Y＜40000</w:t>
            </w:r>
          </w:p>
        </w:tc>
        <w:tc>
          <w:tcPr>
            <w:tcW w:w="1426" w:type="dxa"/>
            <w:noWrap w:val="0"/>
            <w:vAlign w:val="center"/>
          </w:tcPr>
          <w:p w14:paraId="755CCD40">
            <w:pPr>
              <w:widowControl/>
              <w:ind w:left="-1" w:leftChars="-1" w:hanging="1"/>
              <w:jc w:val="center"/>
              <w:rPr>
                <w:kern w:val="0"/>
                <w:sz w:val="18"/>
                <w:szCs w:val="18"/>
              </w:rPr>
            </w:pPr>
            <w:r>
              <w:rPr>
                <w:kern w:val="0"/>
                <w:sz w:val="18"/>
                <w:szCs w:val="18"/>
              </w:rPr>
              <w:t>1000≤Y＜5000</w:t>
            </w:r>
          </w:p>
        </w:tc>
        <w:tc>
          <w:tcPr>
            <w:tcW w:w="992" w:type="dxa"/>
            <w:noWrap w:val="0"/>
            <w:vAlign w:val="center"/>
          </w:tcPr>
          <w:p w14:paraId="6539DA0E">
            <w:pPr>
              <w:widowControl/>
              <w:jc w:val="center"/>
              <w:rPr>
                <w:kern w:val="0"/>
                <w:sz w:val="18"/>
                <w:szCs w:val="18"/>
              </w:rPr>
            </w:pPr>
            <w:r>
              <w:rPr>
                <w:kern w:val="0"/>
                <w:sz w:val="18"/>
                <w:szCs w:val="18"/>
              </w:rPr>
              <w:t>Y＜1000</w:t>
            </w:r>
          </w:p>
        </w:tc>
      </w:tr>
      <w:tr w14:paraId="1297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D48666B">
            <w:pPr>
              <w:widowControl/>
              <w:spacing w:line="240" w:lineRule="exact"/>
              <w:jc w:val="left"/>
              <w:rPr>
                <w:kern w:val="0"/>
                <w:sz w:val="18"/>
                <w:szCs w:val="18"/>
              </w:rPr>
            </w:pPr>
            <w:r>
              <w:rPr>
                <w:kern w:val="0"/>
                <w:sz w:val="18"/>
                <w:szCs w:val="18"/>
              </w:rPr>
              <w:t>零售业</w:t>
            </w:r>
          </w:p>
        </w:tc>
        <w:tc>
          <w:tcPr>
            <w:tcW w:w="1369" w:type="dxa"/>
            <w:noWrap w:val="0"/>
            <w:vAlign w:val="center"/>
          </w:tcPr>
          <w:p w14:paraId="4B57A92E">
            <w:pPr>
              <w:widowControl/>
              <w:jc w:val="center"/>
              <w:rPr>
                <w:kern w:val="0"/>
                <w:sz w:val="18"/>
                <w:szCs w:val="18"/>
              </w:rPr>
            </w:pPr>
            <w:r>
              <w:rPr>
                <w:kern w:val="0"/>
                <w:sz w:val="18"/>
                <w:szCs w:val="18"/>
              </w:rPr>
              <w:t>从业人员(X)</w:t>
            </w:r>
          </w:p>
        </w:tc>
        <w:tc>
          <w:tcPr>
            <w:tcW w:w="709" w:type="dxa"/>
            <w:noWrap w:val="0"/>
            <w:vAlign w:val="center"/>
          </w:tcPr>
          <w:p w14:paraId="58A578D3">
            <w:pPr>
              <w:widowControl/>
              <w:jc w:val="center"/>
              <w:rPr>
                <w:kern w:val="0"/>
                <w:sz w:val="18"/>
                <w:szCs w:val="18"/>
              </w:rPr>
            </w:pPr>
            <w:r>
              <w:rPr>
                <w:kern w:val="0"/>
                <w:sz w:val="18"/>
                <w:szCs w:val="18"/>
              </w:rPr>
              <w:t>人</w:t>
            </w:r>
          </w:p>
        </w:tc>
        <w:tc>
          <w:tcPr>
            <w:tcW w:w="1125" w:type="dxa"/>
            <w:noWrap w:val="0"/>
            <w:vAlign w:val="center"/>
          </w:tcPr>
          <w:p w14:paraId="2C302486">
            <w:pPr>
              <w:widowControl/>
              <w:jc w:val="center"/>
              <w:rPr>
                <w:kern w:val="0"/>
                <w:sz w:val="18"/>
                <w:szCs w:val="18"/>
              </w:rPr>
            </w:pPr>
            <w:r>
              <w:rPr>
                <w:kern w:val="0"/>
                <w:sz w:val="18"/>
                <w:szCs w:val="18"/>
              </w:rPr>
              <w:t>X≥300</w:t>
            </w:r>
          </w:p>
        </w:tc>
        <w:tc>
          <w:tcPr>
            <w:tcW w:w="1701" w:type="dxa"/>
            <w:noWrap w:val="0"/>
            <w:vAlign w:val="center"/>
          </w:tcPr>
          <w:p w14:paraId="5EB6A679">
            <w:pPr>
              <w:widowControl/>
              <w:jc w:val="center"/>
              <w:rPr>
                <w:kern w:val="0"/>
                <w:sz w:val="18"/>
                <w:szCs w:val="18"/>
              </w:rPr>
            </w:pPr>
            <w:r>
              <w:rPr>
                <w:kern w:val="0"/>
                <w:sz w:val="18"/>
                <w:szCs w:val="18"/>
              </w:rPr>
              <w:t>50≤X＜300</w:t>
            </w:r>
          </w:p>
        </w:tc>
        <w:tc>
          <w:tcPr>
            <w:tcW w:w="1426" w:type="dxa"/>
            <w:noWrap w:val="0"/>
            <w:vAlign w:val="center"/>
          </w:tcPr>
          <w:p w14:paraId="1E3EEF1E">
            <w:pPr>
              <w:widowControl/>
              <w:ind w:left="-1" w:leftChars="-1" w:hanging="1"/>
              <w:jc w:val="center"/>
              <w:rPr>
                <w:kern w:val="0"/>
                <w:sz w:val="18"/>
                <w:szCs w:val="18"/>
              </w:rPr>
            </w:pPr>
            <w:r>
              <w:rPr>
                <w:kern w:val="0"/>
                <w:sz w:val="18"/>
                <w:szCs w:val="18"/>
              </w:rPr>
              <w:t xml:space="preserve">10≤X＜50 </w:t>
            </w:r>
          </w:p>
        </w:tc>
        <w:tc>
          <w:tcPr>
            <w:tcW w:w="992" w:type="dxa"/>
            <w:noWrap w:val="0"/>
            <w:vAlign w:val="center"/>
          </w:tcPr>
          <w:p w14:paraId="0AA4E100">
            <w:pPr>
              <w:widowControl/>
              <w:jc w:val="center"/>
              <w:rPr>
                <w:kern w:val="0"/>
                <w:sz w:val="18"/>
                <w:szCs w:val="18"/>
              </w:rPr>
            </w:pPr>
            <w:r>
              <w:rPr>
                <w:kern w:val="0"/>
                <w:sz w:val="18"/>
                <w:szCs w:val="18"/>
              </w:rPr>
              <w:t>X＜10</w:t>
            </w:r>
          </w:p>
        </w:tc>
      </w:tr>
      <w:tr w14:paraId="1AE4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7B5779C">
            <w:pPr>
              <w:widowControl/>
              <w:jc w:val="left"/>
              <w:rPr>
                <w:kern w:val="0"/>
                <w:sz w:val="18"/>
                <w:szCs w:val="18"/>
              </w:rPr>
            </w:pPr>
          </w:p>
        </w:tc>
        <w:tc>
          <w:tcPr>
            <w:tcW w:w="1369" w:type="dxa"/>
            <w:noWrap w:val="0"/>
            <w:vAlign w:val="center"/>
          </w:tcPr>
          <w:p w14:paraId="2641043C">
            <w:pPr>
              <w:widowControl/>
              <w:spacing w:line="240" w:lineRule="exact"/>
              <w:jc w:val="center"/>
              <w:rPr>
                <w:kern w:val="0"/>
                <w:sz w:val="18"/>
                <w:szCs w:val="18"/>
              </w:rPr>
            </w:pPr>
            <w:r>
              <w:rPr>
                <w:kern w:val="0"/>
                <w:sz w:val="18"/>
                <w:szCs w:val="18"/>
              </w:rPr>
              <w:t>营业收入(Y)</w:t>
            </w:r>
          </w:p>
        </w:tc>
        <w:tc>
          <w:tcPr>
            <w:tcW w:w="709" w:type="dxa"/>
            <w:noWrap w:val="0"/>
            <w:vAlign w:val="center"/>
          </w:tcPr>
          <w:p w14:paraId="1D5BC215">
            <w:pPr>
              <w:widowControl/>
              <w:jc w:val="center"/>
              <w:rPr>
                <w:kern w:val="0"/>
                <w:sz w:val="18"/>
                <w:szCs w:val="18"/>
              </w:rPr>
            </w:pPr>
            <w:r>
              <w:rPr>
                <w:kern w:val="0"/>
                <w:sz w:val="18"/>
                <w:szCs w:val="18"/>
              </w:rPr>
              <w:t>万元</w:t>
            </w:r>
          </w:p>
        </w:tc>
        <w:tc>
          <w:tcPr>
            <w:tcW w:w="1125" w:type="dxa"/>
            <w:noWrap w:val="0"/>
            <w:vAlign w:val="center"/>
          </w:tcPr>
          <w:p w14:paraId="285D75D9">
            <w:pPr>
              <w:widowControl/>
              <w:jc w:val="center"/>
              <w:rPr>
                <w:kern w:val="0"/>
                <w:sz w:val="18"/>
                <w:szCs w:val="18"/>
              </w:rPr>
            </w:pPr>
            <w:r>
              <w:rPr>
                <w:kern w:val="0"/>
                <w:sz w:val="18"/>
                <w:szCs w:val="18"/>
              </w:rPr>
              <w:t>Y≥20000</w:t>
            </w:r>
          </w:p>
        </w:tc>
        <w:tc>
          <w:tcPr>
            <w:tcW w:w="1701" w:type="dxa"/>
            <w:noWrap w:val="0"/>
            <w:vAlign w:val="center"/>
          </w:tcPr>
          <w:p w14:paraId="3E666B24">
            <w:pPr>
              <w:widowControl/>
              <w:jc w:val="center"/>
              <w:rPr>
                <w:kern w:val="0"/>
                <w:sz w:val="18"/>
                <w:szCs w:val="18"/>
              </w:rPr>
            </w:pPr>
            <w:r>
              <w:rPr>
                <w:kern w:val="0"/>
                <w:sz w:val="18"/>
                <w:szCs w:val="18"/>
              </w:rPr>
              <w:t>500≤Y＜20000</w:t>
            </w:r>
          </w:p>
        </w:tc>
        <w:tc>
          <w:tcPr>
            <w:tcW w:w="1426" w:type="dxa"/>
            <w:noWrap w:val="0"/>
            <w:vAlign w:val="center"/>
          </w:tcPr>
          <w:p w14:paraId="33C6F35F">
            <w:pPr>
              <w:widowControl/>
              <w:ind w:left="-1" w:leftChars="-1" w:hanging="1"/>
              <w:jc w:val="center"/>
              <w:rPr>
                <w:kern w:val="0"/>
                <w:sz w:val="18"/>
                <w:szCs w:val="18"/>
              </w:rPr>
            </w:pPr>
            <w:r>
              <w:rPr>
                <w:kern w:val="0"/>
                <w:sz w:val="18"/>
                <w:szCs w:val="18"/>
              </w:rPr>
              <w:t>100≤Y＜500</w:t>
            </w:r>
          </w:p>
        </w:tc>
        <w:tc>
          <w:tcPr>
            <w:tcW w:w="992" w:type="dxa"/>
            <w:noWrap w:val="0"/>
            <w:vAlign w:val="center"/>
          </w:tcPr>
          <w:p w14:paraId="02D9391B">
            <w:pPr>
              <w:widowControl/>
              <w:jc w:val="center"/>
              <w:rPr>
                <w:kern w:val="0"/>
                <w:sz w:val="18"/>
                <w:szCs w:val="18"/>
              </w:rPr>
            </w:pPr>
            <w:r>
              <w:rPr>
                <w:kern w:val="0"/>
                <w:sz w:val="18"/>
                <w:szCs w:val="18"/>
              </w:rPr>
              <w:t>Y＜100</w:t>
            </w:r>
          </w:p>
        </w:tc>
      </w:tr>
      <w:tr w14:paraId="2515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1678A5F">
            <w:pPr>
              <w:widowControl/>
              <w:spacing w:line="240" w:lineRule="exact"/>
              <w:jc w:val="left"/>
              <w:rPr>
                <w:rFonts w:hint="eastAsia"/>
                <w:kern w:val="0"/>
                <w:sz w:val="18"/>
                <w:szCs w:val="18"/>
              </w:rPr>
            </w:pPr>
            <w:r>
              <w:rPr>
                <w:kern w:val="0"/>
                <w:sz w:val="18"/>
                <w:szCs w:val="18"/>
              </w:rPr>
              <w:t xml:space="preserve">交通运输业 </w:t>
            </w:r>
            <w:r>
              <w:rPr>
                <w:rFonts w:hint="eastAsia" w:ascii="宋体" w:hAnsi="宋体" w:cs="宋体"/>
                <w:kern w:val="0"/>
                <w:sz w:val="18"/>
                <w:szCs w:val="18"/>
              </w:rPr>
              <w:t>※</w:t>
            </w:r>
          </w:p>
        </w:tc>
        <w:tc>
          <w:tcPr>
            <w:tcW w:w="1369" w:type="dxa"/>
            <w:noWrap w:val="0"/>
            <w:vAlign w:val="center"/>
          </w:tcPr>
          <w:p w14:paraId="6E635098">
            <w:pPr>
              <w:widowControl/>
              <w:jc w:val="center"/>
              <w:rPr>
                <w:kern w:val="0"/>
                <w:sz w:val="18"/>
                <w:szCs w:val="18"/>
              </w:rPr>
            </w:pPr>
            <w:r>
              <w:rPr>
                <w:kern w:val="0"/>
                <w:sz w:val="18"/>
                <w:szCs w:val="18"/>
              </w:rPr>
              <w:t>从业人员(X)</w:t>
            </w:r>
          </w:p>
        </w:tc>
        <w:tc>
          <w:tcPr>
            <w:tcW w:w="709" w:type="dxa"/>
            <w:noWrap w:val="0"/>
            <w:vAlign w:val="center"/>
          </w:tcPr>
          <w:p w14:paraId="6AB20E12">
            <w:pPr>
              <w:widowControl/>
              <w:jc w:val="center"/>
              <w:rPr>
                <w:kern w:val="0"/>
                <w:sz w:val="18"/>
                <w:szCs w:val="18"/>
              </w:rPr>
            </w:pPr>
            <w:r>
              <w:rPr>
                <w:kern w:val="0"/>
                <w:sz w:val="18"/>
                <w:szCs w:val="18"/>
              </w:rPr>
              <w:t>人</w:t>
            </w:r>
          </w:p>
        </w:tc>
        <w:tc>
          <w:tcPr>
            <w:tcW w:w="1125" w:type="dxa"/>
            <w:noWrap w:val="0"/>
            <w:vAlign w:val="center"/>
          </w:tcPr>
          <w:p w14:paraId="720AD049">
            <w:pPr>
              <w:widowControl/>
              <w:jc w:val="center"/>
              <w:rPr>
                <w:kern w:val="0"/>
                <w:sz w:val="18"/>
                <w:szCs w:val="18"/>
              </w:rPr>
            </w:pPr>
            <w:r>
              <w:rPr>
                <w:kern w:val="0"/>
                <w:sz w:val="18"/>
                <w:szCs w:val="18"/>
              </w:rPr>
              <w:t>X≥1000</w:t>
            </w:r>
          </w:p>
        </w:tc>
        <w:tc>
          <w:tcPr>
            <w:tcW w:w="1701" w:type="dxa"/>
            <w:noWrap w:val="0"/>
            <w:vAlign w:val="center"/>
          </w:tcPr>
          <w:p w14:paraId="243E978B">
            <w:pPr>
              <w:widowControl/>
              <w:jc w:val="center"/>
              <w:rPr>
                <w:kern w:val="0"/>
                <w:sz w:val="18"/>
                <w:szCs w:val="18"/>
              </w:rPr>
            </w:pPr>
            <w:r>
              <w:rPr>
                <w:kern w:val="0"/>
                <w:sz w:val="18"/>
                <w:szCs w:val="18"/>
              </w:rPr>
              <w:t>300≤X＜1000</w:t>
            </w:r>
          </w:p>
        </w:tc>
        <w:tc>
          <w:tcPr>
            <w:tcW w:w="1426" w:type="dxa"/>
            <w:noWrap w:val="0"/>
            <w:vAlign w:val="center"/>
          </w:tcPr>
          <w:p w14:paraId="52B676CE">
            <w:pPr>
              <w:widowControl/>
              <w:jc w:val="center"/>
              <w:rPr>
                <w:kern w:val="0"/>
                <w:sz w:val="18"/>
                <w:szCs w:val="18"/>
              </w:rPr>
            </w:pPr>
            <w:r>
              <w:rPr>
                <w:kern w:val="0"/>
                <w:sz w:val="18"/>
                <w:szCs w:val="18"/>
              </w:rPr>
              <w:t>20≤X＜300</w:t>
            </w:r>
          </w:p>
        </w:tc>
        <w:tc>
          <w:tcPr>
            <w:tcW w:w="992" w:type="dxa"/>
            <w:noWrap w:val="0"/>
            <w:vAlign w:val="center"/>
          </w:tcPr>
          <w:p w14:paraId="2C118200">
            <w:pPr>
              <w:widowControl/>
              <w:jc w:val="center"/>
              <w:rPr>
                <w:kern w:val="0"/>
                <w:sz w:val="18"/>
                <w:szCs w:val="18"/>
              </w:rPr>
            </w:pPr>
            <w:r>
              <w:rPr>
                <w:kern w:val="0"/>
                <w:sz w:val="18"/>
                <w:szCs w:val="18"/>
              </w:rPr>
              <w:t>X＜20</w:t>
            </w:r>
          </w:p>
        </w:tc>
      </w:tr>
      <w:tr w14:paraId="0AE5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935A9F">
            <w:pPr>
              <w:widowControl/>
              <w:jc w:val="left"/>
              <w:rPr>
                <w:kern w:val="0"/>
                <w:sz w:val="18"/>
                <w:szCs w:val="18"/>
              </w:rPr>
            </w:pPr>
          </w:p>
        </w:tc>
        <w:tc>
          <w:tcPr>
            <w:tcW w:w="1369" w:type="dxa"/>
            <w:noWrap w:val="0"/>
            <w:vAlign w:val="center"/>
          </w:tcPr>
          <w:p w14:paraId="3009EB88">
            <w:pPr>
              <w:widowControl/>
              <w:spacing w:line="240" w:lineRule="exact"/>
              <w:jc w:val="center"/>
              <w:rPr>
                <w:kern w:val="0"/>
                <w:sz w:val="18"/>
                <w:szCs w:val="18"/>
              </w:rPr>
            </w:pPr>
            <w:r>
              <w:rPr>
                <w:kern w:val="0"/>
                <w:sz w:val="18"/>
                <w:szCs w:val="18"/>
              </w:rPr>
              <w:t>营业收入(Y)</w:t>
            </w:r>
          </w:p>
        </w:tc>
        <w:tc>
          <w:tcPr>
            <w:tcW w:w="709" w:type="dxa"/>
            <w:noWrap w:val="0"/>
            <w:vAlign w:val="center"/>
          </w:tcPr>
          <w:p w14:paraId="4F79C49C">
            <w:pPr>
              <w:widowControl/>
              <w:jc w:val="center"/>
              <w:rPr>
                <w:kern w:val="0"/>
                <w:sz w:val="18"/>
                <w:szCs w:val="18"/>
              </w:rPr>
            </w:pPr>
            <w:r>
              <w:rPr>
                <w:kern w:val="0"/>
                <w:sz w:val="18"/>
                <w:szCs w:val="18"/>
              </w:rPr>
              <w:t>万元</w:t>
            </w:r>
          </w:p>
        </w:tc>
        <w:tc>
          <w:tcPr>
            <w:tcW w:w="1125" w:type="dxa"/>
            <w:noWrap w:val="0"/>
            <w:vAlign w:val="center"/>
          </w:tcPr>
          <w:p w14:paraId="5F80CCD1">
            <w:pPr>
              <w:widowControl/>
              <w:jc w:val="center"/>
              <w:rPr>
                <w:kern w:val="0"/>
                <w:sz w:val="18"/>
                <w:szCs w:val="18"/>
              </w:rPr>
            </w:pPr>
            <w:r>
              <w:rPr>
                <w:kern w:val="0"/>
                <w:sz w:val="18"/>
                <w:szCs w:val="18"/>
              </w:rPr>
              <w:t>Y≥30000</w:t>
            </w:r>
          </w:p>
        </w:tc>
        <w:tc>
          <w:tcPr>
            <w:tcW w:w="1701" w:type="dxa"/>
            <w:noWrap w:val="0"/>
            <w:vAlign w:val="center"/>
          </w:tcPr>
          <w:p w14:paraId="7338AE54">
            <w:pPr>
              <w:widowControl/>
              <w:jc w:val="center"/>
              <w:rPr>
                <w:kern w:val="0"/>
                <w:sz w:val="18"/>
                <w:szCs w:val="18"/>
              </w:rPr>
            </w:pPr>
            <w:r>
              <w:rPr>
                <w:kern w:val="0"/>
                <w:sz w:val="18"/>
                <w:szCs w:val="18"/>
              </w:rPr>
              <w:t>3000≤Y＜30000</w:t>
            </w:r>
          </w:p>
        </w:tc>
        <w:tc>
          <w:tcPr>
            <w:tcW w:w="1426" w:type="dxa"/>
            <w:noWrap w:val="0"/>
            <w:vAlign w:val="center"/>
          </w:tcPr>
          <w:p w14:paraId="641002AD">
            <w:pPr>
              <w:widowControl/>
              <w:jc w:val="center"/>
              <w:rPr>
                <w:kern w:val="0"/>
                <w:sz w:val="18"/>
                <w:szCs w:val="18"/>
              </w:rPr>
            </w:pPr>
            <w:r>
              <w:rPr>
                <w:kern w:val="0"/>
                <w:sz w:val="18"/>
                <w:szCs w:val="18"/>
              </w:rPr>
              <w:t>200≤Y＜3000</w:t>
            </w:r>
          </w:p>
        </w:tc>
        <w:tc>
          <w:tcPr>
            <w:tcW w:w="992" w:type="dxa"/>
            <w:noWrap w:val="0"/>
            <w:vAlign w:val="center"/>
          </w:tcPr>
          <w:p w14:paraId="1595701F">
            <w:pPr>
              <w:widowControl/>
              <w:jc w:val="center"/>
              <w:rPr>
                <w:kern w:val="0"/>
                <w:sz w:val="18"/>
                <w:szCs w:val="18"/>
              </w:rPr>
            </w:pPr>
            <w:r>
              <w:rPr>
                <w:kern w:val="0"/>
                <w:sz w:val="18"/>
                <w:szCs w:val="18"/>
              </w:rPr>
              <w:t>Y＜200</w:t>
            </w:r>
          </w:p>
        </w:tc>
      </w:tr>
      <w:tr w14:paraId="41E5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984CDE">
            <w:pPr>
              <w:widowControl/>
              <w:spacing w:line="240" w:lineRule="exact"/>
              <w:jc w:val="left"/>
              <w:rPr>
                <w:rFonts w:hint="eastAsia"/>
                <w:kern w:val="0"/>
                <w:sz w:val="18"/>
                <w:szCs w:val="18"/>
              </w:rPr>
            </w:pPr>
            <w:r>
              <w:rPr>
                <w:kern w:val="0"/>
                <w:sz w:val="18"/>
                <w:szCs w:val="18"/>
              </w:rPr>
              <w:t>仓储业</w:t>
            </w:r>
            <w:r>
              <w:rPr>
                <w:rFonts w:hint="eastAsia" w:ascii="宋体" w:hAnsi="宋体" w:cs="宋体"/>
                <w:kern w:val="0"/>
                <w:sz w:val="18"/>
                <w:szCs w:val="18"/>
              </w:rPr>
              <w:t>※</w:t>
            </w:r>
          </w:p>
        </w:tc>
        <w:tc>
          <w:tcPr>
            <w:tcW w:w="1369" w:type="dxa"/>
            <w:noWrap w:val="0"/>
            <w:vAlign w:val="center"/>
          </w:tcPr>
          <w:p w14:paraId="444792DA">
            <w:pPr>
              <w:widowControl/>
              <w:jc w:val="center"/>
              <w:rPr>
                <w:kern w:val="0"/>
                <w:sz w:val="18"/>
                <w:szCs w:val="18"/>
              </w:rPr>
            </w:pPr>
            <w:r>
              <w:rPr>
                <w:kern w:val="0"/>
                <w:sz w:val="18"/>
                <w:szCs w:val="18"/>
              </w:rPr>
              <w:t>从业人员(X)</w:t>
            </w:r>
          </w:p>
        </w:tc>
        <w:tc>
          <w:tcPr>
            <w:tcW w:w="709" w:type="dxa"/>
            <w:noWrap w:val="0"/>
            <w:vAlign w:val="center"/>
          </w:tcPr>
          <w:p w14:paraId="49D5F7C0">
            <w:pPr>
              <w:widowControl/>
              <w:jc w:val="center"/>
              <w:rPr>
                <w:kern w:val="0"/>
                <w:sz w:val="18"/>
                <w:szCs w:val="18"/>
              </w:rPr>
            </w:pPr>
            <w:r>
              <w:rPr>
                <w:kern w:val="0"/>
                <w:sz w:val="18"/>
                <w:szCs w:val="18"/>
              </w:rPr>
              <w:t>人</w:t>
            </w:r>
          </w:p>
        </w:tc>
        <w:tc>
          <w:tcPr>
            <w:tcW w:w="1125" w:type="dxa"/>
            <w:noWrap w:val="0"/>
            <w:vAlign w:val="center"/>
          </w:tcPr>
          <w:p w14:paraId="4B5ADAB8">
            <w:pPr>
              <w:widowControl/>
              <w:jc w:val="center"/>
              <w:rPr>
                <w:kern w:val="0"/>
                <w:sz w:val="18"/>
                <w:szCs w:val="18"/>
              </w:rPr>
            </w:pPr>
            <w:r>
              <w:rPr>
                <w:kern w:val="0"/>
                <w:sz w:val="18"/>
                <w:szCs w:val="18"/>
              </w:rPr>
              <w:t>X≥200</w:t>
            </w:r>
          </w:p>
        </w:tc>
        <w:tc>
          <w:tcPr>
            <w:tcW w:w="1701" w:type="dxa"/>
            <w:noWrap w:val="0"/>
            <w:vAlign w:val="center"/>
          </w:tcPr>
          <w:p w14:paraId="0AB79505">
            <w:pPr>
              <w:widowControl/>
              <w:ind w:left="1" w:leftChars="-51" w:hanging="108" w:hangingChars="60"/>
              <w:jc w:val="center"/>
              <w:rPr>
                <w:kern w:val="0"/>
                <w:sz w:val="18"/>
                <w:szCs w:val="18"/>
              </w:rPr>
            </w:pPr>
            <w:r>
              <w:rPr>
                <w:kern w:val="0"/>
                <w:sz w:val="18"/>
                <w:szCs w:val="18"/>
              </w:rPr>
              <w:t>100≤X＜200</w:t>
            </w:r>
          </w:p>
        </w:tc>
        <w:tc>
          <w:tcPr>
            <w:tcW w:w="1426" w:type="dxa"/>
            <w:noWrap w:val="0"/>
            <w:vAlign w:val="center"/>
          </w:tcPr>
          <w:p w14:paraId="2E08CC30">
            <w:pPr>
              <w:widowControl/>
              <w:jc w:val="center"/>
              <w:rPr>
                <w:kern w:val="0"/>
                <w:sz w:val="18"/>
                <w:szCs w:val="18"/>
              </w:rPr>
            </w:pPr>
            <w:r>
              <w:rPr>
                <w:kern w:val="0"/>
                <w:sz w:val="18"/>
                <w:szCs w:val="18"/>
              </w:rPr>
              <w:t>20≤X＜100</w:t>
            </w:r>
          </w:p>
        </w:tc>
        <w:tc>
          <w:tcPr>
            <w:tcW w:w="992" w:type="dxa"/>
            <w:noWrap w:val="0"/>
            <w:vAlign w:val="center"/>
          </w:tcPr>
          <w:p w14:paraId="172F8F31">
            <w:pPr>
              <w:widowControl/>
              <w:jc w:val="center"/>
              <w:rPr>
                <w:kern w:val="0"/>
                <w:sz w:val="18"/>
                <w:szCs w:val="18"/>
              </w:rPr>
            </w:pPr>
            <w:r>
              <w:rPr>
                <w:kern w:val="0"/>
                <w:sz w:val="18"/>
                <w:szCs w:val="18"/>
              </w:rPr>
              <w:t>X＜20</w:t>
            </w:r>
          </w:p>
        </w:tc>
      </w:tr>
      <w:tr w14:paraId="44A2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4FC80F1">
            <w:pPr>
              <w:widowControl/>
              <w:jc w:val="left"/>
              <w:rPr>
                <w:kern w:val="0"/>
                <w:sz w:val="18"/>
                <w:szCs w:val="18"/>
              </w:rPr>
            </w:pPr>
          </w:p>
        </w:tc>
        <w:tc>
          <w:tcPr>
            <w:tcW w:w="1369" w:type="dxa"/>
            <w:noWrap w:val="0"/>
            <w:vAlign w:val="center"/>
          </w:tcPr>
          <w:p w14:paraId="791AF984">
            <w:pPr>
              <w:widowControl/>
              <w:spacing w:line="240" w:lineRule="exact"/>
              <w:jc w:val="center"/>
              <w:rPr>
                <w:kern w:val="0"/>
                <w:sz w:val="18"/>
                <w:szCs w:val="18"/>
              </w:rPr>
            </w:pPr>
            <w:r>
              <w:rPr>
                <w:kern w:val="0"/>
                <w:sz w:val="18"/>
                <w:szCs w:val="18"/>
              </w:rPr>
              <w:t>营业收入(Y)</w:t>
            </w:r>
          </w:p>
        </w:tc>
        <w:tc>
          <w:tcPr>
            <w:tcW w:w="709" w:type="dxa"/>
            <w:noWrap w:val="0"/>
            <w:vAlign w:val="center"/>
          </w:tcPr>
          <w:p w14:paraId="3A774A5C">
            <w:pPr>
              <w:widowControl/>
              <w:jc w:val="center"/>
              <w:rPr>
                <w:kern w:val="0"/>
                <w:sz w:val="18"/>
                <w:szCs w:val="18"/>
              </w:rPr>
            </w:pPr>
            <w:r>
              <w:rPr>
                <w:kern w:val="0"/>
                <w:sz w:val="18"/>
                <w:szCs w:val="18"/>
              </w:rPr>
              <w:t>万元</w:t>
            </w:r>
          </w:p>
        </w:tc>
        <w:tc>
          <w:tcPr>
            <w:tcW w:w="1125" w:type="dxa"/>
            <w:noWrap w:val="0"/>
            <w:vAlign w:val="center"/>
          </w:tcPr>
          <w:p w14:paraId="25A11982">
            <w:pPr>
              <w:widowControl/>
              <w:jc w:val="center"/>
              <w:rPr>
                <w:kern w:val="0"/>
                <w:sz w:val="18"/>
                <w:szCs w:val="18"/>
              </w:rPr>
            </w:pPr>
            <w:r>
              <w:rPr>
                <w:kern w:val="0"/>
                <w:sz w:val="18"/>
                <w:szCs w:val="18"/>
              </w:rPr>
              <w:t>Y≥30000</w:t>
            </w:r>
          </w:p>
        </w:tc>
        <w:tc>
          <w:tcPr>
            <w:tcW w:w="1701" w:type="dxa"/>
            <w:noWrap w:val="0"/>
            <w:vAlign w:val="center"/>
          </w:tcPr>
          <w:p w14:paraId="024BCFDB">
            <w:pPr>
              <w:widowControl/>
              <w:jc w:val="center"/>
              <w:rPr>
                <w:kern w:val="0"/>
                <w:sz w:val="18"/>
                <w:szCs w:val="18"/>
              </w:rPr>
            </w:pPr>
            <w:r>
              <w:rPr>
                <w:kern w:val="0"/>
                <w:sz w:val="18"/>
                <w:szCs w:val="18"/>
              </w:rPr>
              <w:t>1000≤Y＜30000</w:t>
            </w:r>
          </w:p>
        </w:tc>
        <w:tc>
          <w:tcPr>
            <w:tcW w:w="1426" w:type="dxa"/>
            <w:noWrap w:val="0"/>
            <w:vAlign w:val="center"/>
          </w:tcPr>
          <w:p w14:paraId="2773DD77">
            <w:pPr>
              <w:widowControl/>
              <w:jc w:val="center"/>
              <w:rPr>
                <w:kern w:val="0"/>
                <w:sz w:val="18"/>
                <w:szCs w:val="18"/>
              </w:rPr>
            </w:pPr>
            <w:r>
              <w:rPr>
                <w:kern w:val="0"/>
                <w:sz w:val="18"/>
                <w:szCs w:val="18"/>
              </w:rPr>
              <w:t>100≤Y＜1000</w:t>
            </w:r>
          </w:p>
        </w:tc>
        <w:tc>
          <w:tcPr>
            <w:tcW w:w="992" w:type="dxa"/>
            <w:noWrap w:val="0"/>
            <w:vAlign w:val="center"/>
          </w:tcPr>
          <w:p w14:paraId="328FDAB0">
            <w:pPr>
              <w:widowControl/>
              <w:jc w:val="center"/>
              <w:rPr>
                <w:kern w:val="0"/>
                <w:sz w:val="18"/>
                <w:szCs w:val="18"/>
              </w:rPr>
            </w:pPr>
            <w:r>
              <w:rPr>
                <w:kern w:val="0"/>
                <w:sz w:val="18"/>
                <w:szCs w:val="18"/>
              </w:rPr>
              <w:t>Y＜100</w:t>
            </w:r>
          </w:p>
        </w:tc>
      </w:tr>
      <w:tr w14:paraId="06F1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FA38C6B">
            <w:pPr>
              <w:widowControl/>
              <w:spacing w:line="240" w:lineRule="exact"/>
              <w:jc w:val="left"/>
              <w:rPr>
                <w:kern w:val="0"/>
                <w:sz w:val="18"/>
                <w:szCs w:val="18"/>
              </w:rPr>
            </w:pPr>
            <w:r>
              <w:rPr>
                <w:kern w:val="0"/>
                <w:sz w:val="18"/>
                <w:szCs w:val="18"/>
              </w:rPr>
              <w:t>邮政业</w:t>
            </w:r>
          </w:p>
        </w:tc>
        <w:tc>
          <w:tcPr>
            <w:tcW w:w="1369" w:type="dxa"/>
            <w:noWrap w:val="0"/>
            <w:vAlign w:val="center"/>
          </w:tcPr>
          <w:p w14:paraId="1B4F5808">
            <w:pPr>
              <w:widowControl/>
              <w:jc w:val="center"/>
              <w:rPr>
                <w:kern w:val="0"/>
                <w:sz w:val="18"/>
                <w:szCs w:val="18"/>
              </w:rPr>
            </w:pPr>
            <w:r>
              <w:rPr>
                <w:kern w:val="0"/>
                <w:sz w:val="18"/>
                <w:szCs w:val="18"/>
              </w:rPr>
              <w:t>从业人员(X)</w:t>
            </w:r>
          </w:p>
        </w:tc>
        <w:tc>
          <w:tcPr>
            <w:tcW w:w="709" w:type="dxa"/>
            <w:noWrap w:val="0"/>
            <w:vAlign w:val="center"/>
          </w:tcPr>
          <w:p w14:paraId="59F21388">
            <w:pPr>
              <w:widowControl/>
              <w:jc w:val="center"/>
              <w:rPr>
                <w:kern w:val="0"/>
                <w:sz w:val="18"/>
                <w:szCs w:val="18"/>
              </w:rPr>
            </w:pPr>
            <w:r>
              <w:rPr>
                <w:kern w:val="0"/>
                <w:sz w:val="18"/>
                <w:szCs w:val="18"/>
              </w:rPr>
              <w:t>人</w:t>
            </w:r>
          </w:p>
        </w:tc>
        <w:tc>
          <w:tcPr>
            <w:tcW w:w="1125" w:type="dxa"/>
            <w:noWrap w:val="0"/>
            <w:vAlign w:val="center"/>
          </w:tcPr>
          <w:p w14:paraId="36FB5C13">
            <w:pPr>
              <w:widowControl/>
              <w:jc w:val="center"/>
              <w:rPr>
                <w:kern w:val="0"/>
                <w:sz w:val="18"/>
                <w:szCs w:val="18"/>
              </w:rPr>
            </w:pPr>
            <w:r>
              <w:rPr>
                <w:kern w:val="0"/>
                <w:sz w:val="18"/>
                <w:szCs w:val="18"/>
              </w:rPr>
              <w:t>X≥1000</w:t>
            </w:r>
          </w:p>
        </w:tc>
        <w:tc>
          <w:tcPr>
            <w:tcW w:w="1701" w:type="dxa"/>
            <w:noWrap w:val="0"/>
            <w:vAlign w:val="center"/>
          </w:tcPr>
          <w:p w14:paraId="0F377485">
            <w:pPr>
              <w:widowControl/>
              <w:jc w:val="center"/>
              <w:rPr>
                <w:kern w:val="0"/>
                <w:sz w:val="18"/>
                <w:szCs w:val="18"/>
              </w:rPr>
            </w:pPr>
            <w:r>
              <w:rPr>
                <w:kern w:val="0"/>
                <w:sz w:val="18"/>
                <w:szCs w:val="18"/>
              </w:rPr>
              <w:t>300≤X＜1000</w:t>
            </w:r>
          </w:p>
        </w:tc>
        <w:tc>
          <w:tcPr>
            <w:tcW w:w="1426" w:type="dxa"/>
            <w:noWrap w:val="0"/>
            <w:vAlign w:val="center"/>
          </w:tcPr>
          <w:p w14:paraId="5C3DC740">
            <w:pPr>
              <w:widowControl/>
              <w:jc w:val="center"/>
              <w:rPr>
                <w:kern w:val="0"/>
                <w:sz w:val="18"/>
                <w:szCs w:val="18"/>
              </w:rPr>
            </w:pPr>
            <w:r>
              <w:rPr>
                <w:kern w:val="0"/>
                <w:sz w:val="18"/>
                <w:szCs w:val="18"/>
              </w:rPr>
              <w:t>20≤X＜300</w:t>
            </w:r>
          </w:p>
        </w:tc>
        <w:tc>
          <w:tcPr>
            <w:tcW w:w="992" w:type="dxa"/>
            <w:noWrap w:val="0"/>
            <w:vAlign w:val="center"/>
          </w:tcPr>
          <w:p w14:paraId="37C4E7FE">
            <w:pPr>
              <w:widowControl/>
              <w:jc w:val="center"/>
              <w:rPr>
                <w:kern w:val="0"/>
                <w:sz w:val="18"/>
                <w:szCs w:val="18"/>
              </w:rPr>
            </w:pPr>
            <w:r>
              <w:rPr>
                <w:kern w:val="0"/>
                <w:sz w:val="18"/>
                <w:szCs w:val="18"/>
              </w:rPr>
              <w:t>X＜20</w:t>
            </w:r>
          </w:p>
        </w:tc>
      </w:tr>
      <w:tr w14:paraId="5EB5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0390007">
            <w:pPr>
              <w:widowControl/>
              <w:jc w:val="left"/>
              <w:rPr>
                <w:kern w:val="0"/>
                <w:sz w:val="18"/>
                <w:szCs w:val="18"/>
              </w:rPr>
            </w:pPr>
          </w:p>
        </w:tc>
        <w:tc>
          <w:tcPr>
            <w:tcW w:w="1369" w:type="dxa"/>
            <w:noWrap w:val="0"/>
            <w:vAlign w:val="center"/>
          </w:tcPr>
          <w:p w14:paraId="6FE1B496">
            <w:pPr>
              <w:widowControl/>
              <w:spacing w:line="240" w:lineRule="exact"/>
              <w:jc w:val="center"/>
              <w:rPr>
                <w:kern w:val="0"/>
                <w:sz w:val="18"/>
                <w:szCs w:val="18"/>
              </w:rPr>
            </w:pPr>
            <w:r>
              <w:rPr>
                <w:kern w:val="0"/>
                <w:sz w:val="18"/>
                <w:szCs w:val="18"/>
              </w:rPr>
              <w:t>营业收入(Y)</w:t>
            </w:r>
          </w:p>
        </w:tc>
        <w:tc>
          <w:tcPr>
            <w:tcW w:w="709" w:type="dxa"/>
            <w:noWrap w:val="0"/>
            <w:vAlign w:val="center"/>
          </w:tcPr>
          <w:p w14:paraId="006F1E9A">
            <w:pPr>
              <w:widowControl/>
              <w:jc w:val="center"/>
              <w:rPr>
                <w:kern w:val="0"/>
                <w:sz w:val="18"/>
                <w:szCs w:val="18"/>
              </w:rPr>
            </w:pPr>
            <w:r>
              <w:rPr>
                <w:kern w:val="0"/>
                <w:sz w:val="18"/>
                <w:szCs w:val="18"/>
              </w:rPr>
              <w:t>万元</w:t>
            </w:r>
          </w:p>
        </w:tc>
        <w:tc>
          <w:tcPr>
            <w:tcW w:w="1125" w:type="dxa"/>
            <w:noWrap w:val="0"/>
            <w:vAlign w:val="center"/>
          </w:tcPr>
          <w:p w14:paraId="43864D2E">
            <w:pPr>
              <w:widowControl/>
              <w:jc w:val="center"/>
              <w:rPr>
                <w:kern w:val="0"/>
                <w:sz w:val="18"/>
                <w:szCs w:val="18"/>
              </w:rPr>
            </w:pPr>
            <w:r>
              <w:rPr>
                <w:kern w:val="0"/>
                <w:sz w:val="18"/>
                <w:szCs w:val="18"/>
              </w:rPr>
              <w:t>Y≥30000</w:t>
            </w:r>
          </w:p>
        </w:tc>
        <w:tc>
          <w:tcPr>
            <w:tcW w:w="1701" w:type="dxa"/>
            <w:noWrap w:val="0"/>
            <w:vAlign w:val="center"/>
          </w:tcPr>
          <w:p w14:paraId="17DCA2A8">
            <w:pPr>
              <w:widowControl/>
              <w:jc w:val="center"/>
              <w:rPr>
                <w:kern w:val="0"/>
                <w:sz w:val="18"/>
                <w:szCs w:val="18"/>
              </w:rPr>
            </w:pPr>
            <w:r>
              <w:rPr>
                <w:kern w:val="0"/>
                <w:sz w:val="18"/>
                <w:szCs w:val="18"/>
              </w:rPr>
              <w:t>2000≤Y＜30000</w:t>
            </w:r>
          </w:p>
        </w:tc>
        <w:tc>
          <w:tcPr>
            <w:tcW w:w="1426" w:type="dxa"/>
            <w:noWrap w:val="0"/>
            <w:vAlign w:val="center"/>
          </w:tcPr>
          <w:p w14:paraId="07C2CAA7">
            <w:pPr>
              <w:widowControl/>
              <w:jc w:val="center"/>
              <w:rPr>
                <w:kern w:val="0"/>
                <w:sz w:val="18"/>
                <w:szCs w:val="18"/>
              </w:rPr>
            </w:pPr>
            <w:r>
              <w:rPr>
                <w:kern w:val="0"/>
                <w:sz w:val="18"/>
                <w:szCs w:val="18"/>
              </w:rPr>
              <w:t>100≤Y＜2000</w:t>
            </w:r>
          </w:p>
        </w:tc>
        <w:tc>
          <w:tcPr>
            <w:tcW w:w="992" w:type="dxa"/>
            <w:noWrap w:val="0"/>
            <w:vAlign w:val="center"/>
          </w:tcPr>
          <w:p w14:paraId="7902C68C">
            <w:pPr>
              <w:widowControl/>
              <w:jc w:val="center"/>
              <w:rPr>
                <w:kern w:val="0"/>
                <w:sz w:val="18"/>
                <w:szCs w:val="18"/>
              </w:rPr>
            </w:pPr>
            <w:r>
              <w:rPr>
                <w:kern w:val="0"/>
                <w:sz w:val="18"/>
                <w:szCs w:val="18"/>
              </w:rPr>
              <w:t>Y＜100</w:t>
            </w:r>
          </w:p>
        </w:tc>
      </w:tr>
      <w:tr w14:paraId="15CB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D6F8AD6">
            <w:pPr>
              <w:widowControl/>
              <w:spacing w:line="240" w:lineRule="exact"/>
              <w:jc w:val="left"/>
              <w:rPr>
                <w:kern w:val="0"/>
                <w:sz w:val="18"/>
                <w:szCs w:val="18"/>
              </w:rPr>
            </w:pPr>
            <w:r>
              <w:rPr>
                <w:kern w:val="0"/>
                <w:sz w:val="18"/>
                <w:szCs w:val="18"/>
              </w:rPr>
              <w:t>住宿业</w:t>
            </w:r>
          </w:p>
        </w:tc>
        <w:tc>
          <w:tcPr>
            <w:tcW w:w="1369" w:type="dxa"/>
            <w:noWrap w:val="0"/>
            <w:vAlign w:val="center"/>
          </w:tcPr>
          <w:p w14:paraId="2D455A9F">
            <w:pPr>
              <w:widowControl/>
              <w:jc w:val="center"/>
              <w:rPr>
                <w:kern w:val="0"/>
                <w:sz w:val="18"/>
                <w:szCs w:val="18"/>
              </w:rPr>
            </w:pPr>
            <w:r>
              <w:rPr>
                <w:kern w:val="0"/>
                <w:sz w:val="18"/>
                <w:szCs w:val="18"/>
              </w:rPr>
              <w:t>从业人员(X)</w:t>
            </w:r>
          </w:p>
        </w:tc>
        <w:tc>
          <w:tcPr>
            <w:tcW w:w="709" w:type="dxa"/>
            <w:noWrap w:val="0"/>
            <w:vAlign w:val="center"/>
          </w:tcPr>
          <w:p w14:paraId="2920349B">
            <w:pPr>
              <w:widowControl/>
              <w:jc w:val="center"/>
              <w:rPr>
                <w:kern w:val="0"/>
                <w:sz w:val="18"/>
                <w:szCs w:val="18"/>
              </w:rPr>
            </w:pPr>
            <w:r>
              <w:rPr>
                <w:kern w:val="0"/>
                <w:sz w:val="18"/>
                <w:szCs w:val="18"/>
              </w:rPr>
              <w:t>人</w:t>
            </w:r>
          </w:p>
        </w:tc>
        <w:tc>
          <w:tcPr>
            <w:tcW w:w="1125" w:type="dxa"/>
            <w:noWrap w:val="0"/>
            <w:vAlign w:val="center"/>
          </w:tcPr>
          <w:p w14:paraId="51497A47">
            <w:pPr>
              <w:widowControl/>
              <w:jc w:val="center"/>
              <w:rPr>
                <w:kern w:val="0"/>
                <w:sz w:val="18"/>
                <w:szCs w:val="18"/>
              </w:rPr>
            </w:pPr>
            <w:r>
              <w:rPr>
                <w:kern w:val="0"/>
                <w:sz w:val="18"/>
                <w:szCs w:val="18"/>
              </w:rPr>
              <w:t>X≥300</w:t>
            </w:r>
          </w:p>
        </w:tc>
        <w:tc>
          <w:tcPr>
            <w:tcW w:w="1701" w:type="dxa"/>
            <w:noWrap w:val="0"/>
            <w:vAlign w:val="center"/>
          </w:tcPr>
          <w:p w14:paraId="43DF8F6B">
            <w:pPr>
              <w:widowControl/>
              <w:ind w:left="1" w:leftChars="-51" w:hanging="108" w:hangingChars="60"/>
              <w:jc w:val="center"/>
              <w:rPr>
                <w:kern w:val="0"/>
                <w:sz w:val="18"/>
                <w:szCs w:val="18"/>
              </w:rPr>
            </w:pPr>
            <w:r>
              <w:rPr>
                <w:kern w:val="0"/>
                <w:sz w:val="18"/>
                <w:szCs w:val="18"/>
              </w:rPr>
              <w:t>100≤X＜300</w:t>
            </w:r>
          </w:p>
        </w:tc>
        <w:tc>
          <w:tcPr>
            <w:tcW w:w="1426" w:type="dxa"/>
            <w:noWrap w:val="0"/>
            <w:vAlign w:val="center"/>
          </w:tcPr>
          <w:p w14:paraId="66A9E260">
            <w:pPr>
              <w:widowControl/>
              <w:jc w:val="center"/>
              <w:rPr>
                <w:kern w:val="0"/>
                <w:sz w:val="18"/>
                <w:szCs w:val="18"/>
              </w:rPr>
            </w:pPr>
            <w:r>
              <w:rPr>
                <w:kern w:val="0"/>
                <w:sz w:val="18"/>
                <w:szCs w:val="18"/>
              </w:rPr>
              <w:t>10≤X＜100</w:t>
            </w:r>
          </w:p>
        </w:tc>
        <w:tc>
          <w:tcPr>
            <w:tcW w:w="992" w:type="dxa"/>
            <w:noWrap w:val="0"/>
            <w:vAlign w:val="center"/>
          </w:tcPr>
          <w:p w14:paraId="610D2443">
            <w:pPr>
              <w:widowControl/>
              <w:jc w:val="center"/>
              <w:rPr>
                <w:kern w:val="0"/>
                <w:sz w:val="18"/>
                <w:szCs w:val="18"/>
              </w:rPr>
            </w:pPr>
            <w:r>
              <w:rPr>
                <w:kern w:val="0"/>
                <w:sz w:val="18"/>
                <w:szCs w:val="18"/>
              </w:rPr>
              <w:t>X＜10</w:t>
            </w:r>
          </w:p>
        </w:tc>
      </w:tr>
      <w:tr w14:paraId="2CFD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31A6D6">
            <w:pPr>
              <w:widowControl/>
              <w:jc w:val="left"/>
              <w:rPr>
                <w:kern w:val="0"/>
                <w:sz w:val="18"/>
                <w:szCs w:val="18"/>
              </w:rPr>
            </w:pPr>
          </w:p>
        </w:tc>
        <w:tc>
          <w:tcPr>
            <w:tcW w:w="1369" w:type="dxa"/>
            <w:noWrap w:val="0"/>
            <w:vAlign w:val="center"/>
          </w:tcPr>
          <w:p w14:paraId="60C31CF4">
            <w:pPr>
              <w:widowControl/>
              <w:spacing w:line="240" w:lineRule="exact"/>
              <w:jc w:val="center"/>
              <w:rPr>
                <w:kern w:val="0"/>
                <w:sz w:val="18"/>
                <w:szCs w:val="18"/>
              </w:rPr>
            </w:pPr>
            <w:r>
              <w:rPr>
                <w:kern w:val="0"/>
                <w:sz w:val="18"/>
                <w:szCs w:val="18"/>
              </w:rPr>
              <w:t>营业收入(Y)</w:t>
            </w:r>
          </w:p>
        </w:tc>
        <w:tc>
          <w:tcPr>
            <w:tcW w:w="709" w:type="dxa"/>
            <w:noWrap w:val="0"/>
            <w:vAlign w:val="center"/>
          </w:tcPr>
          <w:p w14:paraId="52C604AB">
            <w:pPr>
              <w:widowControl/>
              <w:jc w:val="center"/>
              <w:rPr>
                <w:kern w:val="0"/>
                <w:sz w:val="18"/>
                <w:szCs w:val="18"/>
              </w:rPr>
            </w:pPr>
            <w:r>
              <w:rPr>
                <w:kern w:val="0"/>
                <w:sz w:val="18"/>
                <w:szCs w:val="18"/>
              </w:rPr>
              <w:t>万元</w:t>
            </w:r>
          </w:p>
        </w:tc>
        <w:tc>
          <w:tcPr>
            <w:tcW w:w="1125" w:type="dxa"/>
            <w:noWrap w:val="0"/>
            <w:vAlign w:val="center"/>
          </w:tcPr>
          <w:p w14:paraId="0904B3CF">
            <w:pPr>
              <w:widowControl/>
              <w:jc w:val="center"/>
              <w:rPr>
                <w:kern w:val="0"/>
                <w:sz w:val="18"/>
                <w:szCs w:val="18"/>
              </w:rPr>
            </w:pPr>
            <w:r>
              <w:rPr>
                <w:kern w:val="0"/>
                <w:sz w:val="18"/>
                <w:szCs w:val="18"/>
              </w:rPr>
              <w:t>Y≥10000</w:t>
            </w:r>
          </w:p>
        </w:tc>
        <w:tc>
          <w:tcPr>
            <w:tcW w:w="1701" w:type="dxa"/>
            <w:noWrap w:val="0"/>
            <w:vAlign w:val="center"/>
          </w:tcPr>
          <w:p w14:paraId="58170BBB">
            <w:pPr>
              <w:widowControl/>
              <w:jc w:val="center"/>
              <w:rPr>
                <w:kern w:val="0"/>
                <w:sz w:val="18"/>
                <w:szCs w:val="18"/>
              </w:rPr>
            </w:pPr>
            <w:r>
              <w:rPr>
                <w:kern w:val="0"/>
                <w:sz w:val="18"/>
                <w:szCs w:val="18"/>
              </w:rPr>
              <w:t>2000≤Y＜10000</w:t>
            </w:r>
          </w:p>
        </w:tc>
        <w:tc>
          <w:tcPr>
            <w:tcW w:w="1426" w:type="dxa"/>
            <w:noWrap w:val="0"/>
            <w:vAlign w:val="center"/>
          </w:tcPr>
          <w:p w14:paraId="2191CB34">
            <w:pPr>
              <w:widowControl/>
              <w:jc w:val="center"/>
              <w:rPr>
                <w:kern w:val="0"/>
                <w:sz w:val="18"/>
                <w:szCs w:val="18"/>
              </w:rPr>
            </w:pPr>
            <w:r>
              <w:rPr>
                <w:kern w:val="0"/>
                <w:sz w:val="18"/>
                <w:szCs w:val="18"/>
              </w:rPr>
              <w:t>100≤Y＜2000</w:t>
            </w:r>
          </w:p>
        </w:tc>
        <w:tc>
          <w:tcPr>
            <w:tcW w:w="992" w:type="dxa"/>
            <w:noWrap w:val="0"/>
            <w:vAlign w:val="center"/>
          </w:tcPr>
          <w:p w14:paraId="7D371C65">
            <w:pPr>
              <w:widowControl/>
              <w:jc w:val="center"/>
              <w:rPr>
                <w:kern w:val="0"/>
                <w:sz w:val="18"/>
                <w:szCs w:val="18"/>
              </w:rPr>
            </w:pPr>
            <w:r>
              <w:rPr>
                <w:kern w:val="0"/>
                <w:sz w:val="18"/>
                <w:szCs w:val="18"/>
              </w:rPr>
              <w:t>Y＜100</w:t>
            </w:r>
          </w:p>
        </w:tc>
      </w:tr>
      <w:tr w14:paraId="2CE7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D9392A1">
            <w:pPr>
              <w:widowControl/>
              <w:spacing w:line="240" w:lineRule="exact"/>
              <w:jc w:val="left"/>
              <w:rPr>
                <w:kern w:val="0"/>
                <w:sz w:val="18"/>
                <w:szCs w:val="18"/>
              </w:rPr>
            </w:pPr>
            <w:r>
              <w:rPr>
                <w:kern w:val="0"/>
                <w:sz w:val="18"/>
                <w:szCs w:val="18"/>
              </w:rPr>
              <w:t>餐饮业</w:t>
            </w:r>
          </w:p>
        </w:tc>
        <w:tc>
          <w:tcPr>
            <w:tcW w:w="1369" w:type="dxa"/>
            <w:noWrap w:val="0"/>
            <w:vAlign w:val="center"/>
          </w:tcPr>
          <w:p w14:paraId="22936B7C">
            <w:pPr>
              <w:widowControl/>
              <w:jc w:val="center"/>
              <w:rPr>
                <w:kern w:val="0"/>
                <w:sz w:val="18"/>
                <w:szCs w:val="18"/>
              </w:rPr>
            </w:pPr>
            <w:r>
              <w:rPr>
                <w:kern w:val="0"/>
                <w:sz w:val="18"/>
                <w:szCs w:val="18"/>
              </w:rPr>
              <w:t>从业人员(X)</w:t>
            </w:r>
          </w:p>
        </w:tc>
        <w:tc>
          <w:tcPr>
            <w:tcW w:w="709" w:type="dxa"/>
            <w:noWrap w:val="0"/>
            <w:vAlign w:val="center"/>
          </w:tcPr>
          <w:p w14:paraId="6F838E95">
            <w:pPr>
              <w:widowControl/>
              <w:jc w:val="center"/>
              <w:rPr>
                <w:kern w:val="0"/>
                <w:sz w:val="18"/>
                <w:szCs w:val="18"/>
              </w:rPr>
            </w:pPr>
            <w:r>
              <w:rPr>
                <w:kern w:val="0"/>
                <w:sz w:val="18"/>
                <w:szCs w:val="18"/>
              </w:rPr>
              <w:t>人</w:t>
            </w:r>
          </w:p>
        </w:tc>
        <w:tc>
          <w:tcPr>
            <w:tcW w:w="1125" w:type="dxa"/>
            <w:noWrap w:val="0"/>
            <w:vAlign w:val="center"/>
          </w:tcPr>
          <w:p w14:paraId="20888345">
            <w:pPr>
              <w:widowControl/>
              <w:jc w:val="center"/>
              <w:rPr>
                <w:kern w:val="0"/>
                <w:sz w:val="18"/>
                <w:szCs w:val="18"/>
              </w:rPr>
            </w:pPr>
            <w:r>
              <w:rPr>
                <w:kern w:val="0"/>
                <w:sz w:val="18"/>
                <w:szCs w:val="18"/>
              </w:rPr>
              <w:t>X≥300</w:t>
            </w:r>
          </w:p>
        </w:tc>
        <w:tc>
          <w:tcPr>
            <w:tcW w:w="1701" w:type="dxa"/>
            <w:noWrap w:val="0"/>
            <w:vAlign w:val="center"/>
          </w:tcPr>
          <w:p w14:paraId="4D64A669">
            <w:pPr>
              <w:widowControl/>
              <w:ind w:left="1" w:leftChars="-51" w:hanging="108" w:hangingChars="60"/>
              <w:jc w:val="center"/>
              <w:rPr>
                <w:kern w:val="0"/>
                <w:sz w:val="18"/>
                <w:szCs w:val="18"/>
              </w:rPr>
            </w:pPr>
            <w:r>
              <w:rPr>
                <w:kern w:val="0"/>
                <w:sz w:val="18"/>
                <w:szCs w:val="18"/>
              </w:rPr>
              <w:t xml:space="preserve">100≤X＜300 </w:t>
            </w:r>
          </w:p>
        </w:tc>
        <w:tc>
          <w:tcPr>
            <w:tcW w:w="1426" w:type="dxa"/>
            <w:noWrap w:val="0"/>
            <w:vAlign w:val="center"/>
          </w:tcPr>
          <w:p w14:paraId="342DEC29">
            <w:pPr>
              <w:widowControl/>
              <w:jc w:val="center"/>
              <w:rPr>
                <w:kern w:val="0"/>
                <w:sz w:val="18"/>
                <w:szCs w:val="18"/>
              </w:rPr>
            </w:pPr>
            <w:r>
              <w:rPr>
                <w:kern w:val="0"/>
                <w:sz w:val="18"/>
                <w:szCs w:val="18"/>
              </w:rPr>
              <w:t>10≤X＜100</w:t>
            </w:r>
          </w:p>
        </w:tc>
        <w:tc>
          <w:tcPr>
            <w:tcW w:w="992" w:type="dxa"/>
            <w:noWrap w:val="0"/>
            <w:vAlign w:val="center"/>
          </w:tcPr>
          <w:p w14:paraId="47BF6337">
            <w:pPr>
              <w:widowControl/>
              <w:jc w:val="center"/>
              <w:rPr>
                <w:kern w:val="0"/>
                <w:sz w:val="18"/>
                <w:szCs w:val="18"/>
              </w:rPr>
            </w:pPr>
            <w:r>
              <w:rPr>
                <w:kern w:val="0"/>
                <w:sz w:val="18"/>
                <w:szCs w:val="18"/>
              </w:rPr>
              <w:t>X＜10</w:t>
            </w:r>
          </w:p>
        </w:tc>
      </w:tr>
      <w:tr w14:paraId="1457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44126C">
            <w:pPr>
              <w:widowControl/>
              <w:jc w:val="left"/>
              <w:rPr>
                <w:kern w:val="0"/>
                <w:sz w:val="18"/>
                <w:szCs w:val="18"/>
              </w:rPr>
            </w:pPr>
          </w:p>
        </w:tc>
        <w:tc>
          <w:tcPr>
            <w:tcW w:w="1369" w:type="dxa"/>
            <w:noWrap w:val="0"/>
            <w:vAlign w:val="center"/>
          </w:tcPr>
          <w:p w14:paraId="1B10E0B3">
            <w:pPr>
              <w:widowControl/>
              <w:spacing w:line="240" w:lineRule="exact"/>
              <w:jc w:val="center"/>
              <w:rPr>
                <w:kern w:val="0"/>
                <w:sz w:val="18"/>
                <w:szCs w:val="18"/>
              </w:rPr>
            </w:pPr>
            <w:r>
              <w:rPr>
                <w:kern w:val="0"/>
                <w:sz w:val="18"/>
                <w:szCs w:val="18"/>
              </w:rPr>
              <w:t>营业收入(Y)</w:t>
            </w:r>
          </w:p>
        </w:tc>
        <w:tc>
          <w:tcPr>
            <w:tcW w:w="709" w:type="dxa"/>
            <w:noWrap w:val="0"/>
            <w:vAlign w:val="center"/>
          </w:tcPr>
          <w:p w14:paraId="78275AFE">
            <w:pPr>
              <w:widowControl/>
              <w:jc w:val="center"/>
              <w:rPr>
                <w:kern w:val="0"/>
                <w:sz w:val="18"/>
                <w:szCs w:val="18"/>
              </w:rPr>
            </w:pPr>
            <w:r>
              <w:rPr>
                <w:kern w:val="0"/>
                <w:sz w:val="18"/>
                <w:szCs w:val="18"/>
              </w:rPr>
              <w:t>万元</w:t>
            </w:r>
          </w:p>
        </w:tc>
        <w:tc>
          <w:tcPr>
            <w:tcW w:w="1125" w:type="dxa"/>
            <w:noWrap w:val="0"/>
            <w:vAlign w:val="center"/>
          </w:tcPr>
          <w:p w14:paraId="22C36E2E">
            <w:pPr>
              <w:widowControl/>
              <w:jc w:val="center"/>
              <w:rPr>
                <w:kern w:val="0"/>
                <w:sz w:val="18"/>
                <w:szCs w:val="18"/>
              </w:rPr>
            </w:pPr>
            <w:r>
              <w:rPr>
                <w:kern w:val="0"/>
                <w:sz w:val="18"/>
                <w:szCs w:val="18"/>
              </w:rPr>
              <w:t>Y≥10000</w:t>
            </w:r>
          </w:p>
        </w:tc>
        <w:tc>
          <w:tcPr>
            <w:tcW w:w="1701" w:type="dxa"/>
            <w:noWrap w:val="0"/>
            <w:vAlign w:val="center"/>
          </w:tcPr>
          <w:p w14:paraId="316C9B4B">
            <w:pPr>
              <w:widowControl/>
              <w:jc w:val="center"/>
              <w:rPr>
                <w:kern w:val="0"/>
                <w:sz w:val="18"/>
                <w:szCs w:val="18"/>
              </w:rPr>
            </w:pPr>
            <w:r>
              <w:rPr>
                <w:kern w:val="0"/>
                <w:sz w:val="18"/>
                <w:szCs w:val="18"/>
              </w:rPr>
              <w:t>2000≤Y＜10000</w:t>
            </w:r>
          </w:p>
        </w:tc>
        <w:tc>
          <w:tcPr>
            <w:tcW w:w="1426" w:type="dxa"/>
            <w:noWrap w:val="0"/>
            <w:vAlign w:val="center"/>
          </w:tcPr>
          <w:p w14:paraId="38AD34AD">
            <w:pPr>
              <w:widowControl/>
              <w:jc w:val="center"/>
              <w:rPr>
                <w:kern w:val="0"/>
                <w:sz w:val="18"/>
                <w:szCs w:val="18"/>
              </w:rPr>
            </w:pPr>
            <w:r>
              <w:rPr>
                <w:kern w:val="0"/>
                <w:sz w:val="18"/>
                <w:szCs w:val="18"/>
              </w:rPr>
              <w:t>100≤Y＜2000</w:t>
            </w:r>
          </w:p>
        </w:tc>
        <w:tc>
          <w:tcPr>
            <w:tcW w:w="992" w:type="dxa"/>
            <w:noWrap w:val="0"/>
            <w:vAlign w:val="center"/>
          </w:tcPr>
          <w:p w14:paraId="731FE01F">
            <w:pPr>
              <w:widowControl/>
              <w:jc w:val="center"/>
              <w:rPr>
                <w:kern w:val="0"/>
                <w:sz w:val="18"/>
                <w:szCs w:val="18"/>
              </w:rPr>
            </w:pPr>
            <w:r>
              <w:rPr>
                <w:kern w:val="0"/>
                <w:sz w:val="18"/>
                <w:szCs w:val="18"/>
              </w:rPr>
              <w:t>Y＜100</w:t>
            </w:r>
          </w:p>
        </w:tc>
      </w:tr>
      <w:tr w14:paraId="272C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A2F4B2">
            <w:pPr>
              <w:widowControl/>
              <w:spacing w:line="240" w:lineRule="exact"/>
              <w:jc w:val="left"/>
              <w:rPr>
                <w:rFonts w:hint="eastAsia"/>
                <w:kern w:val="0"/>
                <w:sz w:val="18"/>
                <w:szCs w:val="18"/>
              </w:rPr>
            </w:pPr>
            <w:r>
              <w:rPr>
                <w:kern w:val="0"/>
                <w:sz w:val="18"/>
                <w:szCs w:val="18"/>
              </w:rPr>
              <w:t xml:space="preserve">信息传输业 </w:t>
            </w:r>
            <w:r>
              <w:rPr>
                <w:rFonts w:hint="eastAsia" w:ascii="宋体" w:hAnsi="宋体" w:cs="宋体"/>
                <w:kern w:val="0"/>
                <w:sz w:val="18"/>
                <w:szCs w:val="18"/>
              </w:rPr>
              <w:t>※</w:t>
            </w:r>
          </w:p>
        </w:tc>
        <w:tc>
          <w:tcPr>
            <w:tcW w:w="1369" w:type="dxa"/>
            <w:noWrap w:val="0"/>
            <w:vAlign w:val="center"/>
          </w:tcPr>
          <w:p w14:paraId="456A61EB">
            <w:pPr>
              <w:widowControl/>
              <w:jc w:val="center"/>
              <w:rPr>
                <w:kern w:val="0"/>
                <w:sz w:val="18"/>
                <w:szCs w:val="18"/>
              </w:rPr>
            </w:pPr>
            <w:r>
              <w:rPr>
                <w:kern w:val="0"/>
                <w:sz w:val="18"/>
                <w:szCs w:val="18"/>
              </w:rPr>
              <w:t>从业人员(X)</w:t>
            </w:r>
          </w:p>
        </w:tc>
        <w:tc>
          <w:tcPr>
            <w:tcW w:w="709" w:type="dxa"/>
            <w:noWrap w:val="0"/>
            <w:vAlign w:val="center"/>
          </w:tcPr>
          <w:p w14:paraId="7190D23D">
            <w:pPr>
              <w:widowControl/>
              <w:jc w:val="center"/>
              <w:rPr>
                <w:kern w:val="0"/>
                <w:sz w:val="18"/>
                <w:szCs w:val="18"/>
              </w:rPr>
            </w:pPr>
            <w:r>
              <w:rPr>
                <w:kern w:val="0"/>
                <w:sz w:val="18"/>
                <w:szCs w:val="18"/>
              </w:rPr>
              <w:t>人</w:t>
            </w:r>
          </w:p>
        </w:tc>
        <w:tc>
          <w:tcPr>
            <w:tcW w:w="1125" w:type="dxa"/>
            <w:noWrap w:val="0"/>
            <w:vAlign w:val="center"/>
          </w:tcPr>
          <w:p w14:paraId="48A64201">
            <w:pPr>
              <w:widowControl/>
              <w:jc w:val="center"/>
              <w:rPr>
                <w:kern w:val="0"/>
                <w:sz w:val="18"/>
                <w:szCs w:val="18"/>
              </w:rPr>
            </w:pPr>
            <w:r>
              <w:rPr>
                <w:kern w:val="0"/>
                <w:sz w:val="18"/>
                <w:szCs w:val="18"/>
              </w:rPr>
              <w:t>X≥2000</w:t>
            </w:r>
          </w:p>
        </w:tc>
        <w:tc>
          <w:tcPr>
            <w:tcW w:w="1701" w:type="dxa"/>
            <w:noWrap w:val="0"/>
            <w:vAlign w:val="center"/>
          </w:tcPr>
          <w:p w14:paraId="50BA6A5C">
            <w:pPr>
              <w:widowControl/>
              <w:jc w:val="center"/>
              <w:rPr>
                <w:kern w:val="0"/>
                <w:sz w:val="18"/>
                <w:szCs w:val="18"/>
              </w:rPr>
            </w:pPr>
            <w:r>
              <w:rPr>
                <w:kern w:val="0"/>
                <w:sz w:val="18"/>
                <w:szCs w:val="18"/>
              </w:rPr>
              <w:t>100≤X＜2000</w:t>
            </w:r>
          </w:p>
        </w:tc>
        <w:tc>
          <w:tcPr>
            <w:tcW w:w="1426" w:type="dxa"/>
            <w:noWrap w:val="0"/>
            <w:vAlign w:val="center"/>
          </w:tcPr>
          <w:p w14:paraId="33C9A9EE">
            <w:pPr>
              <w:widowControl/>
              <w:jc w:val="center"/>
              <w:rPr>
                <w:kern w:val="0"/>
                <w:sz w:val="18"/>
                <w:szCs w:val="18"/>
              </w:rPr>
            </w:pPr>
            <w:r>
              <w:rPr>
                <w:kern w:val="0"/>
                <w:sz w:val="18"/>
                <w:szCs w:val="18"/>
              </w:rPr>
              <w:t>10≤X＜100</w:t>
            </w:r>
          </w:p>
        </w:tc>
        <w:tc>
          <w:tcPr>
            <w:tcW w:w="992" w:type="dxa"/>
            <w:noWrap w:val="0"/>
            <w:vAlign w:val="center"/>
          </w:tcPr>
          <w:p w14:paraId="2F9864EA">
            <w:pPr>
              <w:widowControl/>
              <w:jc w:val="center"/>
              <w:rPr>
                <w:kern w:val="0"/>
                <w:sz w:val="18"/>
                <w:szCs w:val="18"/>
              </w:rPr>
            </w:pPr>
            <w:r>
              <w:rPr>
                <w:kern w:val="0"/>
                <w:sz w:val="18"/>
                <w:szCs w:val="18"/>
              </w:rPr>
              <w:t>X＜10</w:t>
            </w:r>
          </w:p>
        </w:tc>
      </w:tr>
      <w:tr w14:paraId="0A16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E24C6D3">
            <w:pPr>
              <w:widowControl/>
              <w:jc w:val="left"/>
              <w:rPr>
                <w:kern w:val="0"/>
                <w:sz w:val="18"/>
                <w:szCs w:val="18"/>
              </w:rPr>
            </w:pPr>
          </w:p>
        </w:tc>
        <w:tc>
          <w:tcPr>
            <w:tcW w:w="1369" w:type="dxa"/>
            <w:noWrap w:val="0"/>
            <w:vAlign w:val="center"/>
          </w:tcPr>
          <w:p w14:paraId="02A649DD">
            <w:pPr>
              <w:widowControl/>
              <w:spacing w:line="240" w:lineRule="exact"/>
              <w:jc w:val="center"/>
              <w:rPr>
                <w:kern w:val="0"/>
                <w:sz w:val="18"/>
                <w:szCs w:val="18"/>
              </w:rPr>
            </w:pPr>
            <w:r>
              <w:rPr>
                <w:kern w:val="0"/>
                <w:sz w:val="18"/>
                <w:szCs w:val="18"/>
              </w:rPr>
              <w:t>营业收入(Y)</w:t>
            </w:r>
          </w:p>
        </w:tc>
        <w:tc>
          <w:tcPr>
            <w:tcW w:w="709" w:type="dxa"/>
            <w:noWrap w:val="0"/>
            <w:vAlign w:val="center"/>
          </w:tcPr>
          <w:p w14:paraId="4529D4C1">
            <w:pPr>
              <w:widowControl/>
              <w:jc w:val="center"/>
              <w:rPr>
                <w:kern w:val="0"/>
                <w:sz w:val="18"/>
                <w:szCs w:val="18"/>
              </w:rPr>
            </w:pPr>
            <w:r>
              <w:rPr>
                <w:kern w:val="0"/>
                <w:sz w:val="18"/>
                <w:szCs w:val="18"/>
              </w:rPr>
              <w:t>万元</w:t>
            </w:r>
          </w:p>
        </w:tc>
        <w:tc>
          <w:tcPr>
            <w:tcW w:w="1125" w:type="dxa"/>
            <w:noWrap w:val="0"/>
            <w:vAlign w:val="center"/>
          </w:tcPr>
          <w:p w14:paraId="1AAC3435">
            <w:pPr>
              <w:widowControl/>
              <w:jc w:val="center"/>
              <w:rPr>
                <w:kern w:val="0"/>
                <w:sz w:val="18"/>
                <w:szCs w:val="18"/>
              </w:rPr>
            </w:pPr>
            <w:r>
              <w:rPr>
                <w:kern w:val="0"/>
                <w:sz w:val="18"/>
                <w:szCs w:val="18"/>
              </w:rPr>
              <w:t>Y≥100000</w:t>
            </w:r>
          </w:p>
        </w:tc>
        <w:tc>
          <w:tcPr>
            <w:tcW w:w="1701" w:type="dxa"/>
            <w:noWrap w:val="0"/>
            <w:vAlign w:val="center"/>
          </w:tcPr>
          <w:p w14:paraId="72EAE406">
            <w:pPr>
              <w:widowControl/>
              <w:jc w:val="center"/>
              <w:rPr>
                <w:kern w:val="0"/>
                <w:sz w:val="18"/>
                <w:szCs w:val="18"/>
              </w:rPr>
            </w:pPr>
            <w:r>
              <w:rPr>
                <w:kern w:val="0"/>
                <w:sz w:val="18"/>
                <w:szCs w:val="18"/>
              </w:rPr>
              <w:t>1000≤Y＜100000</w:t>
            </w:r>
          </w:p>
        </w:tc>
        <w:tc>
          <w:tcPr>
            <w:tcW w:w="1426" w:type="dxa"/>
            <w:noWrap w:val="0"/>
            <w:vAlign w:val="center"/>
          </w:tcPr>
          <w:p w14:paraId="6066F4AC">
            <w:pPr>
              <w:widowControl/>
              <w:jc w:val="center"/>
              <w:rPr>
                <w:kern w:val="0"/>
                <w:sz w:val="18"/>
                <w:szCs w:val="18"/>
              </w:rPr>
            </w:pPr>
            <w:r>
              <w:rPr>
                <w:kern w:val="0"/>
                <w:sz w:val="18"/>
                <w:szCs w:val="18"/>
              </w:rPr>
              <w:t>100≤Y＜1000</w:t>
            </w:r>
          </w:p>
        </w:tc>
        <w:tc>
          <w:tcPr>
            <w:tcW w:w="992" w:type="dxa"/>
            <w:noWrap w:val="0"/>
            <w:vAlign w:val="center"/>
          </w:tcPr>
          <w:p w14:paraId="795E0078">
            <w:pPr>
              <w:widowControl/>
              <w:jc w:val="center"/>
              <w:rPr>
                <w:kern w:val="0"/>
                <w:sz w:val="18"/>
                <w:szCs w:val="18"/>
              </w:rPr>
            </w:pPr>
            <w:r>
              <w:rPr>
                <w:kern w:val="0"/>
                <w:sz w:val="18"/>
                <w:szCs w:val="18"/>
              </w:rPr>
              <w:t>Y＜100</w:t>
            </w:r>
          </w:p>
        </w:tc>
      </w:tr>
      <w:tr w14:paraId="1DD6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90906E9">
            <w:pPr>
              <w:widowControl/>
              <w:spacing w:line="240" w:lineRule="exact"/>
              <w:jc w:val="left"/>
              <w:rPr>
                <w:spacing w:val="-12"/>
                <w:kern w:val="0"/>
                <w:sz w:val="18"/>
                <w:szCs w:val="18"/>
              </w:rPr>
            </w:pPr>
            <w:r>
              <w:rPr>
                <w:spacing w:val="-12"/>
                <w:kern w:val="0"/>
                <w:sz w:val="18"/>
                <w:szCs w:val="18"/>
              </w:rPr>
              <w:t>软件和信息技术服</w:t>
            </w:r>
            <w:r>
              <w:rPr>
                <w:kern w:val="0"/>
                <w:sz w:val="18"/>
                <w:szCs w:val="18"/>
              </w:rPr>
              <w:t>务业</w:t>
            </w:r>
          </w:p>
        </w:tc>
        <w:tc>
          <w:tcPr>
            <w:tcW w:w="1369" w:type="dxa"/>
            <w:noWrap w:val="0"/>
            <w:vAlign w:val="center"/>
          </w:tcPr>
          <w:p w14:paraId="7239A6C1">
            <w:pPr>
              <w:widowControl/>
              <w:jc w:val="center"/>
              <w:rPr>
                <w:kern w:val="0"/>
                <w:sz w:val="18"/>
                <w:szCs w:val="18"/>
              </w:rPr>
            </w:pPr>
            <w:r>
              <w:rPr>
                <w:kern w:val="0"/>
                <w:sz w:val="18"/>
                <w:szCs w:val="18"/>
              </w:rPr>
              <w:t>从业人员(X)</w:t>
            </w:r>
          </w:p>
        </w:tc>
        <w:tc>
          <w:tcPr>
            <w:tcW w:w="709" w:type="dxa"/>
            <w:noWrap w:val="0"/>
            <w:vAlign w:val="center"/>
          </w:tcPr>
          <w:p w14:paraId="35A7446A">
            <w:pPr>
              <w:widowControl/>
              <w:jc w:val="center"/>
              <w:rPr>
                <w:kern w:val="0"/>
                <w:sz w:val="18"/>
                <w:szCs w:val="18"/>
              </w:rPr>
            </w:pPr>
            <w:r>
              <w:rPr>
                <w:kern w:val="0"/>
                <w:sz w:val="18"/>
                <w:szCs w:val="18"/>
              </w:rPr>
              <w:t>人</w:t>
            </w:r>
          </w:p>
        </w:tc>
        <w:tc>
          <w:tcPr>
            <w:tcW w:w="1125" w:type="dxa"/>
            <w:noWrap w:val="0"/>
            <w:vAlign w:val="center"/>
          </w:tcPr>
          <w:p w14:paraId="686EE941">
            <w:pPr>
              <w:widowControl/>
              <w:jc w:val="center"/>
              <w:rPr>
                <w:kern w:val="0"/>
                <w:sz w:val="18"/>
                <w:szCs w:val="18"/>
              </w:rPr>
            </w:pPr>
            <w:r>
              <w:rPr>
                <w:kern w:val="0"/>
                <w:sz w:val="18"/>
                <w:szCs w:val="18"/>
              </w:rPr>
              <w:t>X≥300</w:t>
            </w:r>
          </w:p>
        </w:tc>
        <w:tc>
          <w:tcPr>
            <w:tcW w:w="1701" w:type="dxa"/>
            <w:noWrap w:val="0"/>
            <w:vAlign w:val="center"/>
          </w:tcPr>
          <w:p w14:paraId="6BCD7FA1">
            <w:pPr>
              <w:widowControl/>
              <w:ind w:left="1" w:leftChars="-51" w:hanging="108" w:hangingChars="60"/>
              <w:jc w:val="center"/>
              <w:rPr>
                <w:kern w:val="0"/>
                <w:sz w:val="18"/>
                <w:szCs w:val="18"/>
              </w:rPr>
            </w:pPr>
            <w:r>
              <w:rPr>
                <w:kern w:val="0"/>
                <w:sz w:val="18"/>
                <w:szCs w:val="18"/>
              </w:rPr>
              <w:t xml:space="preserve">100≤X＜300 </w:t>
            </w:r>
          </w:p>
        </w:tc>
        <w:tc>
          <w:tcPr>
            <w:tcW w:w="1426" w:type="dxa"/>
            <w:noWrap w:val="0"/>
            <w:vAlign w:val="center"/>
          </w:tcPr>
          <w:p w14:paraId="681C38B3">
            <w:pPr>
              <w:widowControl/>
              <w:jc w:val="center"/>
              <w:rPr>
                <w:kern w:val="0"/>
                <w:sz w:val="18"/>
                <w:szCs w:val="18"/>
              </w:rPr>
            </w:pPr>
            <w:r>
              <w:rPr>
                <w:kern w:val="0"/>
                <w:sz w:val="18"/>
                <w:szCs w:val="18"/>
              </w:rPr>
              <w:t>10≤X＜100</w:t>
            </w:r>
          </w:p>
        </w:tc>
        <w:tc>
          <w:tcPr>
            <w:tcW w:w="992" w:type="dxa"/>
            <w:noWrap w:val="0"/>
            <w:vAlign w:val="center"/>
          </w:tcPr>
          <w:p w14:paraId="427EFC82">
            <w:pPr>
              <w:widowControl/>
              <w:jc w:val="center"/>
              <w:rPr>
                <w:kern w:val="0"/>
                <w:sz w:val="18"/>
                <w:szCs w:val="18"/>
              </w:rPr>
            </w:pPr>
            <w:r>
              <w:rPr>
                <w:kern w:val="0"/>
                <w:sz w:val="18"/>
                <w:szCs w:val="18"/>
              </w:rPr>
              <w:t>X＜10</w:t>
            </w:r>
          </w:p>
        </w:tc>
      </w:tr>
      <w:tr w14:paraId="45E3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EF9BBB6">
            <w:pPr>
              <w:widowControl/>
              <w:jc w:val="left"/>
              <w:rPr>
                <w:spacing w:val="-12"/>
                <w:kern w:val="0"/>
                <w:sz w:val="18"/>
                <w:szCs w:val="18"/>
              </w:rPr>
            </w:pPr>
          </w:p>
        </w:tc>
        <w:tc>
          <w:tcPr>
            <w:tcW w:w="1369" w:type="dxa"/>
            <w:noWrap w:val="0"/>
            <w:vAlign w:val="center"/>
          </w:tcPr>
          <w:p w14:paraId="2D4187B3">
            <w:pPr>
              <w:widowControl/>
              <w:jc w:val="center"/>
              <w:rPr>
                <w:kern w:val="0"/>
                <w:sz w:val="18"/>
                <w:szCs w:val="18"/>
              </w:rPr>
            </w:pPr>
            <w:r>
              <w:rPr>
                <w:kern w:val="0"/>
                <w:sz w:val="18"/>
                <w:szCs w:val="18"/>
              </w:rPr>
              <w:t>营业收入(Y)</w:t>
            </w:r>
          </w:p>
        </w:tc>
        <w:tc>
          <w:tcPr>
            <w:tcW w:w="709" w:type="dxa"/>
            <w:noWrap w:val="0"/>
            <w:vAlign w:val="center"/>
          </w:tcPr>
          <w:p w14:paraId="66136F2B">
            <w:pPr>
              <w:widowControl/>
              <w:jc w:val="center"/>
              <w:rPr>
                <w:kern w:val="0"/>
                <w:sz w:val="18"/>
                <w:szCs w:val="18"/>
              </w:rPr>
            </w:pPr>
            <w:r>
              <w:rPr>
                <w:kern w:val="0"/>
                <w:sz w:val="18"/>
                <w:szCs w:val="18"/>
              </w:rPr>
              <w:t>万元</w:t>
            </w:r>
          </w:p>
        </w:tc>
        <w:tc>
          <w:tcPr>
            <w:tcW w:w="1125" w:type="dxa"/>
            <w:noWrap w:val="0"/>
            <w:vAlign w:val="center"/>
          </w:tcPr>
          <w:p w14:paraId="04EA61B1">
            <w:pPr>
              <w:widowControl/>
              <w:jc w:val="center"/>
              <w:rPr>
                <w:kern w:val="0"/>
                <w:sz w:val="18"/>
                <w:szCs w:val="18"/>
              </w:rPr>
            </w:pPr>
            <w:r>
              <w:rPr>
                <w:kern w:val="0"/>
                <w:sz w:val="18"/>
                <w:szCs w:val="18"/>
              </w:rPr>
              <w:t>Y≥10000</w:t>
            </w:r>
          </w:p>
        </w:tc>
        <w:tc>
          <w:tcPr>
            <w:tcW w:w="1701" w:type="dxa"/>
            <w:noWrap w:val="0"/>
            <w:vAlign w:val="center"/>
          </w:tcPr>
          <w:p w14:paraId="10B77FF2">
            <w:pPr>
              <w:widowControl/>
              <w:jc w:val="center"/>
              <w:rPr>
                <w:kern w:val="0"/>
                <w:sz w:val="18"/>
                <w:szCs w:val="18"/>
              </w:rPr>
            </w:pPr>
            <w:r>
              <w:rPr>
                <w:kern w:val="0"/>
                <w:sz w:val="18"/>
                <w:szCs w:val="18"/>
              </w:rPr>
              <w:t>1000≤Y＜10000</w:t>
            </w:r>
          </w:p>
        </w:tc>
        <w:tc>
          <w:tcPr>
            <w:tcW w:w="1426" w:type="dxa"/>
            <w:noWrap w:val="0"/>
            <w:vAlign w:val="center"/>
          </w:tcPr>
          <w:p w14:paraId="5363F7EF">
            <w:pPr>
              <w:widowControl/>
              <w:jc w:val="center"/>
              <w:rPr>
                <w:kern w:val="0"/>
                <w:sz w:val="18"/>
                <w:szCs w:val="18"/>
              </w:rPr>
            </w:pPr>
            <w:r>
              <w:rPr>
                <w:kern w:val="0"/>
                <w:sz w:val="18"/>
                <w:szCs w:val="18"/>
              </w:rPr>
              <w:t>50≤Y＜1000</w:t>
            </w:r>
          </w:p>
        </w:tc>
        <w:tc>
          <w:tcPr>
            <w:tcW w:w="992" w:type="dxa"/>
            <w:noWrap w:val="0"/>
            <w:vAlign w:val="center"/>
          </w:tcPr>
          <w:p w14:paraId="738CB1DF">
            <w:pPr>
              <w:widowControl/>
              <w:jc w:val="center"/>
              <w:rPr>
                <w:kern w:val="0"/>
                <w:sz w:val="18"/>
                <w:szCs w:val="18"/>
              </w:rPr>
            </w:pPr>
            <w:r>
              <w:rPr>
                <w:kern w:val="0"/>
                <w:sz w:val="18"/>
                <w:szCs w:val="18"/>
              </w:rPr>
              <w:t>Y＜50</w:t>
            </w:r>
          </w:p>
        </w:tc>
      </w:tr>
      <w:tr w14:paraId="6D8C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305E34B">
            <w:pPr>
              <w:widowControl/>
              <w:spacing w:line="240" w:lineRule="exact"/>
              <w:jc w:val="left"/>
              <w:rPr>
                <w:kern w:val="0"/>
                <w:sz w:val="18"/>
                <w:szCs w:val="18"/>
              </w:rPr>
            </w:pPr>
            <w:r>
              <w:rPr>
                <w:kern w:val="0"/>
                <w:sz w:val="18"/>
                <w:szCs w:val="18"/>
              </w:rPr>
              <w:t>房地产开发经营</w:t>
            </w:r>
          </w:p>
        </w:tc>
        <w:tc>
          <w:tcPr>
            <w:tcW w:w="1369" w:type="dxa"/>
            <w:noWrap w:val="0"/>
            <w:vAlign w:val="center"/>
          </w:tcPr>
          <w:p w14:paraId="36BC66F5">
            <w:pPr>
              <w:widowControl/>
              <w:jc w:val="center"/>
              <w:rPr>
                <w:kern w:val="0"/>
                <w:sz w:val="18"/>
                <w:szCs w:val="18"/>
              </w:rPr>
            </w:pPr>
            <w:r>
              <w:rPr>
                <w:kern w:val="0"/>
                <w:sz w:val="18"/>
                <w:szCs w:val="18"/>
              </w:rPr>
              <w:t>营业收入(Y)</w:t>
            </w:r>
          </w:p>
        </w:tc>
        <w:tc>
          <w:tcPr>
            <w:tcW w:w="709" w:type="dxa"/>
            <w:noWrap w:val="0"/>
            <w:vAlign w:val="center"/>
          </w:tcPr>
          <w:p w14:paraId="447388E6">
            <w:pPr>
              <w:widowControl/>
              <w:jc w:val="center"/>
              <w:rPr>
                <w:kern w:val="0"/>
                <w:sz w:val="18"/>
                <w:szCs w:val="18"/>
              </w:rPr>
            </w:pPr>
            <w:r>
              <w:rPr>
                <w:kern w:val="0"/>
                <w:sz w:val="18"/>
                <w:szCs w:val="18"/>
              </w:rPr>
              <w:t>万元</w:t>
            </w:r>
          </w:p>
        </w:tc>
        <w:tc>
          <w:tcPr>
            <w:tcW w:w="1125" w:type="dxa"/>
            <w:noWrap w:val="0"/>
            <w:vAlign w:val="center"/>
          </w:tcPr>
          <w:p w14:paraId="7EA345EA">
            <w:pPr>
              <w:widowControl/>
              <w:jc w:val="center"/>
              <w:rPr>
                <w:kern w:val="0"/>
                <w:sz w:val="18"/>
                <w:szCs w:val="18"/>
              </w:rPr>
            </w:pPr>
            <w:r>
              <w:rPr>
                <w:kern w:val="0"/>
                <w:sz w:val="18"/>
                <w:szCs w:val="18"/>
              </w:rPr>
              <w:t>Y≥200000</w:t>
            </w:r>
          </w:p>
        </w:tc>
        <w:tc>
          <w:tcPr>
            <w:tcW w:w="1701" w:type="dxa"/>
            <w:noWrap w:val="0"/>
            <w:vAlign w:val="center"/>
          </w:tcPr>
          <w:p w14:paraId="7DEE16EA">
            <w:pPr>
              <w:widowControl/>
              <w:jc w:val="center"/>
              <w:rPr>
                <w:kern w:val="0"/>
                <w:sz w:val="18"/>
                <w:szCs w:val="18"/>
              </w:rPr>
            </w:pPr>
            <w:r>
              <w:rPr>
                <w:kern w:val="0"/>
                <w:sz w:val="18"/>
                <w:szCs w:val="18"/>
              </w:rPr>
              <w:t>1000≤Y＜200000</w:t>
            </w:r>
          </w:p>
        </w:tc>
        <w:tc>
          <w:tcPr>
            <w:tcW w:w="1426" w:type="dxa"/>
            <w:noWrap w:val="0"/>
            <w:vAlign w:val="center"/>
          </w:tcPr>
          <w:p w14:paraId="5C3166DF">
            <w:pPr>
              <w:widowControl/>
              <w:jc w:val="center"/>
              <w:rPr>
                <w:kern w:val="0"/>
                <w:sz w:val="18"/>
                <w:szCs w:val="18"/>
              </w:rPr>
            </w:pPr>
            <w:r>
              <w:rPr>
                <w:kern w:val="0"/>
                <w:sz w:val="18"/>
                <w:szCs w:val="18"/>
              </w:rPr>
              <w:t>100≤Y＜1000</w:t>
            </w:r>
          </w:p>
        </w:tc>
        <w:tc>
          <w:tcPr>
            <w:tcW w:w="992" w:type="dxa"/>
            <w:noWrap w:val="0"/>
            <w:vAlign w:val="center"/>
          </w:tcPr>
          <w:p w14:paraId="368E9650">
            <w:pPr>
              <w:widowControl/>
              <w:jc w:val="center"/>
              <w:rPr>
                <w:kern w:val="0"/>
                <w:sz w:val="18"/>
                <w:szCs w:val="18"/>
              </w:rPr>
            </w:pPr>
            <w:r>
              <w:rPr>
                <w:kern w:val="0"/>
                <w:sz w:val="18"/>
                <w:szCs w:val="18"/>
              </w:rPr>
              <w:t>Y＜100</w:t>
            </w:r>
          </w:p>
        </w:tc>
      </w:tr>
      <w:tr w14:paraId="2192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71C58CA">
            <w:pPr>
              <w:widowControl/>
              <w:jc w:val="left"/>
              <w:rPr>
                <w:kern w:val="0"/>
                <w:sz w:val="18"/>
                <w:szCs w:val="18"/>
              </w:rPr>
            </w:pPr>
          </w:p>
        </w:tc>
        <w:tc>
          <w:tcPr>
            <w:tcW w:w="1369" w:type="dxa"/>
            <w:noWrap w:val="0"/>
            <w:vAlign w:val="center"/>
          </w:tcPr>
          <w:p w14:paraId="60D5FE2D">
            <w:pPr>
              <w:widowControl/>
              <w:spacing w:line="240" w:lineRule="exact"/>
              <w:jc w:val="center"/>
              <w:rPr>
                <w:kern w:val="0"/>
                <w:sz w:val="18"/>
                <w:szCs w:val="18"/>
              </w:rPr>
            </w:pPr>
            <w:r>
              <w:rPr>
                <w:kern w:val="0"/>
                <w:sz w:val="18"/>
                <w:szCs w:val="18"/>
              </w:rPr>
              <w:t>资产总额(Z)</w:t>
            </w:r>
          </w:p>
        </w:tc>
        <w:tc>
          <w:tcPr>
            <w:tcW w:w="709" w:type="dxa"/>
            <w:noWrap w:val="0"/>
            <w:vAlign w:val="center"/>
          </w:tcPr>
          <w:p w14:paraId="60AB5562">
            <w:pPr>
              <w:widowControl/>
              <w:jc w:val="center"/>
              <w:rPr>
                <w:kern w:val="0"/>
                <w:sz w:val="18"/>
                <w:szCs w:val="18"/>
              </w:rPr>
            </w:pPr>
            <w:r>
              <w:rPr>
                <w:kern w:val="0"/>
                <w:sz w:val="18"/>
                <w:szCs w:val="18"/>
              </w:rPr>
              <w:t>万元</w:t>
            </w:r>
          </w:p>
        </w:tc>
        <w:tc>
          <w:tcPr>
            <w:tcW w:w="1125" w:type="dxa"/>
            <w:noWrap w:val="0"/>
            <w:vAlign w:val="center"/>
          </w:tcPr>
          <w:p w14:paraId="24ED390A">
            <w:pPr>
              <w:widowControl/>
              <w:jc w:val="center"/>
              <w:rPr>
                <w:kern w:val="0"/>
                <w:sz w:val="18"/>
                <w:szCs w:val="18"/>
              </w:rPr>
            </w:pPr>
            <w:r>
              <w:rPr>
                <w:kern w:val="0"/>
                <w:sz w:val="18"/>
                <w:szCs w:val="18"/>
              </w:rPr>
              <w:t>Z≥10000</w:t>
            </w:r>
          </w:p>
        </w:tc>
        <w:tc>
          <w:tcPr>
            <w:tcW w:w="1701" w:type="dxa"/>
            <w:noWrap w:val="0"/>
            <w:vAlign w:val="center"/>
          </w:tcPr>
          <w:p w14:paraId="48BDC43C">
            <w:pPr>
              <w:widowControl/>
              <w:jc w:val="center"/>
              <w:rPr>
                <w:kern w:val="0"/>
                <w:sz w:val="18"/>
                <w:szCs w:val="18"/>
              </w:rPr>
            </w:pPr>
            <w:r>
              <w:rPr>
                <w:kern w:val="0"/>
                <w:sz w:val="18"/>
                <w:szCs w:val="18"/>
              </w:rPr>
              <w:t>5000≤Z＜10000</w:t>
            </w:r>
          </w:p>
        </w:tc>
        <w:tc>
          <w:tcPr>
            <w:tcW w:w="1426" w:type="dxa"/>
            <w:noWrap w:val="0"/>
            <w:vAlign w:val="center"/>
          </w:tcPr>
          <w:p w14:paraId="1F972C4C">
            <w:pPr>
              <w:widowControl/>
              <w:jc w:val="center"/>
              <w:rPr>
                <w:kern w:val="0"/>
                <w:sz w:val="18"/>
                <w:szCs w:val="18"/>
              </w:rPr>
            </w:pPr>
            <w:r>
              <w:rPr>
                <w:kern w:val="0"/>
                <w:sz w:val="18"/>
                <w:szCs w:val="18"/>
              </w:rPr>
              <w:t>2000≤Z＜5000</w:t>
            </w:r>
          </w:p>
        </w:tc>
        <w:tc>
          <w:tcPr>
            <w:tcW w:w="992" w:type="dxa"/>
            <w:noWrap w:val="0"/>
            <w:vAlign w:val="center"/>
          </w:tcPr>
          <w:p w14:paraId="216BF127">
            <w:pPr>
              <w:widowControl/>
              <w:jc w:val="center"/>
              <w:rPr>
                <w:kern w:val="0"/>
                <w:sz w:val="18"/>
                <w:szCs w:val="18"/>
              </w:rPr>
            </w:pPr>
            <w:r>
              <w:rPr>
                <w:kern w:val="0"/>
                <w:sz w:val="18"/>
                <w:szCs w:val="18"/>
              </w:rPr>
              <w:t>Z＜2000</w:t>
            </w:r>
          </w:p>
        </w:tc>
      </w:tr>
      <w:tr w14:paraId="37F0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5069A66">
            <w:pPr>
              <w:widowControl/>
              <w:spacing w:line="240" w:lineRule="exact"/>
              <w:jc w:val="left"/>
              <w:rPr>
                <w:kern w:val="0"/>
                <w:sz w:val="18"/>
                <w:szCs w:val="18"/>
              </w:rPr>
            </w:pPr>
            <w:r>
              <w:rPr>
                <w:kern w:val="0"/>
                <w:sz w:val="18"/>
                <w:szCs w:val="18"/>
              </w:rPr>
              <w:t>物业管理</w:t>
            </w:r>
          </w:p>
        </w:tc>
        <w:tc>
          <w:tcPr>
            <w:tcW w:w="1369" w:type="dxa"/>
            <w:noWrap w:val="0"/>
            <w:vAlign w:val="center"/>
          </w:tcPr>
          <w:p w14:paraId="684D4726">
            <w:pPr>
              <w:widowControl/>
              <w:jc w:val="center"/>
              <w:rPr>
                <w:kern w:val="0"/>
                <w:sz w:val="18"/>
                <w:szCs w:val="18"/>
              </w:rPr>
            </w:pPr>
            <w:r>
              <w:rPr>
                <w:kern w:val="0"/>
                <w:sz w:val="18"/>
                <w:szCs w:val="18"/>
              </w:rPr>
              <w:t>从业人员(X)</w:t>
            </w:r>
          </w:p>
        </w:tc>
        <w:tc>
          <w:tcPr>
            <w:tcW w:w="709" w:type="dxa"/>
            <w:noWrap w:val="0"/>
            <w:vAlign w:val="center"/>
          </w:tcPr>
          <w:p w14:paraId="401BB414">
            <w:pPr>
              <w:widowControl/>
              <w:jc w:val="center"/>
              <w:rPr>
                <w:kern w:val="0"/>
                <w:sz w:val="18"/>
                <w:szCs w:val="18"/>
              </w:rPr>
            </w:pPr>
            <w:r>
              <w:rPr>
                <w:kern w:val="0"/>
                <w:sz w:val="18"/>
                <w:szCs w:val="18"/>
              </w:rPr>
              <w:t>人</w:t>
            </w:r>
          </w:p>
        </w:tc>
        <w:tc>
          <w:tcPr>
            <w:tcW w:w="1125" w:type="dxa"/>
            <w:noWrap w:val="0"/>
            <w:vAlign w:val="center"/>
          </w:tcPr>
          <w:p w14:paraId="1FD632E5">
            <w:pPr>
              <w:widowControl/>
              <w:jc w:val="center"/>
              <w:rPr>
                <w:kern w:val="0"/>
                <w:sz w:val="18"/>
                <w:szCs w:val="18"/>
              </w:rPr>
            </w:pPr>
            <w:r>
              <w:rPr>
                <w:kern w:val="0"/>
                <w:sz w:val="18"/>
                <w:szCs w:val="18"/>
              </w:rPr>
              <w:t>X≥1000</w:t>
            </w:r>
          </w:p>
        </w:tc>
        <w:tc>
          <w:tcPr>
            <w:tcW w:w="1701" w:type="dxa"/>
            <w:noWrap w:val="0"/>
            <w:vAlign w:val="center"/>
          </w:tcPr>
          <w:p w14:paraId="2C8CE9E8">
            <w:pPr>
              <w:widowControl/>
              <w:jc w:val="center"/>
              <w:rPr>
                <w:kern w:val="0"/>
                <w:sz w:val="18"/>
                <w:szCs w:val="18"/>
              </w:rPr>
            </w:pPr>
            <w:r>
              <w:rPr>
                <w:kern w:val="0"/>
                <w:sz w:val="18"/>
                <w:szCs w:val="18"/>
              </w:rPr>
              <w:t>300≤X＜1000</w:t>
            </w:r>
          </w:p>
        </w:tc>
        <w:tc>
          <w:tcPr>
            <w:tcW w:w="1426" w:type="dxa"/>
            <w:noWrap w:val="0"/>
            <w:vAlign w:val="center"/>
          </w:tcPr>
          <w:p w14:paraId="43204C76">
            <w:pPr>
              <w:widowControl/>
              <w:jc w:val="center"/>
              <w:rPr>
                <w:kern w:val="0"/>
                <w:sz w:val="18"/>
                <w:szCs w:val="18"/>
              </w:rPr>
            </w:pPr>
            <w:r>
              <w:rPr>
                <w:kern w:val="0"/>
                <w:sz w:val="18"/>
                <w:szCs w:val="18"/>
              </w:rPr>
              <w:t>100≤X＜300</w:t>
            </w:r>
          </w:p>
        </w:tc>
        <w:tc>
          <w:tcPr>
            <w:tcW w:w="992" w:type="dxa"/>
            <w:noWrap w:val="0"/>
            <w:vAlign w:val="center"/>
          </w:tcPr>
          <w:p w14:paraId="2C72733D">
            <w:pPr>
              <w:widowControl/>
              <w:jc w:val="center"/>
              <w:rPr>
                <w:kern w:val="0"/>
                <w:sz w:val="18"/>
                <w:szCs w:val="18"/>
              </w:rPr>
            </w:pPr>
            <w:r>
              <w:rPr>
                <w:kern w:val="0"/>
                <w:sz w:val="18"/>
                <w:szCs w:val="18"/>
              </w:rPr>
              <w:t>X＜100</w:t>
            </w:r>
          </w:p>
        </w:tc>
      </w:tr>
      <w:tr w14:paraId="195B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6AAB795">
            <w:pPr>
              <w:widowControl/>
              <w:jc w:val="left"/>
              <w:rPr>
                <w:kern w:val="0"/>
                <w:sz w:val="18"/>
                <w:szCs w:val="18"/>
              </w:rPr>
            </w:pPr>
          </w:p>
        </w:tc>
        <w:tc>
          <w:tcPr>
            <w:tcW w:w="1369" w:type="dxa"/>
            <w:noWrap w:val="0"/>
            <w:vAlign w:val="center"/>
          </w:tcPr>
          <w:p w14:paraId="203D05B1">
            <w:pPr>
              <w:widowControl/>
              <w:spacing w:line="240" w:lineRule="exact"/>
              <w:jc w:val="center"/>
              <w:rPr>
                <w:kern w:val="0"/>
                <w:sz w:val="18"/>
                <w:szCs w:val="18"/>
              </w:rPr>
            </w:pPr>
            <w:r>
              <w:rPr>
                <w:kern w:val="0"/>
                <w:sz w:val="18"/>
                <w:szCs w:val="18"/>
              </w:rPr>
              <w:t>营业收入(Y)</w:t>
            </w:r>
          </w:p>
        </w:tc>
        <w:tc>
          <w:tcPr>
            <w:tcW w:w="709" w:type="dxa"/>
            <w:noWrap w:val="0"/>
            <w:vAlign w:val="center"/>
          </w:tcPr>
          <w:p w14:paraId="5BD6BBC3">
            <w:pPr>
              <w:widowControl/>
              <w:jc w:val="center"/>
              <w:rPr>
                <w:kern w:val="0"/>
                <w:sz w:val="18"/>
                <w:szCs w:val="18"/>
              </w:rPr>
            </w:pPr>
            <w:r>
              <w:rPr>
                <w:kern w:val="0"/>
                <w:sz w:val="18"/>
                <w:szCs w:val="18"/>
              </w:rPr>
              <w:t>万元</w:t>
            </w:r>
          </w:p>
        </w:tc>
        <w:tc>
          <w:tcPr>
            <w:tcW w:w="1125" w:type="dxa"/>
            <w:noWrap w:val="0"/>
            <w:vAlign w:val="center"/>
          </w:tcPr>
          <w:p w14:paraId="17D67E49">
            <w:pPr>
              <w:widowControl/>
              <w:jc w:val="center"/>
              <w:rPr>
                <w:kern w:val="0"/>
                <w:sz w:val="18"/>
                <w:szCs w:val="18"/>
              </w:rPr>
            </w:pPr>
            <w:r>
              <w:rPr>
                <w:kern w:val="0"/>
                <w:sz w:val="18"/>
                <w:szCs w:val="18"/>
              </w:rPr>
              <w:t>Y≥5000</w:t>
            </w:r>
          </w:p>
        </w:tc>
        <w:tc>
          <w:tcPr>
            <w:tcW w:w="1701" w:type="dxa"/>
            <w:noWrap w:val="0"/>
            <w:vAlign w:val="center"/>
          </w:tcPr>
          <w:p w14:paraId="2117AFEF">
            <w:pPr>
              <w:widowControl/>
              <w:ind w:left="1" w:leftChars="-51" w:hanging="108" w:hangingChars="60"/>
              <w:jc w:val="center"/>
              <w:rPr>
                <w:kern w:val="0"/>
                <w:sz w:val="18"/>
                <w:szCs w:val="18"/>
              </w:rPr>
            </w:pPr>
            <w:r>
              <w:rPr>
                <w:kern w:val="0"/>
                <w:sz w:val="18"/>
                <w:szCs w:val="18"/>
              </w:rPr>
              <w:t>1000≤Y＜5000</w:t>
            </w:r>
          </w:p>
        </w:tc>
        <w:tc>
          <w:tcPr>
            <w:tcW w:w="1426" w:type="dxa"/>
            <w:noWrap w:val="0"/>
            <w:vAlign w:val="center"/>
          </w:tcPr>
          <w:p w14:paraId="7ED30770">
            <w:pPr>
              <w:widowControl/>
              <w:jc w:val="center"/>
              <w:rPr>
                <w:kern w:val="0"/>
                <w:sz w:val="18"/>
                <w:szCs w:val="18"/>
              </w:rPr>
            </w:pPr>
            <w:r>
              <w:rPr>
                <w:kern w:val="0"/>
                <w:sz w:val="18"/>
                <w:szCs w:val="18"/>
              </w:rPr>
              <w:t>500≤Y＜1000</w:t>
            </w:r>
          </w:p>
        </w:tc>
        <w:tc>
          <w:tcPr>
            <w:tcW w:w="992" w:type="dxa"/>
            <w:noWrap w:val="0"/>
            <w:vAlign w:val="center"/>
          </w:tcPr>
          <w:p w14:paraId="46488F93">
            <w:pPr>
              <w:widowControl/>
              <w:jc w:val="center"/>
              <w:rPr>
                <w:kern w:val="0"/>
                <w:sz w:val="18"/>
                <w:szCs w:val="18"/>
              </w:rPr>
            </w:pPr>
            <w:r>
              <w:rPr>
                <w:kern w:val="0"/>
                <w:sz w:val="18"/>
                <w:szCs w:val="18"/>
              </w:rPr>
              <w:t>Y＜500</w:t>
            </w:r>
          </w:p>
        </w:tc>
      </w:tr>
      <w:tr w14:paraId="5C34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60BC536">
            <w:pPr>
              <w:widowControl/>
              <w:spacing w:line="240" w:lineRule="exact"/>
              <w:jc w:val="left"/>
              <w:rPr>
                <w:kern w:val="0"/>
                <w:sz w:val="18"/>
                <w:szCs w:val="18"/>
              </w:rPr>
            </w:pPr>
            <w:r>
              <w:rPr>
                <w:kern w:val="0"/>
                <w:sz w:val="18"/>
                <w:szCs w:val="18"/>
              </w:rPr>
              <w:t>租赁和商务服务业</w:t>
            </w:r>
          </w:p>
        </w:tc>
        <w:tc>
          <w:tcPr>
            <w:tcW w:w="1369" w:type="dxa"/>
            <w:noWrap w:val="0"/>
            <w:vAlign w:val="center"/>
          </w:tcPr>
          <w:p w14:paraId="0BB909D8">
            <w:pPr>
              <w:widowControl/>
              <w:jc w:val="center"/>
              <w:rPr>
                <w:kern w:val="0"/>
                <w:sz w:val="18"/>
                <w:szCs w:val="18"/>
              </w:rPr>
            </w:pPr>
            <w:r>
              <w:rPr>
                <w:kern w:val="0"/>
                <w:sz w:val="18"/>
                <w:szCs w:val="18"/>
              </w:rPr>
              <w:t>从业人员(X)</w:t>
            </w:r>
          </w:p>
        </w:tc>
        <w:tc>
          <w:tcPr>
            <w:tcW w:w="709" w:type="dxa"/>
            <w:noWrap w:val="0"/>
            <w:vAlign w:val="center"/>
          </w:tcPr>
          <w:p w14:paraId="2E6DF1AA">
            <w:pPr>
              <w:widowControl/>
              <w:jc w:val="center"/>
              <w:rPr>
                <w:kern w:val="0"/>
                <w:sz w:val="18"/>
                <w:szCs w:val="18"/>
              </w:rPr>
            </w:pPr>
            <w:r>
              <w:rPr>
                <w:kern w:val="0"/>
                <w:sz w:val="18"/>
                <w:szCs w:val="18"/>
              </w:rPr>
              <w:t>人</w:t>
            </w:r>
          </w:p>
        </w:tc>
        <w:tc>
          <w:tcPr>
            <w:tcW w:w="1125" w:type="dxa"/>
            <w:noWrap w:val="0"/>
            <w:vAlign w:val="center"/>
          </w:tcPr>
          <w:p w14:paraId="098B1F0C">
            <w:pPr>
              <w:widowControl/>
              <w:jc w:val="center"/>
              <w:rPr>
                <w:kern w:val="0"/>
                <w:sz w:val="18"/>
                <w:szCs w:val="18"/>
              </w:rPr>
            </w:pPr>
            <w:r>
              <w:rPr>
                <w:kern w:val="0"/>
                <w:sz w:val="18"/>
                <w:szCs w:val="18"/>
              </w:rPr>
              <w:t>X≥300</w:t>
            </w:r>
          </w:p>
        </w:tc>
        <w:tc>
          <w:tcPr>
            <w:tcW w:w="1701" w:type="dxa"/>
            <w:noWrap w:val="0"/>
            <w:vAlign w:val="center"/>
          </w:tcPr>
          <w:p w14:paraId="0965D5EC">
            <w:pPr>
              <w:widowControl/>
              <w:ind w:left="1" w:leftChars="-51" w:hanging="108" w:hangingChars="60"/>
              <w:jc w:val="center"/>
              <w:rPr>
                <w:kern w:val="0"/>
                <w:sz w:val="18"/>
                <w:szCs w:val="18"/>
              </w:rPr>
            </w:pPr>
            <w:r>
              <w:rPr>
                <w:kern w:val="0"/>
                <w:sz w:val="18"/>
                <w:szCs w:val="18"/>
              </w:rPr>
              <w:t>100≤X＜300</w:t>
            </w:r>
          </w:p>
        </w:tc>
        <w:tc>
          <w:tcPr>
            <w:tcW w:w="1426" w:type="dxa"/>
            <w:noWrap w:val="0"/>
            <w:vAlign w:val="center"/>
          </w:tcPr>
          <w:p w14:paraId="056F880C">
            <w:pPr>
              <w:widowControl/>
              <w:jc w:val="center"/>
              <w:rPr>
                <w:kern w:val="0"/>
                <w:sz w:val="18"/>
                <w:szCs w:val="18"/>
              </w:rPr>
            </w:pPr>
            <w:r>
              <w:rPr>
                <w:kern w:val="0"/>
                <w:sz w:val="18"/>
                <w:szCs w:val="18"/>
              </w:rPr>
              <w:t>10≤X＜100</w:t>
            </w:r>
          </w:p>
        </w:tc>
        <w:tc>
          <w:tcPr>
            <w:tcW w:w="992" w:type="dxa"/>
            <w:noWrap w:val="0"/>
            <w:vAlign w:val="center"/>
          </w:tcPr>
          <w:p w14:paraId="17E4DA14">
            <w:pPr>
              <w:widowControl/>
              <w:jc w:val="center"/>
              <w:rPr>
                <w:kern w:val="0"/>
                <w:sz w:val="18"/>
                <w:szCs w:val="18"/>
              </w:rPr>
            </w:pPr>
            <w:r>
              <w:rPr>
                <w:kern w:val="0"/>
                <w:sz w:val="18"/>
                <w:szCs w:val="18"/>
              </w:rPr>
              <w:t>X＜10</w:t>
            </w:r>
          </w:p>
        </w:tc>
      </w:tr>
      <w:tr w14:paraId="50EC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48FF8CF">
            <w:pPr>
              <w:widowControl/>
              <w:jc w:val="left"/>
              <w:rPr>
                <w:kern w:val="0"/>
                <w:sz w:val="18"/>
                <w:szCs w:val="18"/>
              </w:rPr>
            </w:pPr>
          </w:p>
        </w:tc>
        <w:tc>
          <w:tcPr>
            <w:tcW w:w="1369" w:type="dxa"/>
            <w:noWrap w:val="0"/>
            <w:vAlign w:val="center"/>
          </w:tcPr>
          <w:p w14:paraId="1489A0B2">
            <w:pPr>
              <w:widowControl/>
              <w:spacing w:line="240" w:lineRule="exact"/>
              <w:jc w:val="center"/>
              <w:rPr>
                <w:kern w:val="0"/>
                <w:sz w:val="18"/>
                <w:szCs w:val="18"/>
              </w:rPr>
            </w:pPr>
            <w:r>
              <w:rPr>
                <w:kern w:val="0"/>
                <w:sz w:val="18"/>
                <w:szCs w:val="18"/>
              </w:rPr>
              <w:t>资产总额(Z)</w:t>
            </w:r>
          </w:p>
        </w:tc>
        <w:tc>
          <w:tcPr>
            <w:tcW w:w="709" w:type="dxa"/>
            <w:noWrap w:val="0"/>
            <w:vAlign w:val="center"/>
          </w:tcPr>
          <w:p w14:paraId="5D94B96C">
            <w:pPr>
              <w:widowControl/>
              <w:jc w:val="center"/>
              <w:rPr>
                <w:kern w:val="0"/>
                <w:sz w:val="18"/>
                <w:szCs w:val="18"/>
              </w:rPr>
            </w:pPr>
            <w:r>
              <w:rPr>
                <w:kern w:val="0"/>
                <w:sz w:val="18"/>
                <w:szCs w:val="18"/>
              </w:rPr>
              <w:t>万元</w:t>
            </w:r>
          </w:p>
        </w:tc>
        <w:tc>
          <w:tcPr>
            <w:tcW w:w="1125" w:type="dxa"/>
            <w:noWrap w:val="0"/>
            <w:vAlign w:val="center"/>
          </w:tcPr>
          <w:p w14:paraId="60D02DF5">
            <w:pPr>
              <w:widowControl/>
              <w:jc w:val="center"/>
              <w:rPr>
                <w:kern w:val="0"/>
                <w:sz w:val="18"/>
                <w:szCs w:val="18"/>
              </w:rPr>
            </w:pPr>
            <w:r>
              <w:rPr>
                <w:kern w:val="0"/>
                <w:sz w:val="18"/>
                <w:szCs w:val="18"/>
              </w:rPr>
              <w:t>Z≥120000</w:t>
            </w:r>
          </w:p>
        </w:tc>
        <w:tc>
          <w:tcPr>
            <w:tcW w:w="1701" w:type="dxa"/>
            <w:noWrap w:val="0"/>
            <w:vAlign w:val="center"/>
          </w:tcPr>
          <w:p w14:paraId="6C486B19">
            <w:pPr>
              <w:widowControl/>
              <w:jc w:val="center"/>
              <w:rPr>
                <w:kern w:val="0"/>
                <w:sz w:val="18"/>
                <w:szCs w:val="18"/>
              </w:rPr>
            </w:pPr>
            <w:r>
              <w:rPr>
                <w:kern w:val="0"/>
                <w:sz w:val="18"/>
                <w:szCs w:val="18"/>
              </w:rPr>
              <w:t>8000≤Z＜120000</w:t>
            </w:r>
          </w:p>
        </w:tc>
        <w:tc>
          <w:tcPr>
            <w:tcW w:w="1426" w:type="dxa"/>
            <w:noWrap w:val="0"/>
            <w:vAlign w:val="center"/>
          </w:tcPr>
          <w:p w14:paraId="3AF9E47D">
            <w:pPr>
              <w:widowControl/>
              <w:jc w:val="center"/>
              <w:rPr>
                <w:kern w:val="0"/>
                <w:sz w:val="18"/>
                <w:szCs w:val="18"/>
              </w:rPr>
            </w:pPr>
            <w:r>
              <w:rPr>
                <w:kern w:val="0"/>
                <w:sz w:val="18"/>
                <w:szCs w:val="18"/>
              </w:rPr>
              <w:t>100≤Z＜8000</w:t>
            </w:r>
          </w:p>
        </w:tc>
        <w:tc>
          <w:tcPr>
            <w:tcW w:w="992" w:type="dxa"/>
            <w:noWrap w:val="0"/>
            <w:vAlign w:val="center"/>
          </w:tcPr>
          <w:p w14:paraId="2F49C59A">
            <w:pPr>
              <w:widowControl/>
              <w:jc w:val="center"/>
              <w:rPr>
                <w:kern w:val="0"/>
                <w:sz w:val="18"/>
                <w:szCs w:val="18"/>
              </w:rPr>
            </w:pPr>
            <w:r>
              <w:rPr>
                <w:kern w:val="0"/>
                <w:sz w:val="18"/>
                <w:szCs w:val="18"/>
              </w:rPr>
              <w:t>Z＜100</w:t>
            </w:r>
          </w:p>
        </w:tc>
      </w:tr>
      <w:tr w14:paraId="29AD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769D831D">
            <w:pPr>
              <w:widowControl/>
              <w:spacing w:line="240" w:lineRule="exact"/>
              <w:jc w:val="left"/>
              <w:rPr>
                <w:rFonts w:hint="eastAsia"/>
                <w:kern w:val="0"/>
                <w:sz w:val="18"/>
                <w:szCs w:val="18"/>
              </w:rPr>
            </w:pPr>
            <w:r>
              <w:rPr>
                <w:kern w:val="0"/>
                <w:sz w:val="18"/>
                <w:szCs w:val="18"/>
              </w:rPr>
              <w:t xml:space="preserve">其他未列明行业 </w:t>
            </w:r>
            <w:r>
              <w:rPr>
                <w:rFonts w:hint="eastAsia" w:ascii="宋体" w:hAnsi="宋体" w:cs="宋体"/>
                <w:kern w:val="0"/>
                <w:sz w:val="18"/>
                <w:szCs w:val="18"/>
              </w:rPr>
              <w:t>※</w:t>
            </w:r>
          </w:p>
        </w:tc>
        <w:tc>
          <w:tcPr>
            <w:tcW w:w="1369" w:type="dxa"/>
            <w:noWrap w:val="0"/>
            <w:vAlign w:val="center"/>
          </w:tcPr>
          <w:p w14:paraId="3E812F31">
            <w:pPr>
              <w:widowControl/>
              <w:jc w:val="center"/>
              <w:rPr>
                <w:kern w:val="0"/>
                <w:sz w:val="18"/>
                <w:szCs w:val="18"/>
              </w:rPr>
            </w:pPr>
            <w:r>
              <w:rPr>
                <w:kern w:val="0"/>
                <w:sz w:val="18"/>
                <w:szCs w:val="18"/>
              </w:rPr>
              <w:t>从业人员(X)</w:t>
            </w:r>
          </w:p>
        </w:tc>
        <w:tc>
          <w:tcPr>
            <w:tcW w:w="709" w:type="dxa"/>
            <w:noWrap w:val="0"/>
            <w:vAlign w:val="center"/>
          </w:tcPr>
          <w:p w14:paraId="1539074C">
            <w:pPr>
              <w:widowControl/>
              <w:jc w:val="center"/>
              <w:rPr>
                <w:kern w:val="0"/>
                <w:sz w:val="18"/>
                <w:szCs w:val="18"/>
              </w:rPr>
            </w:pPr>
            <w:r>
              <w:rPr>
                <w:kern w:val="0"/>
                <w:sz w:val="18"/>
                <w:szCs w:val="18"/>
              </w:rPr>
              <w:t>人</w:t>
            </w:r>
          </w:p>
        </w:tc>
        <w:tc>
          <w:tcPr>
            <w:tcW w:w="1125" w:type="dxa"/>
            <w:noWrap w:val="0"/>
            <w:vAlign w:val="center"/>
          </w:tcPr>
          <w:p w14:paraId="4F66E26B">
            <w:pPr>
              <w:widowControl/>
              <w:jc w:val="center"/>
              <w:rPr>
                <w:kern w:val="0"/>
                <w:sz w:val="18"/>
                <w:szCs w:val="18"/>
              </w:rPr>
            </w:pPr>
            <w:r>
              <w:rPr>
                <w:kern w:val="0"/>
                <w:sz w:val="18"/>
                <w:szCs w:val="18"/>
              </w:rPr>
              <w:t>X≥300</w:t>
            </w:r>
          </w:p>
        </w:tc>
        <w:tc>
          <w:tcPr>
            <w:tcW w:w="1701" w:type="dxa"/>
            <w:noWrap w:val="0"/>
            <w:vAlign w:val="center"/>
          </w:tcPr>
          <w:p w14:paraId="30EC5F62">
            <w:pPr>
              <w:widowControl/>
              <w:ind w:left="1" w:leftChars="-51" w:hanging="108" w:hangingChars="60"/>
              <w:jc w:val="center"/>
              <w:rPr>
                <w:kern w:val="0"/>
                <w:sz w:val="18"/>
                <w:szCs w:val="18"/>
              </w:rPr>
            </w:pPr>
            <w:r>
              <w:rPr>
                <w:kern w:val="0"/>
                <w:sz w:val="18"/>
                <w:szCs w:val="18"/>
              </w:rPr>
              <w:t>100≤X＜300</w:t>
            </w:r>
          </w:p>
        </w:tc>
        <w:tc>
          <w:tcPr>
            <w:tcW w:w="1426" w:type="dxa"/>
            <w:noWrap w:val="0"/>
            <w:vAlign w:val="center"/>
          </w:tcPr>
          <w:p w14:paraId="20F26775">
            <w:pPr>
              <w:widowControl/>
              <w:jc w:val="center"/>
              <w:rPr>
                <w:kern w:val="0"/>
                <w:sz w:val="18"/>
                <w:szCs w:val="18"/>
              </w:rPr>
            </w:pPr>
            <w:r>
              <w:rPr>
                <w:kern w:val="0"/>
                <w:sz w:val="18"/>
                <w:szCs w:val="18"/>
              </w:rPr>
              <w:t>10≤X＜100</w:t>
            </w:r>
          </w:p>
        </w:tc>
        <w:tc>
          <w:tcPr>
            <w:tcW w:w="992" w:type="dxa"/>
            <w:noWrap w:val="0"/>
            <w:vAlign w:val="center"/>
          </w:tcPr>
          <w:p w14:paraId="64239E36">
            <w:pPr>
              <w:widowControl/>
              <w:jc w:val="center"/>
              <w:rPr>
                <w:kern w:val="0"/>
                <w:sz w:val="18"/>
                <w:szCs w:val="18"/>
              </w:rPr>
            </w:pPr>
            <w:r>
              <w:rPr>
                <w:kern w:val="0"/>
                <w:sz w:val="18"/>
                <w:szCs w:val="18"/>
              </w:rPr>
              <w:t>X＜10</w:t>
            </w:r>
          </w:p>
        </w:tc>
      </w:tr>
    </w:tbl>
    <w:p w14:paraId="6AB28632">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2857E521">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063A1734">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24A1E540">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说明：</w:t>
      </w:r>
    </w:p>
    <w:p w14:paraId="5035216E">
      <w:pPr>
        <w:pStyle w:val="11"/>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14:paraId="39DF326C">
      <w:pPr>
        <w:pStyle w:val="11"/>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D2DDA36">
      <w:pPr>
        <w:pStyle w:val="11"/>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59" w:name="_Toc4774"/>
      <w:bookmarkStart w:id="160" w:name="_Toc8466"/>
    </w:p>
    <w:p w14:paraId="48CF4224">
      <w:pPr>
        <w:pStyle w:val="6"/>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16933A72">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2BD07ECD">
      <w:pPr>
        <w:pStyle w:val="22"/>
        <w:rPr>
          <w:rFonts w:hint="eastAsia" w:ascii="宋体" w:hAnsi="宋体" w:eastAsia="宋体" w:cs="宋体"/>
          <w:color w:val="000000" w:themeColor="text1"/>
          <w:highlight w:val="none"/>
          <w14:textFill>
            <w14:solidFill>
              <w14:schemeClr w14:val="tx1"/>
            </w14:solidFill>
          </w14:textFill>
        </w:rPr>
      </w:pPr>
    </w:p>
    <w:p w14:paraId="58448A91">
      <w:pPr>
        <w:pStyle w:val="22"/>
        <w:rPr>
          <w:rFonts w:hint="eastAsia" w:ascii="宋体" w:hAnsi="宋体" w:eastAsia="宋体" w:cs="宋体"/>
          <w:color w:val="000000" w:themeColor="text1"/>
          <w:highlight w:val="none"/>
          <w14:textFill>
            <w14:solidFill>
              <w14:schemeClr w14:val="tx1"/>
            </w14:solidFill>
          </w14:textFill>
        </w:rPr>
      </w:pPr>
    </w:p>
    <w:p w14:paraId="7E7BC68D">
      <w:pPr>
        <w:pStyle w:val="22"/>
        <w:rPr>
          <w:rFonts w:hint="eastAsia" w:ascii="宋体" w:hAnsi="宋体" w:eastAsia="宋体" w:cs="宋体"/>
          <w:color w:val="000000" w:themeColor="text1"/>
          <w:highlight w:val="none"/>
          <w14:textFill>
            <w14:solidFill>
              <w14:schemeClr w14:val="tx1"/>
            </w14:solidFill>
          </w14:textFill>
        </w:rPr>
      </w:pPr>
    </w:p>
    <w:p w14:paraId="1D7BB4AB">
      <w:pPr>
        <w:pStyle w:val="22"/>
        <w:rPr>
          <w:rFonts w:hint="eastAsia" w:ascii="宋体" w:hAnsi="宋体" w:eastAsia="宋体" w:cs="宋体"/>
          <w:color w:val="000000" w:themeColor="text1"/>
          <w:highlight w:val="none"/>
          <w14:textFill>
            <w14:solidFill>
              <w14:schemeClr w14:val="tx1"/>
            </w14:solidFill>
          </w14:textFill>
        </w:rPr>
      </w:pPr>
    </w:p>
    <w:p w14:paraId="73130161">
      <w:pPr>
        <w:pStyle w:val="22"/>
        <w:rPr>
          <w:rFonts w:hint="eastAsia" w:ascii="宋体" w:hAnsi="宋体" w:eastAsia="宋体" w:cs="宋体"/>
          <w:color w:val="000000" w:themeColor="text1"/>
          <w:highlight w:val="none"/>
          <w14:textFill>
            <w14:solidFill>
              <w14:schemeClr w14:val="tx1"/>
            </w14:solidFill>
          </w14:textFill>
        </w:rPr>
      </w:pPr>
    </w:p>
    <w:p w14:paraId="4A895208">
      <w:pPr>
        <w:pStyle w:val="22"/>
        <w:rPr>
          <w:rFonts w:hint="eastAsia" w:ascii="宋体" w:hAnsi="宋体" w:eastAsia="宋体" w:cs="宋体"/>
          <w:color w:val="000000" w:themeColor="text1"/>
          <w:highlight w:val="none"/>
          <w14:textFill>
            <w14:solidFill>
              <w14:schemeClr w14:val="tx1"/>
            </w14:solidFill>
          </w14:textFill>
        </w:rPr>
      </w:pPr>
    </w:p>
    <w:p w14:paraId="3618DC86">
      <w:pPr>
        <w:pStyle w:val="22"/>
        <w:rPr>
          <w:rFonts w:hint="eastAsia" w:ascii="宋体" w:hAnsi="宋体" w:eastAsia="宋体" w:cs="宋体"/>
          <w:color w:val="000000" w:themeColor="text1"/>
          <w:highlight w:val="none"/>
          <w14:textFill>
            <w14:solidFill>
              <w14:schemeClr w14:val="tx1"/>
            </w14:solidFill>
          </w14:textFill>
        </w:rPr>
      </w:pPr>
    </w:p>
    <w:p w14:paraId="0FE65D8A">
      <w:pPr>
        <w:pStyle w:val="22"/>
        <w:rPr>
          <w:rFonts w:hint="eastAsia" w:ascii="宋体" w:hAnsi="宋体" w:eastAsia="宋体" w:cs="宋体"/>
          <w:color w:val="000000" w:themeColor="text1"/>
          <w:highlight w:val="none"/>
          <w14:textFill>
            <w14:solidFill>
              <w14:schemeClr w14:val="tx1"/>
            </w14:solidFill>
          </w14:textFill>
        </w:rPr>
      </w:pPr>
    </w:p>
    <w:p w14:paraId="7D4DEF2E">
      <w:pPr>
        <w:pStyle w:val="22"/>
        <w:rPr>
          <w:rFonts w:hint="eastAsia" w:ascii="宋体" w:hAnsi="宋体" w:eastAsia="宋体" w:cs="宋体"/>
          <w:color w:val="000000" w:themeColor="text1"/>
          <w:highlight w:val="none"/>
          <w14:textFill>
            <w14:solidFill>
              <w14:schemeClr w14:val="tx1"/>
            </w14:solidFill>
          </w14:textFill>
        </w:rPr>
      </w:pPr>
    </w:p>
    <w:p w14:paraId="3C149ABB">
      <w:pPr>
        <w:pStyle w:val="22"/>
        <w:rPr>
          <w:rFonts w:hint="eastAsia" w:ascii="宋体" w:hAnsi="宋体" w:eastAsia="宋体" w:cs="宋体"/>
          <w:color w:val="000000" w:themeColor="text1"/>
          <w:highlight w:val="none"/>
          <w14:textFill>
            <w14:solidFill>
              <w14:schemeClr w14:val="tx1"/>
            </w14:solidFill>
          </w14:textFill>
        </w:rPr>
      </w:pPr>
    </w:p>
    <w:p w14:paraId="2472EC87">
      <w:pPr>
        <w:pStyle w:val="22"/>
        <w:rPr>
          <w:rFonts w:hint="eastAsia" w:ascii="宋体" w:hAnsi="宋体" w:eastAsia="宋体" w:cs="宋体"/>
          <w:color w:val="000000" w:themeColor="text1"/>
          <w:highlight w:val="none"/>
          <w14:textFill>
            <w14:solidFill>
              <w14:schemeClr w14:val="tx1"/>
            </w14:solidFill>
          </w14:textFill>
        </w:rPr>
      </w:pPr>
    </w:p>
    <w:p w14:paraId="3A8E7AF5">
      <w:pPr>
        <w:pStyle w:val="22"/>
        <w:rPr>
          <w:rFonts w:hint="eastAsia" w:ascii="宋体" w:hAnsi="宋体" w:eastAsia="宋体" w:cs="宋体"/>
          <w:color w:val="000000" w:themeColor="text1"/>
          <w:highlight w:val="none"/>
          <w14:textFill>
            <w14:solidFill>
              <w14:schemeClr w14:val="tx1"/>
            </w14:solidFill>
          </w14:textFill>
        </w:rPr>
      </w:pPr>
    </w:p>
    <w:p w14:paraId="0A2C9090">
      <w:pPr>
        <w:pStyle w:val="22"/>
        <w:rPr>
          <w:rFonts w:hint="eastAsia" w:ascii="宋体" w:hAnsi="宋体" w:eastAsia="宋体" w:cs="宋体"/>
          <w:color w:val="000000" w:themeColor="text1"/>
          <w:highlight w:val="none"/>
          <w14:textFill>
            <w14:solidFill>
              <w14:schemeClr w14:val="tx1"/>
            </w14:solidFill>
          </w14:textFill>
        </w:rPr>
      </w:pPr>
    </w:p>
    <w:p w14:paraId="3FB7DE2B">
      <w:pPr>
        <w:pStyle w:val="22"/>
        <w:rPr>
          <w:rFonts w:hint="eastAsia" w:ascii="宋体" w:hAnsi="宋体" w:eastAsia="宋体" w:cs="宋体"/>
          <w:color w:val="000000" w:themeColor="text1"/>
          <w:highlight w:val="none"/>
          <w14:textFill>
            <w14:solidFill>
              <w14:schemeClr w14:val="tx1"/>
            </w14:solidFill>
          </w14:textFill>
        </w:rPr>
      </w:pPr>
    </w:p>
    <w:p w14:paraId="3460C797">
      <w:pPr>
        <w:pStyle w:val="22"/>
        <w:rPr>
          <w:rFonts w:hint="eastAsia" w:ascii="宋体" w:hAnsi="宋体" w:eastAsia="宋体" w:cs="宋体"/>
          <w:color w:val="000000" w:themeColor="text1"/>
          <w:highlight w:val="none"/>
          <w14:textFill>
            <w14:solidFill>
              <w14:schemeClr w14:val="tx1"/>
            </w14:solidFill>
          </w14:textFill>
        </w:rPr>
      </w:pPr>
    </w:p>
    <w:p w14:paraId="6C84A2C9">
      <w:pPr>
        <w:pStyle w:val="22"/>
        <w:rPr>
          <w:rFonts w:hint="eastAsia" w:ascii="宋体" w:hAnsi="宋体" w:eastAsia="宋体" w:cs="宋体"/>
          <w:color w:val="000000" w:themeColor="text1"/>
          <w:highlight w:val="none"/>
          <w14:textFill>
            <w14:solidFill>
              <w14:schemeClr w14:val="tx1"/>
            </w14:solidFill>
          </w14:textFill>
        </w:rPr>
      </w:pPr>
    </w:p>
    <w:p w14:paraId="72B80C71">
      <w:pPr>
        <w:pStyle w:val="22"/>
        <w:rPr>
          <w:rFonts w:hint="eastAsia" w:ascii="宋体" w:hAnsi="宋体" w:eastAsia="宋体" w:cs="宋体"/>
          <w:color w:val="000000" w:themeColor="text1"/>
          <w:highlight w:val="none"/>
          <w14:textFill>
            <w14:solidFill>
              <w14:schemeClr w14:val="tx1"/>
            </w14:solidFill>
          </w14:textFill>
        </w:rPr>
      </w:pPr>
    </w:p>
    <w:p w14:paraId="2C98314E">
      <w:pPr>
        <w:pStyle w:val="22"/>
        <w:rPr>
          <w:rFonts w:hint="eastAsia" w:ascii="宋体" w:hAnsi="宋体" w:eastAsia="宋体" w:cs="宋体"/>
          <w:color w:val="000000" w:themeColor="text1"/>
          <w:highlight w:val="none"/>
          <w14:textFill>
            <w14:solidFill>
              <w14:schemeClr w14:val="tx1"/>
            </w14:solidFill>
          </w14:textFill>
        </w:rPr>
      </w:pPr>
    </w:p>
    <w:p w14:paraId="663D55DB">
      <w:pPr>
        <w:pStyle w:val="22"/>
        <w:rPr>
          <w:rFonts w:hint="eastAsia" w:ascii="宋体" w:hAnsi="宋体" w:eastAsia="宋体" w:cs="宋体"/>
          <w:color w:val="000000" w:themeColor="text1"/>
          <w:highlight w:val="none"/>
          <w14:textFill>
            <w14:solidFill>
              <w14:schemeClr w14:val="tx1"/>
            </w14:solidFill>
          </w14:textFill>
        </w:rPr>
      </w:pPr>
    </w:p>
    <w:p w14:paraId="2C9438E8">
      <w:pPr>
        <w:pStyle w:val="22"/>
        <w:rPr>
          <w:rFonts w:hint="eastAsia" w:ascii="宋体" w:hAnsi="宋体" w:eastAsia="宋体" w:cs="宋体"/>
          <w:color w:val="000000" w:themeColor="text1"/>
          <w:highlight w:val="none"/>
          <w14:textFill>
            <w14:solidFill>
              <w14:schemeClr w14:val="tx1"/>
            </w14:solidFill>
          </w14:textFill>
        </w:rPr>
      </w:pPr>
    </w:p>
    <w:p w14:paraId="62A1F0AF">
      <w:pPr>
        <w:pStyle w:val="22"/>
        <w:rPr>
          <w:rFonts w:hint="eastAsia" w:ascii="宋体" w:hAnsi="宋体" w:eastAsia="宋体" w:cs="宋体"/>
          <w:color w:val="000000" w:themeColor="text1"/>
          <w:highlight w:val="none"/>
          <w14:textFill>
            <w14:solidFill>
              <w14:schemeClr w14:val="tx1"/>
            </w14:solidFill>
          </w14:textFill>
        </w:rPr>
      </w:pPr>
    </w:p>
    <w:p w14:paraId="65BD2228">
      <w:pPr>
        <w:pStyle w:val="22"/>
        <w:rPr>
          <w:rFonts w:hint="eastAsia" w:ascii="宋体" w:hAnsi="宋体" w:eastAsia="宋体" w:cs="宋体"/>
          <w:color w:val="000000" w:themeColor="text1"/>
          <w:highlight w:val="none"/>
          <w14:textFill>
            <w14:solidFill>
              <w14:schemeClr w14:val="tx1"/>
            </w14:solidFill>
          </w14:textFill>
        </w:rPr>
      </w:pPr>
    </w:p>
    <w:p w14:paraId="277007D2">
      <w:pPr>
        <w:pStyle w:val="22"/>
        <w:rPr>
          <w:rFonts w:hint="eastAsia" w:ascii="宋体" w:hAnsi="宋体" w:eastAsia="宋体" w:cs="宋体"/>
          <w:color w:val="000000" w:themeColor="text1"/>
          <w:highlight w:val="none"/>
          <w14:textFill>
            <w14:solidFill>
              <w14:schemeClr w14:val="tx1"/>
            </w14:solidFill>
          </w14:textFill>
        </w:rPr>
      </w:pPr>
    </w:p>
    <w:p w14:paraId="2DABE60D">
      <w:pPr>
        <w:pStyle w:val="22"/>
        <w:rPr>
          <w:rFonts w:hint="eastAsia" w:ascii="宋体" w:hAnsi="宋体" w:eastAsia="宋体" w:cs="宋体"/>
          <w:color w:val="000000" w:themeColor="text1"/>
          <w:highlight w:val="none"/>
          <w14:textFill>
            <w14:solidFill>
              <w14:schemeClr w14:val="tx1"/>
            </w14:solidFill>
          </w14:textFill>
        </w:rPr>
      </w:pPr>
    </w:p>
    <w:p w14:paraId="28438194">
      <w:pPr>
        <w:rPr>
          <w:rFonts w:hint="eastAsia" w:ascii="宋体" w:hAnsi="宋体" w:eastAsia="宋体" w:cs="宋体"/>
          <w:color w:val="000000" w:themeColor="text1"/>
          <w:highlight w:val="none"/>
          <w14:textFill>
            <w14:solidFill>
              <w14:schemeClr w14:val="tx1"/>
            </w14:solidFill>
          </w14:textFill>
        </w:rPr>
      </w:pPr>
    </w:p>
    <w:p w14:paraId="219AEB55">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61" w:name="_Toc10603"/>
      <w:r>
        <w:rPr>
          <w:rFonts w:hint="eastAsia" w:ascii="宋体" w:hAnsi="宋体" w:eastAsia="宋体" w:cs="宋体"/>
          <w:color w:val="000000" w:themeColor="text1"/>
          <w:sz w:val="32"/>
          <w:szCs w:val="32"/>
          <w:highlight w:val="none"/>
          <w:lang w:eastAsia="zh-CN"/>
          <w14:textFill>
            <w14:solidFill>
              <w14:schemeClr w14:val="tx1"/>
            </w14:solidFill>
          </w14:textFill>
        </w:rPr>
        <w:t>第五章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采购合同（合同主要条款及格式）</w:t>
      </w:r>
      <w:bookmarkEnd w:id="159"/>
      <w:bookmarkEnd w:id="160"/>
      <w:bookmarkEnd w:id="161"/>
    </w:p>
    <w:p w14:paraId="3115C9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桂林市教育科学研究所2025年期末质量检测试题命题项目</w:t>
      </w:r>
    </w:p>
    <w:p w14:paraId="7E10941F">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项目编号：GLZC2025-C3-990193-GLSZ</w:t>
      </w:r>
    </w:p>
    <w:p w14:paraId="0391680B">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甲方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（采购人）</w:t>
      </w:r>
    </w:p>
    <w:p w14:paraId="400BC80D">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乙方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（成交供应商）</w:t>
      </w:r>
    </w:p>
    <w:p w14:paraId="679053A4">
      <w:pPr>
        <w:keepNext w:val="0"/>
        <w:keepLines w:val="0"/>
        <w:widowControl/>
        <w:suppressLineNumbers w:val="0"/>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w:t>
      </w:r>
      <w:r>
        <w:rPr>
          <w:rFonts w:hint="eastAsia" w:ascii="宋体" w:hAnsi="宋体" w:eastAsia="宋体" w:cs="宋体"/>
          <w:color w:val="000000" w:themeColor="text1"/>
          <w:highlight w:val="none"/>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highlight w:val="none"/>
          <w14:textFill>
            <w14:solidFill>
              <w14:schemeClr w14:val="tx1"/>
            </w14:solidFill>
          </w14:textFill>
        </w:rPr>
        <w:t>《中华人民共和国</w:t>
      </w:r>
      <w:r>
        <w:rPr>
          <w:rFonts w:hint="eastAsia" w:ascii="宋体" w:hAnsi="宋体" w:eastAsia="宋体" w:cs="宋体"/>
          <w:color w:val="000000" w:themeColor="text1"/>
          <w:highlight w:val="none"/>
          <w:lang w:val="en-US" w:eastAsia="zh-CN"/>
          <w14:textFill>
            <w14:solidFill>
              <w14:schemeClr w14:val="tx1"/>
            </w14:solidFill>
          </w14:textFill>
        </w:rPr>
        <w:t>民法典</w:t>
      </w:r>
      <w:r>
        <w:rPr>
          <w:rFonts w:hint="eastAsia" w:ascii="宋体" w:hAnsi="宋体" w:eastAsia="宋体" w:cs="宋体"/>
          <w:color w:val="000000" w:themeColor="text1"/>
          <w:highlight w:val="none"/>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14:paraId="0DB776CE">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2" w:name="_Toc20217"/>
      <w:bookmarkStart w:id="163" w:name="_Toc30275"/>
      <w:bookmarkStart w:id="164" w:name="_Toc7573"/>
      <w:r>
        <w:rPr>
          <w:rFonts w:hint="eastAsia" w:ascii="宋体" w:hAnsi="宋体" w:eastAsia="宋体" w:cs="宋体"/>
          <w:b/>
          <w:bCs w:val="0"/>
          <w:color w:val="000000" w:themeColor="text1"/>
          <w:sz w:val="21"/>
          <w:szCs w:val="21"/>
          <w:highlight w:val="none"/>
          <w14:textFill>
            <w14:solidFill>
              <w14:schemeClr w14:val="tx1"/>
            </w14:solidFill>
          </w14:textFill>
        </w:rPr>
        <w:t>第一条 合同文件</w:t>
      </w:r>
      <w:bookmarkEnd w:id="162"/>
      <w:bookmarkEnd w:id="163"/>
      <w:bookmarkEnd w:id="164"/>
    </w:p>
    <w:p w14:paraId="58CFABE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1、本合同所附下列文件是构成本合同不可分割的部分：</w:t>
      </w:r>
    </w:p>
    <w:p w14:paraId="0DB2BA84">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（1）成交供应商提交的</w:t>
      </w:r>
      <w:r>
        <w:rPr>
          <w:rFonts w:hint="eastAsia" w:ascii="宋体" w:hAnsi="宋体" w:eastAsia="宋体" w:cs="宋体"/>
          <w:color w:val="000000" w:themeColor="text1"/>
          <w:szCs w:val="21"/>
          <w:highlight w:val="none"/>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w:t>
      </w:r>
      <w:r>
        <w:rPr>
          <w:rFonts w:hint="eastAsia" w:ascii="宋体" w:hAnsi="宋体" w:eastAsia="宋体" w:cs="宋体"/>
          <w:color w:val="000000" w:themeColor="text1"/>
          <w:szCs w:val="21"/>
          <w:highlight w:val="none"/>
          <w14:textFill>
            <w14:solidFill>
              <w14:schemeClr w14:val="tx1"/>
            </w14:solidFill>
          </w14:textFill>
        </w:rPr>
        <w:t>针对本项目的服务</w:t>
      </w:r>
      <w:r>
        <w:rPr>
          <w:rFonts w:hint="eastAsia" w:ascii="宋体" w:hAnsi="宋体" w:eastAsia="宋体" w:cs="宋体"/>
          <w:color w:val="000000" w:themeColor="text1"/>
          <w:szCs w:val="21"/>
          <w:highlight w:val="none"/>
          <w:lang w:eastAsia="zh-CN"/>
          <w14:textFill>
            <w14:solidFill>
              <w14:schemeClr w14:val="tx1"/>
            </w14:solidFill>
          </w14:textFill>
        </w:rPr>
        <w:t>承诺书</w:t>
      </w:r>
      <w:r>
        <w:rPr>
          <w:rFonts w:hint="eastAsia" w:ascii="宋体" w:hAnsi="宋体" w:eastAsia="宋体" w:cs="宋体"/>
          <w:color w:val="000000" w:themeColor="text1"/>
          <w:highlight w:val="none"/>
          <w14:textFill>
            <w14:solidFill>
              <w14:schemeClr w14:val="tx1"/>
            </w14:solidFill>
          </w14:textFill>
        </w:rPr>
        <w:t>；</w:t>
      </w:r>
    </w:p>
    <w:p w14:paraId="42C45CA3">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（2）成交通知书；</w:t>
      </w:r>
    </w:p>
    <w:p w14:paraId="4A2FCE36">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（3）本合同协议书及有关补充资料；</w:t>
      </w:r>
    </w:p>
    <w:p w14:paraId="6E932DDF">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（4）磋商文件的条款要求。</w:t>
      </w:r>
    </w:p>
    <w:p w14:paraId="79CB66CA">
      <w:pPr>
        <w:tabs>
          <w:tab w:val="left" w:pos="130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2、合同价金额包括：服务过程中相关的一切费用。</w:t>
      </w:r>
    </w:p>
    <w:p w14:paraId="2CB2BF3E">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5" w:name="_Toc28710"/>
      <w:bookmarkStart w:id="166" w:name="_Toc6972"/>
      <w:bookmarkStart w:id="167" w:name="_Toc19253"/>
      <w:r>
        <w:rPr>
          <w:rFonts w:hint="eastAsia" w:ascii="宋体" w:hAnsi="宋体" w:eastAsia="宋体" w:cs="宋体"/>
          <w:b/>
          <w:bCs w:val="0"/>
          <w:color w:val="000000" w:themeColor="text1"/>
          <w:sz w:val="21"/>
          <w:szCs w:val="21"/>
          <w:highlight w:val="none"/>
          <w14:textFill>
            <w14:solidFill>
              <w14:schemeClr w14:val="tx1"/>
            </w14:solidFill>
          </w14:textFill>
        </w:rPr>
        <w:t>第二条　合同金额</w:t>
      </w:r>
      <w:bookmarkEnd w:id="165"/>
      <w:bookmarkEnd w:id="166"/>
      <w:bookmarkEnd w:id="167"/>
    </w:p>
    <w:p w14:paraId="6902B4CB">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根据《成交通知书》的成交内容，合同的总金额为：（大写）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人民币（</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50F88C5D">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8" w:name="_Toc9581"/>
      <w:bookmarkStart w:id="169" w:name="_Toc16138"/>
      <w:bookmarkStart w:id="170" w:name="_Toc1133"/>
      <w:r>
        <w:rPr>
          <w:rFonts w:hint="eastAsia" w:ascii="宋体" w:hAnsi="宋体" w:eastAsia="宋体" w:cs="宋体"/>
          <w:b/>
          <w:bCs w:val="0"/>
          <w:color w:val="000000" w:themeColor="text1"/>
          <w:sz w:val="21"/>
          <w:szCs w:val="21"/>
          <w:highlight w:val="none"/>
          <w14:textFill>
            <w14:solidFill>
              <w14:schemeClr w14:val="tx1"/>
            </w14:solidFill>
          </w14:textFill>
        </w:rPr>
        <w:t>第三条  服务保证</w:t>
      </w:r>
      <w:bookmarkEnd w:id="168"/>
      <w:bookmarkEnd w:id="169"/>
      <w:bookmarkEnd w:id="170"/>
    </w:p>
    <w:p w14:paraId="3E4E2700">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成交供应商应按</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和承诺</w:t>
      </w:r>
      <w:r>
        <w:rPr>
          <w:rFonts w:hint="eastAsia" w:ascii="宋体" w:hAnsi="宋体" w:eastAsia="宋体" w:cs="宋体"/>
          <w:color w:val="000000" w:themeColor="text1"/>
          <w:szCs w:val="21"/>
          <w:highlight w:val="none"/>
          <w14:textFill>
            <w14:solidFill>
              <w14:schemeClr w14:val="tx1"/>
            </w14:solidFill>
          </w14:textFill>
        </w:rPr>
        <w:t>规定的服务</w:t>
      </w:r>
      <w:r>
        <w:rPr>
          <w:rFonts w:hint="eastAsia" w:ascii="宋体" w:hAnsi="宋体" w:eastAsia="宋体" w:cs="宋体"/>
          <w:color w:val="000000" w:themeColor="text1"/>
          <w:szCs w:val="21"/>
          <w:highlight w:val="none"/>
          <w:lang w:eastAsia="zh-CN"/>
          <w14:textFill>
            <w14:solidFill>
              <w14:schemeClr w14:val="tx1"/>
            </w14:solidFill>
          </w14:textFill>
        </w:rPr>
        <w:t>内容</w:t>
      </w:r>
      <w:r>
        <w:rPr>
          <w:rFonts w:hint="eastAsia" w:ascii="宋体" w:hAnsi="宋体" w:eastAsia="宋体" w:cs="宋体"/>
          <w:color w:val="000000" w:themeColor="text1"/>
          <w:szCs w:val="21"/>
          <w:highlight w:val="none"/>
          <w14:textFill>
            <w14:solidFill>
              <w14:schemeClr w14:val="tx1"/>
            </w14:solidFill>
          </w14:textFill>
        </w:rPr>
        <w:t>向采购人提供相应服务。</w:t>
      </w:r>
    </w:p>
    <w:p w14:paraId="033B8E0D">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1" w:name="_Toc25056"/>
      <w:bookmarkStart w:id="172" w:name="_Toc8669"/>
      <w:bookmarkStart w:id="173" w:name="_Toc12589"/>
      <w:r>
        <w:rPr>
          <w:rFonts w:hint="eastAsia" w:ascii="宋体" w:hAnsi="宋体" w:eastAsia="宋体" w:cs="宋体"/>
          <w:b/>
          <w:bCs w:val="0"/>
          <w:color w:val="000000" w:themeColor="text1"/>
          <w:sz w:val="21"/>
          <w:szCs w:val="21"/>
          <w:highlight w:val="none"/>
          <w14:textFill>
            <w14:solidFill>
              <w14:schemeClr w14:val="tx1"/>
            </w14:solidFill>
          </w14:textFill>
        </w:rPr>
        <w:t>第四条  服务期限</w:t>
      </w:r>
      <w:bookmarkEnd w:id="171"/>
      <w:bookmarkEnd w:id="172"/>
      <w:bookmarkEnd w:id="173"/>
    </w:p>
    <w:p w14:paraId="506F5B93">
      <w:pPr>
        <w:spacing w:line="360"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74" w:name="_Toc25521"/>
      <w:bookmarkStart w:id="175" w:name="_Toc15179"/>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自合同签订之日起至全部服务结束为止，单项服务成果按采购人要求时间内完成。</w:t>
      </w:r>
    </w:p>
    <w:p w14:paraId="0E7E3668">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6" w:name="_Toc1445"/>
      <w:r>
        <w:rPr>
          <w:rFonts w:hint="eastAsia" w:ascii="宋体" w:hAnsi="宋体" w:eastAsia="宋体" w:cs="宋体"/>
          <w:b/>
          <w:bCs w:val="0"/>
          <w:color w:val="000000" w:themeColor="text1"/>
          <w:sz w:val="21"/>
          <w:szCs w:val="21"/>
          <w:highlight w:val="none"/>
          <w14:textFill>
            <w14:solidFill>
              <w14:schemeClr w14:val="tx1"/>
            </w14:solidFill>
          </w14:textFill>
        </w:rPr>
        <w:t>第五条  交付</w:t>
      </w:r>
      <w:bookmarkEnd w:id="174"/>
      <w:bookmarkEnd w:id="175"/>
      <w:bookmarkEnd w:id="176"/>
    </w:p>
    <w:p w14:paraId="3212B80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合同签订之日起</w:t>
      </w:r>
      <w:r>
        <w:rPr>
          <w:rFonts w:hint="eastAsia" w:ascii="宋体" w:hAnsi="宋体" w:eastAsia="宋体" w:cs="宋体"/>
          <w:color w:val="000000" w:themeColor="text1"/>
          <w:szCs w:val="21"/>
          <w:highlight w:val="none"/>
          <w14:textFill>
            <w14:solidFill>
              <w14:schemeClr w14:val="tx1"/>
            </w14:solidFill>
          </w14:textFill>
        </w:rPr>
        <w:t>、地点：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采购人指定地点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7B91BC0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2、成交供应商提供不符合磋商文件、响应文件和本合同规定的服务，采购人有权拒绝接受。</w:t>
      </w:r>
    </w:p>
    <w:p w14:paraId="7261BA9A">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7" w:name="_Toc8253"/>
      <w:bookmarkStart w:id="178" w:name="_Toc22519"/>
      <w:bookmarkStart w:id="179" w:name="_Toc3143"/>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条  税费</w:t>
      </w:r>
      <w:bookmarkEnd w:id="177"/>
      <w:bookmarkEnd w:id="178"/>
      <w:bookmarkEnd w:id="179"/>
    </w:p>
    <w:p w14:paraId="73076D23">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本合同执行中相关的一切税费均由成交供应商负担。</w:t>
      </w:r>
    </w:p>
    <w:p w14:paraId="47FF9508">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0" w:name="_Toc31516"/>
      <w:bookmarkStart w:id="181" w:name="_Toc11829"/>
      <w:bookmarkStart w:id="182" w:name="_Toc28594"/>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val="0"/>
          <w:color w:val="000000" w:themeColor="text1"/>
          <w:sz w:val="21"/>
          <w:szCs w:val="21"/>
          <w:highlight w:val="none"/>
          <w14:textFill>
            <w14:solidFill>
              <w14:schemeClr w14:val="tx1"/>
            </w14:solidFill>
          </w14:textFill>
        </w:rPr>
        <w:t>条  付款方式</w:t>
      </w:r>
      <w:bookmarkEnd w:id="180"/>
      <w:bookmarkEnd w:id="181"/>
      <w:bookmarkEnd w:id="182"/>
    </w:p>
    <w:p w14:paraId="3F6B52E1">
      <w:pPr>
        <w:widowControl/>
        <w:spacing w:line="400" w:lineRule="exact"/>
        <w:ind w:firstLine="422" w:firstLineChars="201"/>
        <w:jc w:val="left"/>
        <w:rPr>
          <w:rFonts w:hint="eastAsia" w:eastAsia="宋体"/>
          <w:highlight w:val="none"/>
          <w:lang w:eastAsia="zh-CN"/>
        </w:rPr>
      </w:pPr>
      <w:bookmarkStart w:id="183" w:name="_Toc2652"/>
      <w:bookmarkStart w:id="184" w:name="_Toc7272"/>
      <w:r>
        <w:rPr>
          <w:rFonts w:hint="eastAsia"/>
          <w:highlight w:val="none"/>
        </w:rPr>
        <w:t>成题交稿验收后一次性付清</w:t>
      </w:r>
      <w:r>
        <w:rPr>
          <w:rFonts w:hint="eastAsia"/>
          <w:highlight w:val="none"/>
          <w:lang w:eastAsia="zh-CN"/>
        </w:rPr>
        <w:t>。</w:t>
      </w:r>
    </w:p>
    <w:p w14:paraId="3596A287">
      <w:pPr>
        <w:widowControl/>
        <w:spacing w:line="400" w:lineRule="exact"/>
        <w:ind w:firstLine="422" w:firstLineChars="201"/>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八</w:t>
      </w:r>
      <w:r>
        <w:rPr>
          <w:rFonts w:hint="eastAsia" w:ascii="宋体" w:hAnsi="宋体" w:eastAsia="宋体" w:cs="宋体"/>
          <w:b/>
          <w:bCs w:val="0"/>
          <w:color w:val="000000" w:themeColor="text1"/>
          <w:sz w:val="21"/>
          <w:szCs w:val="21"/>
          <w:highlight w:val="none"/>
          <w14:textFill>
            <w14:solidFill>
              <w14:schemeClr w14:val="tx1"/>
            </w14:solidFill>
          </w14:textFill>
        </w:rPr>
        <w:t xml:space="preserve">条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履约保证金</w:t>
      </w:r>
    </w:p>
    <w:p w14:paraId="51738736">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85" w:name="_Toc22455"/>
      <w:bookmarkStart w:id="186" w:name="_Toc2064"/>
      <w:bookmarkStart w:id="187" w:name="_Toc5421"/>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本项目无</w:t>
      </w:r>
      <w:r>
        <w:rPr>
          <w:rFonts w:ascii="宋体" w:hAnsi="宋体" w:eastAsia="宋体" w:cs="宋体"/>
          <w:color w:val="000000" w:themeColor="text1"/>
          <w:spacing w:val="0"/>
          <w:position w:val="0"/>
          <w:sz w:val="21"/>
          <w:highlight w:val="none"/>
          <w:shd w:val="clear" w:fill="auto"/>
          <w14:textFill>
            <w14:solidFill>
              <w14:schemeClr w14:val="tx1"/>
            </w14:solidFill>
          </w14:textFill>
        </w:rPr>
        <w:t>履约保证金。</w:t>
      </w:r>
      <w:bookmarkEnd w:id="185"/>
      <w:bookmarkEnd w:id="186"/>
      <w:bookmarkEnd w:id="187"/>
    </w:p>
    <w:p w14:paraId="6360164A">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8" w:name="_Toc21625"/>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九</w:t>
      </w:r>
      <w:r>
        <w:rPr>
          <w:rFonts w:hint="eastAsia" w:ascii="宋体" w:hAnsi="宋体" w:eastAsia="宋体" w:cs="宋体"/>
          <w:b/>
          <w:bCs w:val="0"/>
          <w:color w:val="000000" w:themeColor="text1"/>
          <w:sz w:val="21"/>
          <w:szCs w:val="21"/>
          <w:highlight w:val="none"/>
          <w14:textFill>
            <w14:solidFill>
              <w14:schemeClr w14:val="tx1"/>
            </w14:solidFill>
          </w14:textFill>
        </w:rPr>
        <w:t>条  违约责任</w:t>
      </w:r>
      <w:bookmarkEnd w:id="183"/>
      <w:bookmarkEnd w:id="184"/>
      <w:bookmarkEnd w:id="188"/>
    </w:p>
    <w:p w14:paraId="7D747BE2">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乙方所提供的服务质量不合格的，应及时</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不及时的按逾期处罚，乙方应向甲方支付合同金额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违约金并赔偿甲方经济损失。</w:t>
      </w:r>
    </w:p>
    <w:p w14:paraId="52BC5553">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乙方提供的服务如果侵犯了第三方合法权益而引发的任何纠纷或诉讼，均由乙方负责交涉并承担全部责任。</w:t>
      </w:r>
    </w:p>
    <w:p w14:paraId="240F74F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乙方无故延期服务交付的，每天向甲方偿付违约合同金额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违约金，但违约金累计不得超过合同金额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滞纳金，但滞纳金累计不得超过合同金额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CF67C06">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乙方未按本合同和投标文件中规定的服务承诺提供服务的，乙方应按本合同合同金额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向甲方支付违约金。</w:t>
      </w:r>
    </w:p>
    <w:p w14:paraId="7A90F45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其他违约行为按照合同金额额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收取违约金并赔偿经济损失。</w:t>
      </w:r>
    </w:p>
    <w:p w14:paraId="337EA014">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9" w:name="_Toc8363"/>
      <w:bookmarkStart w:id="190" w:name="_Toc1538"/>
      <w:bookmarkStart w:id="191" w:name="_Toc27274"/>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十</w:t>
      </w:r>
      <w:r>
        <w:rPr>
          <w:rFonts w:hint="eastAsia" w:ascii="宋体" w:hAnsi="宋体" w:eastAsia="宋体" w:cs="宋体"/>
          <w:b/>
          <w:bCs w:val="0"/>
          <w:color w:val="000000" w:themeColor="text1"/>
          <w:sz w:val="21"/>
          <w:szCs w:val="21"/>
          <w:highlight w:val="none"/>
          <w14:textFill>
            <w14:solidFill>
              <w14:schemeClr w14:val="tx1"/>
            </w14:solidFill>
          </w14:textFill>
        </w:rPr>
        <w:t>条  不可抗力事件处理</w:t>
      </w:r>
      <w:bookmarkEnd w:id="189"/>
      <w:bookmarkEnd w:id="190"/>
      <w:bookmarkEnd w:id="191"/>
    </w:p>
    <w:p w14:paraId="5E3BEDC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1、在合同有效期内，成交供应商因不可抗力事件导致不能履行合同，则合同履行期可延长，其延长期与不可抗力影响期相同。</w:t>
      </w:r>
    </w:p>
    <w:p w14:paraId="2E23AF8D">
      <w:pPr>
        <w:numPr>
          <w:ilvl w:val="0"/>
          <w:numId w:val="9"/>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不可抗力事件发生后，应立即通知对方，并寄送有关权威机构出具的证明。</w:t>
      </w:r>
    </w:p>
    <w:p w14:paraId="0AD5DDD9">
      <w:pPr>
        <w:numPr>
          <w:ilvl w:val="0"/>
          <w:numId w:val="9"/>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不可抗力事件延续一百二十天以上，双方应通过友好协商，确定是否继续履行合同。</w:t>
      </w:r>
    </w:p>
    <w:p w14:paraId="0073591C">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2" w:name="_Toc8638"/>
      <w:bookmarkStart w:id="193" w:name="_Toc7311"/>
      <w:bookmarkStart w:id="194" w:name="_Toc17134"/>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十</w:t>
      </w:r>
      <w:r>
        <w:rPr>
          <w:rFonts w:hint="eastAsia" w:ascii="宋体" w:hAnsi="宋体" w:cs="宋体"/>
          <w:b/>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条  合同争议解决</w:t>
      </w:r>
      <w:bookmarkEnd w:id="192"/>
      <w:bookmarkEnd w:id="193"/>
      <w:bookmarkEnd w:id="194"/>
    </w:p>
    <w:p w14:paraId="4763E3A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1、因服务问题发生争议的，应邀请国家认可的相关机构进行鉴定。服务符合要求的，鉴定费由采购人承担；服务不符合要求的，鉴定费由成交供应商承担。</w:t>
      </w:r>
    </w:p>
    <w:p w14:paraId="7648A73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eastAsia="宋体" w:cs="宋体"/>
          <w:color w:val="000000" w:themeColor="text1"/>
          <w:highlight w:val="none"/>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人民法院提起诉讼。</w:t>
      </w:r>
    </w:p>
    <w:p w14:paraId="6C449FF1">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2FFA8471">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5" w:name="_Toc27483"/>
      <w:bookmarkStart w:id="196" w:name="_Toc17823"/>
      <w:bookmarkStart w:id="197" w:name="_Toc26283"/>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条  合同生效及其它</w:t>
      </w:r>
      <w:bookmarkEnd w:id="195"/>
      <w:bookmarkEnd w:id="196"/>
      <w:bookmarkEnd w:id="197"/>
    </w:p>
    <w:p w14:paraId="2F15B79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1、合同经甲乙双方法定代表人或授权代表签字并加盖单位公章后生效。</w:t>
      </w:r>
    </w:p>
    <w:p w14:paraId="3D7070B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2、合同执行中涉及采购资金和采购内容修改或补充的，需</w:t>
      </w:r>
      <w:r>
        <w:rPr>
          <w:rFonts w:hint="eastAsia" w:ascii="宋体" w:hAnsi="宋体" w:cs="宋体"/>
          <w:color w:val="000000" w:themeColor="text1"/>
          <w:szCs w:val="21"/>
          <w:highlight w:val="none"/>
          <w:lang w:eastAsia="zh-CN"/>
          <w14:textFill>
            <w14:solidFill>
              <w14:schemeClr w14:val="tx1"/>
            </w14:solidFill>
          </w14:textFill>
        </w:rPr>
        <w:t>本级</w:t>
      </w:r>
      <w:r>
        <w:rPr>
          <w:rFonts w:hint="eastAsia" w:ascii="宋体" w:hAnsi="宋体" w:eastAsia="宋体" w:cs="宋体"/>
          <w:color w:val="000000" w:themeColor="text1"/>
          <w:szCs w:val="21"/>
          <w:highlight w:val="none"/>
          <w14:textFill>
            <w14:solidFill>
              <w14:schemeClr w14:val="tx1"/>
            </w14:solidFill>
          </w14:textFill>
        </w:rPr>
        <w:t>财政部门审批，并签订书面补充协议报</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szCs w:val="21"/>
          <w:highlight w:val="none"/>
          <w14:textFill>
            <w14:solidFill>
              <w14:schemeClr w14:val="tx1"/>
            </w14:solidFill>
          </w14:textFill>
        </w:rPr>
        <w:t>备案，方可作为主合同不可分割的一部分。</w:t>
      </w:r>
    </w:p>
    <w:p w14:paraId="5E61AD6B">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w:t>
      </w:r>
      <w:r>
        <w:rPr>
          <w:rFonts w:hint="eastAsia" w:ascii="宋体" w:hAnsi="宋体" w:eastAsia="宋体" w:cs="宋体"/>
          <w:color w:val="000000" w:themeColor="text1"/>
          <w:szCs w:val="21"/>
          <w:highlight w:val="none"/>
          <w:lang w:val="en-US" w:eastAsia="zh-CN"/>
          <w14:textFill>
            <w14:solidFill>
              <w14:schemeClr w14:val="tx1"/>
            </w14:solidFill>
          </w14:textFill>
        </w:rPr>
        <w:t>中华人民共和国民法典</w:t>
      </w:r>
      <w:r>
        <w:rPr>
          <w:rFonts w:hint="eastAsia" w:ascii="宋体" w:hAnsi="宋体" w:eastAsia="宋体" w:cs="宋体"/>
          <w:color w:val="000000" w:themeColor="text1"/>
          <w:szCs w:val="21"/>
          <w:highlight w:val="none"/>
          <w14:textFill>
            <w14:solidFill>
              <w14:schemeClr w14:val="tx1"/>
            </w14:solidFill>
          </w14:textFill>
        </w:rPr>
        <w:t>》有关条文执行。</w:t>
      </w:r>
    </w:p>
    <w:p w14:paraId="138E5DE3">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8" w:name="_Toc12956"/>
      <w:bookmarkStart w:id="199" w:name="_Toc31438"/>
      <w:bookmarkStart w:id="200" w:name="_Toc16039"/>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sz w:val="21"/>
          <w:szCs w:val="21"/>
          <w:highlight w:val="none"/>
          <w14:textFill>
            <w14:solidFill>
              <w14:schemeClr w14:val="tx1"/>
            </w14:solidFill>
          </w14:textFill>
        </w:rPr>
        <w:t>条  合同的变更、终止与转让</w:t>
      </w:r>
      <w:bookmarkEnd w:id="198"/>
      <w:bookmarkEnd w:id="199"/>
      <w:bookmarkEnd w:id="200"/>
    </w:p>
    <w:p w14:paraId="372BDD6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14:paraId="7A9F91AA">
      <w:pPr>
        <w:numPr>
          <w:ilvl w:val="0"/>
          <w:numId w:val="10"/>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成交供应商不得擅自转让其应履行的合同义务。</w:t>
      </w:r>
    </w:p>
    <w:p w14:paraId="7376372C">
      <w:pPr>
        <w:pStyle w:val="4"/>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1" w:name="_Toc32608"/>
      <w:bookmarkStart w:id="202" w:name="_Toc14327"/>
      <w:bookmarkStart w:id="203" w:name="_Toc20297"/>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val="0"/>
          <w:color w:val="000000" w:themeColor="text1"/>
          <w:sz w:val="21"/>
          <w:szCs w:val="21"/>
          <w:highlight w:val="none"/>
          <w14:textFill>
            <w14:solidFill>
              <w14:schemeClr w14:val="tx1"/>
            </w14:solidFill>
          </w14:textFill>
        </w:rPr>
        <w:t>条  签订本合同依据</w:t>
      </w:r>
      <w:bookmarkEnd w:id="201"/>
      <w:bookmarkEnd w:id="202"/>
      <w:bookmarkEnd w:id="203"/>
    </w:p>
    <w:p w14:paraId="0770F973">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1、竞争性磋商文件；</w:t>
      </w:r>
    </w:p>
    <w:p w14:paraId="50886740">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w:t>
      </w:r>
      <w:r>
        <w:rPr>
          <w:rFonts w:hint="eastAsia" w:ascii="宋体" w:hAnsi="宋体" w:eastAsia="宋体" w:cs="宋体"/>
          <w:color w:val="000000" w:themeColor="text1"/>
          <w:szCs w:val="21"/>
          <w:highlight w:val="none"/>
          <w:lang w:eastAsia="zh-CN"/>
          <w14:textFill>
            <w14:solidFill>
              <w14:schemeClr w14:val="tx1"/>
            </w14:solidFill>
          </w14:textFill>
        </w:rPr>
        <w:t>的响应（或应答）文件；</w:t>
      </w:r>
    </w:p>
    <w:p w14:paraId="3E6035B7">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承诺书；</w:t>
      </w:r>
    </w:p>
    <w:p w14:paraId="1C3F4DEB">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磋商中的磋商记录；</w:t>
      </w:r>
    </w:p>
    <w:p w14:paraId="3BA4798E">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、成交通知书。</w:t>
      </w:r>
    </w:p>
    <w:p w14:paraId="67DE8727">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p>
    <w:p w14:paraId="758CE096">
      <w:pPr>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政府采购合同双方自签订之日起将自动存档于“</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”上，采购人于合同签订之日起七个工作日内将一份合同原件送本级财政部门备案。</w:t>
      </w:r>
    </w:p>
    <w:p w14:paraId="51B8D47B">
      <w:pPr>
        <w:pStyle w:val="3"/>
        <w:rPr>
          <w:rFonts w:hint="eastAsia"/>
          <w:color w:val="000000" w:themeColor="text1"/>
          <w:highlight w:val="none"/>
          <w14:textFill>
            <w14:solidFill>
              <w14:schemeClr w14:val="tx1"/>
            </w14:solidFill>
          </w14:textFill>
        </w:rPr>
      </w:pPr>
    </w:p>
    <w:p w14:paraId="054DE10B">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采购人名称（公章）：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成交供应商名称（公章）：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166E84F">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DCEAA5">
      <w:pPr>
        <w:tabs>
          <w:tab w:val="left" w:pos="468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C6C4EBC">
      <w:pPr>
        <w:tabs>
          <w:tab w:val="left" w:pos="504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电   话：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64219CE">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28624AA4">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4C9C6D12">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01B82092">
      <w:pPr>
        <w:tabs>
          <w:tab w:val="left" w:pos="5040"/>
        </w:tabs>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6B4309D9">
      <w:pPr>
        <w:rPr>
          <w:rFonts w:hint="eastAsia" w:ascii="宋体" w:hAnsi="宋体" w:eastAsia="宋体" w:cs="宋体"/>
          <w:color w:val="000000" w:themeColor="text1"/>
          <w:highlight w:val="none"/>
          <w14:textFill>
            <w14:solidFill>
              <w14:schemeClr w14:val="tx1"/>
            </w14:solidFill>
          </w14:textFill>
        </w:rPr>
      </w:pPr>
    </w:p>
    <w:p w14:paraId="5AF3CAA4">
      <w:pPr>
        <w:pStyle w:val="8"/>
        <w:rPr>
          <w:rFonts w:hint="eastAsia" w:ascii="宋体" w:hAnsi="宋体" w:eastAsia="宋体" w:cs="宋体"/>
          <w:color w:val="000000" w:themeColor="text1"/>
          <w:highlight w:val="none"/>
          <w14:textFill>
            <w14:solidFill>
              <w14:schemeClr w14:val="tx1"/>
            </w14:solidFill>
          </w14:textFill>
        </w:rPr>
      </w:pPr>
    </w:p>
    <w:p w14:paraId="13B32A50">
      <w:pPr>
        <w:rPr>
          <w:rFonts w:hint="eastAsia"/>
          <w:color w:val="000000" w:themeColor="text1"/>
          <w:highlight w:val="none"/>
          <w14:textFill>
            <w14:solidFill>
              <w14:schemeClr w14:val="tx1"/>
            </w14:solidFill>
          </w14:textFill>
        </w:rPr>
      </w:pPr>
      <w:bookmarkStart w:id="204" w:name="_Toc24269"/>
      <w:bookmarkStart w:id="205" w:name="_Toc10014"/>
    </w:p>
    <w:p w14:paraId="64DF9C06">
      <w:pPr>
        <w:rPr>
          <w:rFonts w:hint="eastAsia"/>
          <w:color w:val="000000" w:themeColor="text1"/>
          <w:highlight w:val="none"/>
          <w14:textFill>
            <w14:solidFill>
              <w14:schemeClr w14:val="tx1"/>
            </w14:solidFill>
          </w14:textFill>
        </w:rPr>
      </w:pPr>
    </w:p>
    <w:p w14:paraId="374F03D7">
      <w:pPr>
        <w:pStyle w:val="4"/>
        <w:rPr>
          <w:rFonts w:hint="eastAsia"/>
          <w:color w:val="000000" w:themeColor="text1"/>
          <w:highlight w:val="none"/>
          <w14:textFill>
            <w14:solidFill>
              <w14:schemeClr w14:val="tx1"/>
            </w14:solidFill>
          </w14:textFill>
        </w:rPr>
      </w:pPr>
    </w:p>
    <w:p w14:paraId="5DC028FD">
      <w:pPr>
        <w:rPr>
          <w:rFonts w:hint="eastAsia"/>
          <w:color w:val="000000" w:themeColor="text1"/>
          <w:highlight w:val="none"/>
          <w14:textFill>
            <w14:solidFill>
              <w14:schemeClr w14:val="tx1"/>
            </w14:solidFill>
          </w14:textFill>
        </w:rPr>
      </w:pPr>
    </w:p>
    <w:p w14:paraId="0BFC0CC1">
      <w:pPr>
        <w:pStyle w:val="4"/>
        <w:rPr>
          <w:rFonts w:hint="eastAsia"/>
          <w:color w:val="000000" w:themeColor="text1"/>
          <w:highlight w:val="none"/>
          <w14:textFill>
            <w14:solidFill>
              <w14:schemeClr w14:val="tx1"/>
            </w14:solidFill>
          </w14:textFill>
        </w:rPr>
      </w:pPr>
    </w:p>
    <w:p w14:paraId="23E1B630">
      <w:pPr>
        <w:rPr>
          <w:rFonts w:hint="eastAsia"/>
        </w:rPr>
      </w:pPr>
    </w:p>
    <w:p w14:paraId="5BA65FDC">
      <w:pPr>
        <w:rPr>
          <w:rFonts w:hint="eastAsia"/>
          <w:color w:val="000000" w:themeColor="text1"/>
          <w:highlight w:val="none"/>
          <w14:textFill>
            <w14:solidFill>
              <w14:schemeClr w14:val="tx1"/>
            </w14:solidFill>
          </w14:textFill>
        </w:rPr>
      </w:pPr>
    </w:p>
    <w:p w14:paraId="7E984181">
      <w:pPr>
        <w:pStyle w:val="4"/>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bookmarkStart w:id="206" w:name="_Toc27917"/>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第六章  </w:t>
      </w:r>
      <w:bookmarkEnd w:id="204"/>
      <w:bookmarkEnd w:id="205"/>
      <w:bookmarkStart w:id="207" w:name="_Toc13185"/>
      <w:r>
        <w:rPr>
          <w:rFonts w:hint="eastAsia" w:ascii="宋体" w:hAnsi="宋体" w:eastAsia="宋体" w:cs="宋体"/>
          <w:b/>
          <w:bCs/>
          <w:color w:val="000000" w:themeColor="text1"/>
          <w:sz w:val="32"/>
          <w:szCs w:val="32"/>
          <w:highlight w:val="none"/>
          <w14:textFill>
            <w14:solidFill>
              <w14:schemeClr w14:val="tx1"/>
            </w14:solidFill>
          </w14:textFill>
        </w:rPr>
        <w:t>响应文件（格式）</w:t>
      </w:r>
      <w:bookmarkEnd w:id="206"/>
      <w:bookmarkEnd w:id="207"/>
    </w:p>
    <w:p w14:paraId="111F6437">
      <w:pPr>
        <w:rPr>
          <w:rFonts w:hint="eastAsia" w:ascii="宋体" w:hAnsi="宋体" w:eastAsia="宋体" w:cs="宋体"/>
          <w:color w:val="000000" w:themeColor="text1"/>
          <w:highlight w:val="none"/>
          <w14:textFill>
            <w14:solidFill>
              <w14:schemeClr w14:val="tx1"/>
            </w14:solidFill>
          </w14:textFill>
        </w:rPr>
      </w:pPr>
    </w:p>
    <w:p w14:paraId="51EB484A">
      <w:pPr>
        <w:pStyle w:val="11"/>
        <w:jc w:val="both"/>
        <w:rPr>
          <w:rFonts w:hint="eastAsia" w:ascii="宋体" w:hAnsi="宋体" w:eastAsia="宋体" w:cs="宋体"/>
          <w:b/>
          <w:color w:val="000000" w:themeColor="text1"/>
          <w:sz w:val="32"/>
          <w:highlight w:val="none"/>
          <w:lang w:eastAsia="zh-CN"/>
          <w14:textFill>
            <w14:solidFill>
              <w14:schemeClr w14:val="tx1"/>
            </w14:solidFill>
          </w14:textFill>
        </w:rPr>
      </w:pPr>
      <w:bookmarkStart w:id="208" w:name="_Toc497927069"/>
      <w:bookmarkStart w:id="209" w:name="_Toc21496"/>
      <w:bookmarkStart w:id="210" w:name="_Toc18351"/>
      <w:r>
        <w:rPr>
          <w:rFonts w:hint="eastAsia" w:ascii="宋体" w:hAnsi="宋体" w:eastAsia="宋体" w:cs="宋体"/>
          <w:b/>
          <w:color w:val="000000" w:themeColor="text1"/>
          <w:sz w:val="32"/>
          <w:highlight w:val="none"/>
          <w:lang w:eastAsia="zh-CN"/>
          <w14:textFill>
            <w14:solidFill>
              <w14:schemeClr w14:val="tx1"/>
            </w14:solidFill>
          </w14:textFill>
        </w:rPr>
        <w:t>一、响应文件袋（盒、箱）标记</w:t>
      </w:r>
      <w:bookmarkEnd w:id="208"/>
      <w:bookmarkEnd w:id="209"/>
      <w:bookmarkEnd w:id="210"/>
    </w:p>
    <w:p w14:paraId="2CC63DF5">
      <w:pPr>
        <w:adjustRightInd w:val="0"/>
        <w:snapToGrid w:val="0"/>
        <w:rPr>
          <w:rFonts w:hint="eastAsia" w:ascii="宋体" w:hAnsi="宋体" w:eastAsia="宋体" w:cs="宋体"/>
          <w:b/>
          <w:color w:val="000000" w:themeColor="text1"/>
          <w:sz w:val="44"/>
          <w:szCs w:val="44"/>
          <w:highlight w:val="none"/>
          <w14:textFill>
            <w14:solidFill>
              <w14:schemeClr w14:val="tx1"/>
            </w14:solidFill>
          </w14:textFill>
        </w:rPr>
      </w:pPr>
    </w:p>
    <w:p w14:paraId="41259CEF">
      <w:pPr>
        <w:pStyle w:val="22"/>
        <w:rPr>
          <w:rFonts w:hint="eastAsia" w:ascii="宋体" w:hAnsi="宋体" w:eastAsia="宋体" w:cs="宋体"/>
          <w:color w:val="000000" w:themeColor="text1"/>
          <w:highlight w:val="none"/>
          <w14:textFill>
            <w14:solidFill>
              <w14:schemeClr w14:val="tx1"/>
            </w14:solidFill>
          </w14:textFill>
        </w:rPr>
      </w:pPr>
    </w:p>
    <w:p w14:paraId="510EC76E">
      <w:pPr>
        <w:snapToGrid w:val="0"/>
        <w:spacing w:before="156" w:beforeLines="50" w:after="5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响 应 文 件</w:t>
      </w:r>
    </w:p>
    <w:p w14:paraId="21FD149C">
      <w:pPr>
        <w:snapToGrid w:val="0"/>
        <w:spacing w:before="156" w:beforeLines="50" w:after="50"/>
        <w:ind w:firstLine="480" w:firstLineChars="15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14:paraId="5EE4BB67">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50868455">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09EA3E11">
      <w:pPr>
        <w:snapToGrid w:val="0"/>
        <w:spacing w:before="156" w:beforeLines="50" w:after="50"/>
        <w:ind w:left="4310" w:leftChars="1330" w:hanging="1517" w:hangingChars="542"/>
        <w:rPr>
          <w:rFonts w:hint="eastAsia" w:ascii="宋体" w:hAnsi="宋体" w:eastAsia="宋体" w:cs="宋体"/>
          <w:b/>
          <w:bCs w:val="0"/>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项目名称：桂林市教育科学研究所2025年期末质量检测试题命题项目</w:t>
      </w:r>
    </w:p>
    <w:p w14:paraId="23F0653D">
      <w:pPr>
        <w:snapToGrid w:val="0"/>
        <w:spacing w:before="156" w:beforeLines="50" w:after="50"/>
        <w:ind w:firstLine="2693" w:firstLineChars="962"/>
        <w:rPr>
          <w:rFonts w:hint="eastAsia" w:ascii="宋体" w:hAnsi="宋体" w:eastAsia="宋体" w:cs="宋体"/>
          <w:b/>
          <w:bCs w:val="0"/>
          <w:color w:val="000000" w:themeColor="text1"/>
          <w:sz w:val="28"/>
          <w:szCs w:val="28"/>
          <w:highlight w:val="none"/>
          <w14:textFill>
            <w14:solidFill>
              <w14:schemeClr w14:val="tx1"/>
            </w14:solidFill>
          </w14:textFill>
        </w:rPr>
      </w:pPr>
    </w:p>
    <w:p w14:paraId="7CD700BF">
      <w:pPr>
        <w:snapToGrid w:val="0"/>
        <w:spacing w:before="156" w:beforeLines="50" w:after="50"/>
        <w:ind w:firstLine="2693" w:firstLineChars="962"/>
        <w:rPr>
          <w:rFonts w:hint="eastAsia" w:ascii="宋体" w:hAnsi="宋体" w:eastAsia="宋体" w:cs="宋体"/>
          <w:b/>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项目编号：</w:t>
      </w:r>
      <w:r>
        <w:rPr>
          <w:rFonts w:hint="eastAsia" w:ascii="宋体" w:hAnsi="宋体" w:cs="宋体"/>
          <w:b/>
          <w:bCs w:val="0"/>
          <w:color w:val="000000" w:themeColor="text1"/>
          <w:sz w:val="28"/>
          <w:szCs w:val="28"/>
          <w:highlight w:val="none"/>
          <w:u w:val="single"/>
          <w:lang w:eastAsia="zh-CN"/>
          <w14:textFill>
            <w14:solidFill>
              <w14:schemeClr w14:val="tx1"/>
            </w14:solidFill>
          </w14:textFill>
        </w:rPr>
        <w:t>GLZC2025-C3-990</w:t>
      </w:r>
      <w:r>
        <w:rPr>
          <w:rFonts w:hint="eastAsia" w:ascii="宋体" w:hAnsi="宋体" w:cs="宋体"/>
          <w:b/>
          <w:bCs w:val="0"/>
          <w:color w:val="000000" w:themeColor="text1"/>
          <w:sz w:val="28"/>
          <w:szCs w:val="28"/>
          <w:highlight w:val="none"/>
          <w:u w:val="single"/>
          <w:lang w:val="en-US" w:eastAsia="zh-CN"/>
          <w14:textFill>
            <w14:solidFill>
              <w14:schemeClr w14:val="tx1"/>
            </w14:solidFill>
          </w14:textFill>
        </w:rPr>
        <w:t>193</w:t>
      </w:r>
      <w:r>
        <w:rPr>
          <w:rFonts w:hint="eastAsia" w:ascii="宋体" w:hAnsi="宋体" w:cs="宋体"/>
          <w:b/>
          <w:bCs w:val="0"/>
          <w:color w:val="000000" w:themeColor="text1"/>
          <w:sz w:val="28"/>
          <w:szCs w:val="28"/>
          <w:highlight w:val="none"/>
          <w:u w:val="single"/>
          <w:lang w:eastAsia="zh-CN"/>
          <w14:textFill>
            <w14:solidFill>
              <w14:schemeClr w14:val="tx1"/>
            </w14:solidFill>
          </w14:textFill>
        </w:rPr>
        <w:t>-GLSZ</w:t>
      </w:r>
    </w:p>
    <w:p w14:paraId="1E865D66">
      <w:pPr>
        <w:rPr>
          <w:rFonts w:hint="eastAsia" w:ascii="宋体" w:hAnsi="宋体" w:eastAsia="宋体" w:cs="宋体"/>
          <w:b/>
          <w:color w:val="000000" w:themeColor="text1"/>
          <w:highlight w:val="none"/>
          <w14:textFill>
            <w14:solidFill>
              <w14:schemeClr w14:val="tx1"/>
            </w14:solidFill>
          </w14:textFill>
        </w:rPr>
      </w:pPr>
    </w:p>
    <w:p w14:paraId="2CFFEF85">
      <w:pPr>
        <w:spacing w:line="400" w:lineRule="exact"/>
        <w:ind w:firstLine="2693" w:firstLineChars="962"/>
        <w:rPr>
          <w:rFonts w:hint="eastAsia" w:ascii="宋体" w:hAnsi="宋体" w:eastAsia="宋体" w:cs="宋体"/>
          <w:b/>
          <w:color w:val="000000" w:themeColor="text1"/>
          <w:sz w:val="28"/>
          <w:szCs w:val="28"/>
          <w:highlight w:val="none"/>
          <w14:textFill>
            <w14:solidFill>
              <w14:schemeClr w14:val="tx1"/>
            </w14:solidFill>
          </w14:textFill>
        </w:rPr>
      </w:pPr>
    </w:p>
    <w:p w14:paraId="1DA4FD2D">
      <w:pPr>
        <w:pStyle w:val="22"/>
        <w:rPr>
          <w:rFonts w:hint="eastAsia" w:ascii="宋体" w:hAnsi="宋体" w:eastAsia="宋体" w:cs="宋体"/>
          <w:b/>
          <w:color w:val="000000" w:themeColor="text1"/>
          <w:sz w:val="28"/>
          <w:szCs w:val="28"/>
          <w:highlight w:val="none"/>
          <w14:textFill>
            <w14:solidFill>
              <w14:schemeClr w14:val="tx1"/>
            </w14:solidFill>
          </w14:textFill>
        </w:rPr>
      </w:pPr>
    </w:p>
    <w:p w14:paraId="28DFAFDA">
      <w:pPr>
        <w:pStyle w:val="22"/>
        <w:rPr>
          <w:rFonts w:hint="eastAsia" w:ascii="宋体" w:hAnsi="宋体" w:eastAsia="宋体" w:cs="宋体"/>
          <w:b/>
          <w:color w:val="000000" w:themeColor="text1"/>
          <w:sz w:val="28"/>
          <w:szCs w:val="28"/>
          <w:highlight w:val="none"/>
          <w14:textFill>
            <w14:solidFill>
              <w14:schemeClr w14:val="tx1"/>
            </w14:solidFill>
          </w14:textFill>
        </w:rPr>
      </w:pPr>
    </w:p>
    <w:p w14:paraId="02B93AE0">
      <w:pPr>
        <w:pStyle w:val="22"/>
        <w:rPr>
          <w:rFonts w:hint="eastAsia" w:ascii="宋体" w:hAnsi="宋体" w:eastAsia="宋体" w:cs="宋体"/>
          <w:b/>
          <w:color w:val="000000" w:themeColor="text1"/>
          <w:sz w:val="28"/>
          <w:szCs w:val="28"/>
          <w:highlight w:val="none"/>
          <w14:textFill>
            <w14:solidFill>
              <w14:schemeClr w14:val="tx1"/>
            </w14:solidFill>
          </w14:textFill>
        </w:rPr>
      </w:pPr>
    </w:p>
    <w:p w14:paraId="1C5FF65C">
      <w:pPr>
        <w:snapToGrid w:val="0"/>
        <w:spacing w:before="156" w:beforeLines="50" w:after="50"/>
        <w:ind w:firstLine="2693" w:firstLineChars="962"/>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采购代理机构：</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桂林市政府集中采购中心   </w:t>
      </w:r>
    </w:p>
    <w:p w14:paraId="4BF4DADE">
      <w:pPr>
        <w:pStyle w:val="9"/>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11" w:name="_Toc20319_WPSOffice_Level2"/>
      <w:bookmarkStart w:id="212" w:name="_Toc4932_WPSOffice_Level2"/>
      <w:r>
        <w:rPr>
          <w:rFonts w:hint="eastAsia" w:ascii="宋体" w:hAnsi="宋体" w:eastAsia="宋体" w:cs="宋体"/>
          <w:bCs/>
          <w:color w:val="000000" w:themeColor="text1"/>
          <w:sz w:val="28"/>
          <w:szCs w:val="28"/>
          <w:highlight w:val="none"/>
          <w:lang w:eastAsia="zh-CN"/>
          <w14:textFill>
            <w14:solidFill>
              <w14:schemeClr w14:val="tx1"/>
            </w14:solidFill>
          </w14:textFill>
        </w:rPr>
        <w:t>磋商供应商</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公章</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(CA签章)</w:t>
      </w:r>
      <w:r>
        <w:rPr>
          <w:rFonts w:hint="eastAsia" w:ascii="宋体" w:hAnsi="宋体" w:eastAsia="宋体" w:cs="宋体"/>
          <w:bCs/>
          <w:color w:val="000000" w:themeColor="text1"/>
          <w:sz w:val="28"/>
          <w:szCs w:val="28"/>
          <w:highlight w:val="none"/>
          <w14:textFill>
            <w14:solidFill>
              <w14:schemeClr w14:val="tx1"/>
            </w14:solidFill>
          </w14:textFill>
        </w:rPr>
        <w:t>、自然人除外</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bookmarkEnd w:id="211"/>
      <w:bookmarkEnd w:id="212"/>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601ADE48">
      <w:pPr>
        <w:pStyle w:val="11"/>
        <w:spacing w:line="320" w:lineRule="exact"/>
        <w:ind w:firstLine="42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13" w:name="_Toc9622_WPSOffice_Level2"/>
      <w:bookmarkStart w:id="214" w:name="_Toc32056_WPSOffice_Level2"/>
      <w:r>
        <w:rPr>
          <w:rFonts w:hint="eastAsia" w:ascii="宋体" w:hAnsi="宋体" w:eastAsia="宋体" w:cs="宋体"/>
          <w:color w:val="000000" w:themeColor="text1"/>
          <w:sz w:val="28"/>
          <w:szCs w:val="28"/>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或盖章</w:t>
      </w:r>
      <w:r>
        <w:rPr>
          <w:rFonts w:hint="eastAsia" w:ascii="宋体" w:hAnsi="宋体" w:eastAsia="宋体" w:cs="宋体"/>
          <w:color w:val="000000" w:themeColor="text1"/>
          <w:sz w:val="28"/>
          <w:szCs w:val="28"/>
          <w:highlight w:val="none"/>
          <w:lang w:val="en-US" w:eastAsia="zh-CN"/>
          <w14:textFill>
            <w14:solidFill>
              <w14:schemeClr w14:val="tx1"/>
            </w14:solidFill>
          </w14:textFill>
        </w:rPr>
        <w:t>(CA签章)]</w:t>
      </w:r>
    </w:p>
    <w:p w14:paraId="5F62729D">
      <w:pPr>
        <w:pStyle w:val="9"/>
        <w:ind w:left="980" w:hanging="560" w:hanging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lang w:val="en-US" w:eastAsia="zh-CN"/>
          <w14:textFill>
            <w14:solidFill>
              <w14:schemeClr w14:val="tx1"/>
            </w14:solidFill>
          </w14:textFill>
        </w:rPr>
        <w:t>个人CA签章</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36E9E3E2">
      <w:pPr>
        <w:pStyle w:val="9"/>
        <w:ind w:left="980" w:hanging="560" w:hangingChars="20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bookmarkEnd w:id="213"/>
      <w:bookmarkEnd w:id="214"/>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5E914212">
      <w:pPr>
        <w:pStyle w:val="9"/>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15" w:name="_Toc15933_WPSOffice_Level2"/>
      <w:bookmarkStart w:id="216" w:name="_Toc26465_WPSOffice_Level2"/>
      <w:r>
        <w:rPr>
          <w:rFonts w:hint="eastAsia" w:ascii="宋体" w:hAnsi="宋体" w:eastAsia="宋体" w:cs="宋体"/>
          <w:bCs/>
          <w:color w:val="000000" w:themeColor="text1"/>
          <w:sz w:val="28"/>
          <w:szCs w:val="28"/>
          <w:highlight w:val="none"/>
          <w14:textFill>
            <w14:solidFill>
              <w14:schemeClr w14:val="tx1"/>
            </w14:solidFill>
          </w14:textFill>
        </w:rPr>
        <w:t>日期：</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w:t>
      </w:r>
      <w:bookmarkEnd w:id="215"/>
      <w:bookmarkEnd w:id="216"/>
    </w:p>
    <w:p w14:paraId="3C28CD4B">
      <w:pPr>
        <w:pStyle w:val="9"/>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p>
    <w:p w14:paraId="5BC42E78">
      <w:pPr>
        <w:pStyle w:val="9"/>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p>
    <w:p w14:paraId="11A8EE4E">
      <w:pPr>
        <w:numPr>
          <w:ilvl w:val="0"/>
          <w:numId w:val="11"/>
        </w:numPr>
        <w:rPr>
          <w:rFonts w:hint="eastAsia" w:ascii="宋体" w:hAnsi="宋体" w:eastAsia="宋体" w:cs="宋体"/>
          <w:b/>
          <w:bCs/>
          <w:color w:val="000000" w:themeColor="text1"/>
          <w:sz w:val="32"/>
          <w:szCs w:val="32"/>
          <w:highlight w:val="none"/>
          <w14:textFill>
            <w14:solidFill>
              <w14:schemeClr w14:val="tx1"/>
            </w14:solidFill>
          </w14:textFill>
        </w:rPr>
      </w:pPr>
      <w:bookmarkStart w:id="217" w:name="_Toc497927070"/>
      <w:bookmarkStart w:id="218" w:name="_Toc19430"/>
      <w:bookmarkStart w:id="219" w:name="_Toc21615"/>
      <w:r>
        <w:rPr>
          <w:rFonts w:hint="eastAsia" w:ascii="宋体" w:hAnsi="宋体" w:eastAsia="宋体" w:cs="宋体"/>
          <w:b/>
          <w:bCs/>
          <w:color w:val="000000" w:themeColor="text1"/>
          <w:sz w:val="32"/>
          <w:szCs w:val="32"/>
          <w:highlight w:val="none"/>
          <w14:textFill>
            <w14:solidFill>
              <w14:schemeClr w14:val="tx1"/>
            </w14:solidFill>
          </w14:textFill>
        </w:rPr>
        <w:t>响应文件组成</w:t>
      </w:r>
      <w:bookmarkEnd w:id="217"/>
      <w:bookmarkEnd w:id="218"/>
      <w:bookmarkEnd w:id="219"/>
    </w:p>
    <w:p w14:paraId="3C1183E9">
      <w:pPr>
        <w:pStyle w:val="8"/>
        <w:numPr>
          <w:ilvl w:val="0"/>
          <w:numId w:val="0"/>
        </w:numPr>
        <w:rPr>
          <w:rFonts w:hint="eastAsia" w:ascii="宋体" w:hAnsi="宋体" w:eastAsia="宋体" w:cs="宋体"/>
          <w:color w:val="000000" w:themeColor="text1"/>
          <w:highlight w:val="none"/>
          <w14:textFill>
            <w14:solidFill>
              <w14:schemeClr w14:val="tx1"/>
            </w14:solidFill>
          </w14:textFill>
        </w:rPr>
      </w:pPr>
    </w:p>
    <w:p w14:paraId="60105AF3">
      <w:pPr>
        <w:pStyle w:val="8"/>
        <w:numPr>
          <w:ilvl w:val="0"/>
          <w:numId w:val="0"/>
        </w:numPr>
        <w:rPr>
          <w:rFonts w:hint="eastAsia" w:ascii="宋体" w:hAnsi="宋体" w:eastAsia="宋体" w:cs="宋体"/>
          <w:color w:val="000000" w:themeColor="text1"/>
          <w:highlight w:val="none"/>
          <w14:textFill>
            <w14:solidFill>
              <w14:schemeClr w14:val="tx1"/>
            </w14:solidFill>
          </w14:textFill>
        </w:rPr>
      </w:pPr>
    </w:p>
    <w:p w14:paraId="65FFEB97">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p>
    <w:p w14:paraId="79BCE595">
      <w:pPr>
        <w:pStyle w:val="8"/>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4E95F9C8">
      <w:pPr>
        <w:numPr>
          <w:ilvl w:val="0"/>
          <w:numId w:val="12"/>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资格性响应证明材料</w:t>
      </w:r>
    </w:p>
    <w:p w14:paraId="190D3A60">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35DBF6E7">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633A88D">
      <w:pPr>
        <w:numPr>
          <w:ilvl w:val="0"/>
          <w:numId w:val="12"/>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符合性响应证明材料</w:t>
      </w:r>
    </w:p>
    <w:p w14:paraId="697C722E">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5B6AB564">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3229C96C">
      <w:pPr>
        <w:numPr>
          <w:ilvl w:val="0"/>
          <w:numId w:val="12"/>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w:t>
      </w:r>
      <w:r>
        <w:rPr>
          <w:rFonts w:hint="eastAsia" w:ascii="宋体" w:hAnsi="宋体" w:eastAsia="宋体" w:cs="宋体"/>
          <w:b/>
          <w:bCs/>
          <w:color w:val="000000" w:themeColor="text1"/>
          <w:sz w:val="28"/>
          <w:szCs w:val="28"/>
          <w:highlight w:val="none"/>
          <w:lang w:eastAsia="zh-CN"/>
          <w14:textFill>
            <w14:solidFill>
              <w14:schemeClr w14:val="tx1"/>
            </w14:solidFill>
          </w14:textFill>
        </w:rPr>
        <w:t>他</w:t>
      </w:r>
      <w:r>
        <w:rPr>
          <w:rFonts w:hint="eastAsia" w:ascii="宋体" w:hAnsi="宋体" w:eastAsia="宋体" w:cs="宋体"/>
          <w:b/>
          <w:bCs/>
          <w:color w:val="000000" w:themeColor="text1"/>
          <w:sz w:val="28"/>
          <w:szCs w:val="28"/>
          <w:highlight w:val="none"/>
          <w14:textFill>
            <w14:solidFill>
              <w14:schemeClr w14:val="tx1"/>
            </w14:solidFill>
          </w14:textFill>
        </w:rPr>
        <w:t>有效证明材料</w:t>
      </w:r>
    </w:p>
    <w:p w14:paraId="5C33AE8D">
      <w:pPr>
        <w:pStyle w:val="22"/>
        <w:rPr>
          <w:rFonts w:hint="eastAsia" w:ascii="宋体" w:hAnsi="宋体" w:eastAsia="宋体" w:cs="宋体"/>
          <w:color w:val="000000" w:themeColor="text1"/>
          <w:highlight w:val="none"/>
          <w14:textFill>
            <w14:solidFill>
              <w14:schemeClr w14:val="tx1"/>
            </w14:solidFill>
          </w14:textFill>
        </w:rPr>
      </w:pPr>
    </w:p>
    <w:p w14:paraId="5FA9E877">
      <w:pPr>
        <w:tabs>
          <w:tab w:val="left" w:pos="5040"/>
        </w:tabs>
        <w:spacing w:line="400" w:lineRule="exact"/>
        <w:rPr>
          <w:rFonts w:hint="eastAsia" w:ascii="宋体" w:hAnsi="宋体" w:eastAsia="宋体" w:cs="宋体"/>
          <w:color w:val="000000" w:themeColor="text1"/>
          <w:szCs w:val="21"/>
          <w:highlight w:val="none"/>
          <w14:textFill>
            <w14:solidFill>
              <w14:schemeClr w14:val="tx1"/>
            </w14:solidFill>
          </w14:textFill>
        </w:rPr>
      </w:pPr>
    </w:p>
    <w:p w14:paraId="537F1AE2">
      <w:pPr>
        <w:pStyle w:val="8"/>
        <w:rPr>
          <w:rFonts w:hint="eastAsia" w:ascii="宋体" w:hAnsi="宋体" w:eastAsia="宋体" w:cs="宋体"/>
          <w:color w:val="000000" w:themeColor="text1"/>
          <w:szCs w:val="21"/>
          <w:highlight w:val="none"/>
          <w14:textFill>
            <w14:solidFill>
              <w14:schemeClr w14:val="tx1"/>
            </w14:solidFill>
          </w14:textFill>
        </w:rPr>
      </w:pPr>
    </w:p>
    <w:p w14:paraId="4DBE10B9">
      <w:pPr>
        <w:pStyle w:val="8"/>
        <w:rPr>
          <w:rFonts w:hint="eastAsia" w:ascii="宋体" w:hAnsi="宋体" w:eastAsia="宋体" w:cs="宋体"/>
          <w:color w:val="000000" w:themeColor="text1"/>
          <w:szCs w:val="21"/>
          <w:highlight w:val="none"/>
          <w14:textFill>
            <w14:solidFill>
              <w14:schemeClr w14:val="tx1"/>
            </w14:solidFill>
          </w14:textFill>
        </w:rPr>
      </w:pPr>
    </w:p>
    <w:p w14:paraId="44819F79">
      <w:pPr>
        <w:pStyle w:val="8"/>
        <w:rPr>
          <w:rFonts w:hint="eastAsia" w:ascii="宋体" w:hAnsi="宋体" w:eastAsia="宋体" w:cs="宋体"/>
          <w:color w:val="000000" w:themeColor="text1"/>
          <w:szCs w:val="21"/>
          <w:highlight w:val="none"/>
          <w14:textFill>
            <w14:solidFill>
              <w14:schemeClr w14:val="tx1"/>
            </w14:solidFill>
          </w14:textFill>
        </w:rPr>
      </w:pPr>
    </w:p>
    <w:p w14:paraId="1F1E00D3">
      <w:pPr>
        <w:pStyle w:val="8"/>
        <w:rPr>
          <w:rFonts w:hint="eastAsia" w:ascii="宋体" w:hAnsi="宋体" w:eastAsia="宋体" w:cs="宋体"/>
          <w:color w:val="000000" w:themeColor="text1"/>
          <w:szCs w:val="21"/>
          <w:highlight w:val="none"/>
          <w14:textFill>
            <w14:solidFill>
              <w14:schemeClr w14:val="tx1"/>
            </w14:solidFill>
          </w14:textFill>
        </w:rPr>
      </w:pPr>
    </w:p>
    <w:p w14:paraId="04A22EC3">
      <w:pPr>
        <w:rPr>
          <w:rFonts w:hint="eastAsia" w:ascii="宋体" w:hAnsi="宋体" w:eastAsia="宋体" w:cs="宋体"/>
          <w:color w:val="000000" w:themeColor="text1"/>
          <w:szCs w:val="21"/>
          <w:highlight w:val="none"/>
          <w14:textFill>
            <w14:solidFill>
              <w14:schemeClr w14:val="tx1"/>
            </w14:solidFill>
          </w14:textFill>
        </w:rPr>
      </w:pPr>
    </w:p>
    <w:p w14:paraId="101BA83F">
      <w:pPr>
        <w:pStyle w:val="22"/>
        <w:rPr>
          <w:rFonts w:hint="eastAsia" w:ascii="宋体" w:hAnsi="宋体" w:eastAsia="宋体" w:cs="宋体"/>
          <w:color w:val="000000" w:themeColor="text1"/>
          <w:szCs w:val="21"/>
          <w:highlight w:val="none"/>
          <w14:textFill>
            <w14:solidFill>
              <w14:schemeClr w14:val="tx1"/>
            </w14:solidFill>
          </w14:textFill>
        </w:rPr>
      </w:pPr>
    </w:p>
    <w:p w14:paraId="0C1EDD99">
      <w:pPr>
        <w:pStyle w:val="22"/>
        <w:rPr>
          <w:rFonts w:hint="eastAsia" w:ascii="宋体" w:hAnsi="宋体" w:eastAsia="宋体" w:cs="宋体"/>
          <w:color w:val="000000" w:themeColor="text1"/>
          <w:szCs w:val="21"/>
          <w:highlight w:val="none"/>
          <w14:textFill>
            <w14:solidFill>
              <w14:schemeClr w14:val="tx1"/>
            </w14:solidFill>
          </w14:textFill>
        </w:rPr>
      </w:pPr>
    </w:p>
    <w:p w14:paraId="24BC78BE">
      <w:pPr>
        <w:pStyle w:val="22"/>
        <w:rPr>
          <w:rFonts w:hint="eastAsia" w:ascii="宋体" w:hAnsi="宋体" w:eastAsia="宋体" w:cs="宋体"/>
          <w:color w:val="000000" w:themeColor="text1"/>
          <w:szCs w:val="21"/>
          <w:highlight w:val="none"/>
          <w14:textFill>
            <w14:solidFill>
              <w14:schemeClr w14:val="tx1"/>
            </w14:solidFill>
          </w14:textFill>
        </w:rPr>
      </w:pPr>
    </w:p>
    <w:p w14:paraId="3094B648">
      <w:pPr>
        <w:pStyle w:val="22"/>
        <w:rPr>
          <w:rFonts w:hint="eastAsia" w:ascii="宋体" w:hAnsi="宋体" w:eastAsia="宋体" w:cs="宋体"/>
          <w:color w:val="000000" w:themeColor="text1"/>
          <w:szCs w:val="21"/>
          <w:highlight w:val="none"/>
          <w14:textFill>
            <w14:solidFill>
              <w14:schemeClr w14:val="tx1"/>
            </w14:solidFill>
          </w14:textFill>
        </w:rPr>
      </w:pPr>
    </w:p>
    <w:p w14:paraId="18F051D1">
      <w:pPr>
        <w:pStyle w:val="22"/>
        <w:rPr>
          <w:rFonts w:hint="eastAsia" w:ascii="宋体" w:hAnsi="宋体" w:eastAsia="宋体" w:cs="宋体"/>
          <w:color w:val="000000" w:themeColor="text1"/>
          <w:szCs w:val="21"/>
          <w:highlight w:val="none"/>
          <w14:textFill>
            <w14:solidFill>
              <w14:schemeClr w14:val="tx1"/>
            </w14:solidFill>
          </w14:textFill>
        </w:rPr>
      </w:pPr>
    </w:p>
    <w:p w14:paraId="2472C7FE">
      <w:pPr>
        <w:pStyle w:val="22"/>
        <w:rPr>
          <w:rFonts w:hint="eastAsia" w:ascii="宋体" w:hAnsi="宋体" w:eastAsia="宋体" w:cs="宋体"/>
          <w:color w:val="000000" w:themeColor="text1"/>
          <w:szCs w:val="21"/>
          <w:highlight w:val="none"/>
          <w14:textFill>
            <w14:solidFill>
              <w14:schemeClr w14:val="tx1"/>
            </w14:solidFill>
          </w14:textFill>
        </w:rPr>
      </w:pPr>
    </w:p>
    <w:p w14:paraId="380561FA">
      <w:pPr>
        <w:pStyle w:val="22"/>
        <w:rPr>
          <w:rFonts w:hint="eastAsia" w:ascii="宋体" w:hAnsi="宋体" w:eastAsia="宋体" w:cs="宋体"/>
          <w:color w:val="000000" w:themeColor="text1"/>
          <w:szCs w:val="21"/>
          <w:highlight w:val="none"/>
          <w14:textFill>
            <w14:solidFill>
              <w14:schemeClr w14:val="tx1"/>
            </w14:solidFill>
          </w14:textFill>
        </w:rPr>
      </w:pPr>
    </w:p>
    <w:p w14:paraId="2C5F6D83">
      <w:pPr>
        <w:pStyle w:val="22"/>
        <w:rPr>
          <w:rFonts w:hint="eastAsia" w:ascii="宋体" w:hAnsi="宋体" w:eastAsia="宋体" w:cs="宋体"/>
          <w:color w:val="000000" w:themeColor="text1"/>
          <w:szCs w:val="21"/>
          <w:highlight w:val="none"/>
          <w14:textFill>
            <w14:solidFill>
              <w14:schemeClr w14:val="tx1"/>
            </w14:solidFill>
          </w14:textFill>
        </w:rPr>
      </w:pPr>
    </w:p>
    <w:p w14:paraId="63D40851">
      <w:pPr>
        <w:pStyle w:val="22"/>
        <w:rPr>
          <w:rFonts w:hint="eastAsia" w:ascii="宋体" w:hAnsi="宋体" w:eastAsia="宋体" w:cs="宋体"/>
          <w:color w:val="000000" w:themeColor="text1"/>
          <w:szCs w:val="21"/>
          <w:highlight w:val="none"/>
          <w14:textFill>
            <w14:solidFill>
              <w14:schemeClr w14:val="tx1"/>
            </w14:solidFill>
          </w14:textFill>
        </w:rPr>
      </w:pPr>
    </w:p>
    <w:p w14:paraId="553D4A2B">
      <w:pPr>
        <w:pStyle w:val="22"/>
        <w:rPr>
          <w:rFonts w:hint="eastAsia" w:ascii="宋体" w:hAnsi="宋体" w:eastAsia="宋体" w:cs="宋体"/>
          <w:color w:val="000000" w:themeColor="text1"/>
          <w:szCs w:val="21"/>
          <w:highlight w:val="none"/>
          <w14:textFill>
            <w14:solidFill>
              <w14:schemeClr w14:val="tx1"/>
            </w14:solidFill>
          </w14:textFill>
        </w:rPr>
      </w:pPr>
    </w:p>
    <w:p w14:paraId="4185C83C">
      <w:pPr>
        <w:pStyle w:val="22"/>
        <w:rPr>
          <w:rFonts w:hint="eastAsia" w:ascii="宋体" w:hAnsi="宋体" w:eastAsia="宋体" w:cs="宋体"/>
          <w:color w:val="000000" w:themeColor="text1"/>
          <w:szCs w:val="21"/>
          <w:highlight w:val="none"/>
          <w14:textFill>
            <w14:solidFill>
              <w14:schemeClr w14:val="tx1"/>
            </w14:solidFill>
          </w14:textFill>
        </w:rPr>
      </w:pPr>
    </w:p>
    <w:p w14:paraId="3085F322">
      <w:pPr>
        <w:pStyle w:val="22"/>
        <w:rPr>
          <w:rFonts w:hint="eastAsia" w:ascii="宋体" w:hAnsi="宋体" w:eastAsia="宋体" w:cs="宋体"/>
          <w:color w:val="000000" w:themeColor="text1"/>
          <w:szCs w:val="21"/>
          <w:highlight w:val="none"/>
          <w14:textFill>
            <w14:solidFill>
              <w14:schemeClr w14:val="tx1"/>
            </w14:solidFill>
          </w14:textFill>
        </w:rPr>
      </w:pPr>
    </w:p>
    <w:p w14:paraId="61E991B1">
      <w:pPr>
        <w:pStyle w:val="22"/>
        <w:rPr>
          <w:rFonts w:hint="eastAsia" w:ascii="宋体" w:hAnsi="宋体" w:eastAsia="宋体" w:cs="宋体"/>
          <w:color w:val="000000" w:themeColor="text1"/>
          <w:szCs w:val="21"/>
          <w:highlight w:val="none"/>
          <w14:textFill>
            <w14:solidFill>
              <w14:schemeClr w14:val="tx1"/>
            </w14:solidFill>
          </w14:textFill>
        </w:rPr>
      </w:pPr>
    </w:p>
    <w:p w14:paraId="6803691B">
      <w:pPr>
        <w:pStyle w:val="22"/>
        <w:rPr>
          <w:rFonts w:hint="eastAsia" w:ascii="宋体" w:hAnsi="宋体" w:eastAsia="宋体" w:cs="宋体"/>
          <w:color w:val="000000" w:themeColor="text1"/>
          <w:szCs w:val="21"/>
          <w:highlight w:val="none"/>
          <w14:textFill>
            <w14:solidFill>
              <w14:schemeClr w14:val="tx1"/>
            </w14:solidFill>
          </w14:textFill>
        </w:rPr>
      </w:pPr>
    </w:p>
    <w:p w14:paraId="3EE095D9">
      <w:pPr>
        <w:rPr>
          <w:rFonts w:hint="eastAsia" w:ascii="宋体" w:hAnsi="宋体" w:eastAsia="宋体" w:cs="宋体"/>
          <w:color w:val="000000" w:themeColor="text1"/>
          <w:highlight w:val="none"/>
          <w:lang w:eastAsia="zh-CN"/>
          <w14:textFill>
            <w14:solidFill>
              <w14:schemeClr w14:val="tx1"/>
            </w14:solidFill>
          </w14:textFill>
        </w:rPr>
      </w:pPr>
      <w:bookmarkStart w:id="220" w:name="_Toc7185"/>
      <w:bookmarkStart w:id="221" w:name="_Toc11067"/>
      <w:bookmarkStart w:id="222" w:name="_Toc497927071"/>
    </w:p>
    <w:p w14:paraId="211CB087">
      <w:pPr>
        <w:pStyle w:val="2"/>
        <w:numPr>
          <w:ilvl w:val="0"/>
          <w:numId w:val="0"/>
        </w:num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资格性响应证明材料目录</w:t>
      </w:r>
      <w:bookmarkEnd w:id="220"/>
      <w:bookmarkEnd w:id="221"/>
      <w:bookmarkEnd w:id="222"/>
    </w:p>
    <w:p w14:paraId="592280E6">
      <w:pPr>
        <w:rPr>
          <w:rFonts w:hint="eastAsia" w:ascii="宋体" w:hAnsi="宋体" w:eastAsia="宋体" w:cs="宋体"/>
          <w:color w:val="000000" w:themeColor="text1"/>
          <w:highlight w:val="none"/>
          <w14:textFill>
            <w14:solidFill>
              <w14:schemeClr w14:val="tx1"/>
            </w14:solidFill>
          </w14:textFill>
        </w:rPr>
      </w:pPr>
    </w:p>
    <w:p w14:paraId="4D85758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.供应商相应的法定代表人、负责人、自然人身份证正反两面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w:t>
      </w:r>
      <w:r>
        <w:rPr>
          <w:rFonts w:hint="eastAsia" w:ascii="宋体" w:hAnsi="宋体" w:eastAsia="宋体" w:cs="宋体"/>
          <w:color w:val="000000" w:themeColor="text1"/>
          <w:sz w:val="24"/>
          <w:highlight w:val="none"/>
          <w14:textFill>
            <w14:solidFill>
              <w14:schemeClr w14:val="tx1"/>
            </w14:solidFill>
          </w14:textFill>
        </w:rPr>
        <w:t>；</w:t>
      </w:r>
    </w:p>
    <w:p w14:paraId="4409E0E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.供应商的授权委托书原件、委托代理人身份证正反面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 w:val="24"/>
          <w:highlight w:val="none"/>
          <w:lang w:eastAsia="zh-CN"/>
          <w14:textFill>
            <w14:solidFill>
              <w14:schemeClr w14:val="tx1"/>
            </w14:solidFill>
          </w14:textFill>
        </w:rPr>
        <w:t>三个月内任意一个月</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除供应商为以下</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种情形的：</w:t>
      </w:r>
    </w:p>
    <w:p w14:paraId="7C42C92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7D701D3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（2）如供应商为事业单位，可以提供事业单位机构编制管理证</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或事业单位机构为其发放工资的工资条</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309CCDA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color w:val="000000" w:themeColor="text1"/>
          <w:sz w:val="24"/>
          <w:highlight w:val="none"/>
          <w14:textFill>
            <w14:solidFill>
              <w14:schemeClr w14:val="tx1"/>
            </w14:solidFill>
          </w14:textFill>
        </w:rPr>
        <w:t>及供应商与委托代理人签订的劳动合同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5962F9A1">
      <w:pPr>
        <w:spacing w:beforeLines="-2147483648" w:afterLines="-2147483648"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2FA338DE">
      <w:pPr>
        <w:spacing w:beforeLines="-2147483648" w:afterLines="-2147483648" w:line="360" w:lineRule="auto"/>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 w:val="24"/>
          <w:szCs w:val="24"/>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000000" w:themeColor="text1"/>
          <w:sz w:val="24"/>
          <w:szCs w:val="24"/>
          <w:highlight w:val="none"/>
          <w14:textFill>
            <w14:solidFill>
              <w14:schemeClr w14:val="tx1"/>
            </w14:solidFill>
          </w14:textFill>
        </w:rPr>
        <w:t>】（委托代理时必须提供；如为联合体的，授权委托书原件须由牵头人出具）</w:t>
      </w:r>
    </w:p>
    <w:p w14:paraId="2A440C9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.投标人参加政府采购活动前3年内在经营活动中没有重大违法记录及有关信用信息的书面声明或专项信用报告</w:t>
      </w:r>
      <w:r>
        <w:rPr>
          <w:rFonts w:hint="eastAsia" w:ascii="宋体" w:hAnsi="宋体" w:eastAsia="宋体" w:cs="宋体"/>
          <w:b/>
          <w:bCs/>
          <w:color w:val="000000" w:themeColor="text1"/>
          <w:sz w:val="24"/>
          <w:highlight w:val="none"/>
          <w14:textFill>
            <w14:solidFill>
              <w14:schemeClr w14:val="tx1"/>
            </w14:solidFill>
          </w14:textFill>
        </w:rPr>
        <w:t>（必须提供）</w:t>
      </w:r>
      <w:r>
        <w:rPr>
          <w:rFonts w:hint="eastAsia" w:ascii="宋体" w:hAnsi="宋体" w:eastAsia="宋体" w:cs="宋体"/>
          <w:color w:val="000000" w:themeColor="text1"/>
          <w:sz w:val="24"/>
          <w:highlight w:val="none"/>
          <w14:textFill>
            <w14:solidFill>
              <w14:schemeClr w14:val="tx1"/>
            </w14:solidFill>
          </w14:textFill>
        </w:rPr>
        <w:t>。</w:t>
      </w:r>
    </w:p>
    <w:p w14:paraId="2FCB736E">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r>
        <w:rPr>
          <w:rFonts w:hint="eastAsia" w:ascii="宋体" w:hAnsi="宋体" w:eastAsia="宋体" w:cs="宋体"/>
          <w:b w:val="0"/>
          <w:bCs w:val="0"/>
          <w:color w:val="000000" w:themeColor="text1"/>
          <w:sz w:val="24"/>
          <w:highlight w:val="none"/>
          <w14:textFill>
            <w14:solidFill>
              <w14:schemeClr w14:val="tx1"/>
            </w14:solidFill>
          </w14:textFill>
        </w:rPr>
        <w:t>；</w:t>
      </w:r>
    </w:p>
    <w:p w14:paraId="13861123">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.供应商的法人或者其他组织营业执照等证明文件</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（必须提供，自然人除外）；</w:t>
      </w:r>
    </w:p>
    <w:p w14:paraId="037ACB73">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财务状况报告（格式自拟，必须提供）</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614D2C82">
      <w:pPr>
        <w:spacing w:line="360" w:lineRule="auto"/>
        <w:ind w:firstLine="480"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000000" w:themeColor="text1"/>
          <w:sz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r>
        <w:rPr>
          <w:rFonts w:hint="eastAsia" w:ascii="宋体" w:hAnsi="宋体" w:cs="宋体"/>
          <w:b/>
          <w:bCs/>
          <w:color w:val="000000" w:themeColor="text1"/>
          <w:sz w:val="24"/>
          <w:highlight w:val="none"/>
          <w:lang w:val="en-US" w:eastAsia="zh-CN"/>
          <w14:textFill>
            <w14:solidFill>
              <w14:schemeClr w14:val="tx1"/>
            </w14:solidFill>
          </w14:textFill>
        </w:rPr>
        <w:t>；</w:t>
      </w:r>
    </w:p>
    <w:p w14:paraId="1BD110F9">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p>
    <w:p w14:paraId="77F3E400">
      <w:pPr>
        <w:pStyle w:val="4"/>
        <w:rPr>
          <w:rFonts w:hint="eastAsia" w:ascii="宋体" w:hAnsi="宋体" w:eastAsia="宋体" w:cs="宋体"/>
          <w:color w:val="000000" w:themeColor="text1"/>
          <w:sz w:val="24"/>
          <w:highlight w:val="none"/>
          <w14:textFill>
            <w14:solidFill>
              <w14:schemeClr w14:val="tx1"/>
            </w14:solidFill>
          </w14:textFill>
        </w:rPr>
      </w:pPr>
    </w:p>
    <w:p w14:paraId="73918352">
      <w:pPr>
        <w:pStyle w:val="22"/>
        <w:rPr>
          <w:rFonts w:hint="eastAsia" w:ascii="宋体" w:hAnsi="宋体" w:eastAsia="宋体" w:cs="宋体"/>
          <w:color w:val="000000" w:themeColor="text1"/>
          <w:highlight w:val="none"/>
          <w14:textFill>
            <w14:solidFill>
              <w14:schemeClr w14:val="tx1"/>
            </w14:solidFill>
          </w14:textFill>
        </w:rPr>
      </w:pPr>
    </w:p>
    <w:p w14:paraId="116BD79D">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.供应商相应的法定代表人、负责人、自然人身份证正反两面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216B4338">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p>
    <w:p w14:paraId="1C80867B">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.供应商的授权委托书原件、委托代理人身份证正反面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b/>
          <w:color w:val="000000" w:themeColor="text1"/>
          <w:sz w:val="28"/>
          <w:szCs w:val="28"/>
          <w:highlight w:val="none"/>
          <w:lang w:eastAsia="zh-CN"/>
          <w14:textFill>
            <w14:solidFill>
              <w14:schemeClr w14:val="tx1"/>
            </w14:solidFill>
          </w14:textFill>
        </w:rPr>
        <w:t>三个月内任意一个月</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除供应商为以下</w:t>
      </w:r>
      <w:r>
        <w:rPr>
          <w:rFonts w:hint="eastAsia" w:ascii="宋体" w:hAnsi="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color w:val="000000" w:themeColor="text1"/>
          <w:sz w:val="28"/>
          <w:szCs w:val="28"/>
          <w:highlight w:val="none"/>
          <w14:textFill>
            <w14:solidFill>
              <w14:schemeClr w14:val="tx1"/>
            </w14:solidFill>
          </w14:textFill>
        </w:rPr>
        <w:t>种情形的：</w:t>
      </w:r>
    </w:p>
    <w:p w14:paraId="51E524CE">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5987395B">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或事业单位机构为其发放工资的工资条</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2C13FC69">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b/>
          <w:color w:val="000000" w:themeColor="text1"/>
          <w:sz w:val="28"/>
          <w:szCs w:val="28"/>
          <w:highlight w:val="none"/>
          <w14:textFill>
            <w14:solidFill>
              <w14:schemeClr w14:val="tx1"/>
            </w14:solidFill>
          </w14:textFill>
        </w:rPr>
        <w:t>及供应商与委托代理人签订的劳动合同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0EB4035C">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0259B68B">
      <w:pPr>
        <w:spacing w:line="440" w:lineRule="atLeast"/>
        <w:ind w:left="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eastAsia="宋体" w:cs="宋体"/>
          <w:b/>
          <w:color w:val="000000" w:themeColor="text1"/>
          <w:sz w:val="28"/>
          <w:szCs w:val="28"/>
          <w:highlight w:val="none"/>
          <w:lang w:eastAsia="zh-CN"/>
          <w14:textFill>
            <w14:solidFill>
              <w14:schemeClr w14:val="tx1"/>
            </w14:solidFill>
          </w14:textFill>
        </w:rPr>
        <w:t>三个月内任意一个月养老保险证明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000000" w:themeColor="text1"/>
          <w:sz w:val="28"/>
          <w:szCs w:val="28"/>
          <w:highlight w:val="none"/>
          <w14:textFill>
            <w14:solidFill>
              <w14:schemeClr w14:val="tx1"/>
            </w14:solidFill>
          </w14:textFill>
        </w:rPr>
        <w:t>】（委托代理时必须提供；如为联合体的，授权委托书原件须由牵头人出具）</w:t>
      </w:r>
    </w:p>
    <w:p w14:paraId="1DE1E38B">
      <w:pPr>
        <w:rPr>
          <w:rFonts w:hint="eastAsia" w:ascii="宋体" w:hAnsi="宋体" w:eastAsia="宋体" w:cs="宋体"/>
          <w:color w:val="000000" w:themeColor="text1"/>
          <w:highlight w:val="none"/>
          <w14:textFill>
            <w14:solidFill>
              <w14:schemeClr w14:val="tx1"/>
            </w14:solidFill>
          </w14:textFill>
        </w:rPr>
      </w:pPr>
    </w:p>
    <w:p w14:paraId="2BB03F01">
      <w:pPr>
        <w:pStyle w:val="11"/>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附件：            </w:t>
      </w:r>
    </w:p>
    <w:p w14:paraId="3B2C4BD0">
      <w:pPr>
        <w:pStyle w:val="11"/>
        <w:ind w:firstLine="627" w:firstLineChars="196"/>
        <w:jc w:val="center"/>
        <w:rPr>
          <w:rFonts w:hint="eastAsia" w:ascii="宋体" w:hAnsi="宋体" w:eastAsia="宋体" w:cs="宋体"/>
          <w:b/>
          <w:color w:val="000000" w:themeColor="text1"/>
          <w:sz w:val="32"/>
          <w:highlight w:val="none"/>
          <w14:textFill>
            <w14:solidFill>
              <w14:schemeClr w14:val="tx1"/>
            </w14:solidFill>
          </w14:textFill>
        </w:rPr>
      </w:pPr>
      <w:bookmarkStart w:id="223" w:name="_Toc5420_WPSOffice_Level1"/>
      <w:bookmarkStart w:id="224" w:name="_Toc964_WPSOffice_Level1"/>
      <w:r>
        <w:rPr>
          <w:rFonts w:hint="eastAsia" w:ascii="宋体" w:hAnsi="宋体" w:eastAsia="宋体" w:cs="宋体"/>
          <w:b/>
          <w:color w:val="000000" w:themeColor="text1"/>
          <w:sz w:val="32"/>
          <w:highlight w:val="none"/>
          <w14:textFill>
            <w14:solidFill>
              <w14:schemeClr w14:val="tx1"/>
            </w14:solidFill>
          </w14:textFill>
        </w:rPr>
        <w:t>授权委托书（格式一）</w:t>
      </w:r>
      <w:bookmarkEnd w:id="223"/>
      <w:bookmarkEnd w:id="224"/>
    </w:p>
    <w:p w14:paraId="587BC000">
      <w:pPr>
        <w:pStyle w:val="11"/>
        <w:rPr>
          <w:rFonts w:hint="eastAsia" w:ascii="宋体" w:hAnsi="宋体" w:eastAsia="宋体" w:cs="宋体"/>
          <w:color w:val="000000" w:themeColor="text1"/>
          <w:highlight w:val="none"/>
          <w14:textFill>
            <w14:solidFill>
              <w14:schemeClr w14:val="tx1"/>
            </w14:solidFill>
          </w14:textFill>
        </w:rPr>
      </w:pPr>
    </w:p>
    <w:p w14:paraId="7FE0D409">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0D2B0804">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51894BEB">
      <w:pPr>
        <w:pStyle w:val="11"/>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（供应商名称）的法定代表人（负责人），现授权委托本单位在职职工</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名）以我公司名义参加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项目的磋商活动，并代表我方全权办理针对上述项目的磋商、签约等具体事务和签署相关文件。</w:t>
      </w:r>
    </w:p>
    <w:p w14:paraId="01821EFB">
      <w:pPr>
        <w:pStyle w:val="11"/>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我方对被授权人的签字事项负全部责任。</w:t>
      </w:r>
    </w:p>
    <w:p w14:paraId="342CC330">
      <w:pPr>
        <w:pStyle w:val="11"/>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3CB90B16">
      <w:pPr>
        <w:pStyle w:val="11"/>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287FB093">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63000E3F">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1D9451FD">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10C1526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7DC4322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4298E27">
      <w:pPr>
        <w:snapToGrid w:val="0"/>
        <w:spacing w:line="400" w:lineRule="exact"/>
        <w:ind w:firstLine="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E11A0E9">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31A834B2">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法定代表人（负责人）签字（或</w:t>
      </w:r>
      <w:r>
        <w:rPr>
          <w:rFonts w:hint="eastAsia" w:ascii="宋体" w:hAnsi="宋体" w:eastAsia="宋体" w:cs="宋体"/>
          <w:color w:val="000000" w:themeColor="text1"/>
          <w:szCs w:val="21"/>
          <w:highlight w:val="none"/>
          <w:lang w:eastAsia="zh-CN"/>
          <w14:textFill>
            <w14:solidFill>
              <w14:schemeClr w14:val="tx1"/>
            </w14:solidFill>
          </w14:textFill>
        </w:rPr>
        <w:t>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534DFD6E">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65524759">
      <w:pPr>
        <w:pStyle w:val="8"/>
        <w:rPr>
          <w:rFonts w:hint="eastAsia" w:ascii="宋体" w:hAnsi="宋体" w:eastAsia="宋体" w:cs="宋体"/>
          <w:color w:val="000000" w:themeColor="text1"/>
          <w:highlight w:val="none"/>
          <w14:textFill>
            <w14:solidFill>
              <w14:schemeClr w14:val="tx1"/>
            </w14:solidFill>
          </w14:textFill>
        </w:rPr>
      </w:pPr>
    </w:p>
    <w:p w14:paraId="740EF8CC">
      <w:pPr>
        <w:pStyle w:val="11"/>
        <w:spacing w:line="34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注：</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的授权委托书原件、委托代理人身份证正反面</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以及由县级以上（含县级）社会养老保险经办机构出具的</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为委托代理人交纳的开标截止时间前</w:t>
      </w:r>
      <w:r>
        <w:rPr>
          <w:rFonts w:hint="eastAsia" w:hAnsi="宋体" w:cs="宋体"/>
          <w:b/>
          <w:color w:val="000000" w:themeColor="text1"/>
          <w:sz w:val="24"/>
          <w:highlight w:val="none"/>
          <w:lang w:val="en-US" w:eastAsia="zh-CN"/>
          <w14:textFill>
            <w14:solidFill>
              <w14:schemeClr w14:val="tx1"/>
            </w14:solidFill>
          </w14:textFill>
        </w:rPr>
        <w:t>三个月内任意一个月养老保险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为截标时间前60日以内成立的公司，可以提供</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与委托代理人签订的劳动合同</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为事业单位，可以提供事业单位机构编制管理证</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或事业单位机构为其发放工资的工资条</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如委托代理人为免缴纳养老保险人员，提供免缴纳养老保险的证明材料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1211CD65">
      <w:pPr>
        <w:rPr>
          <w:rFonts w:hint="eastAsia"/>
          <w:color w:val="000000" w:themeColor="text1"/>
          <w:highlight w:val="none"/>
          <w14:textFill>
            <w14:solidFill>
              <w14:schemeClr w14:val="tx1"/>
            </w14:solidFill>
          </w14:textFill>
        </w:rPr>
      </w:pPr>
    </w:p>
    <w:p w14:paraId="537D8C1B">
      <w:pPr>
        <w:pStyle w:val="11"/>
        <w:jc w:val="center"/>
        <w:rPr>
          <w:rFonts w:hint="eastAsia" w:ascii="宋体" w:hAnsi="宋体" w:eastAsia="宋体" w:cs="宋体"/>
          <w:b/>
          <w:color w:val="000000" w:themeColor="text1"/>
          <w:sz w:val="32"/>
          <w:highlight w:val="none"/>
          <w14:textFill>
            <w14:solidFill>
              <w14:schemeClr w14:val="tx1"/>
            </w14:solidFill>
          </w14:textFill>
        </w:rPr>
      </w:pPr>
      <w:bookmarkStart w:id="225" w:name="_Toc6975_WPSOffice_Level1"/>
      <w:bookmarkStart w:id="226" w:name="_Toc21370_WPSOffice_Level1"/>
    </w:p>
    <w:p w14:paraId="6D2BE718">
      <w:pPr>
        <w:pStyle w:val="11"/>
        <w:jc w:val="center"/>
        <w:rPr>
          <w:rFonts w:hint="eastAsia" w:ascii="宋体" w:hAnsi="宋体" w:eastAsia="宋体" w:cs="宋体"/>
          <w:b/>
          <w:color w:val="000000" w:themeColor="text1"/>
          <w:sz w:val="32"/>
          <w:highlight w:val="none"/>
          <w14:textFill>
            <w14:solidFill>
              <w14:schemeClr w14:val="tx1"/>
            </w14:solidFill>
          </w14:textFill>
        </w:rPr>
      </w:pPr>
    </w:p>
    <w:p w14:paraId="1BFEAFF6">
      <w:pPr>
        <w:pStyle w:val="11"/>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授权委托书（格式二）</w:t>
      </w:r>
      <w:bookmarkEnd w:id="225"/>
      <w:bookmarkEnd w:id="226"/>
    </w:p>
    <w:p w14:paraId="40CA5A3A">
      <w:pPr>
        <w:pStyle w:val="11"/>
        <w:jc w:val="both"/>
        <w:rPr>
          <w:rFonts w:hint="eastAsia" w:ascii="宋体" w:hAnsi="宋体" w:eastAsia="宋体" w:cs="宋体"/>
          <w:b/>
          <w:color w:val="000000" w:themeColor="text1"/>
          <w:sz w:val="32"/>
          <w:highlight w:val="none"/>
          <w14:textFill>
            <w14:solidFill>
              <w14:schemeClr w14:val="tx1"/>
            </w14:solidFill>
          </w14:textFill>
        </w:rPr>
      </w:pPr>
    </w:p>
    <w:p w14:paraId="37162AED">
      <w:pPr>
        <w:pStyle w:val="11"/>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37FCE457">
      <w:pPr>
        <w:rPr>
          <w:rFonts w:hint="eastAsia" w:ascii="宋体" w:hAnsi="宋体" w:eastAsia="宋体" w:cs="宋体"/>
          <w:color w:val="000000" w:themeColor="text1"/>
          <w:highlight w:val="none"/>
          <w14:textFill>
            <w14:solidFill>
              <w14:schemeClr w14:val="tx1"/>
            </w14:solidFill>
          </w14:textFill>
        </w:rPr>
      </w:pPr>
    </w:p>
    <w:p w14:paraId="490C1228">
      <w:pPr>
        <w:pStyle w:val="11"/>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（姓名）系自然人，现授权委托</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名）以本人名义参加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项目的磋商活动，并代表本人全权办理针对上述项目的磋商、签约等具体事务和签署相关文件。</w:t>
      </w:r>
    </w:p>
    <w:p w14:paraId="4DE5FE78">
      <w:pPr>
        <w:pStyle w:val="11"/>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本人对被授权人的签字事项负全部责任。</w:t>
      </w:r>
    </w:p>
    <w:p w14:paraId="3EEED10F">
      <w:pPr>
        <w:pStyle w:val="11"/>
        <w:spacing w:line="34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592E19B2">
      <w:pPr>
        <w:pStyle w:val="11"/>
        <w:spacing w:line="34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6AADE328">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47E52CE0">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7E3CA75D">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5E5DC36C">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52903672">
      <w:pPr>
        <w:snapToGrid w:val="0"/>
        <w:spacing w:line="3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自然人签字并在签名处加盖大拇指指印</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00F148F0">
      <w:pPr>
        <w:pStyle w:val="11"/>
        <w:spacing w:line="400" w:lineRule="exact"/>
        <w:ind w:left="420" w:leftChars="200"/>
        <w:rPr>
          <w:rFonts w:hint="eastAsia" w:ascii="宋体" w:hAnsi="宋体" w:eastAsia="宋体" w:cs="宋体"/>
          <w:color w:val="000000" w:themeColor="text1"/>
          <w:szCs w:val="21"/>
          <w:highlight w:val="none"/>
          <w14:textFill>
            <w14:solidFill>
              <w14:schemeClr w14:val="tx1"/>
            </w14:solidFill>
          </w14:textFill>
        </w:rPr>
      </w:pPr>
    </w:p>
    <w:p w14:paraId="6B6FEC9C">
      <w:pPr>
        <w:pStyle w:val="11"/>
        <w:spacing w:line="400" w:lineRule="exac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附：委托代理人身份证正反面</w:t>
      </w:r>
      <w:r>
        <w:rPr>
          <w:rFonts w:hint="eastAsia" w:hAnsi="宋体" w:cs="宋体"/>
          <w:b/>
          <w:color w:val="000000" w:themeColor="text1"/>
          <w:szCs w:val="21"/>
          <w:highlight w:val="none"/>
          <w:lang w:eastAsia="zh-CN"/>
          <w14:textFill>
            <w14:solidFill>
              <w14:schemeClr w14:val="tx1"/>
            </w14:solidFill>
          </w14:textFill>
        </w:rPr>
        <w:t>扫描件</w:t>
      </w:r>
    </w:p>
    <w:p w14:paraId="594219F8">
      <w:pPr>
        <w:rPr>
          <w:rFonts w:hint="eastAsia" w:ascii="宋体" w:hAnsi="宋体" w:eastAsia="宋体" w:cs="宋体"/>
          <w:color w:val="000000" w:themeColor="text1"/>
          <w:highlight w:val="none"/>
          <w14:textFill>
            <w14:solidFill>
              <w14:schemeClr w14:val="tx1"/>
            </w14:solidFill>
          </w14:textFill>
        </w:rPr>
      </w:pPr>
    </w:p>
    <w:p w14:paraId="33587D41">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14:textFill>
            <w14:solidFill>
              <w14:schemeClr w14:val="tx1"/>
            </w14:solidFill>
          </w14:textFill>
        </w:rPr>
        <w:t>.投标人参加政府采购活动前3年内在经营活动中没有重大违法记录及有关信用信息的书面声明或专项信用报告（必须提供）。</w:t>
      </w:r>
    </w:p>
    <w:p w14:paraId="3437F44B">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5EEBDC8F">
      <w:pPr>
        <w:pStyle w:val="11"/>
        <w:spacing w:line="400" w:lineRule="exact"/>
        <w:ind w:left="420" w:leftChars="200" w:firstLine="156" w:firstLineChars="4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14:paraId="4CC5C441">
      <w:pPr>
        <w:pStyle w:val="11"/>
        <w:spacing w:line="400" w:lineRule="exac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p>
    <w:p w14:paraId="7EAF409F">
      <w:pPr>
        <w:pStyle w:val="11"/>
        <w:spacing w:line="400" w:lineRule="exact"/>
        <w:jc w:val="center"/>
        <w:rPr>
          <w:rFonts w:hint="eastAsia" w:ascii="宋体" w:hAnsi="宋体" w:eastAsia="宋体" w:cs="宋体"/>
          <w:b/>
          <w:color w:val="000000" w:themeColor="text1"/>
          <w:sz w:val="32"/>
          <w:szCs w:val="32"/>
          <w:highlight w:val="none"/>
          <w14:textFill>
            <w14:solidFill>
              <w14:schemeClr w14:val="tx1"/>
            </w14:solidFill>
          </w14:textFill>
        </w:rPr>
      </w:pPr>
      <w:bookmarkStart w:id="227" w:name="_Toc30304_WPSOffice_Level1"/>
      <w:bookmarkStart w:id="228" w:name="_Toc30890_WPSOffice_Level1"/>
      <w:r>
        <w:rPr>
          <w:rFonts w:hint="eastAsia" w:ascii="宋体" w:hAnsi="宋体" w:eastAsia="宋体" w:cs="宋体"/>
          <w:b/>
          <w:color w:val="000000" w:themeColor="text1"/>
          <w:sz w:val="32"/>
          <w:szCs w:val="32"/>
          <w:highlight w:val="none"/>
          <w14:textFill>
            <w14:solidFill>
              <w14:schemeClr w14:val="tx1"/>
            </w14:solidFill>
          </w14:textFill>
        </w:rPr>
        <w:t>声   明</w:t>
      </w:r>
      <w:bookmarkEnd w:id="227"/>
      <w:bookmarkEnd w:id="228"/>
    </w:p>
    <w:p w14:paraId="3D97EC4A">
      <w:pPr>
        <w:pStyle w:val="11"/>
        <w:spacing w:line="400" w:lineRule="exact"/>
        <w:jc w:val="both"/>
        <w:rPr>
          <w:rFonts w:hint="eastAsia" w:ascii="宋体" w:hAnsi="宋体" w:eastAsia="宋体" w:cs="宋体"/>
          <w:b/>
          <w:color w:val="000000" w:themeColor="text1"/>
          <w:sz w:val="32"/>
          <w:szCs w:val="32"/>
          <w:highlight w:val="none"/>
          <w14:textFill>
            <w14:solidFill>
              <w14:schemeClr w14:val="tx1"/>
            </w14:solidFill>
          </w14:textFill>
        </w:rPr>
      </w:pPr>
    </w:p>
    <w:p w14:paraId="3A901612">
      <w:pPr>
        <w:pStyle w:val="11"/>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4CCC947E">
      <w:pPr>
        <w:rPr>
          <w:rFonts w:hint="eastAsia" w:ascii="宋体" w:hAnsi="宋体" w:eastAsia="宋体" w:cs="宋体"/>
          <w:color w:val="000000" w:themeColor="text1"/>
          <w:szCs w:val="21"/>
          <w:highlight w:val="none"/>
          <w:u w:val="single"/>
          <w14:textFill>
            <w14:solidFill>
              <w14:schemeClr w14:val="tx1"/>
            </w14:solidFill>
          </w14:textFill>
        </w:rPr>
      </w:pPr>
    </w:p>
    <w:p w14:paraId="2A0BDB07">
      <w:pPr>
        <w:pStyle w:val="8"/>
        <w:rPr>
          <w:rFonts w:hint="eastAsia" w:ascii="宋体" w:hAnsi="宋体" w:eastAsia="宋体" w:cs="宋体"/>
          <w:color w:val="000000" w:themeColor="text1"/>
          <w:highlight w:val="none"/>
          <w14:textFill>
            <w14:solidFill>
              <w14:schemeClr w14:val="tx1"/>
            </w14:solidFill>
          </w14:textFill>
        </w:rPr>
      </w:pPr>
    </w:p>
    <w:p w14:paraId="5EAA040C">
      <w:pPr>
        <w:pStyle w:val="11"/>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751717">
      <w:pPr>
        <w:rPr>
          <w:rFonts w:hint="eastAsia" w:ascii="宋体" w:hAnsi="宋体" w:eastAsia="宋体" w:cs="宋体"/>
          <w:color w:val="000000" w:themeColor="text1"/>
          <w:highlight w:val="none"/>
          <w14:textFill>
            <w14:solidFill>
              <w14:schemeClr w14:val="tx1"/>
            </w14:solidFill>
          </w14:textFill>
        </w:rPr>
      </w:pPr>
    </w:p>
    <w:p w14:paraId="735CC3BE">
      <w:pPr>
        <w:snapToGrid w:val="0"/>
        <w:spacing w:line="400" w:lineRule="exact"/>
        <w:ind w:firstLine="1890" w:firstLineChars="9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8B130A3">
      <w:pPr>
        <w:pStyle w:val="11"/>
        <w:ind w:firstLine="3990" w:firstLineChars="19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6987AB4C">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2B3D7881">
      <w:pPr>
        <w:rPr>
          <w:rFonts w:hint="eastAsia"/>
        </w:rPr>
      </w:pPr>
    </w:p>
    <w:p w14:paraId="00FB85B9">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.供应商的法人或者其他组织营业执照等证明文件</w:t>
      </w:r>
      <w:r>
        <w:rPr>
          <w:rFonts w:hint="eastAsia"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（必须提供，自然人除外）；</w:t>
      </w:r>
    </w:p>
    <w:p w14:paraId="186AB63A">
      <w:pPr>
        <w:tabs>
          <w:tab w:val="left" w:pos="1305"/>
        </w:tabs>
        <w:spacing w:line="340" w:lineRule="exact"/>
        <w:rPr>
          <w:rFonts w:hint="eastAsia" w:ascii="宋体" w:hAnsi="宋体" w:eastAsia="宋体" w:cs="宋体"/>
          <w:b/>
          <w:color w:val="000000" w:themeColor="text1"/>
          <w:szCs w:val="21"/>
          <w:highlight w:val="none"/>
          <w14:textFill>
            <w14:solidFill>
              <w14:schemeClr w14:val="tx1"/>
            </w14:solidFill>
          </w14:textFill>
        </w:rPr>
      </w:pPr>
    </w:p>
    <w:p w14:paraId="0049E630">
      <w:pPr>
        <w:tabs>
          <w:tab w:val="left" w:pos="1305"/>
        </w:tabs>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w:t>
      </w:r>
      <w:r>
        <w:rPr>
          <w:rFonts w:hint="eastAsia" w:ascii="宋体" w:hAnsi="宋体" w:cs="宋体"/>
          <w:b/>
          <w:color w:val="000000" w:themeColor="text1"/>
          <w:szCs w:val="21"/>
          <w:highlight w:val="none"/>
          <w:lang w:eastAsia="zh-CN"/>
          <w14:textFill>
            <w14:solidFill>
              <w14:schemeClr w14:val="tx1"/>
            </w14:solidFill>
          </w14:textFill>
        </w:rPr>
        <w:t>市场监督管理局</w:t>
      </w:r>
      <w:r>
        <w:rPr>
          <w:rFonts w:hint="eastAsia" w:ascii="宋体" w:hAnsi="宋体" w:eastAsia="宋体" w:cs="宋体"/>
          <w:b/>
          <w:color w:val="000000" w:themeColor="text1"/>
          <w:szCs w:val="21"/>
          <w:highlight w:val="none"/>
          <w14:textFill>
            <w14:solidFill>
              <w14:schemeClr w14:val="tx1"/>
            </w14:solidFill>
          </w14:textFill>
        </w:rPr>
        <w:t>注册的有效“企业法人营业执照”或“营业执照</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；供应商为事业单位，应提供有效的“事业单位法人证书”；供应商为非企业专业服务机构的，应提供执业许可证等证明文件；供应商为个体工商户，应提供有效的“个体工商户营业执照”。</w:t>
      </w:r>
    </w:p>
    <w:p w14:paraId="5F446CF0">
      <w:pPr>
        <w:rPr>
          <w:rFonts w:hint="eastAsia" w:ascii="宋体" w:hAnsi="宋体" w:eastAsia="宋体" w:cs="宋体"/>
          <w:b/>
          <w:bCs/>
          <w:color w:val="000000" w:themeColor="text1"/>
          <w:sz w:val="28"/>
          <w:szCs w:val="28"/>
          <w:highlight w:val="none"/>
          <w14:textFill>
            <w14:solidFill>
              <w14:schemeClr w14:val="tx1"/>
            </w14:solidFill>
          </w14:textFill>
        </w:rPr>
      </w:pPr>
    </w:p>
    <w:p w14:paraId="19E6FBD9">
      <w:pPr>
        <w:pStyle w:val="11"/>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hAnsi="宋体" w:cs="宋体"/>
          <w:b/>
          <w:color w:val="000000" w:themeColor="text1"/>
          <w:sz w:val="28"/>
          <w:szCs w:val="28"/>
          <w:highlight w:val="none"/>
          <w:lang w:val="en-US" w:eastAsia="zh-CN"/>
          <w14:textFill>
            <w14:solidFill>
              <w14:schemeClr w14:val="tx1"/>
            </w14:solidFill>
          </w14:textFill>
        </w:rPr>
        <w:t>财务状况报告（格式自拟，必须提供）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p>
    <w:p w14:paraId="0DC7C5D8">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4E8003EB">
      <w:pPr>
        <w:pStyle w:val="6"/>
        <w:rPr>
          <w:rFonts w:hint="eastAsia" w:ascii="宋体" w:hAnsi="宋体" w:eastAsia="宋体" w:cs="宋体"/>
          <w:color w:val="000000" w:themeColor="text1"/>
          <w:highlight w:val="none"/>
          <w14:textFill>
            <w14:solidFill>
              <w14:schemeClr w14:val="tx1"/>
            </w14:solidFill>
          </w14:textFill>
        </w:rPr>
      </w:pPr>
    </w:p>
    <w:p w14:paraId="1EB4DA29">
      <w:pPr>
        <w:pStyle w:val="6"/>
        <w:numPr>
          <w:ilvl w:val="0"/>
          <w:numId w:val="0"/>
        </w:num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000000" w:themeColor="text1"/>
          <w:sz w:val="28"/>
          <w:szCs w:val="28"/>
          <w:highlight w:val="none"/>
          <w:lang w:val="en-US"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cs="宋体"/>
          <w:b/>
          <w:color w:val="000000" w:themeColor="text1"/>
          <w:sz w:val="28"/>
          <w:szCs w:val="28"/>
          <w:highlight w:val="none"/>
          <w:lang w:val="en-US" w:eastAsia="zh-CN"/>
          <w14:textFill>
            <w14:solidFill>
              <w14:schemeClr w14:val="tx1"/>
            </w14:solidFill>
          </w14:textFill>
        </w:rPr>
        <w:t>；</w:t>
      </w:r>
    </w:p>
    <w:p w14:paraId="2837F7A5">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2D04B9A5">
      <w:pPr>
        <w:numPr>
          <w:ilvl w:val="0"/>
          <w:numId w:val="0"/>
        </w:numPr>
        <w:ind w:left="420" w:leftChars="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符合性响应证明材料目录</w:t>
      </w:r>
    </w:p>
    <w:p w14:paraId="34E7E5EA">
      <w:pPr>
        <w:numPr>
          <w:ilvl w:val="0"/>
          <w:numId w:val="13"/>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响应函</w:t>
      </w:r>
      <w:r>
        <w:rPr>
          <w:rFonts w:hint="eastAsia" w:ascii="宋体" w:hAnsi="宋体" w:eastAsia="宋体" w:cs="宋体"/>
          <w:b/>
          <w:bCs/>
          <w:color w:val="000000" w:themeColor="text1"/>
          <w:sz w:val="24"/>
          <w:highlight w:val="none"/>
          <w14:textFill>
            <w14:solidFill>
              <w14:schemeClr w14:val="tx1"/>
            </w14:solidFill>
          </w14:textFill>
        </w:rPr>
        <w:t>（格式见附件）（必须提供</w:t>
      </w:r>
      <w:r>
        <w:rPr>
          <w:color w:val="000000" w:themeColor="text1"/>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62E700C7">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p>
    <w:p w14:paraId="1FE100D6">
      <w:pPr>
        <w:numPr>
          <w:ilvl w:val="0"/>
          <w:numId w:val="13"/>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磋商报价表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70049DDD">
      <w:pPr>
        <w:pStyle w:val="8"/>
        <w:rPr>
          <w:rFonts w:hint="eastAsia" w:ascii="宋体" w:hAnsi="宋体" w:eastAsia="宋体" w:cs="宋体"/>
          <w:color w:val="000000" w:themeColor="text1"/>
          <w:highlight w:val="none"/>
          <w14:textFill>
            <w14:solidFill>
              <w14:schemeClr w14:val="tx1"/>
            </w14:solidFill>
          </w14:textFill>
        </w:rPr>
      </w:pPr>
    </w:p>
    <w:p w14:paraId="4DE4EB6E">
      <w:pPr>
        <w:numPr>
          <w:ilvl w:val="0"/>
          <w:numId w:val="13"/>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服务（技术）响应、商务偏离情况说明表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1E4569C2">
      <w:pPr>
        <w:pStyle w:val="8"/>
        <w:rPr>
          <w:rFonts w:hint="eastAsia" w:ascii="宋体" w:hAnsi="宋体" w:eastAsia="宋体" w:cs="宋体"/>
          <w:color w:val="000000" w:themeColor="text1"/>
          <w:highlight w:val="none"/>
          <w14:textFill>
            <w14:solidFill>
              <w14:schemeClr w14:val="tx1"/>
            </w14:solidFill>
          </w14:textFill>
        </w:rPr>
      </w:pPr>
    </w:p>
    <w:p w14:paraId="58F5F94B">
      <w:pPr>
        <w:numPr>
          <w:ilvl w:val="0"/>
          <w:numId w:val="13"/>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服务承诺书</w:t>
      </w:r>
      <w:r>
        <w:rPr>
          <w:rFonts w:hint="eastAsia" w:ascii="宋体" w:hAnsi="宋体" w:eastAsia="宋体" w:cs="宋体"/>
          <w:color w:val="000000" w:themeColor="text1"/>
          <w:sz w:val="24"/>
          <w:highlight w:val="none"/>
          <w14:textFill>
            <w14:solidFill>
              <w14:schemeClr w14:val="tx1"/>
            </w14:solidFill>
          </w14:textFill>
        </w:rPr>
        <w:t>（由供应商根据本项目采购需求、特点及供应商自身的处理能力自行编写，承诺书内容至少应包括“采购需求”的所有服务条款）</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777C828B">
      <w:pPr>
        <w:numPr>
          <w:ilvl w:val="0"/>
          <w:numId w:val="0"/>
        </w:numPr>
        <w:spacing w:line="360" w:lineRule="auto"/>
        <w:ind w:left="420" w:leftChars="0"/>
        <w:rPr>
          <w:rFonts w:hint="eastAsia" w:ascii="宋体" w:hAnsi="宋体" w:eastAsia="宋体" w:cs="宋体"/>
          <w:b/>
          <w:bCs/>
          <w:color w:val="000000" w:themeColor="text1"/>
          <w:sz w:val="24"/>
          <w:highlight w:val="none"/>
          <w14:textFill>
            <w14:solidFill>
              <w14:schemeClr w14:val="tx1"/>
            </w14:solidFill>
          </w14:textFill>
        </w:rPr>
      </w:pPr>
    </w:p>
    <w:p w14:paraId="27DD564E">
      <w:pPr>
        <w:numPr>
          <w:ilvl w:val="0"/>
          <w:numId w:val="13"/>
        </w:numPr>
        <w:spacing w:line="360" w:lineRule="auto"/>
        <w:ind w:left="-60" w:leftChars="0" w:firstLine="48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方案</w:t>
      </w:r>
      <w:r>
        <w:rPr>
          <w:rFonts w:hint="eastAsia" w:ascii="宋体" w:hAnsi="宋体" w:eastAsia="宋体" w:cs="宋体"/>
          <w:b/>
          <w:bCs/>
          <w:color w:val="000000" w:themeColor="text1"/>
          <w:sz w:val="24"/>
          <w:highlight w:val="none"/>
          <w14:textFill>
            <w14:solidFill>
              <w14:schemeClr w14:val="tx1"/>
            </w14:solidFill>
          </w14:textFill>
        </w:rPr>
        <w:t>（格式见附件）（</w:t>
      </w:r>
      <w:r>
        <w:rPr>
          <w:rFonts w:hint="eastAsia" w:ascii="宋体" w:hAnsi="宋体" w:eastAsia="宋体" w:cs="宋体"/>
          <w:b/>
          <w:bCs/>
          <w:color w:val="000000" w:themeColor="text1"/>
          <w:sz w:val="24"/>
          <w:highlight w:val="none"/>
          <w:lang w:eastAsia="zh-CN"/>
          <w14:textFill>
            <w14:solidFill>
              <w14:schemeClr w14:val="tx1"/>
            </w14:solidFill>
          </w14:textFill>
        </w:rPr>
        <w:t>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33907B2A">
      <w:pPr>
        <w:pStyle w:val="22"/>
        <w:rPr>
          <w:rFonts w:hint="eastAsia" w:ascii="宋体" w:hAnsi="宋体" w:eastAsia="宋体" w:cs="宋体"/>
          <w:color w:val="000000" w:themeColor="text1"/>
          <w:highlight w:val="none"/>
          <w14:textFill>
            <w14:solidFill>
              <w14:schemeClr w14:val="tx1"/>
            </w14:solidFill>
          </w14:textFill>
        </w:rPr>
      </w:pPr>
    </w:p>
    <w:p w14:paraId="5C097FC8">
      <w:pPr>
        <w:pStyle w:val="8"/>
        <w:rPr>
          <w:rFonts w:hint="eastAsia" w:ascii="宋体" w:hAnsi="宋体" w:eastAsia="宋体" w:cs="宋体"/>
          <w:color w:val="000000" w:themeColor="text1"/>
          <w:highlight w:val="none"/>
          <w14:textFill>
            <w14:solidFill>
              <w14:schemeClr w14:val="tx1"/>
            </w14:solidFill>
          </w14:textFill>
        </w:rPr>
      </w:pPr>
    </w:p>
    <w:p w14:paraId="19C68B99">
      <w:pPr>
        <w:pStyle w:val="11"/>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B0FC394">
      <w:pPr>
        <w:pStyle w:val="11"/>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414E122">
      <w:pPr>
        <w:pStyle w:val="8"/>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1AE8B0D">
      <w:pPr>
        <w:pStyle w:val="8"/>
        <w:rPr>
          <w:rFonts w:hint="eastAsia"/>
          <w:color w:val="000000" w:themeColor="text1"/>
          <w:highlight w:val="none"/>
          <w:lang w:val="en-US" w:eastAsia="zh-CN"/>
          <w14:textFill>
            <w14:solidFill>
              <w14:schemeClr w14:val="tx1"/>
            </w14:solidFill>
          </w14:textFill>
        </w:rPr>
      </w:pPr>
    </w:p>
    <w:p w14:paraId="7A1BAD68">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229" w:name="_Toc497927072"/>
      <w:bookmarkStart w:id="230" w:name="_Toc17617"/>
      <w:bookmarkStart w:id="231" w:name="_Toc12920"/>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响应函（格式见附件）（必须提供）</w:t>
      </w:r>
      <w:bookmarkEnd w:id="229"/>
      <w:bookmarkEnd w:id="230"/>
      <w:bookmarkEnd w:id="231"/>
    </w:p>
    <w:p w14:paraId="701512A8">
      <w:pPr>
        <w:pStyle w:val="22"/>
        <w:rPr>
          <w:rFonts w:hint="eastAsia" w:ascii="宋体" w:hAnsi="宋体" w:eastAsia="宋体" w:cs="宋体"/>
          <w:color w:val="000000" w:themeColor="text1"/>
          <w:highlight w:val="none"/>
          <w14:textFill>
            <w14:solidFill>
              <w14:schemeClr w14:val="tx1"/>
            </w14:solidFill>
          </w14:textFill>
        </w:rPr>
      </w:pPr>
    </w:p>
    <w:p w14:paraId="12A11CD3">
      <w:pPr>
        <w:pStyle w:val="11"/>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附件：</w:t>
      </w:r>
    </w:p>
    <w:p w14:paraId="26278FB1">
      <w:pPr>
        <w:pStyle w:val="11"/>
        <w:ind w:firstLine="800" w:firstLineChars="250"/>
        <w:jc w:val="center"/>
        <w:rPr>
          <w:rFonts w:hint="eastAsia" w:ascii="宋体" w:hAnsi="宋体" w:eastAsia="宋体" w:cs="宋体"/>
          <w:b/>
          <w:color w:val="000000" w:themeColor="text1"/>
          <w:sz w:val="32"/>
          <w:highlight w:val="none"/>
          <w14:textFill>
            <w14:solidFill>
              <w14:schemeClr w14:val="tx1"/>
            </w14:solidFill>
          </w14:textFill>
        </w:rPr>
      </w:pPr>
      <w:bookmarkStart w:id="232" w:name="_Toc17832_WPSOffice_Level1"/>
      <w:bookmarkStart w:id="233" w:name="_Toc7273_WPSOffice_Level1"/>
      <w:r>
        <w:rPr>
          <w:rFonts w:hint="eastAsia" w:ascii="宋体" w:hAnsi="宋体" w:eastAsia="宋体" w:cs="宋体"/>
          <w:b/>
          <w:color w:val="000000" w:themeColor="text1"/>
          <w:sz w:val="32"/>
          <w:highlight w:val="none"/>
          <w14:textFill>
            <w14:solidFill>
              <w14:schemeClr w14:val="tx1"/>
            </w14:solidFill>
          </w14:textFill>
        </w:rPr>
        <w:t>响 应 函 （格 式）</w:t>
      </w:r>
      <w:bookmarkEnd w:id="232"/>
      <w:bookmarkEnd w:id="233"/>
    </w:p>
    <w:p w14:paraId="6D5B1FD6">
      <w:pPr>
        <w:spacing w:line="240" w:lineRule="exact"/>
        <w:jc w:val="center"/>
        <w:rPr>
          <w:rFonts w:hint="eastAsia" w:ascii="宋体" w:hAnsi="宋体" w:eastAsia="宋体" w:cs="宋体"/>
          <w:color w:val="000000" w:themeColor="text1"/>
          <w:sz w:val="32"/>
          <w:highlight w:val="none"/>
          <w14:textFill>
            <w14:solidFill>
              <w14:schemeClr w14:val="tx1"/>
            </w14:solidFill>
          </w14:textFill>
        </w:rPr>
      </w:pPr>
    </w:p>
    <w:p w14:paraId="1BD53154">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：桂林市政府集中采购中心</w:t>
      </w:r>
    </w:p>
    <w:p w14:paraId="3B92D8C9">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0FB7F21F">
      <w:pPr>
        <w:pStyle w:val="11"/>
        <w:spacing w:line="360" w:lineRule="exact"/>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项目竞争性磋商文件，项目编号：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，签字代表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（姓名）经正式授权并代表供应商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供应商单位名称），提交</w:t>
      </w:r>
      <w:r>
        <w:rPr>
          <w:rFonts w:hint="eastAsia" w:ascii="宋体" w:hAnsi="宋体" w:eastAsia="宋体" w:cs="宋体"/>
          <w:color w:val="000000" w:themeColor="text1"/>
          <w:highlight w:val="none"/>
          <w:lang w:eastAsia="zh-CN"/>
          <w14:textFill>
            <w14:solidFill>
              <w14:schemeClr w14:val="tx1"/>
            </w14:solidFill>
          </w14:textFill>
        </w:rPr>
        <w:t>电子</w:t>
      </w:r>
      <w:r>
        <w:rPr>
          <w:rFonts w:hint="eastAsia" w:ascii="宋体" w:hAnsi="宋体" w:eastAsia="宋体" w:cs="宋体"/>
          <w:color w:val="000000" w:themeColor="text1"/>
          <w:highlight w:val="none"/>
          <w14:textFill>
            <w14:solidFill>
              <w14:schemeClr w14:val="tx1"/>
            </w14:solidFill>
          </w14:textFill>
        </w:rPr>
        <w:t>响应文件</w:t>
      </w:r>
      <w:r>
        <w:rPr>
          <w:rFonts w:hint="eastAsia" w:ascii="宋体" w:hAnsi="宋体" w:eastAsia="宋体" w:cs="宋体"/>
          <w:color w:val="000000" w:themeColor="text1"/>
          <w:highlight w:val="none"/>
          <w:lang w:eastAsia="zh-CN"/>
          <w14:textFill>
            <w14:solidFill>
              <w14:schemeClr w14:val="tx1"/>
            </w14:solidFill>
          </w14:textFill>
        </w:rPr>
        <w:t>。</w:t>
      </w:r>
    </w:p>
    <w:p w14:paraId="6E66CDF4">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据此函，签字代表宣布同意如下：</w:t>
      </w:r>
    </w:p>
    <w:p w14:paraId="7250F08A">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按磋商文件采购需求和磋商报价表：</w:t>
      </w:r>
    </w:p>
    <w:p w14:paraId="40118D57">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磋商总报价（大写）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元人民币(</w:t>
      </w:r>
      <w:r>
        <w:rPr>
          <w:rFonts w:hint="eastAsia"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0789AFA2">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2.我方承诺已具备磋商文件规定的供应商资格条件。</w:t>
      </w:r>
    </w:p>
    <w:p w14:paraId="7207F752">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3.我方已详细审核磋商文件，包括修改文件（如有的话）和有关附件，将自行承担因对全部磋商文件理解不正确或误解而产生的相应后果。</w:t>
      </w:r>
    </w:p>
    <w:p w14:paraId="15CB98B7">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响应文件有效期为</w:t>
      </w:r>
      <w:r>
        <w:rPr>
          <w:rFonts w:hint="eastAsia" w:ascii="宋体" w:hAnsi="宋体" w:eastAsia="宋体" w:cs="宋体"/>
          <w:color w:val="000000" w:themeColor="text1"/>
          <w:szCs w:val="21"/>
          <w:highlight w:val="none"/>
          <w14:textFill>
            <w14:solidFill>
              <w14:schemeClr w14:val="tx1"/>
            </w14:solidFill>
          </w14:textFill>
        </w:rPr>
        <w:t>响应文件递交截止时间之日起90天。</w:t>
      </w:r>
    </w:p>
    <w:p w14:paraId="1E392BAE">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如我方成交：</w:t>
      </w:r>
    </w:p>
    <w:p w14:paraId="4284F86E">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（1）我方承诺在收到成交通知书后，在成交通知书规定的期限内与采购人签订合同。</w:t>
      </w:r>
    </w:p>
    <w:p w14:paraId="32BE4206">
      <w:pPr>
        <w:pStyle w:val="11"/>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（2）我方承诺按照磋商文件规定递交履约担保。</w:t>
      </w:r>
    </w:p>
    <w:p w14:paraId="778DF62A">
      <w:pPr>
        <w:pStyle w:val="11"/>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（3）我方承诺本响应文件至本项目合同履行完毕止均保持有效，按磋商文件及政府采购法律、法规的规定履行合同责任和义务。</w:t>
      </w:r>
    </w:p>
    <w:p w14:paraId="55C8D53F">
      <w:pPr>
        <w:pStyle w:val="11"/>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与本项目有关的正式通讯地址为：</w:t>
      </w:r>
    </w:p>
    <w:p w14:paraId="04CFB609">
      <w:pPr>
        <w:rPr>
          <w:rFonts w:hint="eastAsia" w:ascii="宋体" w:hAnsi="宋体" w:eastAsia="宋体" w:cs="宋体"/>
          <w:color w:val="000000" w:themeColor="text1"/>
          <w:sz w:val="21"/>
          <w:szCs w:val="21"/>
          <w:highlight w:val="none"/>
          <w14:textFill>
            <w14:solidFill>
              <w14:schemeClr w14:val="tx1"/>
            </w14:solidFill>
          </w14:textFill>
        </w:rPr>
      </w:pPr>
    </w:p>
    <w:p w14:paraId="5FAF7003">
      <w:pPr>
        <w:pStyle w:val="11"/>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电话、传真：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3F3D0AD">
      <w:pPr>
        <w:pStyle w:val="11"/>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9BB13BD">
      <w:pPr>
        <w:pStyle w:val="11"/>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C79EF00">
      <w:pPr>
        <w:pStyle w:val="11"/>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435D91B">
      <w:pPr>
        <w:pStyle w:val="11"/>
        <w:spacing w:line="320" w:lineRule="exact"/>
        <w:ind w:firstLine="42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公章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Cs/>
          <w:color w:val="000000" w:themeColor="text1"/>
          <w:sz w:val="21"/>
          <w:szCs w:val="21"/>
          <w:highlight w:val="none"/>
          <w14:textFill>
            <w14:solidFill>
              <w14:schemeClr w14:val="tx1"/>
            </w14:solidFill>
          </w14:textFill>
        </w:rPr>
        <w:t>、自然人除外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733054A0">
      <w:pPr>
        <w:pStyle w:val="11"/>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60FC2B1">
      <w:pPr>
        <w:pStyle w:val="11"/>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1125860">
      <w:pPr>
        <w:pStyle w:val="6"/>
        <w:rPr>
          <w:rFonts w:hint="eastAsia" w:ascii="宋体" w:hAnsi="宋体" w:eastAsia="宋体" w:cs="宋体"/>
          <w:color w:val="000000" w:themeColor="text1"/>
          <w:sz w:val="21"/>
          <w:szCs w:val="21"/>
          <w:highlight w:val="none"/>
          <w:u w:val="single"/>
          <w14:textFill>
            <w14:solidFill>
              <w14:schemeClr w14:val="tx1"/>
            </w14:solidFill>
          </w14:textFill>
        </w:rPr>
      </w:pPr>
    </w:p>
    <w:p w14:paraId="6FFF77A1">
      <w:pPr>
        <w:rPr>
          <w:rFonts w:hint="eastAsia" w:ascii="宋体" w:hAnsi="宋体" w:eastAsia="宋体" w:cs="宋体"/>
          <w:color w:val="000000" w:themeColor="text1"/>
          <w:sz w:val="21"/>
          <w:szCs w:val="21"/>
          <w:highlight w:val="none"/>
          <w:u w:val="single"/>
          <w14:textFill>
            <w14:solidFill>
              <w14:schemeClr w14:val="tx1"/>
            </w14:solidFill>
          </w14:textFill>
        </w:rPr>
      </w:pPr>
    </w:p>
    <w:p w14:paraId="1FA19396">
      <w:pPr>
        <w:pStyle w:val="4"/>
        <w:rPr>
          <w:rFonts w:hint="eastAsia" w:ascii="宋体" w:hAnsi="宋体" w:eastAsia="宋体" w:cs="宋体"/>
          <w:color w:val="000000" w:themeColor="text1"/>
          <w:sz w:val="21"/>
          <w:szCs w:val="21"/>
          <w:highlight w:val="none"/>
          <w:u w:val="single"/>
          <w14:textFill>
            <w14:solidFill>
              <w14:schemeClr w14:val="tx1"/>
            </w14:solidFill>
          </w14:textFill>
        </w:rPr>
      </w:pPr>
    </w:p>
    <w:p w14:paraId="32D60283">
      <w:pPr>
        <w:rPr>
          <w:rFonts w:hint="eastAsia" w:ascii="宋体" w:hAnsi="宋体" w:eastAsia="宋体" w:cs="宋体"/>
          <w:color w:val="000000" w:themeColor="text1"/>
          <w:sz w:val="21"/>
          <w:szCs w:val="21"/>
          <w:highlight w:val="none"/>
          <w:u w:val="single"/>
          <w14:textFill>
            <w14:solidFill>
              <w14:schemeClr w14:val="tx1"/>
            </w14:solidFill>
          </w14:textFill>
        </w:rPr>
      </w:pPr>
    </w:p>
    <w:p w14:paraId="3C9A186B">
      <w:pPr>
        <w:pStyle w:val="4"/>
        <w:rPr>
          <w:rFonts w:hint="eastAsia"/>
          <w:color w:val="000000" w:themeColor="text1"/>
          <w:highlight w:val="none"/>
          <w14:textFill>
            <w14:solidFill>
              <w14:schemeClr w14:val="tx1"/>
            </w14:solidFill>
          </w14:textFill>
        </w:rPr>
      </w:pPr>
    </w:p>
    <w:p w14:paraId="43508AAB">
      <w:pPr>
        <w:pStyle w:val="11"/>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DEB1159">
      <w:pPr>
        <w:pStyle w:val="11"/>
        <w:numPr>
          <w:ilvl w:val="0"/>
          <w:numId w:val="0"/>
        </w:numPr>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磋商报价表（必须提供）；</w:t>
      </w:r>
    </w:p>
    <w:p w14:paraId="4ABFB57C">
      <w:pPr>
        <w:pStyle w:val="11"/>
        <w:spacing w:line="320" w:lineRule="exact"/>
        <w:jc w:val="left"/>
        <w:rPr>
          <w:rFonts w:hint="eastAsia" w:ascii="宋体" w:hAnsi="宋体" w:eastAsia="宋体" w:cs="宋体"/>
          <w:b/>
          <w:color w:val="000000" w:themeColor="text1"/>
          <w:sz w:val="28"/>
          <w:szCs w:val="28"/>
          <w:highlight w:val="none"/>
          <w14:textFill>
            <w14:solidFill>
              <w14:schemeClr w14:val="tx1"/>
            </w14:solidFill>
          </w14:textFill>
        </w:rPr>
      </w:pPr>
    </w:p>
    <w:p w14:paraId="4CCD8C23">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w:t>
      </w:r>
    </w:p>
    <w:p w14:paraId="4664E913">
      <w:pPr>
        <w:pStyle w:val="11"/>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磋商报价表（格式）</w:t>
      </w:r>
    </w:p>
    <w:tbl>
      <w:tblPr>
        <w:tblStyle w:val="19"/>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2CAD9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2C838EA2">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02578AAC">
            <w:pPr>
              <w:spacing w:line="2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54D937CC">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62041629">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0C76056F">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5A618A76">
            <w:pPr>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433AF40E">
            <w:pPr>
              <w:spacing w:line="30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单项合计</w:t>
            </w:r>
            <w:r>
              <w:rPr>
                <w:rFonts w:hint="eastAsia" w:ascii="宋体" w:hAnsi="宋体" w:eastAsia="宋体" w:cs="宋体"/>
                <w:color w:val="000000" w:themeColor="text1"/>
                <w:highlight w:val="none"/>
                <w:lang w:val="en-US" w:eastAsia="zh-CN"/>
                <w14:textFill>
                  <w14:solidFill>
                    <w14:schemeClr w14:val="tx1"/>
                  </w14:solidFill>
                </w14:textFill>
              </w:rPr>
              <w:t>=数量×单价</w:t>
            </w:r>
          </w:p>
          <w:p w14:paraId="7D848685">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p>
        </w:tc>
        <w:tc>
          <w:tcPr>
            <w:tcW w:w="1710" w:type="dxa"/>
            <w:tcBorders>
              <w:top w:val="single" w:color="auto" w:sz="4" w:space="0"/>
              <w:bottom w:val="single" w:color="auto" w:sz="4" w:space="0"/>
            </w:tcBorders>
            <w:vAlign w:val="center"/>
          </w:tcPr>
          <w:p w14:paraId="1AEB4E36">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30444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109FC9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70" w:type="dxa"/>
            <w:tcBorders>
              <w:top w:val="single" w:color="auto" w:sz="4" w:space="0"/>
              <w:left w:val="single" w:color="auto" w:sz="4" w:space="0"/>
              <w:bottom w:val="single" w:color="auto" w:sz="4" w:space="0"/>
              <w:right w:val="single" w:color="auto" w:sz="4" w:space="0"/>
            </w:tcBorders>
            <w:vAlign w:val="center"/>
          </w:tcPr>
          <w:p w14:paraId="036DB9A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2A00F18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042F808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55B9415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CA6319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00463AF4">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577F329B">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430C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77F89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70" w:type="dxa"/>
            <w:tcBorders>
              <w:top w:val="single" w:color="auto" w:sz="4" w:space="0"/>
              <w:left w:val="single" w:color="auto" w:sz="4" w:space="0"/>
              <w:bottom w:val="single" w:color="auto" w:sz="4" w:space="0"/>
              <w:right w:val="single" w:color="auto" w:sz="4" w:space="0"/>
            </w:tcBorders>
            <w:vAlign w:val="center"/>
          </w:tcPr>
          <w:p w14:paraId="61D9D25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EF344D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69F3A6A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E335A4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1777A14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10433744">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1CCC8A7B">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64B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0A2A67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70" w:type="dxa"/>
            <w:tcBorders>
              <w:top w:val="single" w:color="auto" w:sz="4" w:space="0"/>
              <w:left w:val="single" w:color="auto" w:sz="4" w:space="0"/>
              <w:bottom w:val="single" w:color="auto" w:sz="4" w:space="0"/>
              <w:right w:val="single" w:color="auto" w:sz="4" w:space="0"/>
            </w:tcBorders>
            <w:vAlign w:val="center"/>
          </w:tcPr>
          <w:p w14:paraId="5CAC153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133C760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086245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4EDF76F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4D92DAB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713944C9">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5BFEF184">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4611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7E9330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70" w:type="dxa"/>
            <w:tcBorders>
              <w:top w:val="single" w:color="auto" w:sz="4" w:space="0"/>
              <w:left w:val="single" w:color="auto" w:sz="4" w:space="0"/>
              <w:bottom w:val="single" w:color="auto" w:sz="4" w:space="0"/>
              <w:right w:val="single" w:color="auto" w:sz="4" w:space="0"/>
            </w:tcBorders>
            <w:vAlign w:val="center"/>
          </w:tcPr>
          <w:p w14:paraId="237D76C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09FAF9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176EEC0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472DF9B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7E0457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3827DF99">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6BECF3B4">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52881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11559300">
            <w:pPr>
              <w:spacing w:line="300" w:lineRule="exac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总报价（大写）：人民币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p>
        </w:tc>
      </w:tr>
      <w:tr w14:paraId="6818E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198239C5">
            <w:pPr>
              <w:spacing w:line="300" w:lineRule="exact"/>
              <w:rPr>
                <w:rFonts w:hint="eastAsia" w:ascii="宋体" w:hAnsi="宋体" w:eastAsia="宋体" w:cs="宋体"/>
                <w:b w:val="0"/>
                <w:bCs w:val="0"/>
                <w:color w:val="000000" w:themeColor="text1"/>
                <w:spacing w:val="-6"/>
                <w:sz w:val="21"/>
                <w:szCs w:val="21"/>
                <w:highlight w:val="no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服务时间：</w:t>
            </w:r>
          </w:p>
        </w:tc>
      </w:tr>
      <w:tr w14:paraId="587D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1A50AD4B">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报价指本次招标采购范围内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随配标准附件、包装、运输、装卸、保险、税金、及其他所有成本费用的总和；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综合考虑在报价中。</w:t>
            </w:r>
          </w:p>
        </w:tc>
      </w:tr>
    </w:tbl>
    <w:p w14:paraId="52970B86">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30075751">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，自然人除外）：</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F9E8DFB">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2ED741C">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p>
    <w:p w14:paraId="15AA63C2">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必须就“采购需求”中所投分标的所有内容作完整唯一报价，否则，其投标将被拒绝。投标文件只允许有一个报价。</w:t>
      </w:r>
    </w:p>
    <w:p w14:paraId="72233C4B">
      <w:pPr>
        <w:pStyle w:val="11"/>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应根据所投</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如实填写投标报价表</w:t>
      </w:r>
      <w:r>
        <w:rPr>
          <w:rFonts w:hint="eastAsia" w:ascii="宋体" w:hAnsi="宋体" w:eastAsia="宋体" w:cs="宋体"/>
          <w:bCs/>
          <w:color w:val="000000" w:themeColor="text1"/>
          <w:sz w:val="21"/>
          <w:szCs w:val="21"/>
          <w:highlight w:val="none"/>
          <w14:textFill>
            <w14:solidFill>
              <w14:schemeClr w14:val="tx1"/>
            </w14:solidFill>
          </w14:textFill>
        </w:rPr>
        <w:t>的各项内容。</w:t>
      </w:r>
    </w:p>
    <w:p w14:paraId="385467BE">
      <w:pPr>
        <w:ind w:firstLine="42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报价表须由法定代表人负责人、自然人或相应的委托代理人签字或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）并加盖</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（自然人除外）。</w:t>
      </w:r>
      <w:r>
        <w:rPr>
          <w:rFonts w:hint="eastAsia" w:ascii="宋体" w:hAnsi="宋体" w:eastAsia="宋体" w:cs="宋体"/>
          <w:b/>
          <w:color w:val="000000" w:themeColor="text1"/>
          <w:highlight w:val="none"/>
          <w14:textFill>
            <w14:solidFill>
              <w14:schemeClr w14:val="tx1"/>
            </w14:solidFill>
          </w14:textFill>
        </w:rPr>
        <w:t>当本表由多页构成时，需逐页加盖</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公章（属自然人的须逐页签字</w:t>
      </w:r>
      <w:r>
        <w:rPr>
          <w:rFonts w:hint="eastAsia" w:ascii="宋体" w:hAnsi="宋体" w:eastAsia="宋体" w:cs="宋体"/>
          <w:b/>
          <w:color w:val="000000" w:themeColor="text1"/>
          <w:highlight w:val="none"/>
          <w:lang w:eastAsia="zh-CN"/>
          <w14:textFill>
            <w14:solidFill>
              <w14:schemeClr w14:val="tx1"/>
            </w14:solidFill>
          </w14:textFill>
        </w:rPr>
        <w:t>或个人</w:t>
      </w:r>
      <w:r>
        <w:rPr>
          <w:rFonts w:hint="eastAsia" w:ascii="宋体" w:hAnsi="宋体" w:eastAsia="宋体" w:cs="宋体"/>
          <w:b/>
          <w:color w:val="000000" w:themeColor="text1"/>
          <w:highlight w:val="none"/>
          <w:lang w:val="en-US" w:eastAsia="zh-CN"/>
          <w14:textFill>
            <w14:solidFill>
              <w14:schemeClr w14:val="tx1"/>
            </w14:solidFill>
          </w14:textFill>
        </w:rPr>
        <w:t>CA签章</w:t>
      </w:r>
      <w:r>
        <w:rPr>
          <w:rFonts w:hint="eastAsia" w:ascii="宋体" w:hAnsi="宋体" w:eastAsia="宋体" w:cs="宋体"/>
          <w:b/>
          <w:color w:val="000000" w:themeColor="text1"/>
          <w:highlight w:val="none"/>
          <w14:textFill>
            <w14:solidFill>
              <w14:schemeClr w14:val="tx1"/>
            </w14:solidFill>
          </w14:textFill>
        </w:rPr>
        <w:t>）</w:t>
      </w:r>
    </w:p>
    <w:p w14:paraId="38526C5E">
      <w:pPr>
        <w:rPr>
          <w:rFonts w:hint="eastAsia" w:ascii="宋体" w:hAnsi="宋体" w:eastAsia="宋体" w:cs="宋体"/>
          <w:b/>
          <w:bCs/>
          <w:color w:val="000000" w:themeColor="text1"/>
          <w:sz w:val="32"/>
          <w:szCs w:val="32"/>
          <w:highlight w:val="none"/>
          <w14:textFill>
            <w14:solidFill>
              <w14:schemeClr w14:val="tx1"/>
            </w14:solidFill>
          </w14:textFill>
        </w:rPr>
      </w:pPr>
    </w:p>
    <w:p w14:paraId="78FF0558">
      <w:pPr>
        <w:pStyle w:val="7"/>
        <w:rPr>
          <w:rFonts w:hint="eastAsia" w:ascii="宋体" w:hAnsi="宋体" w:eastAsia="宋体" w:cs="宋体"/>
          <w:color w:val="000000" w:themeColor="text1"/>
          <w:highlight w:val="none"/>
          <w14:textFill>
            <w14:solidFill>
              <w14:schemeClr w14:val="tx1"/>
            </w14:solidFill>
          </w14:textFill>
        </w:rPr>
        <w:sectPr>
          <w:headerReference r:id="rId6" w:type="default"/>
          <w:footerReference r:id="rId7" w:type="default"/>
          <w:pgSz w:w="11906" w:h="16838"/>
          <w:pgMar w:top="1440" w:right="935" w:bottom="1440" w:left="777" w:header="851" w:footer="992" w:gutter="0"/>
          <w:pgNumType w:fmt="numberInDash" w:start="1"/>
          <w:cols w:space="720" w:num="1"/>
          <w:rtlGutter w:val="0"/>
          <w:docGrid w:type="linesAndChars" w:linePitch="312" w:charSpace="0"/>
        </w:sectPr>
      </w:pPr>
    </w:p>
    <w:p w14:paraId="00C3B213">
      <w:pPr>
        <w:pStyle w:val="11"/>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3.服务(技术)响应、</w:t>
      </w:r>
      <w:r>
        <w:rPr>
          <w:rFonts w:hint="eastAsia" w:ascii="宋体" w:hAnsi="宋体" w:eastAsia="宋体" w:cs="宋体"/>
          <w:b/>
          <w:color w:val="000000" w:themeColor="text1"/>
          <w:sz w:val="28"/>
          <w:szCs w:val="28"/>
          <w:highlight w:val="none"/>
          <w14:textFill>
            <w14:solidFill>
              <w14:schemeClr w14:val="tx1"/>
            </w14:solidFill>
          </w14:textFill>
        </w:rPr>
        <w:t>商务偏离情况说明表</w:t>
      </w:r>
      <w:r>
        <w:rPr>
          <w:rFonts w:hint="eastAsia" w:ascii="宋体" w:hAnsi="宋体" w:eastAsia="宋体" w:cs="宋体"/>
          <w:b/>
          <w:color w:val="000000" w:themeColor="text1"/>
          <w:sz w:val="28"/>
          <w:szCs w:val="28"/>
          <w:highlight w:val="none"/>
          <w:lang w:eastAsia="zh-CN"/>
          <w14:textFill>
            <w14:solidFill>
              <w14:schemeClr w14:val="tx1"/>
            </w14:solidFill>
          </w14:textFill>
        </w:rPr>
        <w:t>（格式见附件）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3979789A">
      <w:pPr>
        <w:rPr>
          <w:rFonts w:hint="eastAsia" w:ascii="宋体" w:hAnsi="宋体" w:eastAsia="宋体" w:cs="宋体"/>
          <w:color w:val="000000" w:themeColor="text1"/>
          <w:highlight w:val="none"/>
          <w14:textFill>
            <w14:solidFill>
              <w14:schemeClr w14:val="tx1"/>
            </w14:solidFill>
          </w14:textFill>
        </w:rPr>
      </w:pPr>
    </w:p>
    <w:p w14:paraId="1F035E0A">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39BBA886">
      <w:pPr>
        <w:spacing w:line="5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BC77E0">
      <w:pPr>
        <w:spacing w:line="5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tbl>
      <w:tblPr>
        <w:tblStyle w:val="19"/>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7BC1D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E4092F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251" w:type="dxa"/>
            <w:vAlign w:val="center"/>
          </w:tcPr>
          <w:p w14:paraId="1C5BC934">
            <w:pPr>
              <w:jc w:val="center"/>
              <w:rPr>
                <w:rFonts w:hint="eastAsia" w:ascii="宋体" w:hAnsi="宋体" w:eastAsia="宋体" w:cs="宋体"/>
                <w:color w:val="000000" w:themeColor="text1"/>
                <w:highlight w:val="none"/>
                <w14:textFill>
                  <w14:solidFill>
                    <w14:schemeClr w14:val="tx1"/>
                  </w14:solidFill>
                </w14:textFill>
              </w:rPr>
            </w:pPr>
            <w:bookmarkStart w:id="234" w:name="_Toc173066402"/>
            <w:bookmarkStart w:id="235" w:name="_Toc254970730"/>
            <w:bookmarkStart w:id="236" w:name="_Toc254970589"/>
            <w:bookmarkStart w:id="237" w:name="_Toc173211901"/>
            <w:r>
              <w:rPr>
                <w:rFonts w:hint="eastAsia" w:ascii="宋体" w:hAnsi="宋体" w:eastAsia="宋体" w:cs="宋体"/>
                <w:color w:val="000000" w:themeColor="text1"/>
                <w:highlight w:val="none"/>
                <w14:textFill>
                  <w14:solidFill>
                    <w14:schemeClr w14:val="tx1"/>
                  </w14:solidFill>
                </w14:textFill>
              </w:rPr>
              <w:t>竞争性磋商文件要求</w:t>
            </w:r>
            <w:bookmarkEnd w:id="234"/>
            <w:bookmarkEnd w:id="235"/>
            <w:bookmarkEnd w:id="236"/>
            <w:bookmarkEnd w:id="237"/>
          </w:p>
        </w:tc>
        <w:tc>
          <w:tcPr>
            <w:tcW w:w="3195" w:type="dxa"/>
            <w:vAlign w:val="center"/>
          </w:tcPr>
          <w:p w14:paraId="53725462">
            <w:pPr>
              <w:jc w:val="center"/>
              <w:rPr>
                <w:rFonts w:hint="eastAsia" w:ascii="宋体" w:hAnsi="宋体" w:eastAsia="宋体" w:cs="宋体"/>
                <w:color w:val="000000" w:themeColor="text1"/>
                <w:highlight w:val="none"/>
                <w14:textFill>
                  <w14:solidFill>
                    <w14:schemeClr w14:val="tx1"/>
                  </w14:solidFill>
                </w14:textFill>
              </w:rPr>
            </w:pPr>
            <w:bookmarkStart w:id="238" w:name="_Toc173066403"/>
            <w:bookmarkStart w:id="239" w:name="_Toc254970590"/>
            <w:bookmarkStart w:id="240" w:name="_Toc173211902"/>
            <w:bookmarkStart w:id="241" w:name="_Toc254970731"/>
            <w:r>
              <w:rPr>
                <w:rFonts w:hint="eastAsia" w:ascii="宋体" w:hAnsi="宋体" w:eastAsia="宋体" w:cs="宋体"/>
                <w:color w:val="000000" w:themeColor="text1"/>
                <w:highlight w:val="none"/>
                <w14:textFill>
                  <w14:solidFill>
                    <w14:schemeClr w14:val="tx1"/>
                  </w14:solidFill>
                </w14:textFill>
              </w:rPr>
              <w:t>竞争性磋商响应文件具体响应</w:t>
            </w:r>
            <w:bookmarkEnd w:id="238"/>
            <w:bookmarkEnd w:id="239"/>
            <w:bookmarkEnd w:id="240"/>
            <w:bookmarkEnd w:id="241"/>
          </w:p>
        </w:tc>
        <w:tc>
          <w:tcPr>
            <w:tcW w:w="1920" w:type="dxa"/>
            <w:vAlign w:val="center"/>
          </w:tcPr>
          <w:p w14:paraId="28ECCFC4">
            <w:pPr>
              <w:jc w:val="center"/>
              <w:rPr>
                <w:rFonts w:hint="eastAsia" w:ascii="宋体" w:hAnsi="宋体" w:eastAsia="宋体" w:cs="宋体"/>
                <w:color w:val="000000" w:themeColor="text1"/>
                <w:highlight w:val="none"/>
                <w14:textFill>
                  <w14:solidFill>
                    <w14:schemeClr w14:val="tx1"/>
                  </w14:solidFill>
                </w14:textFill>
              </w:rPr>
            </w:pPr>
            <w:bookmarkStart w:id="242" w:name="_Toc173066404"/>
            <w:bookmarkStart w:id="243" w:name="_Toc173211903"/>
            <w:bookmarkStart w:id="244" w:name="_Toc254970591"/>
            <w:bookmarkStart w:id="245" w:name="_Toc254970732"/>
            <w:r>
              <w:rPr>
                <w:rFonts w:hint="eastAsia" w:ascii="宋体" w:hAnsi="宋体" w:eastAsia="宋体" w:cs="宋体"/>
                <w:color w:val="000000" w:themeColor="text1"/>
                <w:highlight w:val="none"/>
                <w14:textFill>
                  <w14:solidFill>
                    <w14:schemeClr w14:val="tx1"/>
                  </w14:solidFill>
                </w14:textFill>
              </w:rPr>
              <w:t>响应/偏离</w:t>
            </w:r>
            <w:bookmarkEnd w:id="242"/>
            <w:bookmarkEnd w:id="243"/>
            <w:bookmarkEnd w:id="244"/>
            <w:bookmarkEnd w:id="245"/>
          </w:p>
        </w:tc>
        <w:tc>
          <w:tcPr>
            <w:tcW w:w="1920" w:type="dxa"/>
            <w:vAlign w:val="center"/>
          </w:tcPr>
          <w:p w14:paraId="682283DC">
            <w:pPr>
              <w:jc w:val="center"/>
              <w:rPr>
                <w:rFonts w:hint="eastAsia" w:ascii="宋体" w:hAnsi="宋体" w:eastAsia="宋体" w:cs="宋体"/>
                <w:color w:val="000000" w:themeColor="text1"/>
                <w:highlight w:val="none"/>
                <w14:textFill>
                  <w14:solidFill>
                    <w14:schemeClr w14:val="tx1"/>
                  </w14:solidFill>
                </w14:textFill>
              </w:rPr>
            </w:pPr>
            <w:bookmarkStart w:id="246" w:name="_Toc254970592"/>
            <w:bookmarkStart w:id="247" w:name="_Toc173066405"/>
            <w:bookmarkStart w:id="248" w:name="_Toc173211904"/>
            <w:bookmarkStart w:id="249" w:name="_Toc254970733"/>
            <w:r>
              <w:rPr>
                <w:rFonts w:hint="eastAsia" w:ascii="宋体" w:hAnsi="宋体" w:eastAsia="宋体" w:cs="宋体"/>
                <w:color w:val="000000" w:themeColor="text1"/>
                <w:highlight w:val="none"/>
                <w14:textFill>
                  <w14:solidFill>
                    <w14:schemeClr w14:val="tx1"/>
                  </w14:solidFill>
                </w14:textFill>
              </w:rPr>
              <w:t>说明</w:t>
            </w:r>
            <w:bookmarkEnd w:id="246"/>
            <w:bookmarkEnd w:id="247"/>
            <w:bookmarkEnd w:id="248"/>
            <w:bookmarkEnd w:id="249"/>
          </w:p>
        </w:tc>
      </w:tr>
      <w:tr w14:paraId="287750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79F301E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技术)响应、商务部分</w:t>
            </w:r>
          </w:p>
        </w:tc>
      </w:tr>
      <w:tr w14:paraId="60505C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29C243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51" w:type="dxa"/>
            <w:vAlign w:val="center"/>
          </w:tcPr>
          <w:p w14:paraId="76530549">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17431A0B">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3A4F87A8">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7F6692FE">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00558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F4C796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251" w:type="dxa"/>
            <w:vAlign w:val="center"/>
          </w:tcPr>
          <w:p w14:paraId="78D4BC34">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00826B60">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6C80CB5F">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670F54FD">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6FC9F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14E5982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251" w:type="dxa"/>
            <w:vAlign w:val="center"/>
          </w:tcPr>
          <w:p w14:paraId="3C300758">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569F5FB3">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15DF98F4">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5D56030E">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20EEED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17889E8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251" w:type="dxa"/>
            <w:vAlign w:val="center"/>
          </w:tcPr>
          <w:p w14:paraId="35E6E42F">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6BA5B6FC">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right w:val="single" w:color="auto" w:sz="4" w:space="0"/>
            </w:tcBorders>
            <w:vAlign w:val="center"/>
          </w:tcPr>
          <w:p w14:paraId="0B342F24">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left w:val="single" w:color="auto" w:sz="4" w:space="0"/>
            </w:tcBorders>
            <w:vAlign w:val="center"/>
          </w:tcPr>
          <w:p w14:paraId="1FF18E66">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bl>
    <w:p w14:paraId="36C0B614">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17450B3F">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F1DECFC">
      <w:pPr>
        <w:spacing w:line="340" w:lineRule="exact"/>
        <w:rPr>
          <w:rFonts w:hint="eastAsia" w:ascii="宋体" w:hAnsi="宋体" w:eastAsia="宋体" w:cs="宋体"/>
          <w:color w:val="000000" w:themeColor="text1"/>
          <w:highlight w:val="none"/>
          <w14:textFill>
            <w14:solidFill>
              <w14:schemeClr w14:val="tx1"/>
            </w14:solidFill>
          </w14:textFill>
        </w:rPr>
      </w:pPr>
    </w:p>
    <w:p w14:paraId="353A8778">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p>
    <w:p w14:paraId="50E6AEC5">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6DF64AAA">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0C8C9012">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0E24AF46">
      <w:pPr>
        <w:spacing w:line="400" w:lineRule="exact"/>
        <w:ind w:left="982" w:leftChars="200" w:hanging="562" w:hanging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lang w:val="en-US" w:eastAsia="zh-CN"/>
          <w14:textFill>
            <w14:solidFill>
              <w14:schemeClr w14:val="tx1"/>
            </w14:solidFill>
          </w14:textFill>
        </w:rPr>
        <w:t>服务(技术)响应、</w:t>
      </w:r>
      <w:r>
        <w:rPr>
          <w:rFonts w:hint="eastAsia" w:ascii="宋体" w:hAnsi="宋体" w:eastAsia="宋体" w:cs="宋体"/>
          <w:b/>
          <w:color w:val="000000" w:themeColor="text1"/>
          <w:sz w:val="24"/>
          <w:highlight w:val="none"/>
          <w14:textFill>
            <w14:solidFill>
              <w14:schemeClr w14:val="tx1"/>
            </w14:solidFill>
          </w14:textFill>
        </w:rPr>
        <w:t>商务偏离情况说明表”各项内容必须如实填写。</w:t>
      </w:r>
    </w:p>
    <w:p w14:paraId="79CDF0D6">
      <w:pPr>
        <w:spacing w:line="400" w:lineRule="exact"/>
        <w:ind w:firstLine="964" w:firstLineChars="4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2.当本表由多页构成时，需逐页加盖</w:t>
      </w:r>
      <w:r>
        <w:rPr>
          <w:rFonts w:hint="eastAsia" w:ascii="宋体" w:hAnsi="宋体" w:eastAsia="宋体" w:cs="宋体"/>
          <w:b/>
          <w:color w:val="000000" w:themeColor="text1"/>
          <w:sz w:val="24"/>
          <w:highlight w:val="none"/>
          <w:lang w:eastAsia="zh-CN"/>
          <w14:textFill>
            <w14:solidFill>
              <w14:schemeClr w14:val="tx1"/>
            </w14:solidFill>
          </w14:textFill>
        </w:rPr>
        <w:t>磋商供应商</w:t>
      </w:r>
      <w:r>
        <w:rPr>
          <w:rFonts w:hint="eastAsia" w:ascii="宋体" w:hAnsi="宋体" w:eastAsia="宋体" w:cs="宋体"/>
          <w:b/>
          <w:color w:val="000000" w:themeColor="text1"/>
          <w:sz w:val="24"/>
          <w:highlight w:val="none"/>
          <w14:textFill>
            <w14:solidFill>
              <w14:schemeClr w14:val="tx1"/>
            </w14:solidFill>
          </w14:textFill>
        </w:rPr>
        <w:t>公章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CA签章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（属自然人的须逐页签字</w:t>
      </w:r>
      <w:r>
        <w:rPr>
          <w:rFonts w:hint="eastAsia" w:ascii="宋体" w:hAnsi="宋体" w:eastAsia="宋体" w:cs="宋体"/>
          <w:b/>
          <w:color w:val="000000" w:themeColor="text1"/>
          <w:sz w:val="24"/>
          <w:highlight w:val="none"/>
          <w:lang w:eastAsia="zh-CN"/>
          <w14:textFill>
            <w14:solidFill>
              <w14:schemeClr w14:val="tx1"/>
            </w14:solidFill>
          </w14:textFill>
        </w:rPr>
        <w:t>或</w:t>
      </w:r>
      <w:r>
        <w:rPr>
          <w:rFonts w:hint="eastAsia" w:ascii="宋体" w:hAnsi="宋体" w:eastAsia="宋体" w:cs="宋体"/>
          <w:b/>
          <w:color w:val="000000" w:themeColor="text1"/>
          <w:sz w:val="24"/>
          <w:highlight w:val="none"/>
          <w:lang w:val="en-US" w:eastAsia="zh-CN"/>
          <w14:textFill>
            <w14:solidFill>
              <w14:schemeClr w14:val="tx1"/>
            </w14:solidFill>
          </w14:textFill>
        </w:rPr>
        <w:t>个人CA签章</w:t>
      </w:r>
      <w:r>
        <w:rPr>
          <w:rFonts w:hint="eastAsia" w:ascii="宋体" w:hAnsi="宋体" w:eastAsia="宋体" w:cs="宋体"/>
          <w:b/>
          <w:color w:val="000000" w:themeColor="text1"/>
          <w:sz w:val="24"/>
          <w:highlight w:val="none"/>
          <w14:textFill>
            <w14:solidFill>
              <w14:schemeClr w14:val="tx1"/>
            </w14:solidFill>
          </w14:textFill>
        </w:rPr>
        <w:t>）。</w:t>
      </w:r>
    </w:p>
    <w:p w14:paraId="100A47DE">
      <w:pPr>
        <w:pStyle w:val="8"/>
        <w:rPr>
          <w:rFonts w:hint="eastAsia" w:ascii="宋体" w:hAnsi="宋体" w:eastAsia="宋体" w:cs="宋体"/>
          <w:color w:val="000000" w:themeColor="text1"/>
          <w:highlight w:val="none"/>
          <w14:textFill>
            <w14:solidFill>
              <w14:schemeClr w14:val="tx1"/>
            </w14:solidFill>
          </w14:textFill>
        </w:rPr>
      </w:pPr>
    </w:p>
    <w:p w14:paraId="22A6ABE2">
      <w:pPr>
        <w:pStyle w:val="8"/>
        <w:rPr>
          <w:rFonts w:hint="eastAsia" w:ascii="宋体" w:hAnsi="宋体" w:eastAsia="宋体" w:cs="宋体"/>
          <w:color w:val="000000" w:themeColor="text1"/>
          <w:highlight w:val="none"/>
          <w14:textFill>
            <w14:solidFill>
              <w14:schemeClr w14:val="tx1"/>
            </w14:solidFill>
          </w14:textFill>
        </w:rPr>
      </w:pPr>
    </w:p>
    <w:p w14:paraId="1BB04B3D">
      <w:pPr>
        <w:pStyle w:val="8"/>
        <w:rPr>
          <w:rFonts w:hint="eastAsia" w:ascii="宋体" w:hAnsi="宋体" w:eastAsia="宋体" w:cs="宋体"/>
          <w:color w:val="000000" w:themeColor="text1"/>
          <w:highlight w:val="none"/>
          <w14:textFill>
            <w14:solidFill>
              <w14:schemeClr w14:val="tx1"/>
            </w14:solidFill>
          </w14:textFill>
        </w:rPr>
      </w:pPr>
    </w:p>
    <w:p w14:paraId="30458B84">
      <w:pPr>
        <w:pStyle w:val="8"/>
        <w:rPr>
          <w:rFonts w:hint="eastAsia" w:ascii="宋体" w:hAnsi="宋体" w:eastAsia="宋体" w:cs="宋体"/>
          <w:color w:val="000000" w:themeColor="text1"/>
          <w:highlight w:val="none"/>
          <w14:textFill>
            <w14:solidFill>
              <w14:schemeClr w14:val="tx1"/>
            </w14:solidFill>
          </w14:textFill>
        </w:rPr>
      </w:pPr>
    </w:p>
    <w:p w14:paraId="386DC5A3">
      <w:pPr>
        <w:pStyle w:val="8"/>
        <w:rPr>
          <w:rFonts w:hint="eastAsia" w:ascii="宋体" w:hAnsi="宋体" w:eastAsia="宋体" w:cs="宋体"/>
          <w:color w:val="000000" w:themeColor="text1"/>
          <w:highlight w:val="none"/>
          <w14:textFill>
            <w14:solidFill>
              <w14:schemeClr w14:val="tx1"/>
            </w14:solidFill>
          </w14:textFill>
        </w:rPr>
      </w:pPr>
    </w:p>
    <w:p w14:paraId="0176756F">
      <w:pPr>
        <w:pStyle w:val="8"/>
        <w:rPr>
          <w:rFonts w:hint="eastAsia" w:ascii="宋体" w:hAnsi="宋体" w:eastAsia="宋体" w:cs="宋体"/>
          <w:color w:val="000000" w:themeColor="text1"/>
          <w:highlight w:val="none"/>
          <w14:textFill>
            <w14:solidFill>
              <w14:schemeClr w14:val="tx1"/>
            </w14:solidFill>
          </w14:textFill>
        </w:rPr>
      </w:pPr>
    </w:p>
    <w:p w14:paraId="321FA23C">
      <w:pPr>
        <w:pStyle w:val="8"/>
        <w:rPr>
          <w:rFonts w:hint="eastAsia" w:ascii="宋体" w:hAnsi="宋体" w:eastAsia="宋体" w:cs="宋体"/>
          <w:color w:val="000000" w:themeColor="text1"/>
          <w:highlight w:val="none"/>
          <w14:textFill>
            <w14:solidFill>
              <w14:schemeClr w14:val="tx1"/>
            </w14:solidFill>
          </w14:textFill>
        </w:rPr>
      </w:pPr>
    </w:p>
    <w:p w14:paraId="1B86BFEA">
      <w:pPr>
        <w:rPr>
          <w:rFonts w:hint="eastAsia" w:ascii="宋体" w:hAnsi="宋体" w:eastAsia="宋体" w:cs="宋体"/>
          <w:color w:val="000000" w:themeColor="text1"/>
          <w:highlight w:val="none"/>
          <w14:textFill>
            <w14:solidFill>
              <w14:schemeClr w14:val="tx1"/>
            </w14:solidFill>
          </w14:textFill>
        </w:rPr>
      </w:pPr>
    </w:p>
    <w:p w14:paraId="3F38EA96">
      <w:pPr>
        <w:pStyle w:val="22"/>
        <w:rPr>
          <w:rFonts w:hint="eastAsia" w:ascii="宋体" w:hAnsi="宋体" w:eastAsia="宋体" w:cs="宋体"/>
          <w:color w:val="000000" w:themeColor="text1"/>
          <w:highlight w:val="none"/>
          <w14:textFill>
            <w14:solidFill>
              <w14:schemeClr w14:val="tx1"/>
            </w14:solidFill>
          </w14:textFill>
        </w:rPr>
      </w:pPr>
    </w:p>
    <w:p w14:paraId="20F38452">
      <w:pPr>
        <w:pStyle w:val="22"/>
        <w:rPr>
          <w:rFonts w:hint="eastAsia" w:ascii="宋体" w:hAnsi="宋体" w:eastAsia="宋体" w:cs="宋体"/>
          <w:color w:val="000000" w:themeColor="text1"/>
          <w:highlight w:val="none"/>
          <w14:textFill>
            <w14:solidFill>
              <w14:schemeClr w14:val="tx1"/>
            </w14:solidFill>
          </w14:textFill>
        </w:rPr>
      </w:pPr>
    </w:p>
    <w:p w14:paraId="311C8848">
      <w:pPr>
        <w:pStyle w:val="22"/>
        <w:rPr>
          <w:rFonts w:hint="eastAsia" w:ascii="宋体" w:hAnsi="宋体" w:eastAsia="宋体" w:cs="宋体"/>
          <w:color w:val="000000" w:themeColor="text1"/>
          <w:highlight w:val="none"/>
          <w14:textFill>
            <w14:solidFill>
              <w14:schemeClr w14:val="tx1"/>
            </w14:solidFill>
          </w14:textFill>
        </w:rPr>
      </w:pPr>
    </w:p>
    <w:p w14:paraId="797A2174">
      <w:pPr>
        <w:pStyle w:val="22"/>
        <w:rPr>
          <w:rFonts w:hint="eastAsia" w:ascii="宋体" w:hAnsi="宋体" w:eastAsia="宋体" w:cs="宋体"/>
          <w:color w:val="000000" w:themeColor="text1"/>
          <w:highlight w:val="none"/>
          <w14:textFill>
            <w14:solidFill>
              <w14:schemeClr w14:val="tx1"/>
            </w14:solidFill>
          </w14:textFill>
        </w:rPr>
      </w:pPr>
    </w:p>
    <w:p w14:paraId="519449A0">
      <w:pPr>
        <w:pStyle w:val="22"/>
        <w:rPr>
          <w:rFonts w:hint="eastAsia" w:ascii="宋体" w:hAnsi="宋体" w:eastAsia="宋体" w:cs="宋体"/>
          <w:color w:val="000000" w:themeColor="text1"/>
          <w:highlight w:val="none"/>
          <w14:textFill>
            <w14:solidFill>
              <w14:schemeClr w14:val="tx1"/>
            </w14:solidFill>
          </w14:textFill>
        </w:rPr>
      </w:pPr>
    </w:p>
    <w:p w14:paraId="411063DC">
      <w:pPr>
        <w:pStyle w:val="22"/>
        <w:rPr>
          <w:rFonts w:hint="eastAsia" w:ascii="宋体" w:hAnsi="宋体" w:eastAsia="宋体" w:cs="宋体"/>
          <w:color w:val="000000" w:themeColor="text1"/>
          <w:highlight w:val="none"/>
          <w14:textFill>
            <w14:solidFill>
              <w14:schemeClr w14:val="tx1"/>
            </w14:solidFill>
          </w14:textFill>
        </w:rPr>
      </w:pPr>
    </w:p>
    <w:p w14:paraId="76D96159">
      <w:pPr>
        <w:pStyle w:val="22"/>
        <w:rPr>
          <w:rFonts w:hint="eastAsia" w:ascii="宋体" w:hAnsi="宋体" w:eastAsia="宋体" w:cs="宋体"/>
          <w:color w:val="000000" w:themeColor="text1"/>
          <w:highlight w:val="none"/>
          <w14:textFill>
            <w14:solidFill>
              <w14:schemeClr w14:val="tx1"/>
            </w14:solidFill>
          </w14:textFill>
        </w:rPr>
      </w:pPr>
    </w:p>
    <w:p w14:paraId="58EF73FD">
      <w:pPr>
        <w:pStyle w:val="8"/>
        <w:rPr>
          <w:rFonts w:hint="eastAsia" w:ascii="宋体" w:hAnsi="宋体" w:eastAsia="宋体" w:cs="宋体"/>
          <w:color w:val="000000" w:themeColor="text1"/>
          <w:highlight w:val="none"/>
          <w14:textFill>
            <w14:solidFill>
              <w14:schemeClr w14:val="tx1"/>
            </w14:solidFill>
          </w14:textFill>
        </w:rPr>
      </w:pPr>
    </w:p>
    <w:p w14:paraId="1A243D95">
      <w:pPr>
        <w:pStyle w:val="8"/>
        <w:rPr>
          <w:rFonts w:hint="eastAsia" w:ascii="宋体" w:hAnsi="宋体" w:eastAsia="宋体" w:cs="宋体"/>
          <w:color w:val="000000" w:themeColor="text1"/>
          <w:highlight w:val="none"/>
          <w14:textFill>
            <w14:solidFill>
              <w14:schemeClr w14:val="tx1"/>
            </w14:solidFill>
          </w14:textFill>
        </w:rPr>
      </w:pPr>
    </w:p>
    <w:p w14:paraId="2E01AA2D">
      <w:pPr>
        <w:pStyle w:val="8"/>
        <w:rPr>
          <w:rFonts w:hint="eastAsia" w:ascii="宋体" w:hAnsi="宋体" w:eastAsia="宋体" w:cs="宋体"/>
          <w:color w:val="000000" w:themeColor="text1"/>
          <w:highlight w:val="none"/>
          <w14:textFill>
            <w14:solidFill>
              <w14:schemeClr w14:val="tx1"/>
            </w14:solidFill>
          </w14:textFill>
        </w:rPr>
      </w:pPr>
    </w:p>
    <w:p w14:paraId="6E46770A">
      <w:pPr>
        <w:pStyle w:val="11"/>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服务承诺书</w:t>
      </w:r>
      <w:r>
        <w:rPr>
          <w:rFonts w:hint="eastAsia" w:ascii="宋体" w:hAnsi="宋体" w:eastAsia="宋体" w:cs="宋体"/>
          <w:b/>
          <w:color w:val="000000" w:themeColor="text1"/>
          <w:sz w:val="28"/>
          <w:szCs w:val="28"/>
          <w:highlight w:val="none"/>
          <w14:textFill>
            <w14:solidFill>
              <w14:schemeClr w14:val="tx1"/>
            </w14:solidFill>
          </w14:textFill>
        </w:rPr>
        <w:t>（由供应商根据本项目采购需求、特点及供应商自身的处理能力自行编写，承诺书内容至少应包括“采购需求”的所有服务条款）（必须提供）；</w:t>
      </w:r>
    </w:p>
    <w:p w14:paraId="09FBD031">
      <w:pPr>
        <w:rPr>
          <w:rFonts w:hint="eastAsia" w:ascii="宋体" w:hAnsi="宋体" w:eastAsia="宋体" w:cs="宋体"/>
          <w:color w:val="000000" w:themeColor="text1"/>
          <w:highlight w:val="none"/>
          <w14:textFill>
            <w14:solidFill>
              <w14:schemeClr w14:val="tx1"/>
            </w14:solidFill>
          </w14:textFill>
        </w:rPr>
      </w:pPr>
    </w:p>
    <w:p w14:paraId="0CDE377A">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1F7B70C3">
      <w:pPr>
        <w:rPr>
          <w:rFonts w:hint="eastAsia" w:ascii="宋体" w:hAnsi="宋体" w:eastAsia="宋体" w:cs="宋体"/>
          <w:color w:val="000000" w:themeColor="text1"/>
          <w:highlight w:val="none"/>
          <w14:textFill>
            <w14:solidFill>
              <w14:schemeClr w14:val="tx1"/>
            </w14:solidFill>
          </w14:textFill>
        </w:rPr>
      </w:pPr>
    </w:p>
    <w:p w14:paraId="4149942E">
      <w:pPr>
        <w:pStyle w:val="8"/>
        <w:rPr>
          <w:rFonts w:hint="eastAsia" w:ascii="宋体" w:hAnsi="宋体" w:eastAsia="宋体" w:cs="宋体"/>
          <w:color w:val="000000" w:themeColor="text1"/>
          <w:highlight w:val="none"/>
          <w14:textFill>
            <w14:solidFill>
              <w14:schemeClr w14:val="tx1"/>
            </w14:solidFill>
          </w14:textFill>
        </w:rPr>
      </w:pPr>
    </w:p>
    <w:p w14:paraId="6D803502">
      <w:pPr>
        <w:pStyle w:val="8"/>
        <w:rPr>
          <w:rFonts w:hint="eastAsia" w:ascii="宋体" w:hAnsi="宋体" w:eastAsia="宋体" w:cs="宋体"/>
          <w:color w:val="000000" w:themeColor="text1"/>
          <w:highlight w:val="none"/>
          <w14:textFill>
            <w14:solidFill>
              <w14:schemeClr w14:val="tx1"/>
            </w14:solidFill>
          </w14:textFill>
        </w:rPr>
      </w:pPr>
    </w:p>
    <w:p w14:paraId="19FAD0BE">
      <w:pPr>
        <w:pStyle w:val="8"/>
        <w:rPr>
          <w:rFonts w:hint="eastAsia" w:ascii="宋体" w:hAnsi="宋体" w:eastAsia="宋体" w:cs="宋体"/>
          <w:color w:val="000000" w:themeColor="text1"/>
          <w:highlight w:val="none"/>
          <w14:textFill>
            <w14:solidFill>
              <w14:schemeClr w14:val="tx1"/>
            </w14:solidFill>
          </w14:textFill>
        </w:rPr>
      </w:pPr>
    </w:p>
    <w:p w14:paraId="2227D645">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服务承诺书（格式）</w:t>
      </w:r>
    </w:p>
    <w:p w14:paraId="001E08C8">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66E6ED03">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14F4FDD7">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63787A82">
      <w:pPr>
        <w:rPr>
          <w:rFonts w:hint="eastAsia" w:ascii="宋体" w:hAnsi="宋体" w:eastAsia="宋体" w:cs="宋体"/>
          <w:b/>
          <w:color w:val="000000" w:themeColor="text1"/>
          <w:sz w:val="32"/>
          <w:szCs w:val="32"/>
          <w:highlight w:val="none"/>
          <w14:textFill>
            <w14:solidFill>
              <w14:schemeClr w14:val="tx1"/>
            </w14:solidFill>
          </w14:textFill>
        </w:rPr>
      </w:pPr>
    </w:p>
    <w:p w14:paraId="28BE7A79">
      <w:pPr>
        <w:pStyle w:val="8"/>
        <w:rPr>
          <w:rFonts w:hint="eastAsia" w:ascii="宋体" w:hAnsi="宋体" w:eastAsia="宋体" w:cs="宋体"/>
          <w:color w:val="000000" w:themeColor="text1"/>
          <w:highlight w:val="none"/>
          <w14:textFill>
            <w14:solidFill>
              <w14:schemeClr w14:val="tx1"/>
            </w14:solidFill>
          </w14:textFill>
        </w:rPr>
      </w:pPr>
    </w:p>
    <w:p w14:paraId="4D15B33A">
      <w:pPr>
        <w:pStyle w:val="8"/>
        <w:rPr>
          <w:rFonts w:hint="eastAsia" w:ascii="宋体" w:hAnsi="宋体" w:eastAsia="宋体" w:cs="宋体"/>
          <w:b/>
          <w:color w:val="000000" w:themeColor="text1"/>
          <w:sz w:val="32"/>
          <w:szCs w:val="32"/>
          <w:highlight w:val="none"/>
          <w14:textFill>
            <w14:solidFill>
              <w14:schemeClr w14:val="tx1"/>
            </w14:solidFill>
          </w14:textFill>
        </w:rPr>
      </w:pPr>
    </w:p>
    <w:p w14:paraId="247278F8">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36139D66">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612CD81">
      <w:pPr>
        <w:pStyle w:val="4"/>
        <w:rPr>
          <w:rFonts w:hint="eastAsia" w:ascii="宋体" w:hAnsi="宋体" w:eastAsia="宋体" w:cs="宋体"/>
          <w:color w:val="000000" w:themeColor="text1"/>
          <w:highlight w:val="none"/>
          <w14:textFill>
            <w14:solidFill>
              <w14:schemeClr w14:val="tx1"/>
            </w14:solidFill>
          </w14:textFill>
        </w:rPr>
      </w:pPr>
    </w:p>
    <w:p w14:paraId="51BE7095">
      <w:pPr>
        <w:snapToGrid w:val="0"/>
        <w:spacing w:line="400" w:lineRule="exact"/>
        <w:ind w:firstLine="1680" w:firstLineChars="8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749A60E4">
      <w:pPr>
        <w:pStyle w:val="8"/>
        <w:rPr>
          <w:rFonts w:hint="eastAsia" w:ascii="宋体" w:hAnsi="宋体" w:eastAsia="宋体" w:cs="宋体"/>
          <w:b/>
          <w:bCs/>
          <w:color w:val="000000" w:themeColor="text1"/>
          <w:szCs w:val="21"/>
          <w:highlight w:val="none"/>
          <w14:textFill>
            <w14:solidFill>
              <w14:schemeClr w14:val="tx1"/>
            </w14:solidFill>
          </w14:textFill>
        </w:rPr>
      </w:pPr>
    </w:p>
    <w:p w14:paraId="5D6BE9C2">
      <w:pPr>
        <w:pStyle w:val="8"/>
        <w:rPr>
          <w:rFonts w:hint="eastAsia" w:ascii="宋体" w:hAnsi="宋体" w:eastAsia="宋体" w:cs="宋体"/>
          <w:b/>
          <w:bCs/>
          <w:color w:val="000000" w:themeColor="text1"/>
          <w:szCs w:val="21"/>
          <w:highlight w:val="none"/>
          <w14:textFill>
            <w14:solidFill>
              <w14:schemeClr w14:val="tx1"/>
            </w14:solidFill>
          </w14:textFill>
        </w:rPr>
      </w:pPr>
    </w:p>
    <w:p w14:paraId="320FF7D5">
      <w:pPr>
        <w:pStyle w:val="8"/>
        <w:rPr>
          <w:rFonts w:hint="eastAsia" w:ascii="宋体" w:hAnsi="宋体" w:eastAsia="宋体" w:cs="宋体"/>
          <w:b/>
          <w:bCs/>
          <w:color w:val="000000" w:themeColor="text1"/>
          <w:szCs w:val="21"/>
          <w:highlight w:val="none"/>
          <w14:textFill>
            <w14:solidFill>
              <w14:schemeClr w14:val="tx1"/>
            </w14:solidFill>
          </w14:textFill>
        </w:rPr>
      </w:pPr>
    </w:p>
    <w:p w14:paraId="40794499">
      <w:pPr>
        <w:pStyle w:val="8"/>
        <w:rPr>
          <w:rFonts w:hint="eastAsia" w:ascii="宋体" w:hAnsi="宋体" w:eastAsia="宋体" w:cs="宋体"/>
          <w:b/>
          <w:bCs/>
          <w:color w:val="000000" w:themeColor="text1"/>
          <w:szCs w:val="21"/>
          <w:highlight w:val="none"/>
          <w14:textFill>
            <w14:solidFill>
              <w14:schemeClr w14:val="tx1"/>
            </w14:solidFill>
          </w14:textFill>
        </w:rPr>
      </w:pPr>
    </w:p>
    <w:p w14:paraId="1DBF9CDB">
      <w:pPr>
        <w:pStyle w:val="8"/>
        <w:rPr>
          <w:rFonts w:hint="eastAsia" w:ascii="宋体" w:hAnsi="宋体" w:eastAsia="宋体" w:cs="宋体"/>
          <w:b/>
          <w:bCs/>
          <w:color w:val="000000" w:themeColor="text1"/>
          <w:szCs w:val="21"/>
          <w:highlight w:val="none"/>
          <w14:textFill>
            <w14:solidFill>
              <w14:schemeClr w14:val="tx1"/>
            </w14:solidFill>
          </w14:textFill>
        </w:rPr>
      </w:pPr>
    </w:p>
    <w:p w14:paraId="2AC8AAEB">
      <w:pPr>
        <w:rPr>
          <w:rFonts w:hint="eastAsia" w:ascii="宋体" w:hAnsi="宋体" w:eastAsia="宋体" w:cs="宋体"/>
          <w:b/>
          <w:bCs/>
          <w:color w:val="000000" w:themeColor="text1"/>
          <w:szCs w:val="21"/>
          <w:highlight w:val="none"/>
          <w14:textFill>
            <w14:solidFill>
              <w14:schemeClr w14:val="tx1"/>
            </w14:solidFill>
          </w14:textFill>
        </w:rPr>
      </w:pPr>
    </w:p>
    <w:p w14:paraId="414D63E7">
      <w:pPr>
        <w:pStyle w:val="22"/>
        <w:rPr>
          <w:rFonts w:hint="eastAsia" w:ascii="宋体" w:hAnsi="宋体" w:eastAsia="宋体" w:cs="宋体"/>
          <w:b/>
          <w:bCs/>
          <w:color w:val="000000" w:themeColor="text1"/>
          <w:szCs w:val="21"/>
          <w:highlight w:val="none"/>
          <w14:textFill>
            <w14:solidFill>
              <w14:schemeClr w14:val="tx1"/>
            </w14:solidFill>
          </w14:textFill>
        </w:rPr>
      </w:pPr>
    </w:p>
    <w:p w14:paraId="5CE42233">
      <w:pPr>
        <w:pStyle w:val="22"/>
        <w:rPr>
          <w:rFonts w:hint="eastAsia" w:ascii="宋体" w:hAnsi="宋体" w:eastAsia="宋体" w:cs="宋体"/>
          <w:b/>
          <w:bCs/>
          <w:color w:val="000000" w:themeColor="text1"/>
          <w:szCs w:val="21"/>
          <w:highlight w:val="none"/>
          <w14:textFill>
            <w14:solidFill>
              <w14:schemeClr w14:val="tx1"/>
            </w14:solidFill>
          </w14:textFill>
        </w:rPr>
      </w:pPr>
    </w:p>
    <w:p w14:paraId="22515763">
      <w:pPr>
        <w:pStyle w:val="22"/>
        <w:rPr>
          <w:rFonts w:hint="eastAsia" w:ascii="宋体" w:hAnsi="宋体" w:eastAsia="宋体" w:cs="宋体"/>
          <w:b/>
          <w:bCs/>
          <w:color w:val="000000" w:themeColor="text1"/>
          <w:szCs w:val="21"/>
          <w:highlight w:val="none"/>
          <w14:textFill>
            <w14:solidFill>
              <w14:schemeClr w14:val="tx1"/>
            </w14:solidFill>
          </w14:textFill>
        </w:rPr>
      </w:pPr>
    </w:p>
    <w:p w14:paraId="68A62193">
      <w:pPr>
        <w:pStyle w:val="22"/>
        <w:rPr>
          <w:rFonts w:hint="eastAsia" w:ascii="宋体" w:hAnsi="宋体" w:eastAsia="宋体" w:cs="宋体"/>
          <w:b/>
          <w:bCs/>
          <w:color w:val="000000" w:themeColor="text1"/>
          <w:szCs w:val="21"/>
          <w:highlight w:val="none"/>
          <w14:textFill>
            <w14:solidFill>
              <w14:schemeClr w14:val="tx1"/>
            </w14:solidFill>
          </w14:textFill>
        </w:rPr>
      </w:pPr>
    </w:p>
    <w:p w14:paraId="365C2117">
      <w:pPr>
        <w:pStyle w:val="22"/>
        <w:rPr>
          <w:rFonts w:hint="eastAsia" w:ascii="宋体" w:hAnsi="宋体" w:eastAsia="宋体" w:cs="宋体"/>
          <w:b/>
          <w:bCs/>
          <w:color w:val="000000" w:themeColor="text1"/>
          <w:szCs w:val="21"/>
          <w:highlight w:val="none"/>
          <w14:textFill>
            <w14:solidFill>
              <w14:schemeClr w14:val="tx1"/>
            </w14:solidFill>
          </w14:textFill>
        </w:rPr>
      </w:pPr>
    </w:p>
    <w:p w14:paraId="7F892147">
      <w:pPr>
        <w:pStyle w:val="22"/>
        <w:rPr>
          <w:rFonts w:hint="eastAsia" w:ascii="宋体" w:hAnsi="宋体" w:eastAsia="宋体" w:cs="宋体"/>
          <w:b/>
          <w:bCs/>
          <w:color w:val="000000" w:themeColor="text1"/>
          <w:szCs w:val="21"/>
          <w:highlight w:val="none"/>
          <w14:textFill>
            <w14:solidFill>
              <w14:schemeClr w14:val="tx1"/>
            </w14:solidFill>
          </w14:textFill>
        </w:rPr>
      </w:pPr>
    </w:p>
    <w:p w14:paraId="0CCDD15B">
      <w:pPr>
        <w:pStyle w:val="22"/>
        <w:rPr>
          <w:rFonts w:hint="eastAsia" w:ascii="宋体" w:hAnsi="宋体" w:eastAsia="宋体" w:cs="宋体"/>
          <w:b/>
          <w:bCs/>
          <w:color w:val="000000" w:themeColor="text1"/>
          <w:szCs w:val="21"/>
          <w:highlight w:val="none"/>
          <w14:textFill>
            <w14:solidFill>
              <w14:schemeClr w14:val="tx1"/>
            </w14:solidFill>
          </w14:textFill>
        </w:rPr>
      </w:pPr>
    </w:p>
    <w:p w14:paraId="56A4C1A0">
      <w:pPr>
        <w:pStyle w:val="22"/>
        <w:rPr>
          <w:rFonts w:hint="eastAsia" w:ascii="宋体" w:hAnsi="宋体" w:eastAsia="宋体" w:cs="宋体"/>
          <w:b/>
          <w:bCs/>
          <w:color w:val="000000" w:themeColor="text1"/>
          <w:szCs w:val="21"/>
          <w:highlight w:val="none"/>
          <w14:textFill>
            <w14:solidFill>
              <w14:schemeClr w14:val="tx1"/>
            </w14:solidFill>
          </w14:textFill>
        </w:rPr>
      </w:pPr>
    </w:p>
    <w:p w14:paraId="77E69F2E">
      <w:pPr>
        <w:pStyle w:val="22"/>
        <w:rPr>
          <w:rFonts w:hint="eastAsia" w:ascii="宋体" w:hAnsi="宋体" w:eastAsia="宋体" w:cs="宋体"/>
          <w:b/>
          <w:bCs/>
          <w:color w:val="000000" w:themeColor="text1"/>
          <w:szCs w:val="21"/>
          <w:highlight w:val="none"/>
          <w14:textFill>
            <w14:solidFill>
              <w14:schemeClr w14:val="tx1"/>
            </w14:solidFill>
          </w14:textFill>
        </w:rPr>
      </w:pPr>
    </w:p>
    <w:p w14:paraId="27CC610F">
      <w:pPr>
        <w:pStyle w:val="8"/>
        <w:rPr>
          <w:rFonts w:hint="eastAsia" w:ascii="宋体" w:hAnsi="宋体" w:eastAsia="宋体" w:cs="宋体"/>
          <w:b/>
          <w:bCs/>
          <w:color w:val="000000" w:themeColor="text1"/>
          <w:szCs w:val="21"/>
          <w:highlight w:val="none"/>
          <w14:textFill>
            <w14:solidFill>
              <w14:schemeClr w14:val="tx1"/>
            </w14:solidFill>
          </w14:textFill>
        </w:rPr>
      </w:pPr>
    </w:p>
    <w:p w14:paraId="151E861F">
      <w:pPr>
        <w:rPr>
          <w:rFonts w:hint="eastAsia" w:ascii="宋体" w:hAnsi="宋体" w:eastAsia="宋体" w:cs="宋体"/>
          <w:color w:val="000000" w:themeColor="text1"/>
          <w:highlight w:val="none"/>
          <w14:textFill>
            <w14:solidFill>
              <w14:schemeClr w14:val="tx1"/>
            </w14:solidFill>
          </w14:textFill>
        </w:rPr>
      </w:pPr>
    </w:p>
    <w:p w14:paraId="5D0BD0AA">
      <w:pPr>
        <w:pStyle w:val="8"/>
        <w:rPr>
          <w:rFonts w:hint="eastAsia" w:ascii="宋体" w:hAnsi="宋体" w:eastAsia="宋体" w:cs="宋体"/>
          <w:b/>
          <w:bCs/>
          <w:color w:val="000000" w:themeColor="text1"/>
          <w:szCs w:val="21"/>
          <w:highlight w:val="none"/>
          <w14:textFill>
            <w14:solidFill>
              <w14:schemeClr w14:val="tx1"/>
            </w14:solidFill>
          </w14:textFill>
        </w:rPr>
      </w:pPr>
    </w:p>
    <w:p w14:paraId="3AB1CDA2">
      <w:pPr>
        <w:pStyle w:val="8"/>
        <w:rPr>
          <w:rFonts w:hint="eastAsia" w:ascii="宋体" w:hAnsi="宋体" w:eastAsia="宋体" w:cs="宋体"/>
          <w:b/>
          <w:bCs/>
          <w:color w:val="000000" w:themeColor="text1"/>
          <w:szCs w:val="21"/>
          <w:highlight w:val="none"/>
          <w14:textFill>
            <w14:solidFill>
              <w14:schemeClr w14:val="tx1"/>
            </w14:solidFill>
          </w14:textFill>
        </w:rPr>
      </w:pPr>
    </w:p>
    <w:p w14:paraId="456BDC6B">
      <w:pPr>
        <w:rPr>
          <w:rFonts w:hint="eastAsia" w:ascii="宋体" w:hAnsi="宋体" w:eastAsia="宋体" w:cs="宋体"/>
          <w:color w:val="000000" w:themeColor="text1"/>
          <w:highlight w:val="none"/>
          <w14:textFill>
            <w14:solidFill>
              <w14:schemeClr w14:val="tx1"/>
            </w14:solidFill>
          </w14:textFill>
        </w:rPr>
      </w:pPr>
    </w:p>
    <w:p w14:paraId="32088C0E">
      <w:pPr>
        <w:pStyle w:val="8"/>
        <w:rPr>
          <w:rFonts w:hint="eastAsia" w:ascii="宋体" w:hAnsi="宋体" w:eastAsia="宋体" w:cs="宋体"/>
          <w:b/>
          <w:bCs/>
          <w:color w:val="000000" w:themeColor="text1"/>
          <w:szCs w:val="21"/>
          <w:highlight w:val="none"/>
          <w14:textFill>
            <w14:solidFill>
              <w14:schemeClr w14:val="tx1"/>
            </w14:solidFill>
          </w14:textFill>
        </w:rPr>
      </w:pPr>
    </w:p>
    <w:p w14:paraId="58C78B6B">
      <w:pPr>
        <w:pStyle w:val="11"/>
        <w:numPr>
          <w:ilvl w:val="0"/>
          <w:numId w:val="0"/>
        </w:numPr>
        <w:spacing w:line="340" w:lineRule="exact"/>
        <w:ind w:left="0" w:firstLine="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针对本项目的</w:t>
      </w:r>
      <w:r>
        <w:rPr>
          <w:rFonts w:hint="eastAsia" w:ascii="宋体" w:hAnsi="宋体" w:eastAsia="宋体" w:cs="宋体"/>
          <w:b/>
          <w:color w:val="000000" w:themeColor="text1"/>
          <w:sz w:val="28"/>
          <w:szCs w:val="28"/>
          <w:highlight w:val="none"/>
          <w:lang w:eastAsia="zh-CN"/>
          <w14:textFill>
            <w14:solidFill>
              <w14:schemeClr w14:val="tx1"/>
            </w14:solidFill>
          </w14:textFill>
        </w:rPr>
        <w:t>服务</w:t>
      </w:r>
      <w:r>
        <w:rPr>
          <w:rFonts w:hint="eastAsia" w:ascii="宋体" w:hAnsi="宋体" w:eastAsia="宋体" w:cs="宋体"/>
          <w:b/>
          <w:color w:val="000000" w:themeColor="text1"/>
          <w:sz w:val="28"/>
          <w:szCs w:val="28"/>
          <w:highlight w:val="none"/>
          <w14:textFill>
            <w14:solidFill>
              <w14:schemeClr w14:val="tx1"/>
            </w14:solidFill>
          </w14:textFill>
        </w:rPr>
        <w:t>方案（</w:t>
      </w:r>
      <w:r>
        <w:rPr>
          <w:rFonts w:hint="eastAsia" w:ascii="宋体" w:hAnsi="宋体" w:eastAsia="宋体" w:cs="宋体"/>
          <w:b/>
          <w:color w:val="000000" w:themeColor="text1"/>
          <w:sz w:val="28"/>
          <w:szCs w:val="28"/>
          <w:highlight w:val="none"/>
          <w:lang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6F32F889">
      <w:pPr>
        <w:rPr>
          <w:rFonts w:hint="eastAsia" w:ascii="宋体" w:hAnsi="宋体" w:eastAsia="宋体" w:cs="宋体"/>
          <w:color w:val="000000" w:themeColor="text1"/>
          <w:highlight w:val="none"/>
          <w14:textFill>
            <w14:solidFill>
              <w14:schemeClr w14:val="tx1"/>
            </w14:solidFill>
          </w14:textFill>
        </w:rPr>
      </w:pPr>
    </w:p>
    <w:p w14:paraId="33A2E363">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66AB754C">
      <w:pPr>
        <w:rPr>
          <w:rFonts w:hint="eastAsia" w:ascii="宋体" w:hAnsi="宋体" w:eastAsia="宋体" w:cs="宋体"/>
          <w:color w:val="000000" w:themeColor="text1"/>
          <w:highlight w:val="none"/>
          <w14:textFill>
            <w14:solidFill>
              <w14:schemeClr w14:val="tx1"/>
            </w14:solidFill>
          </w14:textFill>
        </w:rPr>
      </w:pPr>
    </w:p>
    <w:p w14:paraId="7C4928D7">
      <w:pPr>
        <w:pStyle w:val="8"/>
        <w:rPr>
          <w:rFonts w:hint="eastAsia" w:ascii="宋体" w:hAnsi="宋体" w:eastAsia="宋体" w:cs="宋体"/>
          <w:color w:val="000000" w:themeColor="text1"/>
          <w:highlight w:val="none"/>
          <w14:textFill>
            <w14:solidFill>
              <w14:schemeClr w14:val="tx1"/>
            </w14:solidFill>
          </w14:textFill>
        </w:rPr>
      </w:pPr>
    </w:p>
    <w:p w14:paraId="74375ED7">
      <w:pPr>
        <w:rPr>
          <w:rFonts w:hint="eastAsia" w:ascii="宋体" w:hAnsi="宋体" w:eastAsia="宋体" w:cs="宋体"/>
          <w:color w:val="000000" w:themeColor="text1"/>
          <w:highlight w:val="none"/>
          <w14:textFill>
            <w14:solidFill>
              <w14:schemeClr w14:val="tx1"/>
            </w14:solidFill>
          </w14:textFill>
        </w:rPr>
      </w:pPr>
    </w:p>
    <w:p w14:paraId="569D8A38">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服务</w:t>
      </w:r>
      <w:r>
        <w:rPr>
          <w:rFonts w:hint="eastAsia" w:ascii="宋体" w:hAnsi="宋体" w:eastAsia="宋体" w:cs="宋体"/>
          <w:b/>
          <w:color w:val="000000" w:themeColor="text1"/>
          <w:sz w:val="32"/>
          <w:szCs w:val="32"/>
          <w:highlight w:val="none"/>
          <w14:textFill>
            <w14:solidFill>
              <w14:schemeClr w14:val="tx1"/>
            </w14:solidFill>
          </w14:textFill>
        </w:rPr>
        <w:t>方案 （格式）</w:t>
      </w:r>
    </w:p>
    <w:p w14:paraId="391AE4D5">
      <w:pPr>
        <w:rPr>
          <w:rFonts w:hint="eastAsia" w:ascii="宋体" w:hAnsi="宋体" w:eastAsia="宋体" w:cs="宋体"/>
          <w:b/>
          <w:color w:val="000000" w:themeColor="text1"/>
          <w:sz w:val="32"/>
          <w:szCs w:val="32"/>
          <w:highlight w:val="none"/>
          <w14:textFill>
            <w14:solidFill>
              <w14:schemeClr w14:val="tx1"/>
            </w14:solidFill>
          </w14:textFill>
        </w:rPr>
      </w:pPr>
    </w:p>
    <w:p w14:paraId="14E93CA5">
      <w:pPr>
        <w:pStyle w:val="8"/>
        <w:rPr>
          <w:rFonts w:hint="eastAsia" w:ascii="宋体" w:hAnsi="宋体" w:eastAsia="宋体" w:cs="宋体"/>
          <w:color w:val="000000" w:themeColor="text1"/>
          <w:highlight w:val="none"/>
          <w14:textFill>
            <w14:solidFill>
              <w14:schemeClr w14:val="tx1"/>
            </w14:solidFill>
          </w14:textFill>
        </w:rPr>
      </w:pPr>
    </w:p>
    <w:p w14:paraId="005623DB">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r>
        <w:rPr>
          <w:rFonts w:hint="eastAsia" w:ascii="宋体" w:hAnsi="宋体" w:eastAsia="宋体" w:cs="宋体"/>
          <w:b/>
          <w:color w:val="000000" w:themeColor="text1"/>
          <w:kern w:val="0"/>
          <w:sz w:val="28"/>
          <w:szCs w:val="28"/>
          <w:highlight w:val="none"/>
          <w:lang w:bidi="ar"/>
          <w14:textFill>
            <w14:solidFill>
              <w14:schemeClr w14:val="tx1"/>
            </w14:solidFill>
          </w14:textFill>
        </w:rPr>
        <w:t>（根据采购需求自行编制）</w:t>
      </w:r>
    </w:p>
    <w:p w14:paraId="20542A98">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39C24F7B">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7CE0A472">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5C2C577F">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01234E56">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325D8EE0">
      <w:pPr>
        <w:widowControl/>
        <w:ind w:firstLine="1470" w:firstLineChars="7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A2E1976">
      <w:pPr>
        <w:pStyle w:val="11"/>
        <w:spacing w:line="300" w:lineRule="exact"/>
        <w:ind w:left="2940" w:leftChars="1400" w:firstLine="630" w:firstLineChars="300"/>
        <w:rPr>
          <w:rFonts w:hint="eastAsia" w:ascii="宋体" w:hAnsi="宋体" w:eastAsia="宋体" w:cs="宋体"/>
          <w:color w:val="000000" w:themeColor="text1"/>
          <w:highlight w:val="none"/>
          <w14:textFill>
            <w14:solidFill>
              <w14:schemeClr w14:val="tx1"/>
            </w14:solidFill>
          </w14:textFill>
        </w:rPr>
      </w:pPr>
    </w:p>
    <w:p w14:paraId="7E592C45">
      <w:pPr>
        <w:pStyle w:val="11"/>
        <w:spacing w:line="300" w:lineRule="exact"/>
        <w:ind w:firstLine="4638" w:firstLineChars="165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16024159">
      <w:pPr>
        <w:pStyle w:val="11"/>
        <w:spacing w:line="300" w:lineRule="exact"/>
        <w:rPr>
          <w:rFonts w:hint="eastAsia" w:ascii="宋体" w:hAnsi="宋体" w:eastAsia="宋体" w:cs="宋体"/>
          <w:b/>
          <w:color w:val="000000" w:themeColor="text1"/>
          <w:sz w:val="28"/>
          <w:szCs w:val="28"/>
          <w:highlight w:val="none"/>
          <w14:textFill>
            <w14:solidFill>
              <w14:schemeClr w14:val="tx1"/>
            </w14:solidFill>
          </w14:textFill>
        </w:rPr>
      </w:pPr>
    </w:p>
    <w:p w14:paraId="6D6FB696">
      <w:pPr>
        <w:snapToGrid w:val="0"/>
        <w:spacing w:line="300" w:lineRule="exact"/>
        <w:ind w:firstLine="4830" w:firstLineChars="23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2B257744">
      <w:pPr>
        <w:snapToGrid w:val="0"/>
        <w:spacing w:line="300" w:lineRule="exact"/>
        <w:ind w:firstLine="3570" w:firstLineChars="1700"/>
        <w:rPr>
          <w:rFonts w:hint="eastAsia" w:ascii="宋体" w:hAnsi="宋体" w:eastAsia="宋体" w:cs="宋体"/>
          <w:color w:val="000000" w:themeColor="text1"/>
          <w:highlight w:val="none"/>
          <w:u w:val="single"/>
          <w14:textFill>
            <w14:solidFill>
              <w14:schemeClr w14:val="tx1"/>
            </w14:solidFill>
          </w14:textFill>
        </w:rPr>
      </w:pPr>
    </w:p>
    <w:p w14:paraId="3DE24A61">
      <w:pPr>
        <w:pStyle w:val="8"/>
        <w:rPr>
          <w:rFonts w:hint="eastAsia" w:ascii="宋体" w:hAnsi="宋体" w:eastAsia="宋体" w:cs="宋体"/>
          <w:color w:val="000000" w:themeColor="text1"/>
          <w:highlight w:val="none"/>
          <w:u w:val="single"/>
          <w14:textFill>
            <w14:solidFill>
              <w14:schemeClr w14:val="tx1"/>
            </w14:solidFill>
          </w14:textFill>
        </w:rPr>
      </w:pPr>
    </w:p>
    <w:p w14:paraId="32319655">
      <w:pPr>
        <w:pStyle w:val="8"/>
        <w:rPr>
          <w:rFonts w:hint="eastAsia" w:ascii="宋体" w:hAnsi="宋体" w:eastAsia="宋体" w:cs="宋体"/>
          <w:color w:val="000000" w:themeColor="text1"/>
          <w:highlight w:val="none"/>
          <w:u w:val="single"/>
          <w14:textFill>
            <w14:solidFill>
              <w14:schemeClr w14:val="tx1"/>
            </w14:solidFill>
          </w14:textFill>
        </w:rPr>
      </w:pPr>
    </w:p>
    <w:p w14:paraId="242C31E4">
      <w:pPr>
        <w:pStyle w:val="8"/>
        <w:rPr>
          <w:rFonts w:hint="eastAsia" w:ascii="宋体" w:hAnsi="宋体" w:eastAsia="宋体" w:cs="宋体"/>
          <w:b/>
          <w:bCs/>
          <w:color w:val="000000" w:themeColor="text1"/>
          <w:szCs w:val="21"/>
          <w:highlight w:val="none"/>
          <w14:textFill>
            <w14:solidFill>
              <w14:schemeClr w14:val="tx1"/>
            </w14:solidFill>
          </w14:textFill>
        </w:rPr>
      </w:pPr>
    </w:p>
    <w:p w14:paraId="3201540E">
      <w:pPr>
        <w:pStyle w:val="8"/>
        <w:rPr>
          <w:rFonts w:hint="eastAsia" w:ascii="宋体" w:hAnsi="宋体" w:eastAsia="宋体" w:cs="宋体"/>
          <w:b/>
          <w:bCs/>
          <w:color w:val="000000" w:themeColor="text1"/>
          <w:szCs w:val="21"/>
          <w:highlight w:val="none"/>
          <w14:textFill>
            <w14:solidFill>
              <w14:schemeClr w14:val="tx1"/>
            </w14:solidFill>
          </w14:textFill>
        </w:rPr>
      </w:pPr>
    </w:p>
    <w:p w14:paraId="395B759B">
      <w:pPr>
        <w:pStyle w:val="8"/>
        <w:rPr>
          <w:rFonts w:hint="eastAsia" w:ascii="宋体" w:hAnsi="宋体" w:eastAsia="宋体" w:cs="宋体"/>
          <w:b/>
          <w:bCs/>
          <w:color w:val="000000" w:themeColor="text1"/>
          <w:szCs w:val="21"/>
          <w:highlight w:val="none"/>
          <w14:textFill>
            <w14:solidFill>
              <w14:schemeClr w14:val="tx1"/>
            </w14:solidFill>
          </w14:textFill>
        </w:rPr>
      </w:pPr>
    </w:p>
    <w:p w14:paraId="4FDA6661">
      <w:pPr>
        <w:pStyle w:val="8"/>
        <w:rPr>
          <w:rFonts w:hint="eastAsia" w:ascii="宋体" w:hAnsi="宋体" w:eastAsia="宋体" w:cs="宋体"/>
          <w:b/>
          <w:bCs/>
          <w:color w:val="000000" w:themeColor="text1"/>
          <w:szCs w:val="21"/>
          <w:highlight w:val="none"/>
          <w14:textFill>
            <w14:solidFill>
              <w14:schemeClr w14:val="tx1"/>
            </w14:solidFill>
          </w14:textFill>
        </w:rPr>
      </w:pPr>
    </w:p>
    <w:p w14:paraId="5C88CEB0">
      <w:pPr>
        <w:pStyle w:val="8"/>
        <w:rPr>
          <w:rFonts w:hint="eastAsia" w:ascii="宋体" w:hAnsi="宋体" w:eastAsia="宋体" w:cs="宋体"/>
          <w:b/>
          <w:bCs/>
          <w:color w:val="000000" w:themeColor="text1"/>
          <w:szCs w:val="21"/>
          <w:highlight w:val="none"/>
          <w14:textFill>
            <w14:solidFill>
              <w14:schemeClr w14:val="tx1"/>
            </w14:solidFill>
          </w14:textFill>
        </w:rPr>
      </w:pPr>
    </w:p>
    <w:p w14:paraId="19071249">
      <w:pPr>
        <w:pStyle w:val="8"/>
        <w:rPr>
          <w:rFonts w:hint="eastAsia" w:ascii="宋体" w:hAnsi="宋体" w:eastAsia="宋体" w:cs="宋体"/>
          <w:b/>
          <w:bCs/>
          <w:color w:val="000000" w:themeColor="text1"/>
          <w:szCs w:val="21"/>
          <w:highlight w:val="none"/>
          <w14:textFill>
            <w14:solidFill>
              <w14:schemeClr w14:val="tx1"/>
            </w14:solidFill>
          </w14:textFill>
        </w:rPr>
      </w:pPr>
    </w:p>
    <w:p w14:paraId="6456EC7C">
      <w:pPr>
        <w:pStyle w:val="8"/>
        <w:rPr>
          <w:rFonts w:hint="eastAsia" w:ascii="宋体" w:hAnsi="宋体" w:eastAsia="宋体" w:cs="宋体"/>
          <w:b/>
          <w:bCs/>
          <w:color w:val="000000" w:themeColor="text1"/>
          <w:szCs w:val="21"/>
          <w:highlight w:val="none"/>
          <w14:textFill>
            <w14:solidFill>
              <w14:schemeClr w14:val="tx1"/>
            </w14:solidFill>
          </w14:textFill>
        </w:rPr>
      </w:pPr>
    </w:p>
    <w:p w14:paraId="750AFA8B">
      <w:pPr>
        <w:pStyle w:val="8"/>
        <w:rPr>
          <w:rFonts w:hint="eastAsia" w:ascii="宋体" w:hAnsi="宋体" w:eastAsia="宋体" w:cs="宋体"/>
          <w:b/>
          <w:bCs/>
          <w:color w:val="000000" w:themeColor="text1"/>
          <w:szCs w:val="21"/>
          <w:highlight w:val="none"/>
          <w14:textFill>
            <w14:solidFill>
              <w14:schemeClr w14:val="tx1"/>
            </w14:solidFill>
          </w14:textFill>
        </w:rPr>
      </w:pPr>
    </w:p>
    <w:p w14:paraId="30D56579">
      <w:pPr>
        <w:pStyle w:val="8"/>
        <w:rPr>
          <w:rFonts w:hint="eastAsia" w:ascii="宋体" w:hAnsi="宋体" w:eastAsia="宋体" w:cs="宋体"/>
          <w:b/>
          <w:bCs/>
          <w:color w:val="000000" w:themeColor="text1"/>
          <w:szCs w:val="21"/>
          <w:highlight w:val="none"/>
          <w14:textFill>
            <w14:solidFill>
              <w14:schemeClr w14:val="tx1"/>
            </w14:solidFill>
          </w14:textFill>
        </w:rPr>
      </w:pPr>
    </w:p>
    <w:p w14:paraId="7A85764E">
      <w:pPr>
        <w:pStyle w:val="8"/>
        <w:rPr>
          <w:rFonts w:hint="eastAsia" w:ascii="宋体" w:hAnsi="宋体" w:eastAsia="宋体" w:cs="宋体"/>
          <w:b/>
          <w:bCs/>
          <w:color w:val="000000" w:themeColor="text1"/>
          <w:szCs w:val="21"/>
          <w:highlight w:val="none"/>
          <w14:textFill>
            <w14:solidFill>
              <w14:schemeClr w14:val="tx1"/>
            </w14:solidFill>
          </w14:textFill>
        </w:rPr>
      </w:pPr>
    </w:p>
    <w:p w14:paraId="07871614">
      <w:pPr>
        <w:pStyle w:val="8"/>
        <w:rPr>
          <w:rFonts w:hint="eastAsia" w:ascii="宋体" w:hAnsi="宋体" w:eastAsia="宋体" w:cs="宋体"/>
          <w:b/>
          <w:bCs/>
          <w:color w:val="000000" w:themeColor="text1"/>
          <w:szCs w:val="21"/>
          <w:highlight w:val="none"/>
          <w14:textFill>
            <w14:solidFill>
              <w14:schemeClr w14:val="tx1"/>
            </w14:solidFill>
          </w14:textFill>
        </w:rPr>
      </w:pPr>
    </w:p>
    <w:p w14:paraId="678A4C90">
      <w:pPr>
        <w:rPr>
          <w:rFonts w:hint="eastAsia" w:ascii="宋体" w:hAnsi="宋体" w:eastAsia="宋体" w:cs="宋体"/>
          <w:color w:val="000000" w:themeColor="text1"/>
          <w:highlight w:val="none"/>
          <w14:textFill>
            <w14:solidFill>
              <w14:schemeClr w14:val="tx1"/>
            </w14:solidFill>
          </w14:textFill>
        </w:rPr>
      </w:pPr>
    </w:p>
    <w:p w14:paraId="5E5F96D3">
      <w:pPr>
        <w:pStyle w:val="8"/>
        <w:rPr>
          <w:rFonts w:hint="eastAsia" w:ascii="宋体" w:hAnsi="宋体" w:eastAsia="宋体" w:cs="宋体"/>
          <w:b/>
          <w:bCs/>
          <w:color w:val="000000" w:themeColor="text1"/>
          <w:szCs w:val="21"/>
          <w:highlight w:val="none"/>
          <w14:textFill>
            <w14:solidFill>
              <w14:schemeClr w14:val="tx1"/>
            </w14:solidFill>
          </w14:textFill>
        </w:rPr>
      </w:pPr>
    </w:p>
    <w:p w14:paraId="4F564451">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2A736F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000000" w:themeColor="text1"/>
          <w:szCs w:val="21"/>
          <w:highlight w:val="none"/>
          <w14:textFill>
            <w14:solidFill>
              <w14:schemeClr w14:val="tx1"/>
            </w14:solidFill>
          </w14:textFill>
        </w:rPr>
      </w:pPr>
      <w:bookmarkStart w:id="250" w:name="_Toc28672"/>
      <w:bookmarkStart w:id="251" w:name="_Toc9339"/>
      <w:bookmarkStart w:id="252" w:name="_Toc497927084"/>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eastAsia="zh-CN"/>
          <w14:textFill>
            <w14:solidFill>
              <w14:schemeClr w14:val="tx1"/>
            </w14:solidFill>
          </w14:textFill>
        </w:rPr>
        <w:t>三</w:t>
      </w:r>
      <w:r>
        <w:rPr>
          <w:rFonts w:hint="eastAsia" w:ascii="宋体" w:hAnsi="宋体" w:eastAsia="宋体" w:cs="宋体"/>
          <w:b/>
          <w:bCs/>
          <w:color w:val="000000" w:themeColor="text1"/>
          <w:sz w:val="32"/>
          <w:szCs w:val="32"/>
          <w:highlight w:val="none"/>
          <w14:textFill>
            <w14:solidFill>
              <w14:schemeClr w14:val="tx1"/>
            </w14:solidFill>
          </w14:textFill>
        </w:rPr>
        <w:t>）其</w:t>
      </w:r>
      <w:r>
        <w:rPr>
          <w:rFonts w:hint="eastAsia" w:ascii="宋体" w:hAnsi="宋体" w:eastAsia="宋体" w:cs="宋体"/>
          <w:b/>
          <w:bCs/>
          <w:color w:val="000000" w:themeColor="text1"/>
          <w:sz w:val="32"/>
          <w:szCs w:val="32"/>
          <w:highlight w:val="none"/>
          <w:lang w:eastAsia="zh-CN"/>
          <w14:textFill>
            <w14:solidFill>
              <w14:schemeClr w14:val="tx1"/>
            </w14:solidFill>
          </w14:textFill>
        </w:rPr>
        <w:t>他</w:t>
      </w:r>
      <w:r>
        <w:rPr>
          <w:rFonts w:hint="eastAsia" w:ascii="宋体" w:hAnsi="宋体" w:eastAsia="宋体" w:cs="宋体"/>
          <w:b/>
          <w:bCs/>
          <w:color w:val="000000" w:themeColor="text1"/>
          <w:sz w:val="32"/>
          <w:szCs w:val="32"/>
          <w:highlight w:val="none"/>
          <w14:textFill>
            <w14:solidFill>
              <w14:schemeClr w14:val="tx1"/>
            </w14:solidFill>
          </w14:textFill>
        </w:rPr>
        <w:t>有效证明材料目录</w:t>
      </w:r>
      <w:bookmarkEnd w:id="250"/>
      <w:bookmarkEnd w:id="251"/>
      <w:bookmarkEnd w:id="252"/>
    </w:p>
    <w:p w14:paraId="67FBABAA">
      <w:pPr>
        <w:spacing w:line="360"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项目实施人员一览表</w:t>
      </w:r>
      <w:r>
        <w:rPr>
          <w:rFonts w:hint="eastAsia" w:ascii="宋体" w:hAnsi="宋体" w:eastAsia="宋体" w:cs="宋体"/>
          <w:b w:val="0"/>
          <w:bCs w:val="0"/>
          <w:color w:val="000000" w:themeColor="text1"/>
          <w:sz w:val="24"/>
          <w:highlight w:val="none"/>
          <w14:textFill>
            <w14:solidFill>
              <w14:schemeClr w14:val="tx1"/>
            </w14:solidFill>
          </w14:textFill>
        </w:rPr>
        <w:t>（格式见附件）</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如有，请提供</w:t>
      </w:r>
      <w:r>
        <w:rPr>
          <w:rFonts w:hint="eastAsia" w:ascii="宋体" w:hAnsi="宋体" w:cs="宋体"/>
          <w:b/>
          <w:bCs/>
          <w:color w:val="000000" w:themeColor="text1"/>
          <w:sz w:val="24"/>
          <w:highlight w:val="none"/>
          <w:lang w:val="en-US" w:eastAsia="zh-CN"/>
          <w14:textFill>
            <w14:solidFill>
              <w14:schemeClr w14:val="tx1"/>
            </w14:solidFill>
          </w14:textFill>
        </w:rPr>
        <w:t>）；</w:t>
      </w:r>
    </w:p>
    <w:p w14:paraId="3661F016">
      <w:pPr>
        <w:numPr>
          <w:ilvl w:val="0"/>
          <w:numId w:val="0"/>
        </w:numPr>
        <w:spacing w:line="360" w:lineRule="auto"/>
        <w:ind w:firstLine="480" w:firstLineChars="200"/>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“采购需求”需提供的有效证明文件</w:t>
      </w:r>
      <w:r>
        <w:rPr>
          <w:rFonts w:hint="eastAsia" w:ascii="宋体" w:hAnsi="宋体" w:eastAsia="宋体" w:cs="宋体"/>
          <w:b/>
          <w:bCs/>
          <w:color w:val="000000" w:themeColor="text1"/>
          <w:sz w:val="24"/>
          <w:highlight w:val="none"/>
          <w14:textFill>
            <w14:solidFill>
              <w14:schemeClr w14:val="tx1"/>
            </w14:solidFill>
          </w14:textFill>
        </w:rPr>
        <w:t>（如有，请提供）；</w:t>
      </w:r>
    </w:p>
    <w:p w14:paraId="21342D76">
      <w:pPr>
        <w:numPr>
          <w:ilvl w:val="0"/>
          <w:numId w:val="0"/>
        </w:numPr>
        <w:spacing w:line="360" w:lineRule="auto"/>
        <w:ind w:firstLine="480" w:firstLineChars="200"/>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3.供应商自2023年1月1日以来同类业绩的相关证明材料 [以中标（成交）通知书或采购合同复印件（能清晰反映项目名称、种类、金额)，否则将不予计分；同一个编号的项目有两个或两个以上的分标中标的只算一次]</w:t>
      </w:r>
      <w:r>
        <w:rPr>
          <w:rFonts w:hint="eastAsia" w:ascii="宋体" w:hAnsi="宋体" w:eastAsia="宋体" w:cs="宋体"/>
          <w:b/>
          <w:bCs/>
          <w:color w:val="000000" w:themeColor="text1"/>
          <w:sz w:val="24"/>
          <w:highlight w:val="none"/>
          <w14:textFill>
            <w14:solidFill>
              <w14:schemeClr w14:val="tx1"/>
            </w14:solidFill>
          </w14:textFill>
        </w:rPr>
        <w:t>（如有，请提供）；</w:t>
      </w:r>
    </w:p>
    <w:p w14:paraId="2B8967E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.供应商可结合本项目的评审办法视自身情况自行提交其它相关证明材料。</w:t>
      </w:r>
    </w:p>
    <w:p w14:paraId="6B52826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.《中小企业声明函》（见附件）</w:t>
      </w:r>
      <w:r>
        <w:rPr>
          <w:rFonts w:hint="eastAsia" w:ascii="宋体" w:hAnsi="宋体" w:eastAsia="宋体" w:cs="宋体"/>
          <w:b/>
          <w:bCs w:val="0"/>
          <w:color w:val="000000" w:themeColor="text1"/>
          <w:sz w:val="24"/>
          <w:highlight w:val="none"/>
          <w14:textFill>
            <w14:solidFill>
              <w14:schemeClr w14:val="tx1"/>
            </w14:solidFill>
          </w14:textFill>
        </w:rPr>
        <w:t>（除监狱企业及残疾人福利性单位外，</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6498A82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.如提供服务的供应商属于监狱企业的，应当提供由省级以上监狱管理局、戒毒管理局等（含</w:t>
      </w:r>
    </w:p>
    <w:p w14:paraId="749C65D5">
      <w:pPr>
        <w:pStyle w:val="4"/>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bookmarkStart w:id="253" w:name="_Toc6261"/>
      <w:r>
        <w:rPr>
          <w:rFonts w:hint="eastAsia" w:ascii="宋体" w:hAnsi="宋体" w:eastAsia="宋体" w:cs="宋体"/>
          <w:color w:val="000000" w:themeColor="text1"/>
          <w:sz w:val="24"/>
          <w:highlight w:val="none"/>
          <w14:textFill>
            <w14:solidFill>
              <w14:schemeClr w14:val="tx1"/>
            </w14:solidFill>
          </w14:textFill>
        </w:rPr>
        <w:t>新疆生产建设兵团）出具的属于监狱企业的证明文件, 否则不予享受优惠政策</w:t>
      </w:r>
      <w:r>
        <w:rPr>
          <w:rFonts w:hint="eastAsia" w:ascii="宋体" w:hAnsi="宋体" w:eastAsia="宋体" w:cs="宋体"/>
          <w:b/>
          <w:bCs w:val="0"/>
          <w:color w:val="000000" w:themeColor="text1"/>
          <w:sz w:val="24"/>
          <w:highlight w:val="none"/>
          <w14:textFill>
            <w14:solidFill>
              <w14:schemeClr w14:val="tx1"/>
            </w14:solidFill>
          </w14:textFill>
        </w:rPr>
        <w:t>（如供应商属于监狱企业的，</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bookmarkEnd w:id="253"/>
    </w:p>
    <w:p w14:paraId="407010DE">
      <w:pPr>
        <w:pStyle w:val="4"/>
        <w:numPr>
          <w:ilvl w:val="0"/>
          <w:numId w:val="0"/>
        </w:numPr>
        <w:ind w:left="420" w:leftChars="0"/>
        <w:rPr>
          <w:rFonts w:hint="eastAsia" w:ascii="宋体" w:hAnsi="宋体" w:eastAsia="宋体" w:cs="宋体"/>
          <w:color w:val="000000" w:themeColor="text1"/>
          <w:sz w:val="24"/>
          <w:highlight w:val="none"/>
          <w14:textFill>
            <w14:solidFill>
              <w14:schemeClr w14:val="tx1"/>
            </w14:solidFill>
          </w14:textFill>
        </w:rPr>
      </w:pPr>
      <w:bookmarkStart w:id="254" w:name="_Toc27921"/>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符合条件的残疾人福利性单位在参加政府采购活动时，应当提供《残疾人福利性单位声明</w:t>
      </w:r>
      <w:bookmarkEnd w:id="254"/>
    </w:p>
    <w:p w14:paraId="3EF37199">
      <w:pPr>
        <w:pStyle w:val="4"/>
        <w:numPr>
          <w:ilvl w:val="0"/>
          <w:numId w:val="0"/>
        </w:numPr>
        <w:rPr>
          <w:rFonts w:hint="eastAsia" w:ascii="宋体" w:hAnsi="宋体" w:eastAsia="宋体" w:cs="宋体"/>
          <w:color w:val="000000" w:themeColor="text1"/>
          <w:sz w:val="24"/>
          <w:highlight w:val="none"/>
          <w:lang w:eastAsia="zh-CN"/>
          <w14:textFill>
            <w14:solidFill>
              <w14:schemeClr w14:val="tx1"/>
            </w14:solidFill>
          </w14:textFill>
        </w:rPr>
      </w:pPr>
      <w:bookmarkStart w:id="255" w:name="_Toc31734"/>
      <w:r>
        <w:rPr>
          <w:rFonts w:hint="eastAsia" w:ascii="宋体" w:hAnsi="宋体" w:eastAsia="宋体" w:cs="宋体"/>
          <w:color w:val="000000" w:themeColor="text1"/>
          <w:sz w:val="24"/>
          <w:highlight w:val="none"/>
          <w14:textFill>
            <w14:solidFill>
              <w14:schemeClr w14:val="tx1"/>
            </w14:solidFill>
          </w14:textFill>
        </w:rPr>
        <w:t>函》（见附件），并对声明的真实性负责</w:t>
      </w:r>
      <w:r>
        <w:rPr>
          <w:rFonts w:hint="eastAsia" w:ascii="宋体" w:hAnsi="宋体" w:eastAsia="宋体" w:cs="宋体"/>
          <w:b/>
          <w:bCs w:val="0"/>
          <w:color w:val="000000" w:themeColor="text1"/>
          <w:sz w:val="24"/>
          <w:highlight w:val="none"/>
          <w14:textFill>
            <w14:solidFill>
              <w14:schemeClr w14:val="tx1"/>
            </w14:solidFill>
          </w14:textFill>
        </w:rPr>
        <w:t>（如供应商属于残疾人福利性单位的，</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r>
        <w:rPr>
          <w:rFonts w:hint="eastAsia" w:ascii="宋体" w:hAnsi="宋体" w:cs="宋体"/>
          <w:b/>
          <w:bCs w:val="0"/>
          <w:color w:val="000000" w:themeColor="text1"/>
          <w:sz w:val="24"/>
          <w:highlight w:val="none"/>
          <w:lang w:eastAsia="zh-CN"/>
          <w14:textFill>
            <w14:solidFill>
              <w14:schemeClr w14:val="tx1"/>
            </w14:solidFill>
          </w14:textFill>
        </w:rPr>
        <w:t>；</w:t>
      </w:r>
      <w:bookmarkEnd w:id="255"/>
    </w:p>
    <w:p w14:paraId="49390321">
      <w:pPr>
        <w:pStyle w:val="22"/>
        <w:rPr>
          <w:rFonts w:hint="eastAsia" w:ascii="宋体" w:hAnsi="宋体" w:eastAsia="宋体" w:cs="宋体"/>
          <w:b/>
          <w:bCs/>
          <w:color w:val="000000" w:themeColor="text1"/>
          <w:sz w:val="24"/>
          <w:highlight w:val="none"/>
          <w14:textFill>
            <w14:solidFill>
              <w14:schemeClr w14:val="tx1"/>
            </w14:solidFill>
          </w14:textFill>
        </w:rPr>
      </w:pPr>
    </w:p>
    <w:p w14:paraId="5A264502">
      <w:pPr>
        <w:pStyle w:val="22"/>
        <w:rPr>
          <w:rFonts w:hint="eastAsia" w:ascii="宋体" w:hAnsi="宋体" w:eastAsia="宋体" w:cs="宋体"/>
          <w:b/>
          <w:bCs/>
          <w:color w:val="000000" w:themeColor="text1"/>
          <w:sz w:val="24"/>
          <w:highlight w:val="none"/>
          <w14:textFill>
            <w14:solidFill>
              <w14:schemeClr w14:val="tx1"/>
            </w14:solidFill>
          </w14:textFill>
        </w:rPr>
      </w:pPr>
    </w:p>
    <w:p w14:paraId="378AACB4">
      <w:pPr>
        <w:pStyle w:val="22"/>
        <w:rPr>
          <w:rFonts w:hint="eastAsia" w:ascii="宋体" w:hAnsi="宋体" w:eastAsia="宋体" w:cs="宋体"/>
          <w:b/>
          <w:bCs/>
          <w:color w:val="000000" w:themeColor="text1"/>
          <w:sz w:val="24"/>
          <w:highlight w:val="none"/>
          <w14:textFill>
            <w14:solidFill>
              <w14:schemeClr w14:val="tx1"/>
            </w14:solidFill>
          </w14:textFill>
        </w:rPr>
      </w:pPr>
    </w:p>
    <w:p w14:paraId="58CFF1B7">
      <w:pPr>
        <w:pStyle w:val="22"/>
        <w:rPr>
          <w:rFonts w:hint="eastAsia" w:ascii="宋体" w:hAnsi="宋体" w:eastAsia="宋体" w:cs="宋体"/>
          <w:b/>
          <w:bCs/>
          <w:color w:val="000000" w:themeColor="text1"/>
          <w:sz w:val="24"/>
          <w:highlight w:val="none"/>
          <w14:textFill>
            <w14:solidFill>
              <w14:schemeClr w14:val="tx1"/>
            </w14:solidFill>
          </w14:textFill>
        </w:rPr>
      </w:pPr>
    </w:p>
    <w:p w14:paraId="4BA33BD5">
      <w:pPr>
        <w:pStyle w:val="22"/>
        <w:rPr>
          <w:rFonts w:hint="eastAsia" w:ascii="宋体" w:hAnsi="宋体" w:eastAsia="宋体" w:cs="宋体"/>
          <w:b/>
          <w:bCs/>
          <w:color w:val="000000" w:themeColor="text1"/>
          <w:sz w:val="24"/>
          <w:highlight w:val="none"/>
          <w14:textFill>
            <w14:solidFill>
              <w14:schemeClr w14:val="tx1"/>
            </w14:solidFill>
          </w14:textFill>
        </w:rPr>
      </w:pPr>
    </w:p>
    <w:p w14:paraId="05FE3F9D">
      <w:pPr>
        <w:pStyle w:val="22"/>
        <w:rPr>
          <w:rFonts w:hint="eastAsia" w:ascii="宋体" w:hAnsi="宋体" w:eastAsia="宋体" w:cs="宋体"/>
          <w:b/>
          <w:bCs/>
          <w:color w:val="000000" w:themeColor="text1"/>
          <w:sz w:val="24"/>
          <w:highlight w:val="none"/>
          <w14:textFill>
            <w14:solidFill>
              <w14:schemeClr w14:val="tx1"/>
            </w14:solidFill>
          </w14:textFill>
        </w:rPr>
      </w:pPr>
    </w:p>
    <w:p w14:paraId="364C4C80">
      <w:pPr>
        <w:pStyle w:val="22"/>
        <w:rPr>
          <w:rFonts w:hint="eastAsia" w:ascii="宋体" w:hAnsi="宋体" w:eastAsia="宋体" w:cs="宋体"/>
          <w:b/>
          <w:bCs/>
          <w:color w:val="000000" w:themeColor="text1"/>
          <w:sz w:val="24"/>
          <w:highlight w:val="none"/>
          <w14:textFill>
            <w14:solidFill>
              <w14:schemeClr w14:val="tx1"/>
            </w14:solidFill>
          </w14:textFill>
        </w:rPr>
      </w:pPr>
    </w:p>
    <w:p w14:paraId="6A3A9496">
      <w:pPr>
        <w:pStyle w:val="22"/>
        <w:rPr>
          <w:rFonts w:hint="eastAsia" w:ascii="宋体" w:hAnsi="宋体" w:eastAsia="宋体" w:cs="宋体"/>
          <w:b/>
          <w:bCs/>
          <w:color w:val="000000" w:themeColor="text1"/>
          <w:sz w:val="24"/>
          <w:highlight w:val="none"/>
          <w14:textFill>
            <w14:solidFill>
              <w14:schemeClr w14:val="tx1"/>
            </w14:solidFill>
          </w14:textFill>
        </w:rPr>
      </w:pPr>
    </w:p>
    <w:p w14:paraId="26255AEE">
      <w:pPr>
        <w:pStyle w:val="22"/>
        <w:rPr>
          <w:rFonts w:hint="eastAsia" w:ascii="宋体" w:hAnsi="宋体" w:eastAsia="宋体" w:cs="宋体"/>
          <w:b/>
          <w:bCs/>
          <w:color w:val="000000" w:themeColor="text1"/>
          <w:sz w:val="24"/>
          <w:highlight w:val="none"/>
          <w14:textFill>
            <w14:solidFill>
              <w14:schemeClr w14:val="tx1"/>
            </w14:solidFill>
          </w14:textFill>
        </w:rPr>
      </w:pPr>
    </w:p>
    <w:p w14:paraId="3959E759">
      <w:pPr>
        <w:pStyle w:val="22"/>
        <w:rPr>
          <w:rFonts w:hint="eastAsia" w:ascii="宋体" w:hAnsi="宋体" w:eastAsia="宋体" w:cs="宋体"/>
          <w:b/>
          <w:bCs/>
          <w:color w:val="000000" w:themeColor="text1"/>
          <w:sz w:val="24"/>
          <w:highlight w:val="none"/>
          <w14:textFill>
            <w14:solidFill>
              <w14:schemeClr w14:val="tx1"/>
            </w14:solidFill>
          </w14:textFill>
        </w:rPr>
      </w:pPr>
    </w:p>
    <w:p w14:paraId="5346EE90">
      <w:pPr>
        <w:pStyle w:val="22"/>
        <w:rPr>
          <w:rFonts w:hint="eastAsia" w:ascii="宋体" w:hAnsi="宋体" w:eastAsia="宋体" w:cs="宋体"/>
          <w:b/>
          <w:bCs/>
          <w:color w:val="000000" w:themeColor="text1"/>
          <w:sz w:val="24"/>
          <w:highlight w:val="none"/>
          <w14:textFill>
            <w14:solidFill>
              <w14:schemeClr w14:val="tx1"/>
            </w14:solidFill>
          </w14:textFill>
        </w:rPr>
      </w:pPr>
    </w:p>
    <w:p w14:paraId="3D9A24A7">
      <w:pPr>
        <w:pStyle w:val="22"/>
        <w:rPr>
          <w:rFonts w:hint="eastAsia" w:ascii="宋体" w:hAnsi="宋体" w:eastAsia="宋体" w:cs="宋体"/>
          <w:b/>
          <w:bCs/>
          <w:color w:val="000000" w:themeColor="text1"/>
          <w:sz w:val="24"/>
          <w:highlight w:val="none"/>
          <w14:textFill>
            <w14:solidFill>
              <w14:schemeClr w14:val="tx1"/>
            </w14:solidFill>
          </w14:textFill>
        </w:rPr>
      </w:pPr>
    </w:p>
    <w:p w14:paraId="11894174">
      <w:pPr>
        <w:pStyle w:val="22"/>
        <w:rPr>
          <w:rFonts w:hint="eastAsia" w:ascii="宋体" w:hAnsi="宋体" w:eastAsia="宋体" w:cs="宋体"/>
          <w:b/>
          <w:bCs/>
          <w:color w:val="000000" w:themeColor="text1"/>
          <w:sz w:val="24"/>
          <w:highlight w:val="none"/>
          <w14:textFill>
            <w14:solidFill>
              <w14:schemeClr w14:val="tx1"/>
            </w14:solidFill>
          </w14:textFill>
        </w:rPr>
      </w:pPr>
    </w:p>
    <w:p w14:paraId="7871E872">
      <w:pPr>
        <w:pStyle w:val="22"/>
        <w:rPr>
          <w:rFonts w:hint="eastAsia" w:ascii="宋体" w:hAnsi="宋体" w:eastAsia="宋体" w:cs="宋体"/>
          <w:b/>
          <w:bCs/>
          <w:color w:val="000000" w:themeColor="text1"/>
          <w:sz w:val="24"/>
          <w:highlight w:val="none"/>
          <w14:textFill>
            <w14:solidFill>
              <w14:schemeClr w14:val="tx1"/>
            </w14:solidFill>
          </w14:textFill>
        </w:rPr>
      </w:pPr>
    </w:p>
    <w:p w14:paraId="2632BA82">
      <w:pPr>
        <w:pStyle w:val="22"/>
        <w:rPr>
          <w:rFonts w:hint="eastAsia" w:ascii="宋体" w:hAnsi="宋体" w:eastAsia="宋体" w:cs="宋体"/>
          <w:b/>
          <w:bCs/>
          <w:color w:val="000000" w:themeColor="text1"/>
          <w:sz w:val="24"/>
          <w:highlight w:val="none"/>
          <w14:textFill>
            <w14:solidFill>
              <w14:schemeClr w14:val="tx1"/>
            </w14:solidFill>
          </w14:textFill>
        </w:rPr>
      </w:pPr>
    </w:p>
    <w:p w14:paraId="0A170696">
      <w:pPr>
        <w:pStyle w:val="22"/>
        <w:rPr>
          <w:rFonts w:hint="eastAsia" w:ascii="宋体" w:hAnsi="宋体" w:eastAsia="宋体" w:cs="宋体"/>
          <w:b/>
          <w:bCs/>
          <w:color w:val="000000" w:themeColor="text1"/>
          <w:sz w:val="24"/>
          <w:highlight w:val="none"/>
          <w14:textFill>
            <w14:solidFill>
              <w14:schemeClr w14:val="tx1"/>
            </w14:solidFill>
          </w14:textFill>
        </w:rPr>
      </w:pPr>
    </w:p>
    <w:p w14:paraId="0C604396">
      <w:pPr>
        <w:pStyle w:val="22"/>
        <w:rPr>
          <w:rFonts w:hint="eastAsia" w:ascii="宋体" w:hAnsi="宋体" w:eastAsia="宋体" w:cs="宋体"/>
          <w:b/>
          <w:bCs/>
          <w:color w:val="000000" w:themeColor="text1"/>
          <w:sz w:val="24"/>
          <w:highlight w:val="none"/>
          <w14:textFill>
            <w14:solidFill>
              <w14:schemeClr w14:val="tx1"/>
            </w14:solidFill>
          </w14:textFill>
        </w:rPr>
      </w:pPr>
    </w:p>
    <w:p w14:paraId="7F0BF2C8">
      <w:pPr>
        <w:pStyle w:val="22"/>
        <w:rPr>
          <w:rFonts w:hint="eastAsia" w:ascii="宋体" w:hAnsi="宋体" w:eastAsia="宋体" w:cs="宋体"/>
          <w:b/>
          <w:bCs/>
          <w:color w:val="000000" w:themeColor="text1"/>
          <w:sz w:val="24"/>
          <w:highlight w:val="none"/>
          <w14:textFill>
            <w14:solidFill>
              <w14:schemeClr w14:val="tx1"/>
            </w14:solidFill>
          </w14:textFill>
        </w:rPr>
      </w:pPr>
    </w:p>
    <w:p w14:paraId="728A15DE">
      <w:pPr>
        <w:pStyle w:val="22"/>
        <w:rPr>
          <w:rFonts w:hint="eastAsia" w:ascii="宋体" w:hAnsi="宋体" w:eastAsia="宋体" w:cs="宋体"/>
          <w:b/>
          <w:bCs/>
          <w:color w:val="000000" w:themeColor="text1"/>
          <w:sz w:val="24"/>
          <w:highlight w:val="none"/>
          <w14:textFill>
            <w14:solidFill>
              <w14:schemeClr w14:val="tx1"/>
            </w14:solidFill>
          </w14:textFill>
        </w:rPr>
      </w:pPr>
    </w:p>
    <w:p w14:paraId="449C4A09">
      <w:pPr>
        <w:pStyle w:val="22"/>
        <w:rPr>
          <w:rFonts w:hint="eastAsia" w:ascii="宋体" w:hAnsi="宋体" w:eastAsia="宋体" w:cs="宋体"/>
          <w:b/>
          <w:bCs/>
          <w:color w:val="000000" w:themeColor="text1"/>
          <w:sz w:val="24"/>
          <w:highlight w:val="none"/>
          <w14:textFill>
            <w14:solidFill>
              <w14:schemeClr w14:val="tx1"/>
            </w14:solidFill>
          </w14:textFill>
        </w:rPr>
      </w:pPr>
    </w:p>
    <w:p w14:paraId="38ED0E8E">
      <w:pPr>
        <w:pStyle w:val="22"/>
        <w:rPr>
          <w:rFonts w:hint="eastAsia" w:ascii="宋体" w:hAnsi="宋体" w:eastAsia="宋体" w:cs="宋体"/>
          <w:b/>
          <w:bCs/>
          <w:color w:val="000000" w:themeColor="text1"/>
          <w:sz w:val="24"/>
          <w:highlight w:val="none"/>
          <w14:textFill>
            <w14:solidFill>
              <w14:schemeClr w14:val="tx1"/>
            </w14:solidFill>
          </w14:textFill>
        </w:rPr>
      </w:pPr>
    </w:p>
    <w:p w14:paraId="0E9215FE">
      <w:pPr>
        <w:pStyle w:val="22"/>
        <w:rPr>
          <w:rFonts w:hint="eastAsia" w:ascii="宋体" w:hAnsi="宋体" w:eastAsia="宋体" w:cs="宋体"/>
          <w:b/>
          <w:bCs/>
          <w:color w:val="000000" w:themeColor="text1"/>
          <w:sz w:val="24"/>
          <w:highlight w:val="none"/>
          <w14:textFill>
            <w14:solidFill>
              <w14:schemeClr w14:val="tx1"/>
            </w14:solidFill>
          </w14:textFill>
        </w:rPr>
      </w:pPr>
    </w:p>
    <w:p w14:paraId="28606FF5">
      <w:pPr>
        <w:pStyle w:val="22"/>
        <w:rPr>
          <w:rFonts w:hint="eastAsia" w:ascii="宋体" w:hAnsi="宋体" w:eastAsia="宋体" w:cs="宋体"/>
          <w:b/>
          <w:bCs/>
          <w:color w:val="000000" w:themeColor="text1"/>
          <w:sz w:val="24"/>
          <w:highlight w:val="none"/>
          <w14:textFill>
            <w14:solidFill>
              <w14:schemeClr w14:val="tx1"/>
            </w14:solidFill>
          </w14:textFill>
        </w:rPr>
      </w:pPr>
    </w:p>
    <w:p w14:paraId="268CD4C3">
      <w:pPr>
        <w:pStyle w:val="22"/>
        <w:rPr>
          <w:rFonts w:hint="eastAsia" w:ascii="宋体" w:hAnsi="宋体" w:eastAsia="宋体" w:cs="宋体"/>
          <w:b/>
          <w:bCs/>
          <w:color w:val="000000" w:themeColor="text1"/>
          <w:sz w:val="24"/>
          <w:highlight w:val="none"/>
          <w14:textFill>
            <w14:solidFill>
              <w14:schemeClr w14:val="tx1"/>
            </w14:solidFill>
          </w14:textFill>
        </w:rPr>
      </w:pPr>
    </w:p>
    <w:p w14:paraId="2660E408">
      <w:pPr>
        <w:pStyle w:val="8"/>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4A5D5DB1">
      <w:pPr>
        <w:pStyle w:val="11"/>
        <w:numPr>
          <w:ilvl w:val="0"/>
          <w:numId w:val="14"/>
        </w:numPr>
        <w:rPr>
          <w:rFonts w:hint="eastAsia" w:hAnsi="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项目实施人员一览表 （如有，请提供</w:t>
      </w:r>
      <w:r>
        <w:rPr>
          <w:rFonts w:hint="eastAsia" w:hAnsi="宋体" w:cs="宋体"/>
          <w:b/>
          <w:color w:val="000000" w:themeColor="text1"/>
          <w:kern w:val="2"/>
          <w:sz w:val="28"/>
          <w:szCs w:val="28"/>
          <w:highlight w:val="none"/>
          <w:lang w:val="en-US" w:eastAsia="zh-CN" w:bidi="ar-SA"/>
          <w14:textFill>
            <w14:solidFill>
              <w14:schemeClr w14:val="tx1"/>
            </w14:solidFill>
          </w14:textFill>
        </w:rPr>
        <w:t>）</w:t>
      </w:r>
    </w:p>
    <w:p w14:paraId="37BDAA5B">
      <w:pPr>
        <w:pStyle w:val="11"/>
        <w:numPr>
          <w:ilvl w:val="0"/>
          <w:numId w:val="0"/>
        </w:num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798E0B9A">
      <w:pPr>
        <w:pStyle w:val="11"/>
        <w:ind w:firstLine="472" w:firstLineChars="147"/>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项目实施人员一览表（格式）</w:t>
      </w:r>
    </w:p>
    <w:tbl>
      <w:tblPr>
        <w:tblStyle w:val="19"/>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1687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40B4122C">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50" w:type="dxa"/>
            <w:vAlign w:val="center"/>
          </w:tcPr>
          <w:p w14:paraId="2FCD592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665" w:type="dxa"/>
            <w:vAlign w:val="center"/>
          </w:tcPr>
          <w:p w14:paraId="466DD80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专业技术资格</w:t>
            </w:r>
          </w:p>
        </w:tc>
        <w:tc>
          <w:tcPr>
            <w:tcW w:w="1200" w:type="dxa"/>
            <w:vAlign w:val="center"/>
          </w:tcPr>
          <w:p w14:paraId="4CEBA42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证书编号</w:t>
            </w:r>
          </w:p>
        </w:tc>
        <w:tc>
          <w:tcPr>
            <w:tcW w:w="2550" w:type="dxa"/>
            <w:vAlign w:val="center"/>
          </w:tcPr>
          <w:p w14:paraId="4EB644E2">
            <w:pPr>
              <w:spacing w:line="40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参加本单位工作时间</w:t>
            </w:r>
          </w:p>
        </w:tc>
        <w:tc>
          <w:tcPr>
            <w:tcW w:w="2610" w:type="dxa"/>
            <w:vAlign w:val="center"/>
          </w:tcPr>
          <w:p w14:paraId="72D364B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劳动合同编号</w:t>
            </w:r>
          </w:p>
        </w:tc>
      </w:tr>
      <w:tr w14:paraId="446C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11878203">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631B4637">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32E1A1B7">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1B2BE746">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113D5295">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6DCE03EB">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r w14:paraId="468B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3916DFF5">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2CBF9E52">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1D81B992">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159B0D38">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56AB8FCA">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2DE711CF">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bl>
    <w:p w14:paraId="7B262306">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68809ECA">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00D1D9">
      <w:pPr>
        <w:pStyle w:val="4"/>
        <w:rPr>
          <w:rFonts w:hint="eastAsia" w:ascii="宋体" w:hAnsi="宋体" w:eastAsia="宋体" w:cs="宋体"/>
          <w:color w:val="000000" w:themeColor="text1"/>
          <w:highlight w:val="none"/>
          <w14:textFill>
            <w14:solidFill>
              <w14:schemeClr w14:val="tx1"/>
            </w14:solidFill>
          </w14:textFill>
        </w:rPr>
      </w:pPr>
    </w:p>
    <w:p w14:paraId="53122000">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693876D5">
      <w:pPr>
        <w:pStyle w:val="8"/>
        <w:rPr>
          <w:rFonts w:hint="eastAsia" w:ascii="宋体" w:hAnsi="宋体" w:eastAsia="宋体" w:cs="宋体"/>
          <w:color w:val="000000" w:themeColor="text1"/>
          <w:highlight w:val="none"/>
          <w14:textFill>
            <w14:solidFill>
              <w14:schemeClr w14:val="tx1"/>
            </w14:solidFill>
          </w14:textFill>
        </w:rPr>
      </w:pPr>
    </w:p>
    <w:p w14:paraId="1A0407D5">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注：供应商根据自身情况结合本项目自行制定</w:t>
      </w:r>
    </w:p>
    <w:p w14:paraId="025CE57B">
      <w:pPr>
        <w:pStyle w:val="11"/>
        <w:spacing w:line="340" w:lineRule="exact"/>
        <w:rPr>
          <w:rFonts w:hint="eastAsia" w:ascii="宋体" w:hAnsi="宋体" w:eastAsia="宋体" w:cs="宋体"/>
          <w:b/>
          <w:bCs w:val="0"/>
          <w:color w:val="000000" w:themeColor="text1"/>
          <w:sz w:val="28"/>
          <w:szCs w:val="28"/>
          <w:highlight w:val="none"/>
          <w14:textFill>
            <w14:solidFill>
              <w14:schemeClr w14:val="tx1"/>
            </w14:solidFill>
          </w14:textFill>
        </w:rPr>
      </w:pPr>
    </w:p>
    <w:p w14:paraId="03734D2B">
      <w:pPr>
        <w:pStyle w:val="6"/>
        <w:rPr>
          <w:rFonts w:hint="eastAsia"/>
          <w:color w:val="000000" w:themeColor="text1"/>
          <w:highlight w:val="none"/>
          <w14:textFill>
            <w14:solidFill>
              <w14:schemeClr w14:val="tx1"/>
            </w14:solidFill>
          </w14:textFill>
        </w:rPr>
      </w:pPr>
    </w:p>
    <w:p w14:paraId="261B4CA1">
      <w:pPr>
        <w:pStyle w:val="11"/>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14:textFill>
            <w14:solidFill>
              <w14:schemeClr w14:val="tx1"/>
            </w14:solidFill>
          </w14:textFill>
        </w:rPr>
        <w:t>“采购需求”需提供的有效证明文件（如有，请提供）；</w:t>
      </w:r>
    </w:p>
    <w:p w14:paraId="1E011854">
      <w:pPr>
        <w:pStyle w:val="8"/>
        <w:rPr>
          <w:rFonts w:hint="eastAsia" w:ascii="宋体" w:hAnsi="宋体" w:eastAsia="宋体" w:cs="宋体"/>
          <w:b/>
          <w:bCs w:val="0"/>
          <w:color w:val="000000" w:themeColor="text1"/>
          <w:highlight w:val="none"/>
          <w14:textFill>
            <w14:solidFill>
              <w14:schemeClr w14:val="tx1"/>
            </w14:solidFill>
          </w14:textFill>
        </w:rPr>
      </w:pPr>
    </w:p>
    <w:p w14:paraId="4C7C0210">
      <w:pPr>
        <w:pStyle w:val="11"/>
        <w:numPr>
          <w:ilvl w:val="0"/>
          <w:numId w:val="0"/>
        </w:numPr>
        <w:spacing w:line="340" w:lineRule="exact"/>
        <w:ind w:leftChars="0"/>
        <w:rPr>
          <w:rFonts w:hint="eastAsia" w:ascii="宋体" w:hAnsi="宋体" w:eastAsia="宋体" w:cs="宋体"/>
          <w:b/>
          <w:bCs w:val="0"/>
          <w:color w:val="000000" w:themeColor="text1"/>
          <w:sz w:val="28"/>
          <w:szCs w:val="28"/>
          <w:highlight w:val="yellow"/>
          <w:lang w:val="en-US" w:eastAsia="zh-CN"/>
          <w14:textFill>
            <w14:solidFill>
              <w14:schemeClr w14:val="tx1"/>
            </w14:solidFill>
          </w14:textFill>
        </w:rPr>
      </w:pPr>
      <w:bookmarkStart w:id="256" w:name="_Toc3052"/>
      <w:bookmarkStart w:id="257" w:name="_Toc497927090"/>
      <w:bookmarkStart w:id="258" w:name="_Toc10161"/>
    </w:p>
    <w:p w14:paraId="2C55697C">
      <w:pPr>
        <w:pStyle w:val="11"/>
        <w:numPr>
          <w:ilvl w:val="0"/>
          <w:numId w:val="0"/>
        </w:numPr>
        <w:spacing w:line="340" w:lineRule="exact"/>
        <w:ind w:leftChars="0"/>
        <w:rPr>
          <w:rFonts w:hint="eastAsia" w:ascii="宋体" w:hAnsi="宋体" w:eastAsia="宋体" w:cs="宋体"/>
          <w:b/>
          <w:bCs w:val="0"/>
          <w:color w:val="000000" w:themeColor="text1"/>
          <w:sz w:val="28"/>
          <w:szCs w:val="28"/>
          <w:highlight w:val="yellow"/>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3.供应商自2023年1月1日以来同类业绩的相关证明材料 [以中标（成交）通知书或采购合同复印件（能清晰反映项目名称、种类、金额)，否则将不予计分；同一个编号的项目有两个或两个以上的分标中标的只算一次]</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bookmarkEnd w:id="256"/>
      <w:bookmarkEnd w:id="257"/>
      <w:bookmarkEnd w:id="258"/>
    </w:p>
    <w:p w14:paraId="2C11BB57">
      <w:pPr>
        <w:pStyle w:val="11"/>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AC2E369">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E2BDE3C">
      <w:pPr>
        <w:pStyle w:val="2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346E819">
      <w:pPr>
        <w:pStyle w:val="2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CB9A5DA">
      <w:pPr>
        <w:pStyle w:val="11"/>
        <w:numPr>
          <w:ilvl w:val="0"/>
          <w:numId w:val="0"/>
        </w:numPr>
        <w:spacing w:line="340" w:lineRule="exact"/>
        <w:ind w:leftChars="0"/>
        <w:rPr>
          <w:rFonts w:hint="eastAsia" w:ascii="宋体" w:hAnsi="宋体" w:eastAsia="宋体" w:cs="宋体"/>
          <w:color w:val="000000" w:themeColor="text1"/>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14:paraId="4B5CE85E">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06A40BE7">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14895D25">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56E12491">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61070739">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173309BF">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6F904ED9">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507D99CB">
      <w:pPr>
        <w:rPr>
          <w:rFonts w:hint="eastAsia"/>
          <w:lang w:val="en-US" w:eastAsia="zh-CN"/>
        </w:rPr>
      </w:pPr>
    </w:p>
    <w:p w14:paraId="2A5D1765">
      <w:pPr>
        <w:pStyle w:val="11"/>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《中小企业声明函》（见附件）（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除监狱企业及残疾人福利性单位外，</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r>
        <w:rPr>
          <w:rFonts w:hint="eastAsia" w:ascii="宋体" w:hAnsi="宋体" w:eastAsia="宋体" w:cs="宋体"/>
          <w:b/>
          <w:color w:val="000000" w:themeColor="text1"/>
          <w:sz w:val="28"/>
          <w:szCs w:val="28"/>
          <w:highlight w:val="none"/>
          <w14:textFill>
            <w14:solidFill>
              <w14:schemeClr w14:val="tx1"/>
            </w14:solidFill>
          </w14:textFill>
        </w:rPr>
        <w:t>）；</w:t>
      </w:r>
    </w:p>
    <w:p w14:paraId="31C1768F">
      <w:pPr>
        <w:pStyle w:val="8"/>
        <w:rPr>
          <w:rFonts w:hint="eastAsia" w:ascii="宋体" w:hAnsi="宋体" w:eastAsia="宋体" w:cs="宋体"/>
          <w:color w:val="000000" w:themeColor="text1"/>
          <w:highlight w:val="none"/>
          <w14:textFill>
            <w14:solidFill>
              <w14:schemeClr w14:val="tx1"/>
            </w14:solidFill>
          </w14:textFill>
        </w:rPr>
      </w:pPr>
    </w:p>
    <w:p w14:paraId="16E2F55C">
      <w:pPr>
        <w:pStyle w:val="1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77A57720">
      <w:pPr>
        <w:pStyle w:val="11"/>
        <w:spacing w:line="440" w:lineRule="exact"/>
        <w:jc w:val="cente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中小企业声明函（</w:t>
      </w:r>
      <w:r>
        <w:rPr>
          <w:rFonts w:hint="eastAsia" w:hAnsi="宋体" w:cs="宋体"/>
          <w:b/>
          <w:bCs/>
          <w:color w:val="000000" w:themeColor="text1"/>
          <w:sz w:val="28"/>
          <w:szCs w:val="28"/>
          <w:highlight w:val="none"/>
          <w:lang w:eastAsia="zh-CN"/>
          <w14:textFill>
            <w14:solidFill>
              <w14:schemeClr w14:val="tx1"/>
            </w14:solidFill>
          </w14:textFill>
        </w:rPr>
        <w:t>服务</w:t>
      </w:r>
      <w:r>
        <w:rPr>
          <w:rFonts w:hint="eastAsia" w:hAnsi="宋体" w:cs="宋体"/>
          <w:b/>
          <w:bCs/>
          <w:color w:val="000000" w:themeColor="text1"/>
          <w:sz w:val="28"/>
          <w:szCs w:val="28"/>
          <w:highlight w:val="none"/>
          <w14:textFill>
            <w14:solidFill>
              <w14:schemeClr w14:val="tx1"/>
            </w14:solidFill>
          </w14:textFill>
        </w:rPr>
        <w:t>）</w:t>
      </w:r>
    </w:p>
    <w:p w14:paraId="62B90D1A">
      <w:pPr>
        <w:pStyle w:val="11"/>
        <w:spacing w:line="440" w:lineRule="exact"/>
        <w:ind w:firstLine="504" w:firstLineChars="200"/>
        <w:rPr>
          <w:rFonts w:hint="eastAsia" w:hAnsi="宋体" w:cs="宋体"/>
          <w:color w:val="000000" w:themeColor="text1"/>
          <w:spacing w:val="6"/>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hAnsi="宋体" w:cs="宋体"/>
          <w:color w:val="000000" w:themeColor="text1"/>
          <w:spacing w:val="6"/>
          <w:sz w:val="24"/>
          <w:szCs w:val="24"/>
          <w:highlight w:val="none"/>
          <w:u w:val="single"/>
          <w14:textFill>
            <w14:solidFill>
              <w14:schemeClr w14:val="tx1"/>
            </w14:solidFill>
          </w14:textFill>
        </w:rPr>
        <w:t>单位名称</w:t>
      </w:r>
      <w:r>
        <w:rPr>
          <w:rFonts w:hint="eastAsia" w:hAnsi="宋体" w:cs="宋体"/>
          <w:color w:val="000000" w:themeColor="text1"/>
          <w:spacing w:val="6"/>
          <w:sz w:val="24"/>
          <w:szCs w:val="24"/>
          <w:highlight w:val="none"/>
          <w14:textFill>
            <w14:solidFill>
              <w14:schemeClr w14:val="tx1"/>
            </w14:solidFill>
          </w14:textFill>
        </w:rPr>
        <w:t>）的（</w:t>
      </w:r>
      <w:r>
        <w:rPr>
          <w:rFonts w:hint="eastAsia" w:hAnsi="宋体" w:cs="宋体"/>
          <w:color w:val="000000" w:themeColor="text1"/>
          <w:spacing w:val="6"/>
          <w:sz w:val="24"/>
          <w:szCs w:val="24"/>
          <w:highlight w:val="none"/>
          <w:u w:val="single"/>
          <w14:textFill>
            <w14:solidFill>
              <w14:schemeClr w14:val="tx1"/>
            </w14:solidFill>
          </w14:textFill>
        </w:rPr>
        <w:t>项目名称</w:t>
      </w:r>
      <w:r>
        <w:rPr>
          <w:rFonts w:hint="eastAsia" w:hAnsi="宋体" w:cs="宋体"/>
          <w:color w:val="000000" w:themeColor="text1"/>
          <w:spacing w:val="6"/>
          <w:sz w:val="24"/>
          <w:szCs w:val="24"/>
          <w:highlight w:val="none"/>
          <w14:textFill>
            <w14:solidFill>
              <w14:schemeClr w14:val="tx1"/>
            </w14:solidFill>
          </w14:textFill>
        </w:rPr>
        <w:t>）采购活动，提供的货物全部符合政策要求的中小企业制造。相关企业（含联合体中的中小企业、签订分包意向协议的中小企业）的具体情况如下：</w:t>
      </w:r>
    </w:p>
    <w:p w14:paraId="48D18750">
      <w:pPr>
        <w:pStyle w:val="11"/>
        <w:spacing w:line="440" w:lineRule="exact"/>
        <w:ind w:firstLine="504"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1.</w:t>
      </w:r>
      <w:r>
        <w:rPr>
          <w:rFonts w:hint="eastAsia" w:hAnsi="宋体" w:cs="宋体"/>
          <w:color w:val="000000" w:themeColor="text1"/>
          <w:spacing w:val="6"/>
          <w:sz w:val="24"/>
          <w:szCs w:val="24"/>
          <w:highlight w:val="none"/>
          <w:u w:val="single"/>
          <w14:textFill>
            <w14:solidFill>
              <w14:schemeClr w14:val="tx1"/>
            </w14:solidFill>
          </w14:textFill>
        </w:rPr>
        <w:t>（标的名称）</w:t>
      </w:r>
      <w:r>
        <w:rPr>
          <w:rFonts w:hint="eastAsia" w:hAnsi="宋体" w:cs="宋体"/>
          <w:color w:val="000000" w:themeColor="text1"/>
          <w:spacing w:val="6"/>
          <w:sz w:val="24"/>
          <w:szCs w:val="24"/>
          <w:highlight w:val="none"/>
          <w14:textFill>
            <w14:solidFill>
              <w14:schemeClr w14:val="tx1"/>
            </w14:solidFill>
          </w14:textFill>
        </w:rPr>
        <w:t>，属于</w:t>
      </w:r>
      <w:r>
        <w:rPr>
          <w:rFonts w:hint="eastAsia" w:hAnsi="宋体" w:cs="宋体"/>
          <w:color w:val="000000" w:themeColor="text1"/>
          <w:spacing w:val="6"/>
          <w:sz w:val="24"/>
          <w:szCs w:val="24"/>
          <w:highlight w:val="none"/>
          <w:u w:val="single"/>
          <w14:textFill>
            <w14:solidFill>
              <w14:schemeClr w14:val="tx1"/>
            </w14:solidFill>
          </w14:textFill>
        </w:rPr>
        <w:t>（采购文件中明确的所属行业）行业</w:t>
      </w:r>
      <w:r>
        <w:rPr>
          <w:rFonts w:hint="eastAsia" w:hAnsi="宋体" w:cs="宋体"/>
          <w:color w:val="000000" w:themeColor="text1"/>
          <w:spacing w:val="6"/>
          <w:sz w:val="24"/>
          <w:szCs w:val="24"/>
          <w:highlight w:val="none"/>
          <w14:textFill>
            <w14:solidFill>
              <w14:schemeClr w14:val="tx1"/>
            </w14:solidFill>
          </w14:textFill>
        </w:rPr>
        <w:t>；制造商为（</w:t>
      </w:r>
      <w:r>
        <w:rPr>
          <w:rFonts w:hint="eastAsia" w:hAnsi="宋体" w:cs="宋体"/>
          <w:color w:val="000000" w:themeColor="text1"/>
          <w:spacing w:val="6"/>
          <w:sz w:val="24"/>
          <w:szCs w:val="24"/>
          <w:highlight w:val="none"/>
          <w:u w:val="single"/>
          <w14:textFill>
            <w14:solidFill>
              <w14:schemeClr w14:val="tx1"/>
            </w14:solidFill>
          </w14:textFill>
        </w:rPr>
        <w:t>企业名称</w:t>
      </w:r>
      <w:r>
        <w:rPr>
          <w:rFonts w:hint="eastAsia" w:hAnsi="宋体" w:cs="宋体"/>
          <w:color w:val="000000" w:themeColor="text1"/>
          <w:spacing w:val="6"/>
          <w:sz w:val="24"/>
          <w:szCs w:val="24"/>
          <w:highlight w:val="none"/>
          <w14:textFill>
            <w14:solidFill>
              <w14:schemeClr w14:val="tx1"/>
            </w14:solidFill>
          </w14:textFill>
        </w:rPr>
        <w:t>），从业人员</w:t>
      </w:r>
      <w:r>
        <w:rPr>
          <w:rFonts w:hint="eastAsia"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14:textFill>
            <w14:solidFill>
              <w14:schemeClr w14:val="tx1"/>
            </w14:solidFill>
          </w14:textFill>
        </w:rPr>
        <w:t>人，营业收入为</w:t>
      </w:r>
      <w:r>
        <w:rPr>
          <w:rFonts w:hint="eastAsia"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14:textFill>
            <w14:solidFill>
              <w14:schemeClr w14:val="tx1"/>
            </w14:solidFill>
          </w14:textFill>
        </w:rPr>
        <w:t>万元，资产总额为</w:t>
      </w:r>
      <w:r>
        <w:rPr>
          <w:rFonts w:hint="eastAsia"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14:textFill>
            <w14:solidFill>
              <w14:schemeClr w14:val="tx1"/>
            </w14:solidFill>
          </w14:textFill>
        </w:rPr>
        <w:t>万元</w:t>
      </w:r>
      <w:r>
        <w:rPr>
          <w:rFonts w:hint="eastAsia" w:hAnsi="宋体" w:cs="宋体"/>
          <w:color w:val="000000" w:themeColor="text1"/>
          <w:spacing w:val="6"/>
          <w:sz w:val="24"/>
          <w:szCs w:val="24"/>
          <w:highlight w:val="none"/>
          <w:vertAlign w:val="superscript"/>
          <w14:textFill>
            <w14:solidFill>
              <w14:schemeClr w14:val="tx1"/>
            </w14:solidFill>
          </w14:textFill>
        </w:rPr>
        <w:t>1</w:t>
      </w:r>
      <w:r>
        <w:rPr>
          <w:rFonts w:hint="eastAsia" w:hAnsi="宋体" w:cs="宋体"/>
          <w:color w:val="000000" w:themeColor="text1"/>
          <w:spacing w:val="6"/>
          <w:sz w:val="24"/>
          <w:szCs w:val="24"/>
          <w:highlight w:val="none"/>
          <w14:textFill>
            <w14:solidFill>
              <w14:schemeClr w14:val="tx1"/>
            </w14:solidFill>
          </w14:textFill>
        </w:rPr>
        <w:t>，属于（</w:t>
      </w:r>
      <w:r>
        <w:rPr>
          <w:rFonts w:hint="eastAsia" w:hAnsi="宋体" w:cs="宋体"/>
          <w:color w:val="000000" w:themeColor="text1"/>
          <w:spacing w:val="6"/>
          <w:sz w:val="24"/>
          <w:szCs w:val="24"/>
          <w:highlight w:val="none"/>
          <w:u w:val="single"/>
          <w14:textFill>
            <w14:solidFill>
              <w14:schemeClr w14:val="tx1"/>
            </w14:solidFill>
          </w14:textFill>
        </w:rPr>
        <w:t>中型企业、小型企业、微型企业</w:t>
      </w:r>
      <w:r>
        <w:rPr>
          <w:rFonts w:hint="eastAsia" w:hAnsi="宋体" w:cs="宋体"/>
          <w:color w:val="000000" w:themeColor="text1"/>
          <w:spacing w:val="6"/>
          <w:sz w:val="24"/>
          <w:szCs w:val="24"/>
          <w:highlight w:val="none"/>
          <w14:textFill>
            <w14:solidFill>
              <w14:schemeClr w14:val="tx1"/>
            </w14:solidFill>
          </w14:textFill>
        </w:rPr>
        <w:t>）</w:t>
      </w:r>
    </w:p>
    <w:p w14:paraId="74850AD6">
      <w:pPr>
        <w:widowControl/>
        <w:ind w:firstLine="504" w:firstLineChars="2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w:t>
      </w:r>
      <w:r>
        <w:rPr>
          <w:rFonts w:hint="eastAsia" w:ascii="宋体" w:hAnsi="宋体" w:cs="宋体"/>
          <w:color w:val="000000" w:themeColor="text1"/>
          <w:spacing w:val="6"/>
          <w:sz w:val="24"/>
          <w:highlight w:val="none"/>
          <w:u w:val="single"/>
          <w14:textFill>
            <w14:solidFill>
              <w14:schemeClr w14:val="tx1"/>
            </w14:solidFill>
          </w14:textFill>
        </w:rPr>
        <w:t>（标的名称）</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（采购文件中明确的所属行业）行业</w:t>
      </w:r>
      <w:r>
        <w:rPr>
          <w:rFonts w:hint="eastAsia" w:ascii="宋体" w:hAnsi="宋体" w:cs="宋体"/>
          <w:color w:val="000000" w:themeColor="text1"/>
          <w:spacing w:val="6"/>
          <w:sz w:val="24"/>
          <w:highlight w:val="none"/>
          <w14:textFill>
            <w14:solidFill>
              <w14:schemeClr w14:val="tx1"/>
            </w14:solidFill>
          </w14:textFill>
        </w:rPr>
        <w:t>；制造商为（</w:t>
      </w:r>
      <w:r>
        <w:rPr>
          <w:rFonts w:hint="eastAsia" w:ascii="宋体" w:hAnsi="宋体" w:cs="宋体"/>
          <w:color w:val="000000" w:themeColor="text1"/>
          <w:spacing w:val="6"/>
          <w:sz w:val="24"/>
          <w:highlight w:val="none"/>
          <w:u w:val="single"/>
          <w14:textFill>
            <w14:solidFill>
              <w14:schemeClr w14:val="tx1"/>
            </w14:solidFill>
          </w14:textFill>
        </w:rPr>
        <w:t>企业名称</w:t>
      </w:r>
      <w:r>
        <w:rPr>
          <w:rFonts w:hint="eastAsia" w:ascii="宋体" w:hAnsi="宋体" w:cs="宋体"/>
          <w:color w:val="000000" w:themeColor="text1"/>
          <w:spacing w:val="6"/>
          <w:sz w:val="24"/>
          <w:highlight w:val="none"/>
          <w14:textFill>
            <w14:solidFill>
              <w14:schemeClr w14:val="tx1"/>
            </w14:solidFill>
          </w14:textFill>
        </w:rPr>
        <w:t>），从业人员</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人，营业收入为</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万元，资产总额为</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万元</w:t>
      </w:r>
      <w:r>
        <w:rPr>
          <w:rFonts w:hint="eastAsia" w:ascii="宋体" w:hAnsi="宋体" w:cs="宋体"/>
          <w:color w:val="000000" w:themeColor="text1"/>
          <w:spacing w:val="6"/>
          <w:sz w:val="24"/>
          <w:highlight w:val="none"/>
          <w:vertAlign w:val="superscript"/>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中型企业、小型企业、微型企业</w:t>
      </w:r>
      <w:r>
        <w:rPr>
          <w:rFonts w:hint="eastAsia" w:ascii="宋体" w:hAnsi="宋体" w:cs="宋体"/>
          <w:color w:val="000000" w:themeColor="text1"/>
          <w:spacing w:val="6"/>
          <w:sz w:val="24"/>
          <w:highlight w:val="none"/>
          <w14:textFill>
            <w14:solidFill>
              <w14:schemeClr w14:val="tx1"/>
            </w14:solidFill>
          </w14:textFill>
        </w:rPr>
        <w:t>）</w:t>
      </w:r>
    </w:p>
    <w:p w14:paraId="12F7C0D8">
      <w:pPr>
        <w:pStyle w:val="6"/>
        <w:ind w:left="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0C6A1BE">
      <w:pPr>
        <w:widowControl/>
        <w:ind w:firstLine="504" w:firstLineChars="2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14:paraId="3EACDACC">
      <w:pPr>
        <w:widowControl/>
        <w:ind w:firstLine="504" w:firstLineChars="2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本企业对上述声明内容的真实性负责。如有虚假，将依法承担相应责任。 </w:t>
      </w:r>
    </w:p>
    <w:p w14:paraId="0F435D2E">
      <w:pPr>
        <w:pStyle w:val="8"/>
        <w:rPr>
          <w:rFonts w:hint="eastAsia" w:ascii="宋体" w:hAnsi="宋体" w:cs="宋体"/>
          <w:color w:val="000000" w:themeColor="text1"/>
          <w:sz w:val="24"/>
          <w:highlight w:val="none"/>
          <w14:textFill>
            <w14:solidFill>
              <w14:schemeClr w14:val="tx1"/>
            </w14:solidFill>
          </w14:textFill>
        </w:rPr>
      </w:pPr>
    </w:p>
    <w:p w14:paraId="67EC1A3E">
      <w:pPr>
        <w:widowControl/>
        <w:ind w:firstLine="5796" w:firstLineChars="23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[盖公章（CA签章）]</w:t>
      </w:r>
      <w:r>
        <w:rPr>
          <w:rFonts w:hint="eastAsia" w:ascii="宋体" w:hAnsi="宋体" w:cs="宋体"/>
          <w:color w:val="000000" w:themeColor="text1"/>
          <w:spacing w:val="6"/>
          <w:sz w:val="24"/>
          <w:highlight w:val="none"/>
          <w14:textFill>
            <w14:solidFill>
              <w14:schemeClr w14:val="tx1"/>
            </w14:solidFill>
          </w14:textFill>
        </w:rPr>
        <w:t xml:space="preserve">： </w:t>
      </w:r>
    </w:p>
    <w:p w14:paraId="7CE566AF">
      <w:pPr>
        <w:widowControl/>
        <w:ind w:firstLine="5796" w:firstLineChars="23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 期：</w:t>
      </w:r>
    </w:p>
    <w:p w14:paraId="2D007938">
      <w:pPr>
        <w:pStyle w:val="6"/>
        <w:ind w:left="0"/>
        <w:rPr>
          <w:rFonts w:hint="eastAsia" w:ascii="宋体" w:hAnsi="宋体" w:cs="宋体"/>
          <w:color w:val="000000" w:themeColor="text1"/>
          <w:highlight w:val="none"/>
          <w14:textFill>
            <w14:solidFill>
              <w14:schemeClr w14:val="tx1"/>
            </w14:solidFill>
          </w14:textFill>
        </w:rPr>
      </w:pPr>
    </w:p>
    <w:p w14:paraId="0BE7BF7E">
      <w:pPr>
        <w:pStyle w:val="8"/>
        <w:rPr>
          <w:rFonts w:hint="eastAsia" w:ascii="宋体" w:hAnsi="宋体" w:cs="宋体"/>
          <w:color w:val="000000" w:themeColor="text1"/>
          <w:highlight w:val="none"/>
          <w14:textFill>
            <w14:solidFill>
              <w14:schemeClr w14:val="tx1"/>
            </w14:solidFill>
          </w14:textFill>
        </w:rPr>
      </w:pPr>
    </w:p>
    <w:p w14:paraId="57E96B65">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kern w:val="0"/>
          <w:sz w:val="18"/>
          <w:szCs w:val="18"/>
          <w:highlight w:val="none"/>
          <w:vertAlign w:val="superscript"/>
          <w:lang w:bidi="ar"/>
          <w14:textFill>
            <w14:solidFill>
              <w14:schemeClr w14:val="tx1"/>
            </w14:solidFill>
          </w14:textFill>
        </w:rPr>
        <w:t>1</w:t>
      </w:r>
      <w:r>
        <w:rPr>
          <w:rFonts w:hint="eastAsia" w:ascii="宋体" w:hAnsi="宋体" w:cs="宋体"/>
          <w:color w:val="000000" w:themeColor="text1"/>
          <w:kern w:val="0"/>
          <w:sz w:val="18"/>
          <w:szCs w:val="18"/>
          <w:highlight w:val="none"/>
          <w:lang w:bidi="ar"/>
          <w14:textFill>
            <w14:solidFill>
              <w14:schemeClr w14:val="tx1"/>
            </w14:solidFill>
          </w14:textFill>
        </w:rPr>
        <w:t>从业人员、营业收入、资产总额填报上一年度数据，无上一年度数据的新成立企业可不填报。</w:t>
      </w:r>
    </w:p>
    <w:p w14:paraId="4484BF06">
      <w:pPr>
        <w:pStyle w:val="11"/>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p>
    <w:p w14:paraId="25674EF4">
      <w:pPr>
        <w:pStyle w:val="11"/>
        <w:spacing w:line="44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p>
    <w:p w14:paraId="6BA4C373">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9059344">
      <w:pPr>
        <w:rPr>
          <w:rFonts w:hint="eastAsia" w:ascii="宋体" w:hAnsi="宋体" w:eastAsia="宋体" w:cs="宋体"/>
          <w:color w:val="000000" w:themeColor="text1"/>
          <w:highlight w:val="none"/>
          <w:lang w:val="en-US" w:eastAsia="zh-CN"/>
          <w14:textFill>
            <w14:solidFill>
              <w14:schemeClr w14:val="tx1"/>
            </w14:solidFill>
          </w14:textFill>
        </w:rPr>
      </w:pPr>
    </w:p>
    <w:p w14:paraId="295B809D">
      <w:pPr>
        <w:pStyle w:val="11"/>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如提供服务的供应商属于监狱企业的，应当提供由省级以上监狱管理局、戒毒管理局等（含新疆生产建设兵团）</w:t>
      </w:r>
      <w:r>
        <w:rPr>
          <w:rFonts w:hint="eastAsia" w:ascii="宋体" w:hAnsi="宋体" w:eastAsia="宋体" w:cs="宋体"/>
          <w:b/>
          <w:color w:val="000000" w:themeColor="text1"/>
          <w:sz w:val="28"/>
          <w:szCs w:val="28"/>
          <w:highlight w:val="none"/>
          <w14:textFill>
            <w14:solidFill>
              <w14:schemeClr w14:val="tx1"/>
            </w14:solidFill>
          </w14:textFill>
        </w:rPr>
        <w:t>出具的属于监狱企业的证明文件（</w:t>
      </w:r>
      <w:r>
        <w:rPr>
          <w:rFonts w:hint="eastAsia" w:ascii="宋体" w:hAnsi="宋体" w:eastAsia="宋体" w:cs="宋体"/>
          <w:b/>
          <w:bCs w:val="0"/>
          <w:color w:val="000000" w:themeColor="text1"/>
          <w:sz w:val="28"/>
          <w:szCs w:val="28"/>
          <w:highlight w:val="none"/>
          <w14:textFill>
            <w14:solidFill>
              <w14:schemeClr w14:val="tx1"/>
            </w14:solidFill>
          </w14:textFill>
        </w:rPr>
        <w:t>如供应商属于监狱企业的，如有，请提供</w:t>
      </w:r>
      <w:r>
        <w:rPr>
          <w:rFonts w:hint="eastAsia" w:ascii="宋体" w:hAnsi="宋体" w:eastAsia="宋体" w:cs="宋体"/>
          <w:b/>
          <w:color w:val="000000" w:themeColor="text1"/>
          <w:sz w:val="28"/>
          <w:szCs w:val="28"/>
          <w:highlight w:val="none"/>
          <w14:textFill>
            <w14:solidFill>
              <w14:schemeClr w14:val="tx1"/>
            </w14:solidFill>
          </w14:textFill>
        </w:rPr>
        <w:t>）；</w:t>
      </w:r>
    </w:p>
    <w:p w14:paraId="13341277">
      <w:pPr>
        <w:pStyle w:val="6"/>
        <w:rPr>
          <w:rFonts w:hint="eastAsia" w:ascii="宋体" w:hAnsi="宋体" w:eastAsia="宋体" w:cs="宋体"/>
          <w:color w:val="000000" w:themeColor="text1"/>
          <w:highlight w:val="none"/>
          <w14:textFill>
            <w14:solidFill>
              <w14:schemeClr w14:val="tx1"/>
            </w14:solidFill>
          </w14:textFill>
        </w:rPr>
      </w:pPr>
    </w:p>
    <w:p w14:paraId="0A8DF62E">
      <w:pPr>
        <w:pStyle w:val="11"/>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8C3B38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26A90B6">
      <w:pPr>
        <w:pStyle w:val="4"/>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0D75770">
      <w:pPr>
        <w:rPr>
          <w:rFonts w:hint="eastAsia"/>
          <w:lang w:val="en-US" w:eastAsia="zh-CN"/>
        </w:rPr>
      </w:pPr>
    </w:p>
    <w:p w14:paraId="0A589735">
      <w:pPr>
        <w:pStyle w:val="11"/>
        <w:numPr>
          <w:ilvl w:val="0"/>
          <w:numId w:val="0"/>
        </w:numPr>
        <w:spacing w:line="340" w:lineRule="exact"/>
        <w:ind w:leftChars="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14:textFill>
            <w14:solidFill>
              <w14:schemeClr w14:val="tx1"/>
            </w14:solidFill>
          </w14:textFill>
        </w:rPr>
        <w:t>《残疾人福利性单位声明函》（见附件）（</w:t>
      </w:r>
      <w:r>
        <w:rPr>
          <w:rFonts w:hint="eastAsia" w:ascii="宋体" w:hAnsi="宋体" w:eastAsia="宋体" w:cs="宋体"/>
          <w:b/>
          <w:bCs w:val="0"/>
          <w:color w:val="000000" w:themeColor="text1"/>
          <w:sz w:val="28"/>
          <w:szCs w:val="28"/>
          <w:highlight w:val="none"/>
          <w14:textFill>
            <w14:solidFill>
              <w14:schemeClr w14:val="tx1"/>
            </w14:solidFill>
          </w14:textFill>
        </w:rPr>
        <w:t>如供应商属于</w:t>
      </w:r>
      <w:r>
        <w:rPr>
          <w:rFonts w:hint="eastAsia" w:ascii="宋体" w:hAnsi="宋体" w:eastAsia="宋体" w:cs="宋体"/>
          <w:b/>
          <w:color w:val="000000" w:themeColor="text1"/>
          <w:sz w:val="28"/>
          <w:szCs w:val="28"/>
          <w:highlight w:val="none"/>
          <w14:textFill>
            <w14:solidFill>
              <w14:schemeClr w14:val="tx1"/>
            </w14:solidFill>
          </w14:textFill>
        </w:rPr>
        <w:t>残疾人福利性单位</w:t>
      </w:r>
      <w:r>
        <w:rPr>
          <w:rFonts w:hint="eastAsia" w:ascii="宋体" w:hAnsi="宋体" w:eastAsia="宋体" w:cs="宋体"/>
          <w:b/>
          <w:bCs w:val="0"/>
          <w:color w:val="000000" w:themeColor="text1"/>
          <w:sz w:val="28"/>
          <w:szCs w:val="28"/>
          <w:highlight w:val="none"/>
          <w14:textFill>
            <w14:solidFill>
              <w14:schemeClr w14:val="tx1"/>
            </w14:solidFill>
          </w14:textFill>
        </w:rPr>
        <w:t>的，如有，请提供</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lang w:eastAsia="zh-CN"/>
          <w14:textFill>
            <w14:solidFill>
              <w14:schemeClr w14:val="tx1"/>
            </w14:solidFill>
          </w14:textFill>
        </w:rPr>
        <w:t>；</w:t>
      </w:r>
    </w:p>
    <w:p w14:paraId="09F2CA26">
      <w:pPr>
        <w:pStyle w:val="22"/>
        <w:rPr>
          <w:rFonts w:hint="eastAsia" w:ascii="宋体" w:hAnsi="宋体" w:eastAsia="宋体" w:cs="宋体"/>
          <w:b/>
          <w:color w:val="000000" w:themeColor="text1"/>
          <w:spacing w:val="6"/>
          <w:sz w:val="28"/>
          <w:szCs w:val="28"/>
          <w:highlight w:val="none"/>
          <w14:textFill>
            <w14:solidFill>
              <w14:schemeClr w14:val="tx1"/>
            </w14:solidFill>
          </w14:textFill>
        </w:rPr>
      </w:pPr>
    </w:p>
    <w:p w14:paraId="3CA260B1">
      <w:pPr>
        <w:spacing w:line="588"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p w14:paraId="2AA87F08">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D9D99E">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0EF6A0A8">
      <w:pPr>
        <w:rPr>
          <w:rFonts w:hint="eastAsia" w:ascii="宋体" w:hAnsi="宋体" w:eastAsia="宋体" w:cs="宋体"/>
          <w:color w:val="000000" w:themeColor="text1"/>
          <w:highlight w:val="none"/>
          <w14:textFill>
            <w14:solidFill>
              <w14:schemeClr w14:val="tx1"/>
            </w14:solidFill>
          </w14:textFill>
        </w:rPr>
      </w:pPr>
    </w:p>
    <w:p w14:paraId="1EACCFAE">
      <w:pPr>
        <w:tabs>
          <w:tab w:val="left" w:pos="4860"/>
        </w:tabs>
        <w:spacing w:line="588" w:lineRule="exact"/>
        <w:ind w:right="1560" w:firstLine="58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77CACF97">
      <w:pPr>
        <w:pStyle w:val="11"/>
        <w:ind w:firstLine="4032" w:firstLineChars="16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    期：  年  月  日</w:t>
      </w:r>
    </w:p>
    <w:p w14:paraId="4E58E6DC">
      <w:pPr>
        <w:pStyle w:val="8"/>
        <w:rPr>
          <w:rFonts w:hint="eastAsia" w:ascii="宋体" w:hAnsi="宋体" w:eastAsia="宋体" w:cs="宋体"/>
          <w:color w:val="000000" w:themeColor="text1"/>
          <w:highlight w:val="none"/>
          <w14:textFill>
            <w14:solidFill>
              <w14:schemeClr w14:val="tx1"/>
            </w14:solidFill>
          </w14:textFill>
        </w:rPr>
      </w:pPr>
    </w:p>
    <w:p w14:paraId="0A585841">
      <w:pPr>
        <w:pStyle w:val="8"/>
        <w:rPr>
          <w:rFonts w:hint="eastAsia" w:ascii="宋体" w:hAnsi="宋体" w:eastAsia="宋体" w:cs="宋体"/>
          <w:color w:val="000000" w:themeColor="text1"/>
          <w:highlight w:val="none"/>
          <w14:textFill>
            <w14:solidFill>
              <w14:schemeClr w14:val="tx1"/>
            </w14:solidFill>
          </w14:textFill>
        </w:rPr>
      </w:pPr>
    </w:p>
    <w:p w14:paraId="0DEC8F3A">
      <w:pPr>
        <w:pStyle w:val="8"/>
        <w:rPr>
          <w:rFonts w:hint="eastAsia" w:ascii="宋体" w:hAnsi="宋体" w:eastAsia="宋体" w:cs="宋体"/>
          <w:color w:val="000000" w:themeColor="text1"/>
          <w:highlight w:val="none"/>
          <w14:textFill>
            <w14:solidFill>
              <w14:schemeClr w14:val="tx1"/>
            </w14:solidFill>
          </w14:textFill>
        </w:rPr>
      </w:pPr>
    </w:p>
    <w:p w14:paraId="160A4337">
      <w:pPr>
        <w:tabs>
          <w:tab w:val="left" w:pos="1305"/>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eastAsia="宋体" w:cs="宋体"/>
          <w:b/>
          <w:color w:val="000000" w:themeColor="text1"/>
          <w:szCs w:val="21"/>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r>
        <w:rPr>
          <w:rFonts w:hint="eastAsia" w:ascii="宋体" w:hAnsi="宋体" w:eastAsia="宋体" w:cs="宋体"/>
          <w:color w:val="000000" w:themeColor="text1"/>
          <w:sz w:val="24"/>
          <w:highlight w:val="none"/>
          <w14:textFill>
            <w14:solidFill>
              <w14:schemeClr w14:val="tx1"/>
            </w14:solidFill>
          </w14:textFill>
        </w:rPr>
        <w:t>。</w:t>
      </w:r>
    </w:p>
    <w:p w14:paraId="5867B42E">
      <w:pPr>
        <w:rPr>
          <w:rFonts w:hint="eastAsia" w:ascii="宋体" w:hAnsi="宋体" w:eastAsia="宋体" w:cs="宋体"/>
          <w:color w:val="000000" w:themeColor="text1"/>
          <w:highlight w:val="none"/>
          <w14:textFill>
            <w14:solidFill>
              <w14:schemeClr w14:val="tx1"/>
            </w14:solidFill>
          </w14:textFill>
        </w:rPr>
      </w:pPr>
    </w:p>
    <w:sectPr>
      <w:pgSz w:w="11906" w:h="16838"/>
      <w:pgMar w:top="1440" w:right="935" w:bottom="1440" w:left="7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D2A5">
    <w:pPr>
      <w:pStyle w:val="12"/>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F272E">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6F272E">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441F90C2">
    <w:pPr>
      <w:pStyle w:val="12"/>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E8AD">
    <w:pPr>
      <w:pStyle w:val="12"/>
      <w:pBdr>
        <w:bottom w:val="single" w:color="auto" w:sz="4" w:space="0"/>
      </w:pBd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6EAE4">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06EAE4">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166D6778">
    <w:pPr>
      <w:pStyle w:val="12"/>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BA87">
    <w:pPr>
      <w:pStyle w:val="12"/>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3E300">
                          <w:pPr>
                            <w:pStyle w:val="1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03E300">
                    <w:pPr>
                      <w:pStyle w:val="12"/>
                    </w:pPr>
                    <w:r>
                      <w:fldChar w:fldCharType="begin"/>
                    </w:r>
                    <w:r>
                      <w:instrText xml:space="preserve"> PAGE  \* MERGEFORMAT </w:instrText>
                    </w:r>
                    <w:r>
                      <w:fldChar w:fldCharType="separate"/>
                    </w:r>
                    <w:r>
                      <w:t>- 3 -</w:t>
                    </w:r>
                    <w:r>
                      <w:fldChar w:fldCharType="end"/>
                    </w:r>
                  </w:p>
                </w:txbxContent>
              </v:textbox>
            </v:shape>
          </w:pict>
        </mc:Fallback>
      </mc:AlternateContent>
    </w:r>
  </w:p>
  <w:p w14:paraId="5D01C6A6">
    <w:pPr>
      <w:pStyle w:val="12"/>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E768">
    <w:pPr>
      <w:pStyle w:val="13"/>
      <w:jc w:val="left"/>
      <w:rPr>
        <w:rFonts w:hint="eastAsia" w:eastAsia="宋体"/>
        <w:lang w:eastAsia="zh-CN"/>
      </w:rPr>
    </w:pPr>
    <w:r>
      <w:rPr>
        <w:rFonts w:ascii="微软雅黑" w:hAnsi="微软雅黑" w:eastAsia="微软雅黑" w:cs="微软雅黑"/>
        <w:i w:val="0"/>
        <w:iCs w:val="0"/>
        <w:caps w:val="0"/>
        <w:color w:val="333333"/>
        <w:spacing w:val="0"/>
        <w:sz w:val="16"/>
        <w:szCs w:val="16"/>
        <w:shd w:val="clear" w:fill="FFFFFF"/>
      </w:rPr>
      <w:t>桂林市教育科学研究所2025年期末质量检测试题命题项目</w:t>
    </w:r>
    <w:r>
      <w:rPr>
        <w:rFonts w:hint="eastAsia" w:ascii="宋体" w:hAnsi="宋体" w:eastAsia="宋体" w:cs="宋体"/>
        <w:sz w:val="18"/>
        <w:szCs w:val="18"/>
      </w:rPr>
      <w:t xml:space="preserve">  </w:t>
    </w:r>
    <w:r>
      <w:rPr>
        <w:rFonts w:hint="eastAsia" w:ascii="宋体" w:hAnsi="宋体" w:cs="宋体"/>
        <w:sz w:val="18"/>
        <w:szCs w:val="18"/>
        <w:lang w:val="en-US" w:eastAsia="zh-CN"/>
      </w:rPr>
      <w:t xml:space="preserve">                                         </w:t>
    </w:r>
    <w:r>
      <w:rPr>
        <w:rFonts w:ascii="微软雅黑" w:hAnsi="微软雅黑" w:eastAsia="微软雅黑" w:cs="微软雅黑"/>
        <w:i w:val="0"/>
        <w:iCs w:val="0"/>
        <w:caps w:val="0"/>
        <w:color w:val="333333"/>
        <w:spacing w:val="0"/>
        <w:sz w:val="16"/>
        <w:szCs w:val="16"/>
        <w:shd w:val="clear" w:fill="FFFFFF"/>
      </w:rPr>
      <w:t>GLZC2025-C3-990193-GLSZ</w:t>
    </w:r>
    <w:r>
      <w:rPr>
        <w:rFonts w:hint="eastAsia" w:ascii="宋体" w:hAnsi="宋体" w:cs="宋体"/>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B5E0">
    <w:pPr>
      <w:pStyle w:val="13"/>
      <w:jc w:val="left"/>
      <w:rPr>
        <w:color w:val="000000" w:themeColor="text1"/>
        <w:highlight w:val="yellow"/>
        <w14:textFill>
          <w14:solidFill>
            <w14:schemeClr w14:val="tx1"/>
          </w14:solidFill>
        </w14:textFill>
      </w:rPr>
    </w:pPr>
    <w:r>
      <w:rPr>
        <w:rFonts w:ascii="微软雅黑" w:hAnsi="微软雅黑" w:eastAsia="微软雅黑" w:cs="微软雅黑"/>
        <w:i w:val="0"/>
        <w:iCs w:val="0"/>
        <w:caps w:val="0"/>
        <w:color w:val="333333"/>
        <w:spacing w:val="0"/>
        <w:sz w:val="16"/>
        <w:szCs w:val="16"/>
        <w:shd w:val="clear" w:fill="FFFFFF"/>
      </w:rPr>
      <w:t>桂林市教育科学研究所2025年期末质量检测试题命题项目</w:t>
    </w:r>
    <w:r>
      <w:rPr>
        <w:rFonts w:hint="eastAsia" w:ascii="宋体" w:hAnsi="宋体" w:cs="宋体"/>
        <w:color w:val="000000" w:themeColor="text1"/>
        <w:sz w:val="18"/>
        <w:szCs w:val="18"/>
        <w:highlight w:val="none"/>
        <w:lang w:val="en-US" w:eastAsia="zh-CN"/>
        <w14:textFill>
          <w14:solidFill>
            <w14:schemeClr w14:val="tx1"/>
          </w14:solidFill>
        </w14:textFill>
      </w:rPr>
      <w:t xml:space="preserve">                                           </w:t>
    </w:r>
    <w:r>
      <w:rPr>
        <w:rFonts w:ascii="微软雅黑" w:hAnsi="微软雅黑" w:eastAsia="微软雅黑" w:cs="微软雅黑"/>
        <w:i w:val="0"/>
        <w:iCs w:val="0"/>
        <w:caps w:val="0"/>
        <w:color w:val="333333"/>
        <w:spacing w:val="0"/>
        <w:sz w:val="16"/>
        <w:szCs w:val="16"/>
        <w:shd w:val="clear" w:fill="FFFFFF"/>
      </w:rPr>
      <w:t>GLZC2025-C3-990193-GLSZ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F8DB3558"/>
    <w:multiLevelType w:val="singleLevel"/>
    <w:tmpl w:val="F8DB3558"/>
    <w:lvl w:ilvl="0" w:tentative="0">
      <w:start w:val="1"/>
      <w:numFmt w:val="decimal"/>
      <w:suff w:val="nothing"/>
      <w:lvlText w:val="（%1）"/>
      <w:lvlJc w:val="left"/>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9">
    <w:nsid w:val="4603DC6E"/>
    <w:multiLevelType w:val="singleLevel"/>
    <w:tmpl w:val="4603DC6E"/>
    <w:lvl w:ilvl="0" w:tentative="0">
      <w:start w:val="2"/>
      <w:numFmt w:val="decimal"/>
      <w:suff w:val="nothing"/>
      <w:lvlText w:val="（%1）"/>
      <w:lvlJc w:val="left"/>
    </w:lvl>
  </w:abstractNum>
  <w:abstractNum w:abstractNumId="10">
    <w:nsid w:val="4A64B513"/>
    <w:multiLevelType w:val="singleLevel"/>
    <w:tmpl w:val="4A64B513"/>
    <w:lvl w:ilvl="0" w:tentative="0">
      <w:start w:val="1"/>
      <w:numFmt w:val="decimal"/>
      <w:lvlText w:val="%1."/>
      <w:lvlJc w:val="left"/>
      <w:pPr>
        <w:tabs>
          <w:tab w:val="left" w:pos="312"/>
        </w:tabs>
      </w:pPr>
    </w:lvl>
  </w:abstractNum>
  <w:abstractNum w:abstractNumId="11">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2">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6AD43707"/>
    <w:multiLevelType w:val="singleLevel"/>
    <w:tmpl w:val="6AD43707"/>
    <w:lvl w:ilvl="0" w:tentative="0">
      <w:start w:val="5"/>
      <w:numFmt w:val="decimal"/>
      <w:suff w:val="space"/>
      <w:lvlText w:val="%1."/>
      <w:lvlJc w:val="left"/>
    </w:lvl>
  </w:abstractNum>
  <w:num w:numId="1">
    <w:abstractNumId w:val="4"/>
  </w:num>
  <w:num w:numId="2">
    <w:abstractNumId w:val="13"/>
  </w:num>
  <w:num w:numId="3">
    <w:abstractNumId w:val="3"/>
  </w:num>
  <w:num w:numId="4">
    <w:abstractNumId w:val="2"/>
  </w:num>
  <w:num w:numId="5">
    <w:abstractNumId w:val="1"/>
  </w:num>
  <w:num w:numId="6">
    <w:abstractNumId w:val="7"/>
  </w:num>
  <w:num w:numId="7">
    <w:abstractNumId w:val="8"/>
  </w:num>
  <w:num w:numId="8">
    <w:abstractNumId w:val="9"/>
  </w:num>
  <w:num w:numId="9">
    <w:abstractNumId w:val="12"/>
    <w:lvlOverride w:ilvl="0">
      <w:startOverride w:val="2"/>
    </w:lvlOverride>
  </w:num>
  <w:num w:numId="10">
    <w:abstractNumId w:val="6"/>
    <w:lvlOverride w:ilvl="0">
      <w:startOverride w:val="2"/>
    </w:lvlOverride>
  </w:num>
  <w:num w:numId="11">
    <w:abstractNumId w:val="0"/>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TVjYTQ1ODg4ZWFjOTVkNzYyNThlNjZmZjAwZWQifQ=="/>
  </w:docVars>
  <w:rsids>
    <w:rsidRoot w:val="00000000"/>
    <w:rsid w:val="00225378"/>
    <w:rsid w:val="0100033D"/>
    <w:rsid w:val="018E7169"/>
    <w:rsid w:val="01D3087D"/>
    <w:rsid w:val="020D314B"/>
    <w:rsid w:val="0224187C"/>
    <w:rsid w:val="027345B1"/>
    <w:rsid w:val="02B95509"/>
    <w:rsid w:val="031406F5"/>
    <w:rsid w:val="036C7E00"/>
    <w:rsid w:val="03A46AC7"/>
    <w:rsid w:val="03FD6699"/>
    <w:rsid w:val="04F91234"/>
    <w:rsid w:val="05075F25"/>
    <w:rsid w:val="051031AE"/>
    <w:rsid w:val="055763DD"/>
    <w:rsid w:val="05822DD6"/>
    <w:rsid w:val="05E82D27"/>
    <w:rsid w:val="060C5A1F"/>
    <w:rsid w:val="065000D1"/>
    <w:rsid w:val="065B15E4"/>
    <w:rsid w:val="06D53145"/>
    <w:rsid w:val="06FD4AAE"/>
    <w:rsid w:val="076C2901"/>
    <w:rsid w:val="07804E04"/>
    <w:rsid w:val="079A3A7D"/>
    <w:rsid w:val="07B94814"/>
    <w:rsid w:val="08181318"/>
    <w:rsid w:val="083F7130"/>
    <w:rsid w:val="0848088C"/>
    <w:rsid w:val="086C50AC"/>
    <w:rsid w:val="086F410F"/>
    <w:rsid w:val="087C32B0"/>
    <w:rsid w:val="088A4597"/>
    <w:rsid w:val="08AB0CC5"/>
    <w:rsid w:val="09120680"/>
    <w:rsid w:val="095C18FB"/>
    <w:rsid w:val="095F3199"/>
    <w:rsid w:val="09625C60"/>
    <w:rsid w:val="09F83D38"/>
    <w:rsid w:val="0A7F7F97"/>
    <w:rsid w:val="0AA70314"/>
    <w:rsid w:val="0AAF3A7A"/>
    <w:rsid w:val="0B57681E"/>
    <w:rsid w:val="0B610150"/>
    <w:rsid w:val="0B837613"/>
    <w:rsid w:val="0BEB51B8"/>
    <w:rsid w:val="0C511F62"/>
    <w:rsid w:val="0C6437C3"/>
    <w:rsid w:val="0C825799"/>
    <w:rsid w:val="0C9C22B2"/>
    <w:rsid w:val="0D026C5D"/>
    <w:rsid w:val="0D200E92"/>
    <w:rsid w:val="0D8F6142"/>
    <w:rsid w:val="0DA648C3"/>
    <w:rsid w:val="0DCE4E13"/>
    <w:rsid w:val="0DE50984"/>
    <w:rsid w:val="0E0C0298"/>
    <w:rsid w:val="0E924889"/>
    <w:rsid w:val="0EA33B28"/>
    <w:rsid w:val="0EBA28D2"/>
    <w:rsid w:val="0ED463D8"/>
    <w:rsid w:val="0F152394"/>
    <w:rsid w:val="0F2549CB"/>
    <w:rsid w:val="0F27223E"/>
    <w:rsid w:val="0F64150A"/>
    <w:rsid w:val="0F6634D4"/>
    <w:rsid w:val="0F6B6C1D"/>
    <w:rsid w:val="0F704352"/>
    <w:rsid w:val="0F8C55A0"/>
    <w:rsid w:val="0FBE604B"/>
    <w:rsid w:val="0FF73B0C"/>
    <w:rsid w:val="10480E2B"/>
    <w:rsid w:val="10AF7892"/>
    <w:rsid w:val="110660A6"/>
    <w:rsid w:val="11403395"/>
    <w:rsid w:val="114F789B"/>
    <w:rsid w:val="11597C91"/>
    <w:rsid w:val="11B51014"/>
    <w:rsid w:val="11FA23C3"/>
    <w:rsid w:val="12086AC4"/>
    <w:rsid w:val="12192182"/>
    <w:rsid w:val="1228680F"/>
    <w:rsid w:val="12617F82"/>
    <w:rsid w:val="12AB1A09"/>
    <w:rsid w:val="12BE53D5"/>
    <w:rsid w:val="12FC7CAB"/>
    <w:rsid w:val="13145468"/>
    <w:rsid w:val="13280AA0"/>
    <w:rsid w:val="132F0080"/>
    <w:rsid w:val="138F5FD4"/>
    <w:rsid w:val="140D11E4"/>
    <w:rsid w:val="14661880"/>
    <w:rsid w:val="14C50C9C"/>
    <w:rsid w:val="14F055ED"/>
    <w:rsid w:val="1506135C"/>
    <w:rsid w:val="154A2F50"/>
    <w:rsid w:val="158E0196"/>
    <w:rsid w:val="15A32992"/>
    <w:rsid w:val="15D75A18"/>
    <w:rsid w:val="15DE6554"/>
    <w:rsid w:val="16783AEC"/>
    <w:rsid w:val="16A135AF"/>
    <w:rsid w:val="16FC64CC"/>
    <w:rsid w:val="17B46DA6"/>
    <w:rsid w:val="17F73B16"/>
    <w:rsid w:val="18332674"/>
    <w:rsid w:val="184F13F4"/>
    <w:rsid w:val="185F6D12"/>
    <w:rsid w:val="1869705A"/>
    <w:rsid w:val="18743D16"/>
    <w:rsid w:val="18980476"/>
    <w:rsid w:val="18C46C28"/>
    <w:rsid w:val="18E92A80"/>
    <w:rsid w:val="18EB4A4A"/>
    <w:rsid w:val="190855FC"/>
    <w:rsid w:val="19566367"/>
    <w:rsid w:val="19983FDD"/>
    <w:rsid w:val="1A41745E"/>
    <w:rsid w:val="1A420699"/>
    <w:rsid w:val="1A7538EC"/>
    <w:rsid w:val="1AA80E44"/>
    <w:rsid w:val="1AAF2DD5"/>
    <w:rsid w:val="1ABB044E"/>
    <w:rsid w:val="1AD91BE5"/>
    <w:rsid w:val="1B116885"/>
    <w:rsid w:val="1BE24908"/>
    <w:rsid w:val="1C0C792F"/>
    <w:rsid w:val="1C624D13"/>
    <w:rsid w:val="1C84143D"/>
    <w:rsid w:val="1C8B48E5"/>
    <w:rsid w:val="1CAB69CA"/>
    <w:rsid w:val="1CDA70A8"/>
    <w:rsid w:val="1D1207F7"/>
    <w:rsid w:val="1D264315"/>
    <w:rsid w:val="1DF47EFC"/>
    <w:rsid w:val="1E0433AB"/>
    <w:rsid w:val="1E117C11"/>
    <w:rsid w:val="1E2F000C"/>
    <w:rsid w:val="1E937715"/>
    <w:rsid w:val="1EEE0DF0"/>
    <w:rsid w:val="1F183821"/>
    <w:rsid w:val="1F3D57B9"/>
    <w:rsid w:val="1F5A35D2"/>
    <w:rsid w:val="1F60531F"/>
    <w:rsid w:val="1FAC5C84"/>
    <w:rsid w:val="1FDA4BFF"/>
    <w:rsid w:val="1FE74446"/>
    <w:rsid w:val="20B37D9B"/>
    <w:rsid w:val="21197C6C"/>
    <w:rsid w:val="211F672C"/>
    <w:rsid w:val="21207093"/>
    <w:rsid w:val="225455FE"/>
    <w:rsid w:val="22AA7723"/>
    <w:rsid w:val="23C40371"/>
    <w:rsid w:val="24396880"/>
    <w:rsid w:val="243F20F7"/>
    <w:rsid w:val="2446347C"/>
    <w:rsid w:val="24485B15"/>
    <w:rsid w:val="24743B45"/>
    <w:rsid w:val="24961D0D"/>
    <w:rsid w:val="24DC29FB"/>
    <w:rsid w:val="250B512D"/>
    <w:rsid w:val="25212425"/>
    <w:rsid w:val="253F23A5"/>
    <w:rsid w:val="2573442A"/>
    <w:rsid w:val="258E014A"/>
    <w:rsid w:val="25E33BEE"/>
    <w:rsid w:val="26E10F1D"/>
    <w:rsid w:val="26FB3479"/>
    <w:rsid w:val="272F7D88"/>
    <w:rsid w:val="273863DE"/>
    <w:rsid w:val="27840543"/>
    <w:rsid w:val="27CB43C4"/>
    <w:rsid w:val="28074CD0"/>
    <w:rsid w:val="28534CC7"/>
    <w:rsid w:val="28E26223"/>
    <w:rsid w:val="295D0BC8"/>
    <w:rsid w:val="29953516"/>
    <w:rsid w:val="29B6075C"/>
    <w:rsid w:val="29D50B09"/>
    <w:rsid w:val="2AE15CAC"/>
    <w:rsid w:val="2B2D2CB7"/>
    <w:rsid w:val="2B336409"/>
    <w:rsid w:val="2B352B08"/>
    <w:rsid w:val="2C772424"/>
    <w:rsid w:val="2D441F05"/>
    <w:rsid w:val="2D9613C0"/>
    <w:rsid w:val="2DE567A2"/>
    <w:rsid w:val="2E1C4627"/>
    <w:rsid w:val="2E7A7B29"/>
    <w:rsid w:val="2E862DF3"/>
    <w:rsid w:val="2EB37960"/>
    <w:rsid w:val="2EB9662C"/>
    <w:rsid w:val="2EC102CF"/>
    <w:rsid w:val="2F2F6467"/>
    <w:rsid w:val="2FB344DB"/>
    <w:rsid w:val="30297EDA"/>
    <w:rsid w:val="318D4498"/>
    <w:rsid w:val="31B149B4"/>
    <w:rsid w:val="31BF7BF7"/>
    <w:rsid w:val="31C2390C"/>
    <w:rsid w:val="3229451B"/>
    <w:rsid w:val="325E5B04"/>
    <w:rsid w:val="32DE64A9"/>
    <w:rsid w:val="32EA39FB"/>
    <w:rsid w:val="33196C24"/>
    <w:rsid w:val="33572640"/>
    <w:rsid w:val="337A3E72"/>
    <w:rsid w:val="337C47C4"/>
    <w:rsid w:val="343C2813"/>
    <w:rsid w:val="34B20E21"/>
    <w:rsid w:val="34C82D26"/>
    <w:rsid w:val="34D16D92"/>
    <w:rsid w:val="35033E7C"/>
    <w:rsid w:val="3525713B"/>
    <w:rsid w:val="35301D0A"/>
    <w:rsid w:val="355A28E3"/>
    <w:rsid w:val="35D54660"/>
    <w:rsid w:val="35DE3514"/>
    <w:rsid w:val="35E80603"/>
    <w:rsid w:val="369E0EF6"/>
    <w:rsid w:val="3733375B"/>
    <w:rsid w:val="375E31F0"/>
    <w:rsid w:val="37D2222D"/>
    <w:rsid w:val="37F250A8"/>
    <w:rsid w:val="389153B5"/>
    <w:rsid w:val="393378F9"/>
    <w:rsid w:val="3A322081"/>
    <w:rsid w:val="3AAE55F0"/>
    <w:rsid w:val="3AB573C6"/>
    <w:rsid w:val="3ADE7FCD"/>
    <w:rsid w:val="3B07350D"/>
    <w:rsid w:val="3B355122"/>
    <w:rsid w:val="3B721655"/>
    <w:rsid w:val="3B9308FD"/>
    <w:rsid w:val="3C1732DC"/>
    <w:rsid w:val="3D103642"/>
    <w:rsid w:val="3D145A6E"/>
    <w:rsid w:val="3D396BD8"/>
    <w:rsid w:val="3D736C38"/>
    <w:rsid w:val="3D8F3346"/>
    <w:rsid w:val="3DE934F6"/>
    <w:rsid w:val="3E286B85"/>
    <w:rsid w:val="3E6E4482"/>
    <w:rsid w:val="3E974BA8"/>
    <w:rsid w:val="3ECA3969"/>
    <w:rsid w:val="3EEA117C"/>
    <w:rsid w:val="3FCA687E"/>
    <w:rsid w:val="400D7D0B"/>
    <w:rsid w:val="4075220D"/>
    <w:rsid w:val="40754A75"/>
    <w:rsid w:val="40E46AC7"/>
    <w:rsid w:val="40E50A48"/>
    <w:rsid w:val="40FC7F4D"/>
    <w:rsid w:val="41166258"/>
    <w:rsid w:val="41967399"/>
    <w:rsid w:val="42377C6F"/>
    <w:rsid w:val="424C141A"/>
    <w:rsid w:val="427A0DB5"/>
    <w:rsid w:val="427A2817"/>
    <w:rsid w:val="429F0D52"/>
    <w:rsid w:val="42A930FC"/>
    <w:rsid w:val="42C910A8"/>
    <w:rsid w:val="43006D78"/>
    <w:rsid w:val="43344EEA"/>
    <w:rsid w:val="43651D76"/>
    <w:rsid w:val="43A37B4B"/>
    <w:rsid w:val="4484172B"/>
    <w:rsid w:val="44FF5255"/>
    <w:rsid w:val="45A87672"/>
    <w:rsid w:val="463D7DE3"/>
    <w:rsid w:val="46AE3691"/>
    <w:rsid w:val="46B330BD"/>
    <w:rsid w:val="475C24EB"/>
    <w:rsid w:val="47CB7BB4"/>
    <w:rsid w:val="47DC187E"/>
    <w:rsid w:val="47F72C56"/>
    <w:rsid w:val="47F92430"/>
    <w:rsid w:val="4822043E"/>
    <w:rsid w:val="483F0499"/>
    <w:rsid w:val="484C255F"/>
    <w:rsid w:val="48557468"/>
    <w:rsid w:val="48833029"/>
    <w:rsid w:val="48CE11C6"/>
    <w:rsid w:val="48ED63DD"/>
    <w:rsid w:val="48FC3F85"/>
    <w:rsid w:val="49143C78"/>
    <w:rsid w:val="491F7C74"/>
    <w:rsid w:val="49AD702E"/>
    <w:rsid w:val="49F7299F"/>
    <w:rsid w:val="4A031BE5"/>
    <w:rsid w:val="4A1E1CDA"/>
    <w:rsid w:val="4A4E5672"/>
    <w:rsid w:val="4A5D5D91"/>
    <w:rsid w:val="4A615E38"/>
    <w:rsid w:val="4A653DAC"/>
    <w:rsid w:val="4AF02D81"/>
    <w:rsid w:val="4B1044A4"/>
    <w:rsid w:val="4B6052BB"/>
    <w:rsid w:val="4B887D52"/>
    <w:rsid w:val="4CA50490"/>
    <w:rsid w:val="4CAF0EB6"/>
    <w:rsid w:val="4CEA55EC"/>
    <w:rsid w:val="4D085C18"/>
    <w:rsid w:val="4D153A30"/>
    <w:rsid w:val="4D4759EB"/>
    <w:rsid w:val="4DF07841"/>
    <w:rsid w:val="4E355844"/>
    <w:rsid w:val="4E3F5A59"/>
    <w:rsid w:val="4E577EA0"/>
    <w:rsid w:val="4E5C54C6"/>
    <w:rsid w:val="4E8D742E"/>
    <w:rsid w:val="4ED048AC"/>
    <w:rsid w:val="4F4421E2"/>
    <w:rsid w:val="4F71031D"/>
    <w:rsid w:val="4FBC446F"/>
    <w:rsid w:val="500B71A4"/>
    <w:rsid w:val="50AB1369"/>
    <w:rsid w:val="50DD43F7"/>
    <w:rsid w:val="51456CD1"/>
    <w:rsid w:val="51F41765"/>
    <w:rsid w:val="5205360A"/>
    <w:rsid w:val="52552603"/>
    <w:rsid w:val="52666914"/>
    <w:rsid w:val="533E276C"/>
    <w:rsid w:val="537A3880"/>
    <w:rsid w:val="539577E7"/>
    <w:rsid w:val="53DE45D6"/>
    <w:rsid w:val="54482775"/>
    <w:rsid w:val="544C4D9E"/>
    <w:rsid w:val="548060ED"/>
    <w:rsid w:val="548B08B3"/>
    <w:rsid w:val="54977258"/>
    <w:rsid w:val="552A1E7A"/>
    <w:rsid w:val="558A20A7"/>
    <w:rsid w:val="55DB7536"/>
    <w:rsid w:val="562C1C22"/>
    <w:rsid w:val="56894D18"/>
    <w:rsid w:val="575E5568"/>
    <w:rsid w:val="57835872"/>
    <w:rsid w:val="581E2071"/>
    <w:rsid w:val="585645F5"/>
    <w:rsid w:val="58C919AA"/>
    <w:rsid w:val="58DB5A41"/>
    <w:rsid w:val="59120661"/>
    <w:rsid w:val="593B28A8"/>
    <w:rsid w:val="594F1EAF"/>
    <w:rsid w:val="59D72213"/>
    <w:rsid w:val="5A8C2C8F"/>
    <w:rsid w:val="5B1A029B"/>
    <w:rsid w:val="5B77749C"/>
    <w:rsid w:val="5B9E5E56"/>
    <w:rsid w:val="5BA37FCD"/>
    <w:rsid w:val="5C007491"/>
    <w:rsid w:val="5C075B6D"/>
    <w:rsid w:val="5C162B49"/>
    <w:rsid w:val="5C54587E"/>
    <w:rsid w:val="5CBF4DCB"/>
    <w:rsid w:val="5D056076"/>
    <w:rsid w:val="5D184CAE"/>
    <w:rsid w:val="5E1D2F76"/>
    <w:rsid w:val="5E847F27"/>
    <w:rsid w:val="5E985640"/>
    <w:rsid w:val="5EA40D32"/>
    <w:rsid w:val="5EB23D46"/>
    <w:rsid w:val="5ED354E6"/>
    <w:rsid w:val="5EE60CE9"/>
    <w:rsid w:val="5F276DA9"/>
    <w:rsid w:val="5F9A5E4E"/>
    <w:rsid w:val="5FD1057D"/>
    <w:rsid w:val="5FE76279"/>
    <w:rsid w:val="5FED5F7E"/>
    <w:rsid w:val="603A36FB"/>
    <w:rsid w:val="604016B3"/>
    <w:rsid w:val="60591866"/>
    <w:rsid w:val="605F48BD"/>
    <w:rsid w:val="60C618D1"/>
    <w:rsid w:val="60F726A5"/>
    <w:rsid w:val="60F8107F"/>
    <w:rsid w:val="61680316"/>
    <w:rsid w:val="629E6C38"/>
    <w:rsid w:val="62B64D4D"/>
    <w:rsid w:val="62F13FD7"/>
    <w:rsid w:val="6329551F"/>
    <w:rsid w:val="63416D0D"/>
    <w:rsid w:val="638B61DA"/>
    <w:rsid w:val="63BF5E84"/>
    <w:rsid w:val="63CA40E4"/>
    <w:rsid w:val="63D35447"/>
    <w:rsid w:val="64DA26C9"/>
    <w:rsid w:val="651F4987"/>
    <w:rsid w:val="657123B4"/>
    <w:rsid w:val="65AE1BAE"/>
    <w:rsid w:val="66D734E4"/>
    <w:rsid w:val="67386876"/>
    <w:rsid w:val="67C768D1"/>
    <w:rsid w:val="67EB1AD0"/>
    <w:rsid w:val="67F61C98"/>
    <w:rsid w:val="681B125A"/>
    <w:rsid w:val="68DB72BC"/>
    <w:rsid w:val="690A0C77"/>
    <w:rsid w:val="69337D87"/>
    <w:rsid w:val="69413E1A"/>
    <w:rsid w:val="69590077"/>
    <w:rsid w:val="69960D5D"/>
    <w:rsid w:val="69AF0748"/>
    <w:rsid w:val="6A0C16F7"/>
    <w:rsid w:val="6A3F4EAA"/>
    <w:rsid w:val="6A4A0BD5"/>
    <w:rsid w:val="6A4D633E"/>
    <w:rsid w:val="6A9B4825"/>
    <w:rsid w:val="6AF83593"/>
    <w:rsid w:val="6B1E5B86"/>
    <w:rsid w:val="6B3B477B"/>
    <w:rsid w:val="6B535D44"/>
    <w:rsid w:val="6B6C68F1"/>
    <w:rsid w:val="6B9876E6"/>
    <w:rsid w:val="6BB3513A"/>
    <w:rsid w:val="6C210F80"/>
    <w:rsid w:val="6C407354"/>
    <w:rsid w:val="6C6E48EB"/>
    <w:rsid w:val="6C6E6699"/>
    <w:rsid w:val="6C735895"/>
    <w:rsid w:val="6C9C7F3A"/>
    <w:rsid w:val="6CE35466"/>
    <w:rsid w:val="6D691460"/>
    <w:rsid w:val="6D837F22"/>
    <w:rsid w:val="6DEF4134"/>
    <w:rsid w:val="6DF64B98"/>
    <w:rsid w:val="6E4C47B8"/>
    <w:rsid w:val="6E712470"/>
    <w:rsid w:val="6E8847B2"/>
    <w:rsid w:val="6EDB0E3B"/>
    <w:rsid w:val="6F141779"/>
    <w:rsid w:val="6F40431D"/>
    <w:rsid w:val="6F4446BA"/>
    <w:rsid w:val="6F4D6A39"/>
    <w:rsid w:val="6F72024E"/>
    <w:rsid w:val="6FC62348"/>
    <w:rsid w:val="6FF70753"/>
    <w:rsid w:val="7026759E"/>
    <w:rsid w:val="70D56AB2"/>
    <w:rsid w:val="70F9549B"/>
    <w:rsid w:val="711D41EA"/>
    <w:rsid w:val="71924FC1"/>
    <w:rsid w:val="719B6B25"/>
    <w:rsid w:val="71F413EE"/>
    <w:rsid w:val="729606F7"/>
    <w:rsid w:val="72AE7DEA"/>
    <w:rsid w:val="72C93C83"/>
    <w:rsid w:val="72ED761A"/>
    <w:rsid w:val="72FF629D"/>
    <w:rsid w:val="731A4AE1"/>
    <w:rsid w:val="73994D87"/>
    <w:rsid w:val="74E4399C"/>
    <w:rsid w:val="74F55BA9"/>
    <w:rsid w:val="75117320"/>
    <w:rsid w:val="75485532"/>
    <w:rsid w:val="75524DAA"/>
    <w:rsid w:val="75E5251D"/>
    <w:rsid w:val="75EA6D90"/>
    <w:rsid w:val="75FA5EB9"/>
    <w:rsid w:val="761F211F"/>
    <w:rsid w:val="7621715D"/>
    <w:rsid w:val="762229CE"/>
    <w:rsid w:val="76286BF4"/>
    <w:rsid w:val="7645008C"/>
    <w:rsid w:val="77093E9B"/>
    <w:rsid w:val="77C47AB5"/>
    <w:rsid w:val="77DD0911"/>
    <w:rsid w:val="78304EC9"/>
    <w:rsid w:val="785858A1"/>
    <w:rsid w:val="78C434C3"/>
    <w:rsid w:val="795934A7"/>
    <w:rsid w:val="79725A1A"/>
    <w:rsid w:val="79865022"/>
    <w:rsid w:val="79C10582"/>
    <w:rsid w:val="79D16021"/>
    <w:rsid w:val="7A1545F8"/>
    <w:rsid w:val="7A24483B"/>
    <w:rsid w:val="7A862E00"/>
    <w:rsid w:val="7B002BB2"/>
    <w:rsid w:val="7B65510B"/>
    <w:rsid w:val="7B7427C3"/>
    <w:rsid w:val="7BB06386"/>
    <w:rsid w:val="7C2823C0"/>
    <w:rsid w:val="7C3E7E36"/>
    <w:rsid w:val="7C473CAE"/>
    <w:rsid w:val="7C5A4544"/>
    <w:rsid w:val="7C705DF9"/>
    <w:rsid w:val="7CF04626"/>
    <w:rsid w:val="7D471233"/>
    <w:rsid w:val="7DDD367E"/>
    <w:rsid w:val="7E114DDB"/>
    <w:rsid w:val="7E5C0B48"/>
    <w:rsid w:val="7E7D055C"/>
    <w:rsid w:val="7ED92098"/>
    <w:rsid w:val="7EFB200E"/>
    <w:rsid w:val="7F8C1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4"/>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2">
    <w:name w:val="heading 4"/>
    <w:basedOn w:val="1"/>
    <w:next w:val="1"/>
    <w:qFormat/>
    <w:uiPriority w:val="0"/>
    <w:pPr>
      <w:keepNext/>
      <w:spacing w:before="240" w:after="60"/>
      <w:outlineLvl w:val="3"/>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annotation text"/>
    <w:basedOn w:val="1"/>
    <w:qFormat/>
    <w:uiPriority w:val="0"/>
    <w:pPr>
      <w:jc w:val="left"/>
    </w:pPr>
  </w:style>
  <w:style w:type="paragraph" w:styleId="8">
    <w:name w:val="Body Text"/>
    <w:basedOn w:val="1"/>
    <w:next w:val="1"/>
    <w:qFormat/>
    <w:uiPriority w:val="0"/>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39"/>
    <w:pPr>
      <w:ind w:left="840" w:leftChars="400"/>
    </w:pPr>
  </w:style>
  <w:style w:type="paragraph" w:styleId="11">
    <w:name w:val="Plain Text"/>
    <w:basedOn w:val="1"/>
    <w:next w:val="6"/>
    <w:qFormat/>
    <w:uiPriority w:val="99"/>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List 4"/>
    <w:basedOn w:val="1"/>
    <w:unhideWhenUsed/>
    <w:qFormat/>
    <w:uiPriority w:val="99"/>
    <w:pPr>
      <w:ind w:left="100" w:leftChars="600" w:hanging="200" w:hangingChars="200"/>
      <w:contextualSpacing/>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unhideWhenUsed/>
    <w:qFormat/>
    <w:uiPriority w:val="99"/>
    <w:pPr>
      <w:ind w:firstLine="420" w:firstLineChars="200"/>
    </w:p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List Paragraph"/>
    <w:basedOn w:val="1"/>
    <w:qFormat/>
    <w:uiPriority w:val="99"/>
    <w:pPr>
      <w:ind w:firstLine="420" w:firstLineChars="200"/>
    </w:pPr>
    <w:rPr>
      <w:rFonts w:ascii="Times New Roman" w:hAnsi="Times New Roman"/>
    </w:rPr>
  </w:style>
  <w:style w:type="character" w:customStyle="1" w:styleId="24">
    <w:name w:val="标题 3 字符"/>
    <w:link w:val="5"/>
    <w:qFormat/>
    <w:uiPriority w:val="0"/>
    <w:rPr>
      <w:rFonts w:ascii="Calibri" w:hAnsi="Calibri" w:eastAsia="宋体"/>
      <w:b/>
      <w:sz w:val="32"/>
    </w:rPr>
  </w:style>
  <w:style w:type="paragraph" w:customStyle="1" w:styleId="25">
    <w:name w:val="Char1 Char Char Char Char Char Char"/>
    <w:basedOn w:val="1"/>
    <w:qFormat/>
    <w:uiPriority w:val="0"/>
    <w:rPr>
      <w:rFonts w:ascii="Tahoma" w:hAnsi="Tahoma"/>
      <w:sz w:val="24"/>
      <w:szCs w:val="20"/>
    </w:rPr>
  </w:style>
  <w:style w:type="paragraph" w:customStyle="1" w:styleId="2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24438</Words>
  <Characters>26763</Characters>
  <Lines>0</Lines>
  <Paragraphs>0</Paragraphs>
  <TotalTime>52</TotalTime>
  <ScaleCrop>false</ScaleCrop>
  <LinksUpToDate>false</LinksUpToDate>
  <CharactersWithSpaces>27406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张DM</cp:lastModifiedBy>
  <cp:lastPrinted>2024-11-07T01:37:00Z</cp:lastPrinted>
  <dcterms:modified xsi:type="dcterms:W3CDTF">2025-06-05T02:15:04Z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B425E401D8534181BE813FBB93C83B29_13</vt:lpwstr>
  </property>
  <property fmtid="{D5CDD505-2E9C-101B-9397-08002B2CF9AE}" pid="4" name="KSOTemplateDocerSaveRecord">
    <vt:lpwstr>eyJoZGlkIjoiZTg5N2I0NzYxNzU0YjNiOTM5Mzg5NzAyNWEwM2U0MWUifQ==</vt:lpwstr>
  </property>
</Properties>
</file>