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871CD">
      <w:pPr>
        <w:jc w:val="center"/>
        <w:rPr>
          <w:rFonts w:hint="eastAsia" w:ascii="宋体" w:hAnsi="宋体" w:eastAsia="宋体" w:cs="宋体"/>
          <w:b/>
          <w:bCs/>
          <w:color w:val="auto"/>
          <w:sz w:val="52"/>
          <w:szCs w:val="52"/>
          <w:highlight w:val="none"/>
        </w:rPr>
      </w:pPr>
      <w:bookmarkStart w:id="0" w:name="_Toc10319"/>
      <w:bookmarkStart w:id="1" w:name="_Toc7014_WPSOffice_Level1"/>
      <w:r>
        <w:rPr>
          <w:rFonts w:hint="eastAsia" w:ascii="宋体" w:hAnsi="宋体" w:eastAsia="宋体" w:cs="宋体"/>
          <w:b/>
          <w:color w:val="auto"/>
          <w:sz w:val="52"/>
          <w:highlight w:val="none"/>
        </w:rPr>
        <w:t>桂林市政府集中采购中心</w:t>
      </w:r>
    </w:p>
    <w:p w14:paraId="5B35300C">
      <w:pPr>
        <w:pStyle w:val="14"/>
        <w:rPr>
          <w:rFonts w:hint="eastAsia" w:ascii="宋体" w:hAnsi="宋体" w:eastAsia="宋体" w:cs="宋体"/>
          <w:b/>
          <w:bCs/>
          <w:color w:val="auto"/>
          <w:sz w:val="52"/>
          <w:szCs w:val="52"/>
          <w:highlight w:val="none"/>
        </w:rPr>
      </w:pPr>
    </w:p>
    <w:p w14:paraId="03CD18B7">
      <w:pPr>
        <w:pStyle w:val="14"/>
        <w:rPr>
          <w:rFonts w:hint="eastAsia" w:ascii="宋体" w:hAnsi="宋体" w:eastAsia="宋体" w:cs="宋体"/>
          <w:b/>
          <w:bCs/>
          <w:color w:val="auto"/>
          <w:sz w:val="52"/>
          <w:szCs w:val="52"/>
          <w:highlight w:val="none"/>
        </w:rPr>
      </w:pPr>
    </w:p>
    <w:p w14:paraId="1D437493">
      <w:pPr>
        <w:ind w:left="0" w:leftChars="0" w:right="-106" w:rightChars="0" w:hanging="12" w:firstLineChars="0"/>
        <w:jc w:val="center"/>
        <w:rPr>
          <w:rFonts w:hint="eastAsia" w:ascii="宋体" w:hAnsi="宋体" w:eastAsia="宋体" w:cs="宋体"/>
          <w:b/>
          <w:color w:val="auto"/>
          <w:sz w:val="72"/>
          <w:szCs w:val="72"/>
          <w:highlight w:val="none"/>
        </w:rPr>
      </w:pPr>
      <w:r>
        <w:rPr>
          <w:rFonts w:hint="eastAsia" w:ascii="宋体" w:hAnsi="宋体" w:eastAsia="宋体" w:cs="宋体"/>
          <w:b/>
          <w:color w:val="auto"/>
          <w:spacing w:val="93"/>
          <w:sz w:val="72"/>
          <w:szCs w:val="72"/>
          <w:highlight w:val="none"/>
        </w:rPr>
        <w:t>竞争性磋商文件</w:t>
      </w:r>
    </w:p>
    <w:p w14:paraId="0E162E7B">
      <w:pPr>
        <w:jc w:val="center"/>
        <w:rPr>
          <w:rFonts w:hint="eastAsia" w:ascii="宋体" w:hAnsi="宋体" w:eastAsia="宋体" w:cs="宋体"/>
          <w:b/>
          <w:bCs/>
          <w:color w:val="auto"/>
          <w:sz w:val="52"/>
          <w:szCs w:val="52"/>
          <w:highlight w:val="none"/>
        </w:rPr>
      </w:pPr>
    </w:p>
    <w:p w14:paraId="75D40D4B">
      <w:pPr>
        <w:tabs>
          <w:tab w:val="left" w:pos="7208"/>
        </w:tabs>
        <w:jc w:val="left"/>
        <w:rPr>
          <w:rFonts w:hint="eastAsia" w:ascii="宋体" w:hAnsi="宋体" w:eastAsia="宋体" w:cs="宋体"/>
          <w:b/>
          <w:bCs/>
          <w:color w:val="auto"/>
          <w:sz w:val="52"/>
          <w:szCs w:val="52"/>
          <w:highlight w:val="none"/>
          <w:lang w:eastAsia="zh-CN"/>
        </w:rPr>
      </w:pPr>
      <w:r>
        <w:rPr>
          <w:rFonts w:hint="eastAsia" w:ascii="宋体" w:hAnsi="宋体" w:cs="宋体"/>
          <w:b/>
          <w:bCs/>
          <w:color w:val="auto"/>
          <w:sz w:val="52"/>
          <w:szCs w:val="52"/>
          <w:highlight w:val="none"/>
          <w:lang w:eastAsia="zh-CN"/>
        </w:rPr>
        <w:tab/>
      </w:r>
    </w:p>
    <w:p w14:paraId="045AF472">
      <w:pPr>
        <w:jc w:val="center"/>
        <w:rPr>
          <w:rFonts w:hint="eastAsia" w:ascii="宋体" w:hAnsi="宋体" w:eastAsia="宋体" w:cs="宋体"/>
          <w:b/>
          <w:bCs/>
          <w:color w:val="auto"/>
          <w:sz w:val="52"/>
          <w:szCs w:val="52"/>
          <w:highlight w:val="none"/>
        </w:rPr>
      </w:pPr>
    </w:p>
    <w:p w14:paraId="6A9FC969">
      <w:pPr>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项 目 名 称：</w:t>
      </w:r>
      <w:r>
        <w:rPr>
          <w:rFonts w:hint="eastAsia" w:ascii="宋体" w:hAnsi="宋体" w:cs="宋体"/>
          <w:b/>
          <w:bCs/>
          <w:color w:val="auto"/>
          <w:sz w:val="32"/>
          <w:szCs w:val="32"/>
          <w:highlight w:val="none"/>
          <w:u w:val="single"/>
          <w:lang w:val="en-US" w:eastAsia="zh-CN"/>
        </w:rPr>
        <w:t>桂林市复兴学校园林绿化服务采购项目</w:t>
      </w:r>
    </w:p>
    <w:p w14:paraId="46E58D12">
      <w:pPr>
        <w:ind w:firstLine="2560" w:firstLineChars="8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 目 编 号：</w:t>
      </w:r>
      <w:r>
        <w:rPr>
          <w:rFonts w:hint="eastAsia" w:ascii="宋体" w:hAnsi="宋体" w:cs="宋体"/>
          <w:b/>
          <w:bCs/>
          <w:color w:val="auto"/>
          <w:sz w:val="32"/>
          <w:szCs w:val="32"/>
          <w:highlight w:val="none"/>
          <w:u w:val="single"/>
          <w:lang w:val="en-US" w:eastAsia="zh-CN"/>
        </w:rPr>
        <w:t>GLZC2025-C3-990531-GLSZ</w:t>
      </w:r>
    </w:p>
    <w:p w14:paraId="3BCDAF2B">
      <w:pPr>
        <w:ind w:firstLine="1600" w:firstLineChars="500"/>
        <w:rPr>
          <w:rFonts w:hint="eastAsia" w:ascii="宋体" w:hAnsi="宋体" w:eastAsia="宋体" w:cs="宋体"/>
          <w:color w:val="auto"/>
          <w:sz w:val="32"/>
          <w:szCs w:val="32"/>
          <w:highlight w:val="none"/>
        </w:rPr>
      </w:pPr>
    </w:p>
    <w:p w14:paraId="035F7FA7">
      <w:pPr>
        <w:jc w:val="center"/>
        <w:rPr>
          <w:rFonts w:hint="eastAsia" w:ascii="宋体" w:hAnsi="宋体" w:eastAsia="宋体" w:cs="宋体"/>
          <w:color w:val="auto"/>
          <w:sz w:val="32"/>
          <w:szCs w:val="32"/>
          <w:highlight w:val="none"/>
        </w:rPr>
      </w:pPr>
    </w:p>
    <w:p w14:paraId="2844B4BC">
      <w:pPr>
        <w:rPr>
          <w:rFonts w:hint="eastAsia" w:ascii="宋体" w:hAnsi="宋体" w:eastAsia="宋体" w:cs="宋体"/>
          <w:color w:val="auto"/>
          <w:sz w:val="32"/>
          <w:szCs w:val="32"/>
          <w:highlight w:val="none"/>
        </w:rPr>
      </w:pPr>
    </w:p>
    <w:p w14:paraId="6DA2837B">
      <w:pPr>
        <w:jc w:val="center"/>
        <w:rPr>
          <w:rFonts w:hint="eastAsia" w:ascii="宋体" w:hAnsi="宋体" w:eastAsia="宋体" w:cs="宋体"/>
          <w:color w:val="auto"/>
          <w:sz w:val="32"/>
          <w:szCs w:val="32"/>
          <w:highlight w:val="none"/>
        </w:rPr>
      </w:pPr>
    </w:p>
    <w:p w14:paraId="17B7C2CB">
      <w:pPr>
        <w:ind w:firstLine="2240" w:firstLineChars="700"/>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采购代理机构：桂林市政府集中采购中心</w:t>
      </w:r>
    </w:p>
    <w:p w14:paraId="783F3B2D">
      <w:pPr>
        <w:pStyle w:val="9"/>
        <w:rPr>
          <w:rFonts w:hint="eastAsia" w:ascii="宋体" w:hAnsi="宋体" w:eastAsia="宋体" w:cs="宋体"/>
          <w:color w:val="auto"/>
          <w:highlight w:val="none"/>
        </w:rPr>
      </w:pPr>
    </w:p>
    <w:p w14:paraId="08686732">
      <w:pPr>
        <w:jc w:val="center"/>
        <w:rPr>
          <w:rFonts w:hint="eastAsia" w:ascii="宋体" w:hAnsi="宋体" w:eastAsia="宋体" w:cs="宋体"/>
          <w:color w:val="auto"/>
          <w:sz w:val="36"/>
          <w:szCs w:val="36"/>
          <w:highlight w:val="none"/>
          <w:lang w:val="en-US" w:eastAsia="zh-CN"/>
        </w:rPr>
      </w:pPr>
      <w:r>
        <w:rPr>
          <w:rFonts w:hint="eastAsia" w:ascii="宋体" w:hAnsi="宋体" w:cs="宋体"/>
          <w:color w:val="auto"/>
          <w:sz w:val="36"/>
          <w:szCs w:val="36"/>
          <w:highlight w:val="none"/>
          <w:lang w:eastAsia="zh-CN"/>
        </w:rPr>
        <w:t>202</w:t>
      </w:r>
      <w:r>
        <w:rPr>
          <w:rFonts w:hint="eastAsia" w:ascii="宋体" w:hAnsi="宋体" w:cs="宋体"/>
          <w:color w:val="auto"/>
          <w:sz w:val="36"/>
          <w:szCs w:val="36"/>
          <w:highlight w:val="none"/>
          <w:lang w:val="en-US" w:eastAsia="zh-CN"/>
        </w:rPr>
        <w:t>5</w:t>
      </w:r>
      <w:r>
        <w:rPr>
          <w:rFonts w:hint="eastAsia" w:ascii="宋体" w:hAnsi="宋体" w:cs="宋体"/>
          <w:color w:val="auto"/>
          <w:sz w:val="36"/>
          <w:szCs w:val="36"/>
          <w:highlight w:val="none"/>
          <w:lang w:eastAsia="zh-CN"/>
        </w:rPr>
        <w:t>年</w:t>
      </w:r>
      <w:r>
        <w:rPr>
          <w:rFonts w:hint="eastAsia" w:ascii="宋体" w:hAnsi="宋体" w:cs="宋体"/>
          <w:color w:val="auto"/>
          <w:sz w:val="36"/>
          <w:szCs w:val="36"/>
          <w:highlight w:val="none"/>
          <w:lang w:val="en-US" w:eastAsia="zh-CN"/>
        </w:rPr>
        <w:t>10</w:t>
      </w:r>
      <w:r>
        <w:rPr>
          <w:rFonts w:hint="eastAsia" w:ascii="宋体" w:hAnsi="宋体" w:cs="宋体"/>
          <w:color w:val="auto"/>
          <w:sz w:val="36"/>
          <w:szCs w:val="36"/>
          <w:highlight w:val="none"/>
          <w:lang w:eastAsia="zh-CN"/>
        </w:rPr>
        <w:t>月</w:t>
      </w:r>
      <w:r>
        <w:rPr>
          <w:rFonts w:hint="eastAsia" w:ascii="宋体" w:hAnsi="宋体" w:cs="宋体"/>
          <w:color w:val="auto"/>
          <w:sz w:val="36"/>
          <w:szCs w:val="36"/>
          <w:highlight w:val="none"/>
          <w:lang w:val="en-US" w:eastAsia="zh-CN"/>
        </w:rPr>
        <w:t>23</w:t>
      </w:r>
      <w:r>
        <w:rPr>
          <w:rFonts w:hint="eastAsia" w:ascii="宋体" w:hAnsi="宋体" w:cs="宋体"/>
          <w:color w:val="auto"/>
          <w:sz w:val="36"/>
          <w:szCs w:val="36"/>
          <w:highlight w:val="none"/>
          <w:lang w:eastAsia="zh-CN"/>
        </w:rPr>
        <w:t>日</w:t>
      </w:r>
    </w:p>
    <w:p w14:paraId="0ADBD89C">
      <w:pPr>
        <w:rPr>
          <w:rFonts w:hint="eastAsia" w:ascii="Times New Roman" w:hAnsi="Times New Roman" w:eastAsia="宋体" w:cs="Times New Roman"/>
          <w:color w:val="auto"/>
          <w:kern w:val="2"/>
          <w:sz w:val="21"/>
          <w:szCs w:val="24"/>
          <w:highlight w:val="none"/>
          <w:lang w:val="en-US" w:eastAsia="zh-CN" w:bidi="ar-SA"/>
        </w:rPr>
      </w:pPr>
    </w:p>
    <w:p w14:paraId="15C63589">
      <w:pPr>
        <w:rPr>
          <w:rFonts w:hint="eastAsia"/>
          <w:color w:val="auto"/>
          <w:highlight w:val="none"/>
          <w:lang w:val="en-US" w:eastAsia="zh-CN"/>
        </w:rPr>
      </w:pPr>
    </w:p>
    <w:p w14:paraId="054E386F">
      <w:pPr>
        <w:rPr>
          <w:rFonts w:hint="eastAsia"/>
          <w:color w:val="auto"/>
          <w:highlight w:val="none"/>
          <w:lang w:val="en-US" w:eastAsia="zh-CN"/>
        </w:rPr>
      </w:pPr>
    </w:p>
    <w:p w14:paraId="7471C16D">
      <w:pPr>
        <w:rPr>
          <w:rFonts w:hint="eastAsia"/>
          <w:color w:val="auto"/>
          <w:highlight w:val="none"/>
          <w:lang w:val="en-US" w:eastAsia="zh-CN"/>
        </w:rPr>
      </w:pPr>
    </w:p>
    <w:p w14:paraId="2DD95E51">
      <w:pPr>
        <w:tabs>
          <w:tab w:val="left" w:pos="6661"/>
        </w:tabs>
        <w:jc w:val="left"/>
        <w:rPr>
          <w:rFonts w:hint="eastAsia"/>
          <w:color w:val="auto"/>
          <w:highlight w:val="none"/>
          <w:lang w:val="en-US" w:eastAsia="zh-CN"/>
        </w:rPr>
        <w:sectPr>
          <w:headerReference r:id="rId3" w:type="default"/>
          <w:footerReference r:id="rId4" w:type="default"/>
          <w:pgSz w:w="11906" w:h="16838"/>
          <w:pgMar w:top="1440" w:right="935" w:bottom="1440" w:left="777" w:header="851" w:footer="992" w:gutter="0"/>
          <w:pgNumType w:fmt="numberInDash" w:start="1"/>
          <w:cols w:space="720" w:num="1"/>
          <w:rtlGutter w:val="0"/>
          <w:docGrid w:type="linesAndChars" w:linePitch="312" w:charSpace="0"/>
        </w:sectPr>
      </w:pPr>
      <w:r>
        <w:rPr>
          <w:rFonts w:hint="eastAsia"/>
          <w:color w:val="auto"/>
          <w:highlight w:val="none"/>
          <w:lang w:val="en-US" w:eastAsia="zh-CN"/>
        </w:rPr>
        <w:tab/>
      </w:r>
    </w:p>
    <w:p w14:paraId="0FA0134A">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目</w:t>
      </w:r>
      <w:r>
        <w:rPr>
          <w:rFonts w:hint="eastAsia" w:ascii="宋体" w:hAnsi="宋体" w:eastAsia="宋体" w:cs="宋体"/>
          <w:b/>
          <w:bCs/>
          <w:color w:val="auto"/>
          <w:sz w:val="36"/>
          <w:szCs w:val="36"/>
          <w:highlight w:val="none"/>
        </w:rPr>
        <w:t xml:space="preserve">  </w:t>
      </w:r>
      <w:r>
        <w:rPr>
          <w:rFonts w:hint="eastAsia" w:ascii="宋体" w:hAnsi="宋体" w:eastAsia="宋体" w:cs="宋体"/>
          <w:b/>
          <w:bCs/>
          <w:color w:val="auto"/>
          <w:sz w:val="36"/>
          <w:szCs w:val="36"/>
          <w:highlight w:val="none"/>
          <w:lang w:val="zh-CN"/>
        </w:rPr>
        <w:t>录</w:t>
      </w:r>
    </w:p>
    <w:p w14:paraId="1DEA331A">
      <w:pPr>
        <w:pStyle w:val="16"/>
        <w:tabs>
          <w:tab w:val="right" w:leader="dot" w:pos="1019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_Toc10108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_Toc10108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eastAsia="宋体" w:cs="宋体"/>
          <w:color w:val="auto"/>
          <w:highlight w:val="none"/>
        </w:rPr>
        <w:fldChar w:fldCharType="end"/>
      </w:r>
    </w:p>
    <w:p w14:paraId="71B62B20">
      <w:pPr>
        <w:pStyle w:val="16"/>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_Toc6348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32"/>
          <w:highlight w:val="none"/>
          <w:lang w:eastAsia="zh-CN"/>
        </w:rPr>
        <w:t>第二章</w:t>
      </w:r>
      <w:r>
        <w:rPr>
          <w:rFonts w:hint="eastAsia" w:ascii="宋体" w:hAnsi="宋体" w:eastAsia="宋体" w:cs="宋体"/>
          <w:color w:val="auto"/>
          <w:szCs w:val="32"/>
          <w:highlight w:val="none"/>
          <w:lang w:val="en-US" w:eastAsia="zh-CN"/>
        </w:rPr>
        <w:t xml:space="preserve"> </w:t>
      </w:r>
      <w:r>
        <w:rPr>
          <w:rFonts w:hint="eastAsia" w:ascii="宋体" w:hAnsi="宋体" w:eastAsia="宋体" w:cs="宋体"/>
          <w:color w:val="auto"/>
          <w:szCs w:val="32"/>
          <w:highlight w:val="none"/>
        </w:rPr>
        <w:t>供应商须知</w:t>
      </w:r>
      <w:r>
        <w:rPr>
          <w:color w:val="auto"/>
          <w:highlight w:val="none"/>
        </w:rPr>
        <w:tab/>
      </w:r>
      <w:r>
        <w:rPr>
          <w:color w:val="auto"/>
          <w:highlight w:val="none"/>
        </w:rPr>
        <w:fldChar w:fldCharType="begin"/>
      </w:r>
      <w:r>
        <w:rPr>
          <w:color w:val="auto"/>
          <w:highlight w:val="none"/>
        </w:rPr>
        <w:instrText xml:space="preserve"> PAGEREF _Toc6348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79EAFA3A">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_Toc15178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4"/>
          <w:highlight w:val="none"/>
        </w:rPr>
        <w:t>供 应 商 须 知 前 附 表</w:t>
      </w:r>
      <w:r>
        <w:rPr>
          <w:color w:val="auto"/>
          <w:highlight w:val="none"/>
        </w:rPr>
        <w:tab/>
      </w:r>
      <w:r>
        <w:rPr>
          <w:color w:val="auto"/>
          <w:highlight w:val="none"/>
        </w:rPr>
        <w:fldChar w:fldCharType="begin"/>
      </w:r>
      <w:r>
        <w:rPr>
          <w:color w:val="auto"/>
          <w:highlight w:val="none"/>
        </w:rPr>
        <w:instrText xml:space="preserve"> PAGEREF _Toc15178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75FCB0BC">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_Toc2356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color w:val="auto"/>
          <w:szCs w:val="21"/>
          <w:highlight w:val="none"/>
        </w:rPr>
        <w:t>竞争性</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响应文件的</w:t>
      </w:r>
      <w:r>
        <w:rPr>
          <w:rFonts w:hint="eastAsia" w:ascii="宋体" w:hAnsi="宋体" w:eastAsia="宋体" w:cs="宋体"/>
          <w:bCs/>
          <w:color w:val="auto"/>
          <w:szCs w:val="21"/>
          <w:highlight w:val="none"/>
          <w:lang w:eastAsia="zh-CN"/>
        </w:rPr>
        <w:t>制作</w:t>
      </w:r>
      <w:r>
        <w:rPr>
          <w:color w:val="auto"/>
          <w:highlight w:val="none"/>
        </w:rPr>
        <w:tab/>
      </w:r>
      <w:r>
        <w:rPr>
          <w:color w:val="auto"/>
          <w:highlight w:val="none"/>
        </w:rPr>
        <w:fldChar w:fldCharType="begin"/>
      </w:r>
      <w:r>
        <w:rPr>
          <w:color w:val="auto"/>
          <w:highlight w:val="none"/>
        </w:rPr>
        <w:instrText xml:space="preserve"> PAGEREF _Toc2356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57785DE3">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_Toc30008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8"/>
          <w:highlight w:val="none"/>
        </w:rPr>
        <w:t>一、总则</w:t>
      </w:r>
      <w:r>
        <w:rPr>
          <w:color w:val="auto"/>
          <w:highlight w:val="none"/>
        </w:rPr>
        <w:tab/>
      </w:r>
      <w:r>
        <w:rPr>
          <w:color w:val="auto"/>
          <w:highlight w:val="none"/>
        </w:rPr>
        <w:fldChar w:fldCharType="begin"/>
      </w:r>
      <w:r>
        <w:rPr>
          <w:color w:val="auto"/>
          <w:highlight w:val="none"/>
        </w:rPr>
        <w:instrText xml:space="preserve"> PAGEREF _Toc30008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6CD47682">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_Toc3607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 适应范围</w:t>
      </w:r>
      <w:r>
        <w:rPr>
          <w:color w:val="auto"/>
          <w:highlight w:val="none"/>
        </w:rPr>
        <w:tab/>
      </w:r>
      <w:r>
        <w:rPr>
          <w:color w:val="auto"/>
          <w:highlight w:val="none"/>
        </w:rPr>
        <w:fldChar w:fldCharType="begin"/>
      </w:r>
      <w:r>
        <w:rPr>
          <w:color w:val="auto"/>
          <w:highlight w:val="none"/>
        </w:rPr>
        <w:instrText xml:space="preserve"> PAGEREF _Toc3607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0DDC70A9">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_Toc21032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 定义</w:t>
      </w:r>
      <w:r>
        <w:rPr>
          <w:color w:val="auto"/>
          <w:highlight w:val="none"/>
        </w:rPr>
        <w:tab/>
      </w:r>
      <w:r>
        <w:rPr>
          <w:color w:val="auto"/>
          <w:highlight w:val="none"/>
        </w:rPr>
        <w:fldChar w:fldCharType="begin"/>
      </w:r>
      <w:r>
        <w:rPr>
          <w:color w:val="auto"/>
          <w:highlight w:val="none"/>
        </w:rPr>
        <w:instrText xml:space="preserve"> PAGEREF _Toc21032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6F92EA6B">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_Toc10645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3. 供应商资格</w:t>
      </w:r>
      <w:r>
        <w:rPr>
          <w:color w:val="auto"/>
          <w:highlight w:val="none"/>
        </w:rPr>
        <w:tab/>
      </w:r>
      <w:r>
        <w:rPr>
          <w:color w:val="auto"/>
          <w:highlight w:val="none"/>
        </w:rPr>
        <w:fldChar w:fldCharType="begin"/>
      </w:r>
      <w:r>
        <w:rPr>
          <w:color w:val="auto"/>
          <w:highlight w:val="none"/>
        </w:rPr>
        <w:instrText xml:space="preserve"> PAGEREF _Toc10645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274AC601">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_Toc2401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4. 磋商费用</w:t>
      </w:r>
      <w:r>
        <w:rPr>
          <w:color w:val="auto"/>
          <w:highlight w:val="none"/>
        </w:rPr>
        <w:tab/>
      </w:r>
      <w:r>
        <w:rPr>
          <w:color w:val="auto"/>
          <w:highlight w:val="none"/>
        </w:rPr>
        <w:fldChar w:fldCharType="begin"/>
      </w:r>
      <w:r>
        <w:rPr>
          <w:color w:val="auto"/>
          <w:highlight w:val="none"/>
        </w:rPr>
        <w:instrText xml:space="preserve"> PAGEREF _Toc2401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38424FE9">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_Toc1271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5. 联合体要求</w:t>
      </w:r>
      <w:r>
        <w:rPr>
          <w:color w:val="auto"/>
          <w:highlight w:val="none"/>
        </w:rPr>
        <w:tab/>
      </w:r>
      <w:r>
        <w:rPr>
          <w:color w:val="auto"/>
          <w:highlight w:val="none"/>
        </w:rPr>
        <w:fldChar w:fldCharType="begin"/>
      </w:r>
      <w:r>
        <w:rPr>
          <w:color w:val="auto"/>
          <w:highlight w:val="none"/>
        </w:rPr>
        <w:instrText xml:space="preserve"> PAGEREF _Toc1271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0A12B01B">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_Toc6579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6. 质疑和投诉</w:t>
      </w:r>
      <w:r>
        <w:rPr>
          <w:color w:val="auto"/>
          <w:highlight w:val="none"/>
        </w:rPr>
        <w:tab/>
      </w:r>
      <w:r>
        <w:rPr>
          <w:color w:val="auto"/>
          <w:highlight w:val="none"/>
        </w:rPr>
        <w:fldChar w:fldCharType="begin"/>
      </w:r>
      <w:r>
        <w:rPr>
          <w:color w:val="auto"/>
          <w:highlight w:val="none"/>
        </w:rPr>
        <w:instrText xml:space="preserve"> PAGEREF _Toc6579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2955A7C2">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_Toc31670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7. 转包与分包</w:t>
      </w:r>
      <w:r>
        <w:rPr>
          <w:color w:val="auto"/>
          <w:highlight w:val="none"/>
        </w:rPr>
        <w:tab/>
      </w:r>
      <w:r>
        <w:rPr>
          <w:color w:val="auto"/>
          <w:highlight w:val="none"/>
        </w:rPr>
        <w:fldChar w:fldCharType="begin"/>
      </w:r>
      <w:r>
        <w:rPr>
          <w:color w:val="auto"/>
          <w:highlight w:val="none"/>
        </w:rPr>
        <w:instrText xml:space="preserve"> PAGEREF _Toc2933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58298581">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_Toc4346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8. 特别说明</w:t>
      </w:r>
      <w:r>
        <w:rPr>
          <w:color w:val="auto"/>
          <w:highlight w:val="none"/>
        </w:rPr>
        <w:tab/>
      </w:r>
      <w:r>
        <w:rPr>
          <w:color w:val="auto"/>
          <w:highlight w:val="none"/>
        </w:rPr>
        <w:fldChar w:fldCharType="begin"/>
      </w:r>
      <w:r>
        <w:rPr>
          <w:color w:val="auto"/>
          <w:highlight w:val="none"/>
        </w:rPr>
        <w:instrText xml:space="preserve"> PAGEREF _Toc2933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0AB54D32">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_Toc2933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8"/>
          <w:highlight w:val="none"/>
        </w:rPr>
        <w:t>二、磋商文件</w:t>
      </w:r>
      <w:r>
        <w:rPr>
          <w:color w:val="auto"/>
          <w:highlight w:val="none"/>
        </w:rPr>
        <w:tab/>
      </w:r>
      <w:r>
        <w:rPr>
          <w:color w:val="auto"/>
          <w:highlight w:val="none"/>
        </w:rPr>
        <w:fldChar w:fldCharType="begin"/>
      </w:r>
      <w:r>
        <w:rPr>
          <w:color w:val="auto"/>
          <w:highlight w:val="none"/>
        </w:rPr>
        <w:instrText xml:space="preserve"> PAGEREF _Toc2933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25BBC601">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_Toc26780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lang w:val="pt-BR"/>
        </w:rPr>
        <w:t xml:space="preserve">9. </w:t>
      </w:r>
      <w:r>
        <w:rPr>
          <w:rFonts w:hint="eastAsia" w:ascii="宋体" w:hAnsi="宋体" w:eastAsia="宋体" w:cs="宋体"/>
          <w:color w:val="auto"/>
          <w:szCs w:val="21"/>
          <w:highlight w:val="none"/>
        </w:rPr>
        <w:t>磋商文件的构成</w:t>
      </w:r>
      <w:r>
        <w:rPr>
          <w:color w:val="auto"/>
          <w:highlight w:val="none"/>
        </w:rPr>
        <w:tab/>
      </w:r>
      <w:r>
        <w:rPr>
          <w:color w:val="auto"/>
          <w:highlight w:val="none"/>
        </w:rPr>
        <w:fldChar w:fldCharType="begin"/>
      </w:r>
      <w:r>
        <w:rPr>
          <w:color w:val="auto"/>
          <w:highlight w:val="none"/>
        </w:rPr>
        <w:instrText xml:space="preserve"> PAGEREF _Toc26780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2A1A6E38">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_Toc14609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10. 磋商文件的澄清与修改</w:t>
      </w:r>
      <w:r>
        <w:rPr>
          <w:color w:val="auto"/>
          <w:highlight w:val="none"/>
        </w:rPr>
        <w:tab/>
      </w:r>
      <w:r>
        <w:rPr>
          <w:color w:val="auto"/>
          <w:highlight w:val="none"/>
        </w:rPr>
        <w:fldChar w:fldCharType="begin"/>
      </w:r>
      <w:r>
        <w:rPr>
          <w:color w:val="auto"/>
          <w:highlight w:val="none"/>
        </w:rPr>
        <w:instrText xml:space="preserve"> PAGEREF _Toc14609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1C10592D">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_Toc26342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8"/>
          <w:highlight w:val="none"/>
        </w:rPr>
        <w:t>三、竞争性磋商响应文件的编制</w:t>
      </w:r>
      <w:r>
        <w:rPr>
          <w:color w:val="auto"/>
          <w:highlight w:val="none"/>
        </w:rPr>
        <w:tab/>
      </w:r>
      <w:r>
        <w:rPr>
          <w:color w:val="auto"/>
          <w:highlight w:val="none"/>
        </w:rPr>
        <w:fldChar w:fldCharType="begin"/>
      </w:r>
      <w:r>
        <w:rPr>
          <w:color w:val="auto"/>
          <w:highlight w:val="none"/>
        </w:rPr>
        <w:instrText xml:space="preserve"> PAGEREF _Toc26342 \h </w:instrText>
      </w:r>
      <w:r>
        <w:rPr>
          <w:color w:val="auto"/>
          <w:highlight w:val="none"/>
        </w:rPr>
        <w:fldChar w:fldCharType="separate"/>
      </w:r>
      <w:r>
        <w:rPr>
          <w:color w:val="auto"/>
          <w:highlight w:val="none"/>
        </w:rPr>
        <w:t>- 10 -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09FD2927">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_Toc15096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lang w:val="en-US" w:eastAsia="zh-CN"/>
        </w:rPr>
        <w:t>11.竞争性磋商响应文件编制基本要求</w:t>
      </w:r>
      <w:r>
        <w:rPr>
          <w:color w:val="auto"/>
          <w:highlight w:val="none"/>
        </w:rPr>
        <w:tab/>
      </w:r>
      <w:r>
        <w:rPr>
          <w:color w:val="auto"/>
          <w:highlight w:val="none"/>
        </w:rPr>
        <w:fldChar w:fldCharType="begin"/>
      </w:r>
      <w:r>
        <w:rPr>
          <w:color w:val="auto"/>
          <w:highlight w:val="none"/>
        </w:rPr>
        <w:instrText xml:space="preserve"> PAGEREF _Toc15096 \h </w:instrText>
      </w:r>
      <w:r>
        <w:rPr>
          <w:color w:val="auto"/>
          <w:highlight w:val="none"/>
        </w:rPr>
        <w:fldChar w:fldCharType="separate"/>
      </w:r>
      <w:r>
        <w:rPr>
          <w:color w:val="auto"/>
          <w:highlight w:val="none"/>
        </w:rPr>
        <w:t>- 10 -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75115768">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_Toc13440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12. 响应文件的语言及计量</w:t>
      </w:r>
      <w:r>
        <w:rPr>
          <w:color w:val="auto"/>
          <w:highlight w:val="none"/>
        </w:rPr>
        <w:tab/>
      </w:r>
      <w:r>
        <w:rPr>
          <w:color w:val="auto"/>
          <w:highlight w:val="none"/>
        </w:rPr>
        <w:fldChar w:fldCharType="begin"/>
      </w:r>
      <w:r>
        <w:rPr>
          <w:color w:val="auto"/>
          <w:highlight w:val="none"/>
        </w:rPr>
        <w:instrText xml:space="preserve"> PAGEREF _Toc13440 \h </w:instrText>
      </w:r>
      <w:r>
        <w:rPr>
          <w:color w:val="auto"/>
          <w:highlight w:val="none"/>
        </w:rPr>
        <w:fldChar w:fldCharType="separate"/>
      </w:r>
      <w:r>
        <w:rPr>
          <w:color w:val="auto"/>
          <w:highlight w:val="none"/>
        </w:rPr>
        <w:t>- 12 -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D9F2C80">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_Toc31582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13. 磋商报价及采购预算金额</w:t>
      </w:r>
      <w:r>
        <w:rPr>
          <w:color w:val="auto"/>
          <w:highlight w:val="none"/>
        </w:rPr>
        <w:tab/>
      </w:r>
      <w:r>
        <w:rPr>
          <w:color w:val="auto"/>
          <w:highlight w:val="none"/>
        </w:rPr>
        <w:fldChar w:fldCharType="begin"/>
      </w:r>
      <w:r>
        <w:rPr>
          <w:color w:val="auto"/>
          <w:highlight w:val="none"/>
        </w:rPr>
        <w:instrText xml:space="preserve"> PAGEREF _Toc31582 \h </w:instrText>
      </w:r>
      <w:r>
        <w:rPr>
          <w:color w:val="auto"/>
          <w:highlight w:val="none"/>
        </w:rPr>
        <w:fldChar w:fldCharType="separate"/>
      </w:r>
      <w:r>
        <w:rPr>
          <w:color w:val="auto"/>
          <w:highlight w:val="none"/>
        </w:rPr>
        <w:t>- 12 -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69B5E3EB">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_Toc3662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14. 响应文件有效期</w:t>
      </w:r>
      <w:r>
        <w:rPr>
          <w:color w:val="auto"/>
          <w:highlight w:val="none"/>
        </w:rPr>
        <w:tab/>
      </w:r>
      <w:r>
        <w:rPr>
          <w:color w:val="auto"/>
          <w:highlight w:val="none"/>
        </w:rPr>
        <w:fldChar w:fldCharType="begin"/>
      </w:r>
      <w:r>
        <w:rPr>
          <w:color w:val="auto"/>
          <w:highlight w:val="none"/>
        </w:rPr>
        <w:instrText xml:space="preserve"> PAGEREF _Toc3662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5ACBF3BD">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_Toc22805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15. 保证金</w:t>
      </w:r>
      <w:r>
        <w:rPr>
          <w:color w:val="auto"/>
          <w:highlight w:val="none"/>
        </w:rPr>
        <w:tab/>
      </w:r>
      <w:r>
        <w:rPr>
          <w:color w:val="auto"/>
          <w:highlight w:val="none"/>
        </w:rPr>
        <w:fldChar w:fldCharType="begin"/>
      </w:r>
      <w:r>
        <w:rPr>
          <w:color w:val="auto"/>
          <w:highlight w:val="none"/>
        </w:rPr>
        <w:instrText xml:space="preserve"> PAGEREF _Toc22805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6ED77709">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_Toc32621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16. 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w:t>
      </w:r>
      <w:r>
        <w:rPr>
          <w:rFonts w:hint="eastAsia" w:ascii="宋体" w:hAnsi="宋体" w:eastAsia="宋体" w:cs="宋体"/>
          <w:color w:val="auto"/>
          <w:szCs w:val="21"/>
          <w:highlight w:val="none"/>
          <w:lang w:eastAsia="zh-CN"/>
        </w:rPr>
        <w:t>制作</w:t>
      </w:r>
      <w:r>
        <w:rPr>
          <w:color w:val="auto"/>
          <w:highlight w:val="none"/>
        </w:rPr>
        <w:tab/>
      </w:r>
      <w:r>
        <w:rPr>
          <w:color w:val="auto"/>
          <w:highlight w:val="none"/>
        </w:rPr>
        <w:fldChar w:fldCharType="begin"/>
      </w:r>
      <w:r>
        <w:rPr>
          <w:color w:val="auto"/>
          <w:highlight w:val="none"/>
        </w:rPr>
        <w:instrText xml:space="preserve"> PAGEREF _Toc32621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357F8C65">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_Toc1031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17. 响应文件的修改和撤回</w:t>
      </w:r>
      <w:r>
        <w:rPr>
          <w:color w:val="auto"/>
          <w:highlight w:val="none"/>
        </w:rPr>
        <w:tab/>
      </w:r>
      <w:r>
        <w:rPr>
          <w:color w:val="auto"/>
          <w:highlight w:val="none"/>
        </w:rPr>
        <w:fldChar w:fldCharType="begin"/>
      </w:r>
      <w:r>
        <w:rPr>
          <w:color w:val="auto"/>
          <w:highlight w:val="none"/>
        </w:rPr>
        <w:instrText xml:space="preserve"> PAGEREF _Toc1031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748CAD8F">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_Toc11330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18. 响应文件的递交</w:t>
      </w:r>
      <w:r>
        <w:rPr>
          <w:rFonts w:hint="eastAsia" w:ascii="宋体" w:hAnsi="宋体" w:eastAsia="宋体" w:cs="宋体"/>
          <w:color w:val="auto"/>
          <w:szCs w:val="21"/>
          <w:highlight w:val="none"/>
          <w:lang w:eastAsia="zh-CN"/>
        </w:rPr>
        <w:t>和解密</w:t>
      </w:r>
      <w:r>
        <w:rPr>
          <w:color w:val="auto"/>
          <w:highlight w:val="none"/>
        </w:rPr>
        <w:tab/>
      </w:r>
      <w:r>
        <w:rPr>
          <w:color w:val="auto"/>
          <w:highlight w:val="none"/>
        </w:rPr>
        <w:fldChar w:fldCharType="begin"/>
      </w:r>
      <w:r>
        <w:rPr>
          <w:color w:val="auto"/>
          <w:highlight w:val="none"/>
        </w:rPr>
        <w:instrText xml:space="preserve"> PAGEREF _Toc11330 \h </w:instrText>
      </w:r>
      <w:r>
        <w:rPr>
          <w:color w:val="auto"/>
          <w:highlight w:val="none"/>
        </w:rPr>
        <w:fldChar w:fldCharType="separate"/>
      </w:r>
      <w:r>
        <w:rPr>
          <w:color w:val="auto"/>
          <w:highlight w:val="none"/>
        </w:rPr>
        <w:t>- 14 -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E27AE0E">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_Toc31400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8"/>
          <w:highlight w:val="none"/>
        </w:rPr>
        <w:t>四、竞争性磋商（简称磋商）与评审</w:t>
      </w:r>
      <w:r>
        <w:rPr>
          <w:color w:val="auto"/>
          <w:highlight w:val="none"/>
        </w:rPr>
        <w:tab/>
      </w:r>
      <w:r>
        <w:rPr>
          <w:color w:val="auto"/>
          <w:highlight w:val="none"/>
        </w:rPr>
        <w:fldChar w:fldCharType="begin"/>
      </w:r>
      <w:r>
        <w:rPr>
          <w:color w:val="auto"/>
          <w:highlight w:val="none"/>
        </w:rPr>
        <w:instrText xml:space="preserve"> PAGEREF _Toc31400 \h </w:instrText>
      </w:r>
      <w:r>
        <w:rPr>
          <w:color w:val="auto"/>
          <w:highlight w:val="none"/>
        </w:rPr>
        <w:fldChar w:fldCharType="separate"/>
      </w:r>
      <w:r>
        <w:rPr>
          <w:color w:val="auto"/>
          <w:highlight w:val="none"/>
        </w:rPr>
        <w:t>- 14 -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1D154C9">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_Toc16035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19. 磋商小组组成及磋商时间、地点、人员</w:t>
      </w:r>
      <w:r>
        <w:rPr>
          <w:color w:val="auto"/>
          <w:highlight w:val="none"/>
        </w:rPr>
        <w:tab/>
      </w:r>
      <w:r>
        <w:rPr>
          <w:color w:val="auto"/>
          <w:highlight w:val="none"/>
        </w:rPr>
        <w:fldChar w:fldCharType="begin"/>
      </w:r>
      <w:r>
        <w:rPr>
          <w:color w:val="auto"/>
          <w:highlight w:val="none"/>
        </w:rPr>
        <w:instrText xml:space="preserve"> PAGEREF _Toc16035 \h </w:instrText>
      </w:r>
      <w:r>
        <w:rPr>
          <w:color w:val="auto"/>
          <w:highlight w:val="none"/>
        </w:rPr>
        <w:fldChar w:fldCharType="separate"/>
      </w:r>
      <w:r>
        <w:rPr>
          <w:color w:val="auto"/>
          <w:highlight w:val="none"/>
        </w:rPr>
        <w:t>- 14 -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375A7A7C">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_Toc6109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20. 评审原则</w:t>
      </w:r>
      <w:r>
        <w:rPr>
          <w:color w:val="auto"/>
          <w:highlight w:val="none"/>
        </w:rPr>
        <w:tab/>
      </w:r>
      <w:r>
        <w:rPr>
          <w:color w:val="auto"/>
          <w:highlight w:val="none"/>
        </w:rPr>
        <w:fldChar w:fldCharType="begin"/>
      </w:r>
      <w:r>
        <w:rPr>
          <w:color w:val="auto"/>
          <w:highlight w:val="none"/>
        </w:rPr>
        <w:instrText xml:space="preserve"> PAGEREF _Toc6109 \h </w:instrText>
      </w:r>
      <w:r>
        <w:rPr>
          <w:color w:val="auto"/>
          <w:highlight w:val="none"/>
        </w:rPr>
        <w:fldChar w:fldCharType="separate"/>
      </w:r>
      <w:r>
        <w:rPr>
          <w:color w:val="auto"/>
          <w:highlight w:val="none"/>
        </w:rPr>
        <w:t>- 15 -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ADCAD1D">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_Toc17571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21. 评审程序及磋商要求</w:t>
      </w:r>
      <w:r>
        <w:rPr>
          <w:color w:val="auto"/>
          <w:highlight w:val="none"/>
        </w:rPr>
        <w:tab/>
      </w:r>
      <w:r>
        <w:rPr>
          <w:color w:val="auto"/>
          <w:highlight w:val="none"/>
        </w:rPr>
        <w:fldChar w:fldCharType="begin"/>
      </w:r>
      <w:r>
        <w:rPr>
          <w:color w:val="auto"/>
          <w:highlight w:val="none"/>
        </w:rPr>
        <w:instrText xml:space="preserve"> PAGEREF _Toc17571 \h </w:instrText>
      </w:r>
      <w:r>
        <w:rPr>
          <w:color w:val="auto"/>
          <w:highlight w:val="none"/>
        </w:rPr>
        <w:fldChar w:fldCharType="separate"/>
      </w:r>
      <w:r>
        <w:rPr>
          <w:color w:val="auto"/>
          <w:highlight w:val="none"/>
        </w:rPr>
        <w:t>- 15 -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5CB12A3F">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_Toc23844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22. 确定成交供应商</w:t>
      </w:r>
      <w:r>
        <w:rPr>
          <w:color w:val="auto"/>
          <w:highlight w:val="none"/>
        </w:rPr>
        <w:tab/>
      </w:r>
      <w:r>
        <w:rPr>
          <w:color w:val="auto"/>
          <w:highlight w:val="none"/>
        </w:rPr>
        <w:fldChar w:fldCharType="begin"/>
      </w:r>
      <w:r>
        <w:rPr>
          <w:color w:val="auto"/>
          <w:highlight w:val="none"/>
        </w:rPr>
        <w:instrText xml:space="preserve"> PAGEREF _Toc23844 \h </w:instrText>
      </w:r>
      <w:r>
        <w:rPr>
          <w:color w:val="auto"/>
          <w:highlight w:val="none"/>
        </w:rPr>
        <w:fldChar w:fldCharType="separate"/>
      </w:r>
      <w:r>
        <w:rPr>
          <w:color w:val="auto"/>
          <w:highlight w:val="none"/>
        </w:rPr>
        <w:t>- 18 -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7631FEB6">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_Toc7831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23. 属于下列情况之一者，响应文件无效</w:t>
      </w:r>
      <w:r>
        <w:rPr>
          <w:color w:val="auto"/>
          <w:highlight w:val="none"/>
        </w:rPr>
        <w:tab/>
      </w:r>
      <w:r>
        <w:rPr>
          <w:color w:val="auto"/>
          <w:highlight w:val="none"/>
        </w:rPr>
        <w:fldChar w:fldCharType="begin"/>
      </w:r>
      <w:r>
        <w:rPr>
          <w:color w:val="auto"/>
          <w:highlight w:val="none"/>
        </w:rPr>
        <w:instrText xml:space="preserve"> PAGEREF _Toc7831 \h </w:instrText>
      </w:r>
      <w:r>
        <w:rPr>
          <w:color w:val="auto"/>
          <w:highlight w:val="none"/>
        </w:rPr>
        <w:fldChar w:fldCharType="separate"/>
      </w:r>
      <w:r>
        <w:rPr>
          <w:color w:val="auto"/>
          <w:highlight w:val="none"/>
        </w:rPr>
        <w:t>- 18 -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7130F386">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_Toc17161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24. 出现下列情形之一的，采购人或者采购代理机构应当终止竞争性磋商采购活动，发布项目终止公告并说明原因，重新开展采购活动</w:t>
      </w:r>
      <w:r>
        <w:rPr>
          <w:color w:val="auto"/>
          <w:highlight w:val="none"/>
        </w:rPr>
        <w:tab/>
      </w:r>
      <w:r>
        <w:rPr>
          <w:color w:val="auto"/>
          <w:highlight w:val="none"/>
        </w:rPr>
        <w:fldChar w:fldCharType="begin"/>
      </w:r>
      <w:r>
        <w:rPr>
          <w:color w:val="auto"/>
          <w:highlight w:val="none"/>
        </w:rPr>
        <w:instrText xml:space="preserve"> PAGEREF _Toc17161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5307E517">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_Toc15936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25. 磋商过程的监控</w:t>
      </w:r>
      <w:r>
        <w:rPr>
          <w:color w:val="auto"/>
          <w:highlight w:val="none"/>
        </w:rPr>
        <w:tab/>
      </w:r>
      <w:r>
        <w:rPr>
          <w:color w:val="auto"/>
          <w:highlight w:val="none"/>
        </w:rPr>
        <w:fldChar w:fldCharType="begin"/>
      </w:r>
      <w:r>
        <w:rPr>
          <w:color w:val="auto"/>
          <w:highlight w:val="none"/>
        </w:rPr>
        <w:instrText xml:space="preserve"> PAGEREF _Toc15936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9C51ABF">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_Toc27175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26. 信用查询</w:t>
      </w:r>
      <w:r>
        <w:rPr>
          <w:color w:val="auto"/>
          <w:highlight w:val="none"/>
        </w:rPr>
        <w:tab/>
      </w:r>
      <w:r>
        <w:rPr>
          <w:color w:val="auto"/>
          <w:highlight w:val="none"/>
        </w:rPr>
        <w:fldChar w:fldCharType="begin"/>
      </w:r>
      <w:r>
        <w:rPr>
          <w:color w:val="auto"/>
          <w:highlight w:val="none"/>
        </w:rPr>
        <w:instrText xml:space="preserve"> PAGEREF _Toc27175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6E4BD24F">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_Toc18494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27. 成交结果公告及成交通知书</w:t>
      </w:r>
      <w:r>
        <w:rPr>
          <w:color w:val="auto"/>
          <w:highlight w:val="none"/>
        </w:rPr>
        <w:tab/>
      </w:r>
      <w:r>
        <w:rPr>
          <w:color w:val="auto"/>
          <w:highlight w:val="none"/>
        </w:rPr>
        <w:fldChar w:fldCharType="begin"/>
      </w:r>
      <w:r>
        <w:rPr>
          <w:color w:val="auto"/>
          <w:highlight w:val="none"/>
        </w:rPr>
        <w:instrText xml:space="preserve"> PAGEREF _Toc18494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5194F599">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_Toc6469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8"/>
          <w:highlight w:val="none"/>
        </w:rPr>
        <w:t>五、签订合同</w:t>
      </w:r>
      <w:r>
        <w:rPr>
          <w:color w:val="auto"/>
          <w:highlight w:val="none"/>
        </w:rPr>
        <w:tab/>
      </w:r>
      <w:r>
        <w:rPr>
          <w:color w:val="auto"/>
          <w:highlight w:val="none"/>
        </w:rPr>
        <w:fldChar w:fldCharType="begin"/>
      </w:r>
      <w:r>
        <w:rPr>
          <w:color w:val="auto"/>
          <w:highlight w:val="none"/>
        </w:rPr>
        <w:instrText xml:space="preserve"> PAGEREF _Toc6469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610927BC">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_Toc29247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28. 履约保证金</w:t>
      </w:r>
      <w:r>
        <w:rPr>
          <w:color w:val="auto"/>
          <w:highlight w:val="none"/>
        </w:rPr>
        <w:tab/>
      </w:r>
      <w:r>
        <w:rPr>
          <w:color w:val="auto"/>
          <w:highlight w:val="none"/>
        </w:rPr>
        <w:fldChar w:fldCharType="begin"/>
      </w:r>
      <w:r>
        <w:rPr>
          <w:color w:val="auto"/>
          <w:highlight w:val="none"/>
        </w:rPr>
        <w:instrText xml:space="preserve"> PAGEREF _Toc29247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215AFF54">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_Toc6482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29. 签订合同</w:t>
      </w:r>
      <w:r>
        <w:rPr>
          <w:color w:val="auto"/>
          <w:highlight w:val="none"/>
        </w:rPr>
        <w:tab/>
      </w:r>
      <w:r>
        <w:rPr>
          <w:color w:val="auto"/>
          <w:highlight w:val="none"/>
        </w:rPr>
        <w:fldChar w:fldCharType="begin"/>
      </w:r>
      <w:r>
        <w:rPr>
          <w:color w:val="auto"/>
          <w:highlight w:val="none"/>
        </w:rPr>
        <w:instrText xml:space="preserve"> PAGEREF _Toc6482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3B5C1BE8">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_Toc2951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8"/>
          <w:highlight w:val="none"/>
        </w:rPr>
        <w:t>六、其他事项</w:t>
      </w:r>
      <w:r>
        <w:rPr>
          <w:color w:val="auto"/>
          <w:highlight w:val="none"/>
        </w:rPr>
        <w:tab/>
      </w:r>
      <w:r>
        <w:rPr>
          <w:color w:val="auto"/>
          <w:highlight w:val="none"/>
        </w:rPr>
        <w:fldChar w:fldCharType="begin"/>
      </w:r>
      <w:r>
        <w:rPr>
          <w:color w:val="auto"/>
          <w:highlight w:val="none"/>
        </w:rPr>
        <w:instrText xml:space="preserve"> PAGEREF _Toc2951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6B2EFCA4">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_Toc17996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30. 采购代理服务费</w:t>
      </w:r>
      <w:r>
        <w:rPr>
          <w:color w:val="auto"/>
          <w:highlight w:val="none"/>
        </w:rPr>
        <w:tab/>
      </w:r>
      <w:r>
        <w:rPr>
          <w:color w:val="auto"/>
          <w:highlight w:val="none"/>
        </w:rPr>
        <w:fldChar w:fldCharType="begin"/>
      </w:r>
      <w:r>
        <w:rPr>
          <w:color w:val="auto"/>
          <w:highlight w:val="none"/>
        </w:rPr>
        <w:instrText xml:space="preserve"> PAGEREF _Toc17996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24957A45">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_Toc19135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31. 解释权</w:t>
      </w:r>
      <w:r>
        <w:rPr>
          <w:color w:val="auto"/>
          <w:highlight w:val="none"/>
        </w:rPr>
        <w:tab/>
      </w:r>
      <w:r>
        <w:rPr>
          <w:color w:val="auto"/>
          <w:highlight w:val="none"/>
        </w:rPr>
        <w:fldChar w:fldCharType="begin"/>
      </w:r>
      <w:r>
        <w:rPr>
          <w:color w:val="auto"/>
          <w:highlight w:val="none"/>
        </w:rPr>
        <w:instrText xml:space="preserve"> PAGEREF _Toc19135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250813B">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_Toc9303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32. 监督管理机构</w:t>
      </w:r>
      <w:r>
        <w:rPr>
          <w:color w:val="auto"/>
          <w:highlight w:val="none"/>
        </w:rPr>
        <w:tab/>
      </w:r>
      <w:r>
        <w:rPr>
          <w:color w:val="auto"/>
          <w:highlight w:val="none"/>
        </w:rPr>
        <w:fldChar w:fldCharType="begin"/>
      </w:r>
      <w:r>
        <w:rPr>
          <w:color w:val="auto"/>
          <w:highlight w:val="none"/>
        </w:rPr>
        <w:instrText xml:space="preserve"> PAGEREF _Toc9303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204DADDF">
      <w:pPr>
        <w:pStyle w:val="16"/>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_Toc4906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32"/>
          <w:highlight w:val="none"/>
          <w:lang w:eastAsia="zh-CN"/>
        </w:rPr>
        <w:t>第三章</w:t>
      </w:r>
      <w:r>
        <w:rPr>
          <w:rFonts w:hint="eastAsia" w:ascii="宋体" w:hAnsi="宋体" w:eastAsia="宋体" w:cs="宋体"/>
          <w:color w:val="auto"/>
          <w:szCs w:val="32"/>
          <w:highlight w:val="none"/>
        </w:rPr>
        <w:t xml:space="preserve"> 采购需求</w:t>
      </w:r>
      <w:r>
        <w:rPr>
          <w:color w:val="auto"/>
          <w:highlight w:val="none"/>
        </w:rPr>
        <w:tab/>
      </w:r>
      <w:r>
        <w:rPr>
          <w:color w:val="auto"/>
          <w:highlight w:val="none"/>
        </w:rPr>
        <w:fldChar w:fldCharType="begin"/>
      </w:r>
      <w:r>
        <w:rPr>
          <w:color w:val="auto"/>
          <w:highlight w:val="none"/>
        </w:rPr>
        <w:instrText xml:space="preserve"> PAGEREF _Toc4906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009ECBBB">
      <w:pPr>
        <w:pStyle w:val="16"/>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_Toc20868 </w:instrText>
      </w:r>
      <w:r>
        <w:rPr>
          <w:rFonts w:hint="eastAsia" w:ascii="宋体" w:hAnsi="宋体" w:eastAsia="宋体" w:cs="宋体"/>
          <w:bCs/>
          <w:color w:val="auto"/>
          <w:kern w:val="2"/>
          <w:szCs w:val="24"/>
          <w:highlight w:val="none"/>
          <w:lang w:val="zh-CN" w:eastAsia="zh-CN" w:bidi="ar-SA"/>
        </w:rPr>
        <w:fldChar w:fldCharType="separate"/>
      </w:r>
      <w:r>
        <w:rPr>
          <w:rFonts w:hint="eastAsia" w:asciiTheme="majorEastAsia" w:hAnsiTheme="majorEastAsia" w:eastAsiaTheme="majorEastAsia" w:cstheme="majorEastAsia"/>
          <w:color w:val="auto"/>
          <w:szCs w:val="32"/>
          <w:highlight w:val="none"/>
          <w:lang w:eastAsia="zh-CN"/>
        </w:rPr>
        <w:t>第四章</w:t>
      </w:r>
      <w:r>
        <w:rPr>
          <w:rFonts w:hint="eastAsia" w:asciiTheme="majorEastAsia" w:hAnsiTheme="majorEastAsia" w:eastAsiaTheme="majorEastAsia" w:cstheme="majorEastAsia"/>
          <w:color w:val="auto"/>
          <w:szCs w:val="32"/>
          <w:highlight w:val="none"/>
          <w:lang w:val="en-US" w:eastAsia="zh-CN"/>
        </w:rPr>
        <w:t xml:space="preserve"> </w:t>
      </w:r>
      <w:r>
        <w:rPr>
          <w:rFonts w:hint="eastAsia" w:asciiTheme="majorEastAsia" w:hAnsiTheme="majorEastAsia" w:eastAsiaTheme="majorEastAsia" w:cstheme="majorEastAsia"/>
          <w:color w:val="auto"/>
          <w:szCs w:val="32"/>
          <w:highlight w:val="none"/>
        </w:rPr>
        <w:t>评审办法</w:t>
      </w:r>
      <w:r>
        <w:rPr>
          <w:color w:val="auto"/>
          <w:highlight w:val="none"/>
        </w:rPr>
        <w:tab/>
      </w:r>
      <w:r>
        <w:rPr>
          <w:color w:val="auto"/>
          <w:highlight w:val="none"/>
        </w:rPr>
        <w:fldChar w:fldCharType="begin"/>
      </w:r>
      <w:r>
        <w:rPr>
          <w:color w:val="auto"/>
          <w:highlight w:val="none"/>
        </w:rPr>
        <w:instrText xml:space="preserve"> PAGEREF _Toc20868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04996082">
      <w:pPr>
        <w:pStyle w:val="16"/>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_Toc21175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32"/>
          <w:highlight w:val="none"/>
          <w:lang w:eastAsia="zh-CN"/>
        </w:rPr>
        <w:t>第五章</w:t>
      </w:r>
      <w:r>
        <w:rPr>
          <w:rFonts w:hint="eastAsia" w:ascii="宋体" w:hAnsi="宋体" w:eastAsia="宋体" w:cs="宋体"/>
          <w:color w:val="auto"/>
          <w:szCs w:val="32"/>
          <w:highlight w:val="none"/>
          <w:lang w:val="en-US" w:eastAsia="zh-CN"/>
        </w:rPr>
        <w:t xml:space="preserve"> </w:t>
      </w:r>
      <w:r>
        <w:rPr>
          <w:rFonts w:hint="eastAsia" w:ascii="宋体" w:hAnsi="宋体" w:eastAsia="宋体" w:cs="宋体"/>
          <w:color w:val="auto"/>
          <w:szCs w:val="32"/>
          <w:highlight w:val="none"/>
        </w:rPr>
        <w:t>采购合同（合同主要条款及格式）</w:t>
      </w:r>
      <w:r>
        <w:rPr>
          <w:color w:val="auto"/>
          <w:highlight w:val="none"/>
        </w:rPr>
        <w:tab/>
      </w:r>
      <w:r>
        <w:rPr>
          <w:color w:val="auto"/>
          <w:highlight w:val="none"/>
        </w:rPr>
        <w:fldChar w:fldCharType="begin"/>
      </w:r>
      <w:r>
        <w:rPr>
          <w:color w:val="auto"/>
          <w:highlight w:val="none"/>
        </w:rPr>
        <w:instrText xml:space="preserve"> PAGEREF _Toc21175 \h </w:instrText>
      </w:r>
      <w:r>
        <w:rPr>
          <w:color w:val="auto"/>
          <w:highlight w:val="none"/>
        </w:rPr>
        <w:fldChar w:fldCharType="separate"/>
      </w:r>
      <w:r>
        <w:rPr>
          <w:color w:val="auto"/>
          <w:highlight w:val="none"/>
        </w:rPr>
        <w:t>- 29 -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37A789E3">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_Toc8094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第一条 合同文件</w:t>
      </w:r>
      <w:r>
        <w:rPr>
          <w:color w:val="auto"/>
          <w:highlight w:val="none"/>
        </w:rPr>
        <w:tab/>
      </w:r>
      <w:r>
        <w:rPr>
          <w:color w:val="auto"/>
          <w:highlight w:val="none"/>
        </w:rPr>
        <w:fldChar w:fldCharType="begin"/>
      </w:r>
      <w:r>
        <w:rPr>
          <w:color w:val="auto"/>
          <w:highlight w:val="none"/>
        </w:rPr>
        <w:instrText xml:space="preserve"> PAGEREF _Toc8094 \h </w:instrText>
      </w:r>
      <w:r>
        <w:rPr>
          <w:color w:val="auto"/>
          <w:highlight w:val="none"/>
        </w:rPr>
        <w:fldChar w:fldCharType="separate"/>
      </w:r>
      <w:r>
        <w:rPr>
          <w:color w:val="auto"/>
          <w:highlight w:val="none"/>
        </w:rPr>
        <w:t>- 29 -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528D7103">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_Toc2848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第二条　合同金额</w:t>
      </w:r>
      <w:r>
        <w:rPr>
          <w:color w:val="auto"/>
          <w:highlight w:val="none"/>
        </w:rPr>
        <w:tab/>
      </w:r>
      <w:r>
        <w:rPr>
          <w:color w:val="auto"/>
          <w:highlight w:val="none"/>
        </w:rPr>
        <w:fldChar w:fldCharType="begin"/>
      </w:r>
      <w:r>
        <w:rPr>
          <w:color w:val="auto"/>
          <w:highlight w:val="none"/>
        </w:rPr>
        <w:instrText xml:space="preserve"> PAGEREF _Toc2848 \h </w:instrText>
      </w:r>
      <w:r>
        <w:rPr>
          <w:color w:val="auto"/>
          <w:highlight w:val="none"/>
        </w:rPr>
        <w:fldChar w:fldCharType="separate"/>
      </w:r>
      <w:r>
        <w:rPr>
          <w:color w:val="auto"/>
          <w:highlight w:val="none"/>
        </w:rPr>
        <w:t>- 29 -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3C28C8EA">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_Toc29481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第三条  服务保证</w:t>
      </w:r>
      <w:r>
        <w:rPr>
          <w:color w:val="auto"/>
          <w:highlight w:val="none"/>
        </w:rPr>
        <w:tab/>
      </w:r>
      <w:r>
        <w:rPr>
          <w:color w:val="auto"/>
          <w:highlight w:val="none"/>
        </w:rPr>
        <w:fldChar w:fldCharType="begin"/>
      </w:r>
      <w:r>
        <w:rPr>
          <w:color w:val="auto"/>
          <w:highlight w:val="none"/>
        </w:rPr>
        <w:instrText xml:space="preserve"> PAGEREF _Toc29481 \h </w:instrText>
      </w:r>
      <w:r>
        <w:rPr>
          <w:color w:val="auto"/>
          <w:highlight w:val="none"/>
        </w:rPr>
        <w:fldChar w:fldCharType="separate"/>
      </w:r>
      <w:r>
        <w:rPr>
          <w:color w:val="auto"/>
          <w:highlight w:val="none"/>
        </w:rPr>
        <w:t>- 29 -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16C4DD97">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_Toc6104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第四条  服务期限</w:t>
      </w:r>
      <w:r>
        <w:rPr>
          <w:color w:val="auto"/>
          <w:highlight w:val="none"/>
        </w:rPr>
        <w:tab/>
      </w:r>
      <w:r>
        <w:rPr>
          <w:color w:val="auto"/>
          <w:highlight w:val="none"/>
        </w:rPr>
        <w:fldChar w:fldCharType="begin"/>
      </w:r>
      <w:r>
        <w:rPr>
          <w:color w:val="auto"/>
          <w:highlight w:val="none"/>
        </w:rPr>
        <w:instrText xml:space="preserve"> PAGEREF _Toc6104 \h </w:instrText>
      </w:r>
      <w:r>
        <w:rPr>
          <w:color w:val="auto"/>
          <w:highlight w:val="none"/>
        </w:rPr>
        <w:fldChar w:fldCharType="separate"/>
      </w:r>
      <w:r>
        <w:rPr>
          <w:color w:val="auto"/>
          <w:highlight w:val="none"/>
        </w:rPr>
        <w:t>- 29 -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A10C049">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_Toc15896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第五条  交付</w:t>
      </w:r>
      <w:r>
        <w:rPr>
          <w:color w:val="auto"/>
          <w:highlight w:val="none"/>
        </w:rPr>
        <w:tab/>
      </w:r>
      <w:r>
        <w:rPr>
          <w:color w:val="auto"/>
          <w:highlight w:val="none"/>
        </w:rPr>
        <w:fldChar w:fldCharType="begin"/>
      </w:r>
      <w:r>
        <w:rPr>
          <w:color w:val="auto"/>
          <w:highlight w:val="none"/>
        </w:rPr>
        <w:instrText xml:space="preserve"> PAGEREF _Toc15896 \h </w:instrText>
      </w:r>
      <w:r>
        <w:rPr>
          <w:color w:val="auto"/>
          <w:highlight w:val="none"/>
        </w:rPr>
        <w:fldChar w:fldCharType="separate"/>
      </w:r>
      <w:r>
        <w:rPr>
          <w:color w:val="auto"/>
          <w:highlight w:val="none"/>
        </w:rPr>
        <w:t>- 29 -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6436AFE1">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_Toc20060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w:t>
      </w:r>
      <w:r>
        <w:rPr>
          <w:rFonts w:hint="eastAsia" w:ascii="宋体" w:hAnsi="宋体" w:eastAsia="宋体" w:cs="宋体"/>
          <w:bCs w:val="0"/>
          <w:color w:val="auto"/>
          <w:szCs w:val="21"/>
          <w:highlight w:val="none"/>
          <w:lang w:eastAsia="zh-CN"/>
        </w:rPr>
        <w:t>六</w:t>
      </w:r>
      <w:r>
        <w:rPr>
          <w:rFonts w:hint="eastAsia" w:ascii="宋体" w:hAnsi="宋体" w:eastAsia="宋体" w:cs="宋体"/>
          <w:bCs w:val="0"/>
          <w:color w:val="auto"/>
          <w:szCs w:val="21"/>
          <w:highlight w:val="none"/>
        </w:rPr>
        <w:t>条  税费</w:t>
      </w:r>
      <w:r>
        <w:rPr>
          <w:color w:val="auto"/>
          <w:highlight w:val="none"/>
        </w:rPr>
        <w:tab/>
      </w:r>
      <w:r>
        <w:rPr>
          <w:color w:val="auto"/>
          <w:highlight w:val="none"/>
        </w:rPr>
        <w:fldChar w:fldCharType="begin"/>
      </w:r>
      <w:r>
        <w:rPr>
          <w:color w:val="auto"/>
          <w:highlight w:val="none"/>
        </w:rPr>
        <w:instrText xml:space="preserve"> PAGEREF _Toc20060 \h </w:instrText>
      </w:r>
      <w:r>
        <w:rPr>
          <w:color w:val="auto"/>
          <w:highlight w:val="none"/>
        </w:rPr>
        <w:fldChar w:fldCharType="separate"/>
      </w:r>
      <w:r>
        <w:rPr>
          <w:color w:val="auto"/>
          <w:highlight w:val="none"/>
        </w:rPr>
        <w:t>- 29 -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7C2EF48A">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_Toc5305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w:t>
      </w:r>
      <w:r>
        <w:rPr>
          <w:rFonts w:hint="eastAsia" w:ascii="宋体" w:hAnsi="宋体" w:eastAsia="宋体" w:cs="宋体"/>
          <w:bCs w:val="0"/>
          <w:color w:val="auto"/>
          <w:szCs w:val="21"/>
          <w:highlight w:val="none"/>
          <w:lang w:eastAsia="zh-CN"/>
        </w:rPr>
        <w:t>七</w:t>
      </w:r>
      <w:r>
        <w:rPr>
          <w:rFonts w:hint="eastAsia" w:ascii="宋体" w:hAnsi="宋体" w:eastAsia="宋体" w:cs="宋体"/>
          <w:bCs w:val="0"/>
          <w:color w:val="auto"/>
          <w:szCs w:val="21"/>
          <w:highlight w:val="none"/>
        </w:rPr>
        <w:t>条  付款方式</w:t>
      </w:r>
      <w:r>
        <w:rPr>
          <w:color w:val="auto"/>
          <w:highlight w:val="none"/>
        </w:rPr>
        <w:tab/>
      </w:r>
      <w:r>
        <w:rPr>
          <w:color w:val="auto"/>
          <w:highlight w:val="none"/>
        </w:rPr>
        <w:fldChar w:fldCharType="begin"/>
      </w:r>
      <w:r>
        <w:rPr>
          <w:color w:val="auto"/>
          <w:highlight w:val="none"/>
        </w:rPr>
        <w:instrText xml:space="preserve"> PAGEREF _Toc5305 \h </w:instrText>
      </w:r>
      <w:r>
        <w:rPr>
          <w:color w:val="auto"/>
          <w:highlight w:val="none"/>
        </w:rPr>
        <w:fldChar w:fldCharType="separate"/>
      </w:r>
      <w:r>
        <w:rPr>
          <w:color w:val="auto"/>
          <w:highlight w:val="none"/>
        </w:rPr>
        <w:t>- 29 -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4F89970">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_Toc15524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w:t>
      </w:r>
      <w:r>
        <w:rPr>
          <w:rFonts w:hint="eastAsia" w:ascii="宋体" w:hAnsi="宋体" w:eastAsia="宋体" w:cs="宋体"/>
          <w:bCs w:val="0"/>
          <w:color w:val="auto"/>
          <w:szCs w:val="21"/>
          <w:highlight w:val="none"/>
          <w:lang w:eastAsia="zh-CN"/>
        </w:rPr>
        <w:t>八</w:t>
      </w:r>
      <w:r>
        <w:rPr>
          <w:rFonts w:hint="eastAsia" w:ascii="宋体" w:hAnsi="宋体" w:eastAsia="宋体" w:cs="宋体"/>
          <w:bCs w:val="0"/>
          <w:color w:val="auto"/>
          <w:szCs w:val="21"/>
          <w:highlight w:val="none"/>
        </w:rPr>
        <w:t>条  违约责任</w:t>
      </w:r>
      <w:r>
        <w:rPr>
          <w:color w:val="auto"/>
          <w:highlight w:val="none"/>
        </w:rPr>
        <w:tab/>
      </w:r>
      <w:r>
        <w:rPr>
          <w:color w:val="auto"/>
          <w:highlight w:val="none"/>
        </w:rPr>
        <w:fldChar w:fldCharType="begin"/>
      </w:r>
      <w:r>
        <w:rPr>
          <w:color w:val="auto"/>
          <w:highlight w:val="none"/>
        </w:rPr>
        <w:instrText xml:space="preserve"> PAGEREF _Toc5305 \h </w:instrText>
      </w:r>
      <w:r>
        <w:rPr>
          <w:color w:val="auto"/>
          <w:highlight w:val="none"/>
        </w:rPr>
        <w:fldChar w:fldCharType="separate"/>
      </w:r>
      <w:r>
        <w:rPr>
          <w:color w:val="auto"/>
          <w:highlight w:val="none"/>
        </w:rPr>
        <w:t>- 29 -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28ABD07B">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_Toc26595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w:t>
      </w:r>
      <w:r>
        <w:rPr>
          <w:rFonts w:hint="eastAsia" w:ascii="宋体" w:hAnsi="宋体" w:eastAsia="宋体" w:cs="宋体"/>
          <w:bCs w:val="0"/>
          <w:color w:val="auto"/>
          <w:szCs w:val="21"/>
          <w:highlight w:val="none"/>
          <w:lang w:eastAsia="zh-CN"/>
        </w:rPr>
        <w:t>九</w:t>
      </w:r>
      <w:r>
        <w:rPr>
          <w:rFonts w:hint="eastAsia" w:ascii="宋体" w:hAnsi="宋体" w:eastAsia="宋体" w:cs="宋体"/>
          <w:bCs w:val="0"/>
          <w:color w:val="auto"/>
          <w:szCs w:val="21"/>
          <w:highlight w:val="none"/>
        </w:rPr>
        <w:t>条  不可抗力事件处理</w:t>
      </w:r>
      <w:r>
        <w:rPr>
          <w:color w:val="auto"/>
          <w:highlight w:val="none"/>
        </w:rPr>
        <w:tab/>
      </w:r>
      <w:r>
        <w:rPr>
          <w:color w:val="auto"/>
          <w:highlight w:val="none"/>
        </w:rPr>
        <w:fldChar w:fldCharType="begin"/>
      </w:r>
      <w:r>
        <w:rPr>
          <w:color w:val="auto"/>
          <w:highlight w:val="none"/>
        </w:rPr>
        <w:instrText xml:space="preserve"> PAGEREF _Toc5305 \h </w:instrText>
      </w:r>
      <w:r>
        <w:rPr>
          <w:color w:val="auto"/>
          <w:highlight w:val="none"/>
        </w:rPr>
        <w:fldChar w:fldCharType="separate"/>
      </w:r>
      <w:r>
        <w:rPr>
          <w:color w:val="auto"/>
          <w:highlight w:val="none"/>
        </w:rPr>
        <w:t>- 29 -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3A4A40CF">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_Toc9808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w:t>
      </w:r>
      <w:r>
        <w:rPr>
          <w:rFonts w:hint="eastAsia" w:ascii="宋体" w:hAnsi="宋体" w:eastAsia="宋体" w:cs="宋体"/>
          <w:bCs w:val="0"/>
          <w:color w:val="auto"/>
          <w:szCs w:val="21"/>
          <w:highlight w:val="none"/>
          <w:lang w:eastAsia="zh-CN"/>
        </w:rPr>
        <w:t>十</w:t>
      </w:r>
      <w:r>
        <w:rPr>
          <w:rFonts w:hint="eastAsia" w:ascii="宋体" w:hAnsi="宋体" w:eastAsia="宋体" w:cs="宋体"/>
          <w:bCs w:val="0"/>
          <w:color w:val="auto"/>
          <w:szCs w:val="21"/>
          <w:highlight w:val="none"/>
        </w:rPr>
        <w:t>条  合同争议解决</w:t>
      </w:r>
      <w:r>
        <w:rPr>
          <w:color w:val="auto"/>
          <w:highlight w:val="none"/>
        </w:rPr>
        <w:tab/>
      </w:r>
      <w:r>
        <w:rPr>
          <w:color w:val="auto"/>
          <w:highlight w:val="none"/>
        </w:rPr>
        <w:fldChar w:fldCharType="begin"/>
      </w:r>
      <w:r>
        <w:rPr>
          <w:color w:val="auto"/>
          <w:highlight w:val="none"/>
        </w:rPr>
        <w:instrText xml:space="preserve"> PAGEREF _Toc5305 \h </w:instrText>
      </w:r>
      <w:r>
        <w:rPr>
          <w:color w:val="auto"/>
          <w:highlight w:val="none"/>
        </w:rPr>
        <w:fldChar w:fldCharType="separate"/>
      </w:r>
      <w:r>
        <w:rPr>
          <w:color w:val="auto"/>
          <w:highlight w:val="none"/>
        </w:rPr>
        <w:t>- 29 -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08C7BE3C">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_Toc13115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第十</w:t>
      </w:r>
      <w:r>
        <w:rPr>
          <w:rFonts w:hint="eastAsia" w:ascii="宋体" w:hAnsi="宋体" w:eastAsia="宋体" w:cs="宋体"/>
          <w:bCs w:val="0"/>
          <w:color w:val="auto"/>
          <w:szCs w:val="21"/>
          <w:highlight w:val="none"/>
          <w:lang w:eastAsia="zh-CN"/>
        </w:rPr>
        <w:t>一</w:t>
      </w:r>
      <w:r>
        <w:rPr>
          <w:rFonts w:hint="eastAsia" w:ascii="宋体" w:hAnsi="宋体" w:eastAsia="宋体" w:cs="宋体"/>
          <w:bCs w:val="0"/>
          <w:color w:val="auto"/>
          <w:szCs w:val="21"/>
          <w:highlight w:val="none"/>
        </w:rPr>
        <w:t>条  合同生效及其它</w:t>
      </w:r>
      <w:r>
        <w:rPr>
          <w:color w:val="auto"/>
          <w:highlight w:val="none"/>
        </w:rPr>
        <w:tab/>
      </w:r>
      <w:r>
        <w:rPr>
          <w:color w:val="auto"/>
          <w:highlight w:val="none"/>
        </w:rPr>
        <w:fldChar w:fldCharType="begin"/>
      </w:r>
      <w:r>
        <w:rPr>
          <w:color w:val="auto"/>
          <w:highlight w:val="none"/>
        </w:rPr>
        <w:instrText xml:space="preserve"> PAGEREF _Toc5305 \h </w:instrText>
      </w:r>
      <w:r>
        <w:rPr>
          <w:color w:val="auto"/>
          <w:highlight w:val="none"/>
        </w:rPr>
        <w:fldChar w:fldCharType="separate"/>
      </w:r>
      <w:r>
        <w:rPr>
          <w:color w:val="auto"/>
          <w:highlight w:val="none"/>
        </w:rPr>
        <w:t>- 29 -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AC85186">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_Toc22999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第十</w:t>
      </w:r>
      <w:r>
        <w:rPr>
          <w:rFonts w:hint="eastAsia" w:ascii="宋体" w:hAnsi="宋体" w:eastAsia="宋体" w:cs="宋体"/>
          <w:bCs w:val="0"/>
          <w:color w:val="auto"/>
          <w:szCs w:val="21"/>
          <w:highlight w:val="none"/>
          <w:lang w:eastAsia="zh-CN"/>
        </w:rPr>
        <w:t>二</w:t>
      </w:r>
      <w:r>
        <w:rPr>
          <w:rFonts w:hint="eastAsia" w:ascii="宋体" w:hAnsi="宋体" w:eastAsia="宋体" w:cs="宋体"/>
          <w:bCs w:val="0"/>
          <w:color w:val="auto"/>
          <w:szCs w:val="21"/>
          <w:highlight w:val="none"/>
        </w:rPr>
        <w:t>条  合同的变更、终止与转让</w:t>
      </w:r>
      <w:r>
        <w:rPr>
          <w:color w:val="auto"/>
          <w:highlight w:val="none"/>
        </w:rPr>
        <w:tab/>
      </w:r>
      <w:r>
        <w:rPr>
          <w:color w:val="auto"/>
          <w:highlight w:val="none"/>
        </w:rPr>
        <w:fldChar w:fldCharType="begin"/>
      </w:r>
      <w:r>
        <w:rPr>
          <w:color w:val="auto"/>
          <w:highlight w:val="none"/>
        </w:rPr>
        <w:instrText xml:space="preserve"> PAGEREF _Toc5305 \h </w:instrText>
      </w:r>
      <w:r>
        <w:rPr>
          <w:color w:val="auto"/>
          <w:highlight w:val="none"/>
        </w:rPr>
        <w:fldChar w:fldCharType="separate"/>
      </w:r>
      <w:r>
        <w:rPr>
          <w:color w:val="auto"/>
          <w:highlight w:val="none"/>
        </w:rPr>
        <w:t>- 29 -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2D0EC5FE">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_Toc19482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第十</w:t>
      </w:r>
      <w:r>
        <w:rPr>
          <w:rFonts w:hint="eastAsia" w:ascii="宋体" w:hAnsi="宋体" w:eastAsia="宋体" w:cs="宋体"/>
          <w:bCs w:val="0"/>
          <w:color w:val="auto"/>
          <w:szCs w:val="21"/>
          <w:highlight w:val="none"/>
          <w:lang w:eastAsia="zh-CN"/>
        </w:rPr>
        <w:t>三</w:t>
      </w:r>
      <w:r>
        <w:rPr>
          <w:rFonts w:hint="eastAsia" w:ascii="宋体" w:hAnsi="宋体" w:eastAsia="宋体" w:cs="宋体"/>
          <w:bCs w:val="0"/>
          <w:color w:val="auto"/>
          <w:szCs w:val="21"/>
          <w:highlight w:val="none"/>
        </w:rPr>
        <w:t>条  签订本合同依据</w:t>
      </w:r>
      <w:r>
        <w:rPr>
          <w:color w:val="auto"/>
          <w:highlight w:val="none"/>
        </w:rPr>
        <w:tab/>
      </w:r>
      <w:r>
        <w:rPr>
          <w:color w:val="auto"/>
          <w:highlight w:val="none"/>
        </w:rPr>
        <w:fldChar w:fldCharType="begin"/>
      </w:r>
      <w:r>
        <w:rPr>
          <w:color w:val="auto"/>
          <w:highlight w:val="none"/>
        </w:rPr>
        <w:instrText xml:space="preserve"> PAGEREF _Toc5305 \h </w:instrText>
      </w:r>
      <w:r>
        <w:rPr>
          <w:color w:val="auto"/>
          <w:highlight w:val="none"/>
        </w:rPr>
        <w:fldChar w:fldCharType="separate"/>
      </w:r>
      <w:r>
        <w:rPr>
          <w:color w:val="auto"/>
          <w:highlight w:val="none"/>
        </w:rPr>
        <w:t>- 29 -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7E4E39E8">
      <w:pPr>
        <w:pStyle w:val="17"/>
        <w:tabs>
          <w:tab w:val="right" w:leader="dot" w:pos="10194"/>
        </w:tabs>
        <w:ind w:left="0" w:leftChars="0" w:firstLine="0" w:firstLineChars="0"/>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_Toc6270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color w:val="auto"/>
          <w:kern w:val="44"/>
          <w:szCs w:val="32"/>
          <w:highlight w:val="none"/>
        </w:rPr>
        <w:t xml:space="preserve">第六章  </w:t>
      </w:r>
      <w:r>
        <w:rPr>
          <w:rFonts w:hint="eastAsia" w:ascii="宋体" w:hAnsi="宋体" w:eastAsia="宋体" w:cs="宋体"/>
          <w:bCs/>
          <w:color w:val="auto"/>
          <w:szCs w:val="32"/>
          <w:highlight w:val="none"/>
        </w:rPr>
        <w:t>响应文件（格式）</w:t>
      </w:r>
      <w:r>
        <w:rPr>
          <w:color w:val="auto"/>
          <w:highlight w:val="none"/>
        </w:rPr>
        <w:tab/>
      </w:r>
      <w:r>
        <w:rPr>
          <w:color w:val="auto"/>
          <w:highlight w:val="none"/>
        </w:rPr>
        <w:fldChar w:fldCharType="begin"/>
      </w:r>
      <w:r>
        <w:rPr>
          <w:color w:val="auto"/>
          <w:highlight w:val="none"/>
        </w:rPr>
        <w:instrText xml:space="preserve"> PAGEREF _Toc6270 \h </w:instrText>
      </w:r>
      <w:r>
        <w:rPr>
          <w:color w:val="auto"/>
          <w:highlight w:val="none"/>
        </w:rPr>
        <w:fldChar w:fldCharType="separate"/>
      </w:r>
      <w:r>
        <w:rPr>
          <w:color w:val="auto"/>
          <w:highlight w:val="none"/>
        </w:rPr>
        <w:t>- 32 -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7D4A7616">
      <w:pPr>
        <w:jc w:val="center"/>
        <w:rPr>
          <w:rFonts w:hint="eastAsia" w:ascii="宋体" w:hAnsi="宋体" w:eastAsia="宋体" w:cs="宋体"/>
          <w:bCs/>
          <w:color w:val="auto"/>
          <w:kern w:val="2"/>
          <w:szCs w:val="24"/>
          <w:highlight w:val="none"/>
          <w:lang w:val="zh-CN" w:eastAsia="zh-CN" w:bidi="ar-SA"/>
        </w:rPr>
      </w:pPr>
      <w:r>
        <w:rPr>
          <w:rFonts w:hint="eastAsia" w:ascii="宋体" w:hAnsi="宋体" w:eastAsia="宋体" w:cs="宋体"/>
          <w:bCs/>
          <w:color w:val="auto"/>
          <w:kern w:val="2"/>
          <w:szCs w:val="24"/>
          <w:highlight w:val="none"/>
          <w:lang w:val="zh-CN" w:eastAsia="zh-CN" w:bidi="ar-SA"/>
        </w:rPr>
        <w:fldChar w:fldCharType="end"/>
      </w:r>
    </w:p>
    <w:p w14:paraId="20DD8199">
      <w:pPr>
        <w:pStyle w:val="7"/>
        <w:rPr>
          <w:rFonts w:hint="eastAsia" w:ascii="宋体" w:hAnsi="宋体" w:eastAsia="宋体" w:cs="宋体"/>
          <w:bCs/>
          <w:color w:val="auto"/>
          <w:kern w:val="2"/>
          <w:szCs w:val="24"/>
          <w:highlight w:val="none"/>
          <w:lang w:val="zh-CN" w:eastAsia="zh-CN" w:bidi="ar-SA"/>
        </w:rPr>
      </w:pPr>
    </w:p>
    <w:p w14:paraId="56C01FC7">
      <w:pPr>
        <w:pStyle w:val="7"/>
        <w:rPr>
          <w:rFonts w:hint="eastAsia" w:ascii="宋体" w:hAnsi="宋体" w:eastAsia="宋体" w:cs="宋体"/>
          <w:bCs/>
          <w:color w:val="auto"/>
          <w:kern w:val="2"/>
          <w:szCs w:val="24"/>
          <w:highlight w:val="none"/>
          <w:lang w:val="zh-CN" w:eastAsia="zh-CN" w:bidi="ar-SA"/>
        </w:rPr>
      </w:pPr>
    </w:p>
    <w:p w14:paraId="69AF30D9">
      <w:pPr>
        <w:pStyle w:val="7"/>
        <w:rPr>
          <w:rFonts w:hint="eastAsia" w:ascii="宋体" w:hAnsi="宋体" w:eastAsia="宋体" w:cs="宋体"/>
          <w:bCs/>
          <w:color w:val="auto"/>
          <w:kern w:val="2"/>
          <w:szCs w:val="24"/>
          <w:highlight w:val="none"/>
          <w:lang w:val="zh-CN" w:eastAsia="zh-CN" w:bidi="ar-SA"/>
        </w:rPr>
      </w:pPr>
    </w:p>
    <w:p w14:paraId="0CD2CC19">
      <w:pPr>
        <w:pStyle w:val="7"/>
        <w:rPr>
          <w:rFonts w:hint="eastAsia" w:ascii="宋体" w:hAnsi="宋体" w:eastAsia="宋体" w:cs="宋体"/>
          <w:bCs/>
          <w:color w:val="auto"/>
          <w:kern w:val="2"/>
          <w:szCs w:val="24"/>
          <w:highlight w:val="none"/>
          <w:lang w:val="zh-CN" w:eastAsia="zh-CN" w:bidi="ar-SA"/>
        </w:rPr>
      </w:pPr>
    </w:p>
    <w:p w14:paraId="49C6B5D3">
      <w:pPr>
        <w:pStyle w:val="7"/>
        <w:rPr>
          <w:rFonts w:hint="eastAsia" w:ascii="宋体" w:hAnsi="宋体" w:eastAsia="宋体" w:cs="宋体"/>
          <w:bCs/>
          <w:color w:val="auto"/>
          <w:kern w:val="2"/>
          <w:szCs w:val="24"/>
          <w:highlight w:val="none"/>
          <w:lang w:val="zh-CN" w:eastAsia="zh-CN" w:bidi="ar-SA"/>
        </w:rPr>
      </w:pPr>
    </w:p>
    <w:p w14:paraId="2C17D2B8">
      <w:pPr>
        <w:pStyle w:val="7"/>
        <w:rPr>
          <w:rFonts w:hint="eastAsia" w:ascii="宋体" w:hAnsi="宋体" w:eastAsia="宋体" w:cs="宋体"/>
          <w:bCs/>
          <w:color w:val="auto"/>
          <w:kern w:val="2"/>
          <w:szCs w:val="24"/>
          <w:highlight w:val="none"/>
          <w:lang w:val="zh-CN" w:eastAsia="zh-CN" w:bidi="ar-SA"/>
        </w:rPr>
      </w:pPr>
    </w:p>
    <w:p w14:paraId="27D5BC16">
      <w:pPr>
        <w:pStyle w:val="7"/>
        <w:rPr>
          <w:rFonts w:hint="eastAsia" w:ascii="宋体" w:hAnsi="宋体" w:eastAsia="宋体" w:cs="宋体"/>
          <w:bCs/>
          <w:color w:val="auto"/>
          <w:kern w:val="2"/>
          <w:szCs w:val="24"/>
          <w:highlight w:val="none"/>
          <w:lang w:val="zh-CN" w:eastAsia="zh-CN" w:bidi="ar-SA"/>
        </w:rPr>
      </w:pPr>
    </w:p>
    <w:p w14:paraId="5403E58F">
      <w:pPr>
        <w:pStyle w:val="7"/>
        <w:rPr>
          <w:rFonts w:hint="eastAsia" w:ascii="宋体" w:hAnsi="宋体" w:eastAsia="宋体" w:cs="宋体"/>
          <w:bCs/>
          <w:color w:val="auto"/>
          <w:kern w:val="2"/>
          <w:szCs w:val="24"/>
          <w:highlight w:val="none"/>
          <w:lang w:val="zh-CN" w:eastAsia="zh-CN" w:bidi="ar-SA"/>
        </w:rPr>
      </w:pPr>
    </w:p>
    <w:p w14:paraId="3F58581D">
      <w:pPr>
        <w:pStyle w:val="7"/>
        <w:rPr>
          <w:rFonts w:hint="eastAsia" w:ascii="宋体" w:hAnsi="宋体" w:eastAsia="宋体" w:cs="宋体"/>
          <w:bCs/>
          <w:color w:val="auto"/>
          <w:kern w:val="2"/>
          <w:szCs w:val="24"/>
          <w:highlight w:val="none"/>
          <w:lang w:val="zh-CN" w:eastAsia="zh-CN" w:bidi="ar-SA"/>
        </w:rPr>
      </w:pPr>
    </w:p>
    <w:p w14:paraId="012F3F51">
      <w:pPr>
        <w:pStyle w:val="7"/>
        <w:rPr>
          <w:rFonts w:hint="eastAsia" w:ascii="宋体" w:hAnsi="宋体" w:eastAsia="宋体" w:cs="宋体"/>
          <w:bCs/>
          <w:color w:val="auto"/>
          <w:kern w:val="2"/>
          <w:szCs w:val="24"/>
          <w:highlight w:val="none"/>
          <w:lang w:val="zh-CN" w:eastAsia="zh-CN" w:bidi="ar-SA"/>
        </w:rPr>
      </w:pPr>
    </w:p>
    <w:p w14:paraId="5F6FD37F">
      <w:pPr>
        <w:pStyle w:val="7"/>
        <w:rPr>
          <w:rFonts w:hint="eastAsia" w:ascii="宋体" w:hAnsi="宋体" w:eastAsia="宋体" w:cs="宋体"/>
          <w:bCs/>
          <w:color w:val="auto"/>
          <w:kern w:val="2"/>
          <w:szCs w:val="24"/>
          <w:highlight w:val="none"/>
          <w:lang w:val="zh-CN" w:eastAsia="zh-CN" w:bidi="ar-SA"/>
        </w:rPr>
      </w:pPr>
    </w:p>
    <w:p w14:paraId="0647C0FF">
      <w:pPr>
        <w:pStyle w:val="7"/>
        <w:rPr>
          <w:rFonts w:hint="eastAsia" w:ascii="宋体" w:hAnsi="宋体" w:eastAsia="宋体" w:cs="宋体"/>
          <w:bCs/>
          <w:color w:val="auto"/>
          <w:kern w:val="2"/>
          <w:szCs w:val="24"/>
          <w:highlight w:val="none"/>
          <w:lang w:val="zh-CN" w:eastAsia="zh-CN" w:bidi="ar-SA"/>
        </w:rPr>
      </w:pPr>
    </w:p>
    <w:p w14:paraId="11D0133C">
      <w:pPr>
        <w:pStyle w:val="7"/>
        <w:rPr>
          <w:rFonts w:hint="eastAsia" w:ascii="宋体" w:hAnsi="宋体" w:eastAsia="宋体" w:cs="宋体"/>
          <w:bCs/>
          <w:color w:val="auto"/>
          <w:kern w:val="2"/>
          <w:szCs w:val="24"/>
          <w:highlight w:val="none"/>
          <w:lang w:val="zh-CN" w:eastAsia="zh-CN" w:bidi="ar-SA"/>
        </w:rPr>
      </w:pPr>
    </w:p>
    <w:p w14:paraId="2B577144">
      <w:pPr>
        <w:pStyle w:val="7"/>
        <w:rPr>
          <w:rFonts w:hint="eastAsia" w:ascii="宋体" w:hAnsi="宋体" w:eastAsia="宋体" w:cs="宋体"/>
          <w:bCs/>
          <w:color w:val="auto"/>
          <w:kern w:val="2"/>
          <w:szCs w:val="24"/>
          <w:highlight w:val="none"/>
          <w:lang w:val="zh-CN" w:eastAsia="zh-CN" w:bidi="ar-SA"/>
        </w:rPr>
      </w:pPr>
    </w:p>
    <w:p w14:paraId="1325B04C">
      <w:pPr>
        <w:pStyle w:val="7"/>
        <w:rPr>
          <w:rFonts w:hint="eastAsia" w:ascii="宋体" w:hAnsi="宋体" w:eastAsia="宋体" w:cs="宋体"/>
          <w:bCs/>
          <w:color w:val="auto"/>
          <w:kern w:val="2"/>
          <w:szCs w:val="24"/>
          <w:highlight w:val="none"/>
          <w:lang w:val="zh-CN" w:eastAsia="zh-CN" w:bidi="ar-SA"/>
        </w:rPr>
      </w:pPr>
    </w:p>
    <w:p w14:paraId="620630FB">
      <w:pPr>
        <w:pStyle w:val="7"/>
        <w:rPr>
          <w:rFonts w:hint="eastAsia" w:ascii="宋体" w:hAnsi="宋体" w:eastAsia="宋体" w:cs="宋体"/>
          <w:bCs/>
          <w:color w:val="auto"/>
          <w:kern w:val="2"/>
          <w:szCs w:val="24"/>
          <w:highlight w:val="none"/>
          <w:lang w:val="zh-CN" w:eastAsia="zh-CN" w:bidi="ar-SA"/>
        </w:rPr>
      </w:pPr>
    </w:p>
    <w:p w14:paraId="51BD589D">
      <w:pPr>
        <w:pStyle w:val="7"/>
        <w:rPr>
          <w:rFonts w:hint="eastAsia" w:ascii="宋体" w:hAnsi="宋体" w:eastAsia="宋体" w:cs="宋体"/>
          <w:bCs/>
          <w:color w:val="auto"/>
          <w:kern w:val="2"/>
          <w:szCs w:val="24"/>
          <w:highlight w:val="none"/>
          <w:lang w:val="zh-CN" w:eastAsia="zh-CN" w:bidi="ar-SA"/>
        </w:rPr>
      </w:pPr>
    </w:p>
    <w:p w14:paraId="07041986">
      <w:pPr>
        <w:pStyle w:val="7"/>
        <w:rPr>
          <w:rFonts w:hint="eastAsia" w:ascii="宋体" w:hAnsi="宋体" w:eastAsia="宋体" w:cs="宋体"/>
          <w:bCs/>
          <w:color w:val="auto"/>
          <w:kern w:val="2"/>
          <w:szCs w:val="24"/>
          <w:highlight w:val="none"/>
          <w:lang w:val="zh-CN" w:eastAsia="zh-CN" w:bidi="ar-SA"/>
        </w:rPr>
      </w:pPr>
    </w:p>
    <w:p w14:paraId="10F06212">
      <w:pPr>
        <w:pStyle w:val="7"/>
        <w:rPr>
          <w:rFonts w:hint="eastAsia" w:ascii="宋体" w:hAnsi="宋体" w:eastAsia="宋体" w:cs="宋体"/>
          <w:bCs/>
          <w:color w:val="auto"/>
          <w:kern w:val="2"/>
          <w:szCs w:val="24"/>
          <w:highlight w:val="none"/>
          <w:lang w:val="zh-CN" w:eastAsia="zh-CN" w:bidi="ar-SA"/>
        </w:rPr>
      </w:pPr>
    </w:p>
    <w:p w14:paraId="2C4DB07A">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headerReference r:id="rId5" w:type="default"/>
          <w:footerReference r:id="rId6" w:type="default"/>
          <w:pgSz w:w="11906" w:h="16838"/>
          <w:pgMar w:top="1440" w:right="935" w:bottom="1440" w:left="777" w:header="851" w:footer="992" w:gutter="0"/>
          <w:pgNumType w:fmt="numberInDash" w:start="1"/>
          <w:cols w:space="720" w:num="1"/>
          <w:rtlGutter w:val="0"/>
          <w:docGrid w:type="linesAndChars" w:linePitch="312" w:charSpace="0"/>
        </w:sectPr>
      </w:pPr>
      <w:bookmarkStart w:id="2" w:name="_Toc35393797"/>
      <w:bookmarkStart w:id="3" w:name="_Toc26809"/>
      <w:bookmarkStart w:id="4" w:name="_Toc29067"/>
      <w:bookmarkStart w:id="5" w:name="_Toc30170"/>
      <w:bookmarkStart w:id="6" w:name="_Toc28359011"/>
    </w:p>
    <w:p w14:paraId="1537726A">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pPr>
      <w:bookmarkStart w:id="7" w:name="_Toc10108"/>
      <w:bookmarkStart w:id="8" w:name="_Toc25856"/>
      <w:bookmarkStart w:id="9" w:name="_Toc12371"/>
      <w:r>
        <w:rPr>
          <w:rFonts w:hint="eastAsia" w:ascii="宋体" w:hAnsi="宋体" w:eastAsia="宋体" w:cs="宋体"/>
          <w:color w:val="auto"/>
          <w:sz w:val="32"/>
          <w:szCs w:val="32"/>
          <w:highlight w:val="none"/>
        </w:rPr>
        <w:t>竞争性磋商公告</w:t>
      </w:r>
      <w:bookmarkEnd w:id="2"/>
      <w:bookmarkEnd w:id="3"/>
      <w:bookmarkEnd w:id="4"/>
      <w:bookmarkEnd w:id="5"/>
      <w:bookmarkEnd w:id="6"/>
      <w:bookmarkEnd w:id="7"/>
      <w:bookmarkEnd w:id="8"/>
      <w:bookmarkEnd w:id="9"/>
    </w:p>
    <w:p w14:paraId="497D47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p>
    <w:tbl>
      <w:tblPr>
        <w:tblStyle w:val="21"/>
        <w:tblpPr w:leftFromText="180" w:rightFromText="180" w:vertAnchor="text" w:tblpX="38"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0"/>
      </w:tblGrid>
      <w:tr w14:paraId="1F70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0220" w:type="dxa"/>
            <w:noWrap w:val="0"/>
            <w:vAlign w:val="top"/>
          </w:tcPr>
          <w:p w14:paraId="7EF8EAE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450792A9">
            <w:pPr>
              <w:spacing w:line="400" w:lineRule="exact"/>
              <w:rPr>
                <w:rFonts w:hint="eastAsia" w:ascii="宋体" w:hAnsi="宋体" w:eastAsia="宋体" w:cs="宋体"/>
                <w:color w:val="auto"/>
                <w:sz w:val="24"/>
                <w:szCs w:val="24"/>
                <w:highlight w:val="none"/>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rPr>
              <w:t>桂林市政府集中采购中心受</w:t>
            </w:r>
            <w:r>
              <w:rPr>
                <w:rFonts w:hint="eastAsia" w:ascii="宋体" w:hAnsi="宋体" w:eastAsia="宋体" w:cs="宋体"/>
                <w:color w:val="auto"/>
                <w:sz w:val="24"/>
                <w:szCs w:val="24"/>
                <w:highlight w:val="none"/>
                <w:u w:val="single"/>
                <w:lang w:val="en-US" w:eastAsia="zh-CN"/>
              </w:rPr>
              <w:t>桂林市复兴学校</w:t>
            </w:r>
            <w:r>
              <w:rPr>
                <w:rFonts w:hint="eastAsia" w:ascii="宋体" w:hAnsi="宋体" w:eastAsia="宋体" w:cs="宋体"/>
                <w:color w:val="auto"/>
                <w:sz w:val="24"/>
                <w:szCs w:val="24"/>
                <w:highlight w:val="none"/>
              </w:rPr>
              <w:t>委托，根据《中华人民共和国政府采购法》《中华人民共和国政府采购法实施条例》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政府采购竞争性磋商采购方式管理暂行办法》等规定，</w:t>
            </w:r>
            <w:r>
              <w:rPr>
                <w:rFonts w:hint="eastAsia" w:ascii="宋体" w:hAnsi="宋体" w:eastAsia="宋体" w:cs="宋体"/>
                <w:color w:val="auto"/>
                <w:sz w:val="24"/>
                <w:szCs w:val="24"/>
                <w:highlight w:val="none"/>
                <w:lang w:eastAsia="zh-CN"/>
              </w:rPr>
              <w:t>现</w:t>
            </w:r>
            <w:r>
              <w:rPr>
                <w:rFonts w:hint="eastAsia" w:ascii="宋体" w:hAnsi="宋体" w:eastAsia="宋体" w:cs="宋体"/>
                <w:color w:val="auto"/>
                <w:sz w:val="24"/>
                <w:szCs w:val="24"/>
                <w:highlight w:val="none"/>
              </w:rPr>
              <w:t>就</w:t>
            </w:r>
            <w:r>
              <w:rPr>
                <w:rFonts w:hint="eastAsia" w:ascii="宋体" w:hAnsi="宋体" w:cs="宋体"/>
                <w:color w:val="auto"/>
                <w:sz w:val="24"/>
                <w:highlight w:val="none"/>
                <w:u w:val="single"/>
                <w:lang w:val="en-US" w:eastAsia="zh-CN"/>
              </w:rPr>
              <w:t>桂林市复兴学校园林绿化服务采购项目</w:t>
            </w:r>
            <w:r>
              <w:rPr>
                <w:rFonts w:hint="eastAsia" w:ascii="宋体" w:hAnsi="宋体" w:eastAsia="宋体" w:cs="宋体"/>
                <w:color w:val="auto"/>
                <w:sz w:val="24"/>
                <w:szCs w:val="24"/>
                <w:highlight w:val="none"/>
              </w:rPr>
              <w:t>进行竞争性磋商采购，</w:t>
            </w:r>
            <w:r>
              <w:rPr>
                <w:rFonts w:hint="eastAsia" w:ascii="宋体" w:hAnsi="宋体" w:eastAsia="宋体" w:cs="宋体"/>
                <w:color w:val="auto"/>
                <w:sz w:val="24"/>
                <w:highlight w:val="none"/>
              </w:rPr>
              <w:t>欢迎符合条件的供应商</w:t>
            </w:r>
            <w:r>
              <w:rPr>
                <w:rFonts w:hint="eastAsia" w:ascii="宋体" w:hAnsi="宋体" w:eastAsia="宋体" w:cs="宋体"/>
                <w:color w:val="auto"/>
                <w:sz w:val="24"/>
                <w:highlight w:val="none"/>
                <w:lang w:eastAsia="zh-CN"/>
              </w:rPr>
              <w:t>前来</w:t>
            </w:r>
            <w:r>
              <w:rPr>
                <w:rFonts w:hint="eastAsia" w:ascii="宋体" w:hAnsi="宋体" w:eastAsia="宋体" w:cs="宋体"/>
                <w:color w:val="auto"/>
                <w:sz w:val="24"/>
                <w:highlight w:val="none"/>
              </w:rPr>
              <w:t>参加磋商活动，并于</w:t>
            </w:r>
            <w:r>
              <w:rPr>
                <w:rFonts w:hint="eastAsia" w:ascii="宋体" w:hAnsi="宋体" w:cs="宋体"/>
                <w:color w:val="auto"/>
                <w:sz w:val="24"/>
                <w:highlight w:val="none"/>
                <w:lang w:eastAsia="zh-CN"/>
              </w:rPr>
              <w:t>2025年11月</w:t>
            </w:r>
            <w:r>
              <w:rPr>
                <w:rFonts w:hint="eastAsia" w:ascii="宋体" w:hAnsi="宋体" w:cs="宋体"/>
                <w:color w:val="auto"/>
                <w:sz w:val="24"/>
                <w:highlight w:val="none"/>
                <w:lang w:val="en-US" w:eastAsia="zh-CN"/>
              </w:rPr>
              <w:t>03</w:t>
            </w:r>
            <w:r>
              <w:rPr>
                <w:rFonts w:hint="eastAsia" w:ascii="宋体" w:hAnsi="宋体" w:cs="宋体"/>
                <w:color w:val="auto"/>
                <w:sz w:val="24"/>
                <w:highlight w:val="none"/>
                <w:lang w:eastAsia="zh-CN"/>
              </w:rPr>
              <w:t>日上午09时30分</w:t>
            </w:r>
            <w:r>
              <w:rPr>
                <w:rFonts w:hint="eastAsia" w:ascii="宋体" w:hAnsi="宋体" w:eastAsia="宋体" w:cs="宋体"/>
                <w:color w:val="auto"/>
                <w:sz w:val="24"/>
                <w:highlight w:val="none"/>
              </w:rPr>
              <w:t>前递交响应文件。</w:t>
            </w:r>
            <w:r>
              <w:rPr>
                <w:rFonts w:hint="eastAsia" w:ascii="宋体" w:hAnsi="宋体" w:eastAsia="宋体" w:cs="宋体"/>
                <w:color w:val="auto"/>
                <w:sz w:val="24"/>
                <w:szCs w:val="24"/>
                <w:highlight w:val="none"/>
              </w:rPr>
              <w:t>现将本次竞争性磋商的有关事项公告如下：</w:t>
            </w:r>
          </w:p>
        </w:tc>
      </w:tr>
    </w:tbl>
    <w:p w14:paraId="1048EB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10" w:name="_Toc35393629"/>
      <w:bookmarkStart w:id="11" w:name="_Toc28359012"/>
      <w:bookmarkStart w:id="12" w:name="_Toc35393798"/>
      <w:bookmarkStart w:id="13" w:name="_Toc28359089"/>
      <w:r>
        <w:rPr>
          <w:rFonts w:hint="eastAsia" w:ascii="宋体" w:hAnsi="宋体" w:eastAsia="宋体" w:cs="宋体"/>
          <w:color w:val="auto"/>
          <w:sz w:val="24"/>
          <w:highlight w:val="none"/>
        </w:rPr>
        <w:t>一、项目基本情况</w:t>
      </w:r>
      <w:bookmarkEnd w:id="10"/>
      <w:bookmarkEnd w:id="11"/>
      <w:bookmarkEnd w:id="12"/>
      <w:bookmarkEnd w:id="13"/>
    </w:p>
    <w:p w14:paraId="2D68CA60">
      <w:pP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val="en-US" w:eastAsia="zh-CN"/>
        </w:rPr>
        <w:t>GLZC2025-C3-990531-GLSZ</w:t>
      </w:r>
    </w:p>
    <w:p w14:paraId="1787CCA3">
      <w:pP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val="en-US" w:eastAsia="zh-CN"/>
        </w:rPr>
        <w:t>桂林市复兴学校园林绿化服务采购项目</w:t>
      </w:r>
    </w:p>
    <w:p w14:paraId="58C24A01">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采购方式：竞争性磋商</w:t>
      </w:r>
    </w:p>
    <w:p w14:paraId="3B6F4EC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预算金额：</w:t>
      </w:r>
      <w:r>
        <w:rPr>
          <w:rFonts w:hint="eastAsia" w:ascii="宋体" w:hAnsi="宋体" w:cs="宋体"/>
          <w:color w:val="auto"/>
          <w:sz w:val="24"/>
          <w:highlight w:val="none"/>
          <w:lang w:eastAsia="zh-CN"/>
        </w:rPr>
        <w:t>人民币壹拾贰万元整（¥120000.00元）。</w:t>
      </w:r>
    </w:p>
    <w:p w14:paraId="7B61962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b/>
          <w:bCs/>
          <w:color w:val="auto"/>
          <w:sz w:val="24"/>
          <w:highlight w:val="none"/>
        </w:rPr>
        <w:t>采购需求</w:t>
      </w:r>
      <w:r>
        <w:rPr>
          <w:rFonts w:hint="eastAsia" w:ascii="宋体" w:hAnsi="宋体" w:eastAsia="宋体" w:cs="宋体"/>
          <w:color w:val="auto"/>
          <w:sz w:val="24"/>
          <w:highlight w:val="none"/>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3147"/>
        <w:gridCol w:w="725"/>
        <w:gridCol w:w="1363"/>
        <w:gridCol w:w="2876"/>
      </w:tblGrid>
      <w:tr w14:paraId="2B4F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324" w:type="dxa"/>
            <w:tcBorders>
              <w:top w:val="single" w:color="auto" w:sz="4" w:space="0"/>
              <w:left w:val="single" w:color="auto" w:sz="4" w:space="0"/>
              <w:bottom w:val="single" w:color="auto" w:sz="4" w:space="0"/>
              <w:right w:val="single" w:color="auto" w:sz="4" w:space="0"/>
            </w:tcBorders>
            <w:noWrap w:val="0"/>
            <w:vAlign w:val="center"/>
          </w:tcPr>
          <w:p w14:paraId="41B3A9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项号</w:t>
            </w:r>
          </w:p>
        </w:tc>
        <w:tc>
          <w:tcPr>
            <w:tcW w:w="3147" w:type="dxa"/>
            <w:tcBorders>
              <w:top w:val="single" w:color="auto" w:sz="4" w:space="0"/>
              <w:left w:val="nil"/>
              <w:bottom w:val="single" w:color="auto" w:sz="4" w:space="0"/>
              <w:right w:val="single" w:color="auto" w:sz="4" w:space="0"/>
            </w:tcBorders>
            <w:noWrap w:val="0"/>
            <w:vAlign w:val="center"/>
          </w:tcPr>
          <w:p w14:paraId="3CD9E4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服务名称</w:t>
            </w:r>
          </w:p>
        </w:tc>
        <w:tc>
          <w:tcPr>
            <w:tcW w:w="725" w:type="dxa"/>
            <w:tcBorders>
              <w:top w:val="single" w:color="auto" w:sz="4" w:space="0"/>
              <w:left w:val="nil"/>
              <w:bottom w:val="single" w:color="auto" w:sz="4" w:space="0"/>
              <w:right w:val="single" w:color="auto" w:sz="4" w:space="0"/>
            </w:tcBorders>
            <w:noWrap w:val="0"/>
            <w:vAlign w:val="center"/>
          </w:tcPr>
          <w:p w14:paraId="72A937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数量</w:t>
            </w:r>
          </w:p>
        </w:tc>
        <w:tc>
          <w:tcPr>
            <w:tcW w:w="1363" w:type="dxa"/>
            <w:tcBorders>
              <w:top w:val="single" w:color="auto" w:sz="4" w:space="0"/>
              <w:left w:val="nil"/>
              <w:bottom w:val="single" w:color="auto" w:sz="4" w:space="0"/>
              <w:right w:val="single" w:color="auto" w:sz="4" w:space="0"/>
            </w:tcBorders>
            <w:noWrap w:val="0"/>
            <w:vAlign w:val="center"/>
          </w:tcPr>
          <w:p w14:paraId="7B6154C0">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rPr>
              <w:t>单位</w:t>
            </w:r>
          </w:p>
        </w:tc>
        <w:tc>
          <w:tcPr>
            <w:tcW w:w="2876" w:type="dxa"/>
            <w:tcBorders>
              <w:top w:val="single" w:color="auto" w:sz="4" w:space="0"/>
              <w:left w:val="nil"/>
              <w:bottom w:val="single" w:color="auto" w:sz="4" w:space="0"/>
              <w:right w:val="single" w:color="auto" w:sz="4" w:space="0"/>
            </w:tcBorders>
            <w:noWrap w:val="0"/>
            <w:vAlign w:val="center"/>
          </w:tcPr>
          <w:p w14:paraId="4BB6DF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项目要求及</w:t>
            </w:r>
            <w:r>
              <w:rPr>
                <w:rFonts w:hint="eastAsia" w:ascii="宋体" w:hAnsi="宋体" w:cs="宋体"/>
                <w:color w:val="auto"/>
                <w:sz w:val="24"/>
                <w:highlight w:val="none"/>
                <w:lang w:eastAsia="zh-CN"/>
              </w:rPr>
              <w:t>服务</w:t>
            </w:r>
            <w:r>
              <w:rPr>
                <w:rFonts w:hint="eastAsia" w:ascii="宋体" w:hAnsi="宋体" w:cs="宋体"/>
                <w:color w:val="auto"/>
                <w:sz w:val="24"/>
                <w:highlight w:val="none"/>
              </w:rPr>
              <w:t>需求</w:t>
            </w:r>
          </w:p>
        </w:tc>
      </w:tr>
      <w:tr w14:paraId="3272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exact"/>
          <w:jc w:val="center"/>
        </w:trPr>
        <w:tc>
          <w:tcPr>
            <w:tcW w:w="1324" w:type="dxa"/>
            <w:tcBorders>
              <w:top w:val="single" w:color="auto" w:sz="4" w:space="0"/>
              <w:left w:val="single" w:color="auto" w:sz="4" w:space="0"/>
              <w:bottom w:val="single" w:color="auto" w:sz="4" w:space="0"/>
              <w:right w:val="single" w:color="auto" w:sz="4" w:space="0"/>
            </w:tcBorders>
            <w:noWrap w:val="0"/>
            <w:vAlign w:val="center"/>
          </w:tcPr>
          <w:p w14:paraId="54A58E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147" w:type="dxa"/>
            <w:tcBorders>
              <w:top w:val="single" w:color="auto" w:sz="4" w:space="0"/>
              <w:left w:val="nil"/>
              <w:bottom w:val="single" w:color="auto" w:sz="4" w:space="0"/>
              <w:right w:val="single" w:color="auto" w:sz="4" w:space="0"/>
            </w:tcBorders>
            <w:noWrap w:val="0"/>
            <w:vAlign w:val="center"/>
          </w:tcPr>
          <w:p w14:paraId="5C110E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桂林市复兴学校园林绿化服务采购项目</w:t>
            </w:r>
            <w:r>
              <w:rPr>
                <w:rFonts w:hint="eastAsia" w:ascii="宋体" w:hAnsi="宋体" w:eastAsia="宋体" w:cs="宋体"/>
                <w:color w:val="auto"/>
                <w:sz w:val="24"/>
                <w:szCs w:val="24"/>
                <w:highlight w:val="none"/>
                <w:u w:val="none"/>
              </w:rPr>
              <w:t xml:space="preserve"> </w:t>
            </w:r>
          </w:p>
        </w:tc>
        <w:tc>
          <w:tcPr>
            <w:tcW w:w="725" w:type="dxa"/>
            <w:tcBorders>
              <w:top w:val="single" w:color="auto" w:sz="4" w:space="0"/>
              <w:left w:val="nil"/>
              <w:bottom w:val="single" w:color="auto" w:sz="4" w:space="0"/>
              <w:right w:val="single" w:color="auto" w:sz="4" w:space="0"/>
            </w:tcBorders>
            <w:noWrap w:val="0"/>
            <w:vAlign w:val="center"/>
          </w:tcPr>
          <w:p w14:paraId="04EE59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1363" w:type="dxa"/>
            <w:tcBorders>
              <w:top w:val="single" w:color="auto" w:sz="4" w:space="0"/>
              <w:left w:val="nil"/>
              <w:bottom w:val="single" w:color="auto" w:sz="4" w:space="0"/>
              <w:right w:val="single" w:color="auto" w:sz="4" w:space="0"/>
            </w:tcBorders>
            <w:noWrap w:val="0"/>
            <w:vAlign w:val="center"/>
          </w:tcPr>
          <w:p w14:paraId="4E192E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项</w:t>
            </w:r>
          </w:p>
        </w:tc>
        <w:tc>
          <w:tcPr>
            <w:tcW w:w="2876" w:type="dxa"/>
            <w:tcBorders>
              <w:top w:val="single" w:color="auto" w:sz="4" w:space="0"/>
              <w:left w:val="nil"/>
              <w:bottom w:val="single" w:color="auto" w:sz="4" w:space="0"/>
              <w:right w:val="single" w:color="auto" w:sz="4" w:space="0"/>
            </w:tcBorders>
            <w:noWrap w:val="0"/>
            <w:vAlign w:val="center"/>
          </w:tcPr>
          <w:p w14:paraId="48197D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详见竞争性磋商文件</w:t>
            </w:r>
            <w:r>
              <w:rPr>
                <w:rFonts w:hint="eastAsia" w:ascii="宋体" w:hAnsi="宋体" w:cs="宋体"/>
                <w:color w:val="auto"/>
                <w:sz w:val="24"/>
                <w:highlight w:val="none"/>
                <w:lang w:val="en-US" w:eastAsia="zh-CN"/>
              </w:rPr>
              <w:t xml:space="preserve">   </w:t>
            </w:r>
          </w:p>
        </w:tc>
      </w:tr>
    </w:tbl>
    <w:p w14:paraId="7CA1FE6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采购需求的详细内容，详见竞争性磋商文件。</w:t>
      </w:r>
    </w:p>
    <w:p w14:paraId="7DFFE2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w:t>
      </w:r>
      <w:r>
        <w:rPr>
          <w:rFonts w:hint="eastAsia" w:ascii="宋体" w:hAnsi="宋体" w:cs="宋体"/>
          <w:i w:val="0"/>
          <w:iCs w:val="0"/>
          <w:color w:val="auto"/>
          <w:sz w:val="24"/>
          <w:szCs w:val="24"/>
          <w:highlight w:val="none"/>
          <w:lang w:val="en-US" w:eastAsia="zh-CN"/>
        </w:rPr>
        <w:t>自合同签订之日起至服务期满。</w:t>
      </w:r>
    </w:p>
    <w:p w14:paraId="16CC90A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sz w:val="24"/>
          <w:highlight w:val="none"/>
        </w:rPr>
        <w:t>本项目不接受联合体参与磋商。</w:t>
      </w:r>
    </w:p>
    <w:p w14:paraId="62B559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14" w:name="_Toc28359013"/>
      <w:bookmarkStart w:id="15" w:name="_Toc35393799"/>
      <w:bookmarkStart w:id="16" w:name="_Toc28359090"/>
      <w:bookmarkStart w:id="17" w:name="_Toc35393630"/>
      <w:r>
        <w:rPr>
          <w:rFonts w:hint="eastAsia" w:ascii="宋体" w:hAnsi="宋体" w:eastAsia="宋体" w:cs="宋体"/>
          <w:color w:val="auto"/>
          <w:sz w:val="24"/>
          <w:highlight w:val="none"/>
        </w:rPr>
        <w:t>二、申请人的资格要求：</w:t>
      </w:r>
      <w:bookmarkEnd w:id="14"/>
      <w:bookmarkEnd w:id="15"/>
      <w:bookmarkEnd w:id="16"/>
      <w:bookmarkEnd w:id="17"/>
    </w:p>
    <w:p w14:paraId="0B5ECC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1.满足《中华人民共和国政府采购法》第二十二条规定</w:t>
      </w:r>
      <w:r>
        <w:rPr>
          <w:rFonts w:hint="eastAsia"/>
          <w:color w:val="auto"/>
          <w:highlight w:val="none"/>
          <w:lang w:eastAsia="zh-CN"/>
        </w:rPr>
        <w:t>；</w:t>
      </w:r>
    </w:p>
    <w:p w14:paraId="0692C79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highlight w:val="none"/>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r>
        <w:rPr>
          <w:rFonts w:hint="eastAsia" w:ascii="宋体" w:hAnsi="宋体" w:cs="宋体"/>
          <w:color w:val="auto"/>
          <w:sz w:val="24"/>
          <w:highlight w:val="none"/>
          <w:lang w:eastAsia="zh-CN"/>
        </w:rPr>
        <w:t>；</w:t>
      </w:r>
    </w:p>
    <w:p w14:paraId="137A2B9A">
      <w:pPr>
        <w:spacing w:line="360" w:lineRule="exact"/>
        <w:ind w:firstLine="480" w:firstLineChars="200"/>
        <w:rPr>
          <w:rFonts w:hint="eastAsia" w:ascii="宋体" w:hAnsi="宋体" w:eastAsia="宋体" w:cs="宋体"/>
          <w:b/>
          <w:bCs/>
          <w:color w:val="auto"/>
          <w:sz w:val="24"/>
          <w:highlight w:val="none"/>
          <w:lang w:val="en-US" w:eastAsia="zh-CN"/>
        </w:rPr>
      </w:pPr>
      <w:bookmarkStart w:id="18" w:name="_Toc28359091"/>
      <w:bookmarkStart w:id="19" w:name="_Toc28359014"/>
      <w:r>
        <w:rPr>
          <w:rFonts w:hint="eastAsia" w:ascii="宋体" w:hAnsi="宋体" w:eastAsia="宋体" w:cs="宋体"/>
          <w:color w:val="auto"/>
          <w:sz w:val="24"/>
          <w:highlight w:val="none"/>
        </w:rPr>
        <w:t>3.落实政府采购政策需满足的资格要求：</w:t>
      </w:r>
      <w:bookmarkStart w:id="20" w:name="OLE_LINK14"/>
      <w:r>
        <w:rPr>
          <w:rFonts w:hint="eastAsia" w:ascii="宋体" w:hAnsi="宋体" w:cs="宋体"/>
          <w:b/>
          <w:bCs/>
          <w:color w:val="auto"/>
          <w:sz w:val="24"/>
          <w:highlight w:val="none"/>
        </w:rPr>
        <w:t>本项目</w:t>
      </w:r>
      <w:r>
        <w:rPr>
          <w:rFonts w:hint="eastAsia" w:ascii="宋体" w:hAnsi="宋体" w:cs="宋体"/>
          <w:b/>
          <w:bCs/>
          <w:color w:val="auto"/>
          <w:sz w:val="24"/>
          <w:highlight w:val="none"/>
          <w:lang w:eastAsia="zh-CN"/>
        </w:rPr>
        <w:t>专门面向</w:t>
      </w:r>
      <w:r>
        <w:rPr>
          <w:rFonts w:hint="eastAsia" w:ascii="宋体" w:hAnsi="宋体" w:cs="宋体"/>
          <w:b/>
          <w:bCs/>
          <w:color w:val="auto"/>
          <w:sz w:val="24"/>
          <w:highlight w:val="none"/>
          <w:lang w:val="en-US" w:eastAsia="zh-CN"/>
        </w:rPr>
        <w:t>小微</w:t>
      </w:r>
      <w:r>
        <w:rPr>
          <w:rFonts w:hint="eastAsia" w:ascii="宋体" w:hAnsi="宋体" w:cs="宋体"/>
          <w:b/>
          <w:bCs/>
          <w:color w:val="auto"/>
          <w:sz w:val="24"/>
          <w:highlight w:val="none"/>
          <w:lang w:eastAsia="zh-CN"/>
        </w:rPr>
        <w:t>企业</w:t>
      </w:r>
      <w:r>
        <w:rPr>
          <w:rFonts w:hint="eastAsia" w:ascii="宋体" w:hAnsi="宋体" w:cs="宋体"/>
          <w:b/>
          <w:bCs/>
          <w:color w:val="auto"/>
          <w:sz w:val="24"/>
          <w:highlight w:val="none"/>
          <w:lang w:val="en-US" w:eastAsia="zh-CN"/>
        </w:rPr>
        <w:t>采购</w:t>
      </w:r>
      <w:r>
        <w:rPr>
          <w:rFonts w:hint="eastAsia" w:ascii="宋体" w:hAnsi="宋体" w:cs="宋体"/>
          <w:b/>
          <w:bCs/>
          <w:color w:val="auto"/>
          <w:sz w:val="24"/>
          <w:highlight w:val="none"/>
        </w:rPr>
        <w:t>，</w:t>
      </w:r>
      <w:r>
        <w:rPr>
          <w:rFonts w:hint="eastAsia" w:ascii="宋体" w:hAnsi="宋体" w:cs="宋体"/>
          <w:b/>
          <w:bCs/>
          <w:color w:val="auto"/>
          <w:sz w:val="24"/>
          <w:highlight w:val="none"/>
          <w:lang w:eastAsia="zh-CN"/>
        </w:rPr>
        <w:t>所属行业为</w:t>
      </w:r>
      <w:r>
        <w:rPr>
          <w:rFonts w:hint="eastAsia" w:ascii="宋体" w:hAnsi="宋体" w:cs="宋体"/>
          <w:b/>
          <w:bCs/>
          <w:color w:val="auto"/>
          <w:sz w:val="24"/>
          <w:highlight w:val="none"/>
          <w:lang w:val="en-US" w:eastAsia="zh-CN"/>
        </w:rPr>
        <w:t>物业管理</w:t>
      </w:r>
      <w:r>
        <w:rPr>
          <w:rFonts w:hint="eastAsia" w:ascii="宋体" w:hAnsi="宋体" w:eastAsia="宋体" w:cs="宋体"/>
          <w:color w:val="auto"/>
          <w:sz w:val="24"/>
          <w:highlight w:val="none"/>
          <w:lang w:eastAsia="zh-CN"/>
        </w:rPr>
        <w:t>。</w:t>
      </w:r>
      <w:bookmarkEnd w:id="20"/>
    </w:p>
    <w:p w14:paraId="218BC82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val="0"/>
          <w:bCs w:val="0"/>
          <w:color w:val="auto"/>
          <w:sz w:val="24"/>
          <w:highlight w:val="none"/>
        </w:rPr>
        <w:t>4.本项目的特定资格要求：</w:t>
      </w:r>
      <w:bookmarkStart w:id="21" w:name="_Toc35393800"/>
      <w:bookmarkStart w:id="22" w:name="_Toc35393631"/>
      <w:r>
        <w:rPr>
          <w:rFonts w:hint="eastAsia" w:ascii="宋体" w:hAnsi="宋体" w:cs="宋体"/>
          <w:b w:val="0"/>
          <w:bCs w:val="0"/>
          <w:color w:val="auto"/>
          <w:sz w:val="24"/>
          <w:highlight w:val="none"/>
          <w:lang w:val="en-US" w:eastAsia="zh-CN"/>
        </w:rPr>
        <w:t>无</w:t>
      </w:r>
      <w:r>
        <w:rPr>
          <w:rFonts w:hint="eastAsia" w:ascii="宋体" w:hAnsi="宋体" w:cs="宋体"/>
          <w:b/>
          <w:bCs/>
          <w:color w:val="auto"/>
          <w:sz w:val="24"/>
          <w:highlight w:val="none"/>
          <w:lang w:val="en-US" w:eastAsia="zh-CN"/>
        </w:rPr>
        <w:t>。</w:t>
      </w:r>
    </w:p>
    <w:bookmarkEnd w:id="18"/>
    <w:bookmarkEnd w:id="19"/>
    <w:bookmarkEnd w:id="21"/>
    <w:bookmarkEnd w:id="22"/>
    <w:p w14:paraId="255685BE">
      <w:pPr>
        <w:spacing w:line="400" w:lineRule="exact"/>
        <w:ind w:firstLine="480" w:firstLineChars="200"/>
        <w:rPr>
          <w:rFonts w:hint="eastAsia" w:ascii="宋体" w:hAnsi="宋体" w:eastAsia="宋体" w:cs="宋体"/>
          <w:color w:val="auto"/>
          <w:sz w:val="24"/>
          <w:highlight w:val="none"/>
        </w:rPr>
      </w:pPr>
      <w:bookmarkStart w:id="23" w:name="_Toc35393623"/>
      <w:bookmarkStart w:id="24" w:name="_Toc35393792"/>
      <w:bookmarkStart w:id="25" w:name="_Toc28359095"/>
      <w:bookmarkStart w:id="26" w:name="_Toc28359018"/>
      <w:bookmarkStart w:id="27" w:name="_Toc35393805"/>
      <w:bookmarkStart w:id="28" w:name="_Toc35393636"/>
      <w:r>
        <w:rPr>
          <w:rFonts w:hint="eastAsia" w:ascii="宋体" w:hAnsi="宋体" w:eastAsia="宋体" w:cs="宋体"/>
          <w:color w:val="auto"/>
          <w:sz w:val="24"/>
          <w:highlight w:val="none"/>
        </w:rPr>
        <w:t>三、获取</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w:t>
      </w:r>
      <w:bookmarkEnd w:id="23"/>
      <w:bookmarkEnd w:id="24"/>
    </w:p>
    <w:p w14:paraId="6B30FE5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文件获取时间：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23</w:t>
      </w:r>
      <w:r>
        <w:rPr>
          <w:rFonts w:hint="eastAsia" w:ascii="宋体" w:hAnsi="宋体" w:cs="宋体"/>
          <w:color w:val="auto"/>
          <w:sz w:val="24"/>
          <w:highlight w:val="none"/>
          <w:lang w:eastAsia="zh-CN"/>
        </w:rPr>
        <w:t>日至2025年11月</w:t>
      </w:r>
      <w:r>
        <w:rPr>
          <w:rFonts w:hint="eastAsia" w:ascii="宋体" w:hAnsi="宋体" w:cs="宋体"/>
          <w:color w:val="auto"/>
          <w:sz w:val="24"/>
          <w:highlight w:val="none"/>
          <w:lang w:val="en-US" w:eastAsia="zh-CN"/>
        </w:rPr>
        <w:t>03</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时30分</w:t>
      </w:r>
      <w:r>
        <w:rPr>
          <w:rFonts w:hint="eastAsia" w:ascii="宋体" w:hAnsi="宋体" w:eastAsia="宋体" w:cs="宋体"/>
          <w:color w:val="auto"/>
          <w:sz w:val="24"/>
          <w:highlight w:val="none"/>
        </w:rPr>
        <w:t>。</w:t>
      </w:r>
    </w:p>
    <w:p w14:paraId="5EA4ACE5">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2.地点及方式：潜在供应商请</w:t>
      </w:r>
      <w:r>
        <w:rPr>
          <w:rFonts w:hint="eastAsia" w:ascii="宋体" w:hAnsi="宋体" w:cs="宋体"/>
          <w:color w:val="auto"/>
          <w:sz w:val="24"/>
          <w:highlight w:val="none"/>
          <w:lang w:eastAsia="zh-CN"/>
        </w:rPr>
        <w:t>登陆“广西政府采购云平台”获取该招标文件。</w:t>
      </w:r>
    </w:p>
    <w:p w14:paraId="7220EEFE">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3.采购文件售价：本项目</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文件不收取费用。</w:t>
      </w:r>
    </w:p>
    <w:p w14:paraId="785AB04E">
      <w:pPr>
        <w:spacing w:line="400" w:lineRule="exact"/>
        <w:ind w:firstLine="480" w:firstLineChars="200"/>
        <w:rPr>
          <w:rFonts w:hint="eastAsia" w:ascii="宋体" w:hAnsi="宋体" w:eastAsia="宋体" w:cs="宋体"/>
          <w:color w:val="auto"/>
          <w:sz w:val="24"/>
          <w:highlight w:val="none"/>
        </w:rPr>
      </w:pPr>
      <w:bookmarkStart w:id="29" w:name="_Toc28359082"/>
      <w:bookmarkStart w:id="30" w:name="_Toc28359005"/>
      <w:bookmarkStart w:id="31" w:name="_Toc35393624"/>
      <w:bookmarkStart w:id="32" w:name="_Toc35393793"/>
      <w:r>
        <w:rPr>
          <w:rFonts w:hint="eastAsia" w:ascii="宋体" w:hAnsi="宋体" w:eastAsia="宋体" w:cs="宋体"/>
          <w:color w:val="auto"/>
          <w:sz w:val="24"/>
          <w:highlight w:val="none"/>
        </w:rPr>
        <w:t>四、</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w:t>
      </w:r>
      <w:bookmarkEnd w:id="29"/>
      <w:bookmarkEnd w:id="30"/>
      <w:r>
        <w:rPr>
          <w:rFonts w:hint="eastAsia" w:ascii="宋体" w:hAnsi="宋体" w:eastAsia="宋体" w:cs="宋体"/>
          <w:color w:val="auto"/>
          <w:sz w:val="24"/>
          <w:highlight w:val="none"/>
          <w:lang w:eastAsia="zh-CN"/>
        </w:rPr>
        <w:t>提交</w:t>
      </w:r>
      <w:r>
        <w:rPr>
          <w:rFonts w:hint="eastAsia" w:ascii="宋体" w:hAnsi="宋体" w:eastAsia="宋体" w:cs="宋体"/>
          <w:color w:val="auto"/>
          <w:sz w:val="24"/>
          <w:highlight w:val="none"/>
        </w:rPr>
        <w:t>时间和地点</w:t>
      </w:r>
      <w:bookmarkEnd w:id="31"/>
      <w:bookmarkEnd w:id="32"/>
    </w:p>
    <w:p w14:paraId="4C3FD8F6">
      <w:pPr>
        <w:spacing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截止</w:t>
      </w:r>
      <w:r>
        <w:rPr>
          <w:rFonts w:hint="eastAsia" w:ascii="宋体" w:hAnsi="宋体" w:eastAsia="宋体" w:cs="宋体"/>
          <w:bCs/>
          <w:color w:val="auto"/>
          <w:sz w:val="24"/>
          <w:highlight w:val="none"/>
        </w:rPr>
        <w:t>时间：</w:t>
      </w:r>
      <w:r>
        <w:rPr>
          <w:rFonts w:hint="eastAsia" w:ascii="宋体" w:hAnsi="宋体" w:cs="宋体"/>
          <w:color w:val="auto"/>
          <w:sz w:val="24"/>
          <w:highlight w:val="none"/>
          <w:lang w:eastAsia="zh-CN"/>
        </w:rPr>
        <w:t>2025年11月</w:t>
      </w:r>
      <w:r>
        <w:rPr>
          <w:rFonts w:hint="eastAsia" w:ascii="宋体" w:hAnsi="宋体" w:cs="宋体"/>
          <w:color w:val="auto"/>
          <w:sz w:val="24"/>
          <w:highlight w:val="none"/>
          <w:lang w:val="en-US" w:eastAsia="zh-CN"/>
        </w:rPr>
        <w:t>03</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时30分</w:t>
      </w:r>
      <w:r>
        <w:rPr>
          <w:rFonts w:hint="eastAsia" w:ascii="宋体" w:hAnsi="宋体" w:cs="宋体"/>
          <w:color w:val="auto"/>
          <w:sz w:val="24"/>
          <w:highlight w:val="none"/>
          <w:lang w:val="en-US" w:eastAsia="zh-CN"/>
        </w:rPr>
        <w:t>(</w:t>
      </w:r>
      <w:r>
        <w:rPr>
          <w:rFonts w:hint="eastAsia" w:ascii="宋体" w:hAnsi="宋体" w:eastAsia="宋体" w:cs="宋体"/>
          <w:bCs/>
          <w:color w:val="auto"/>
          <w:sz w:val="24"/>
          <w:highlight w:val="none"/>
        </w:rPr>
        <w:t>北京时间）。</w:t>
      </w:r>
    </w:p>
    <w:p w14:paraId="3B1D3523">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点：通过</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实行在线</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w:t>
      </w:r>
    </w:p>
    <w:p w14:paraId="00487A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五、开启</w:t>
      </w:r>
    </w:p>
    <w:p w14:paraId="27D0FF1A">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cs="宋体"/>
          <w:color w:val="auto"/>
          <w:sz w:val="24"/>
          <w:highlight w:val="none"/>
          <w:lang w:eastAsia="zh-CN"/>
        </w:rPr>
        <w:t>2025年11月</w:t>
      </w:r>
      <w:r>
        <w:rPr>
          <w:rFonts w:hint="eastAsia" w:ascii="宋体" w:hAnsi="宋体" w:cs="宋体"/>
          <w:color w:val="auto"/>
          <w:sz w:val="24"/>
          <w:highlight w:val="none"/>
          <w:lang w:val="en-US" w:eastAsia="zh-CN"/>
        </w:rPr>
        <w:t>03</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时30分</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北京时间）截标后。</w:t>
      </w:r>
    </w:p>
    <w:p w14:paraId="0CD4067B">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桂林市公共资源交易中心</w:t>
      </w:r>
      <w:r>
        <w:rPr>
          <w:rFonts w:hint="eastAsia" w:ascii="宋体" w:hAnsi="宋体" w:cs="宋体"/>
          <w:color w:val="auto"/>
          <w:sz w:val="24"/>
          <w:highlight w:val="none"/>
          <w:u w:val="single"/>
          <w:lang w:val="en-US" w:eastAsia="zh-CN"/>
        </w:rPr>
        <w:t>2号开标仓</w:t>
      </w:r>
      <w:r>
        <w:rPr>
          <w:rFonts w:hint="eastAsia" w:ascii="宋体" w:hAnsi="宋体" w:eastAsia="宋体" w:cs="宋体"/>
          <w:color w:val="auto"/>
          <w:sz w:val="24"/>
          <w:highlight w:val="none"/>
        </w:rPr>
        <w:t>通过</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实行在线解密开启。</w:t>
      </w:r>
    </w:p>
    <w:p w14:paraId="4C293B03">
      <w:pPr>
        <w:spacing w:line="400" w:lineRule="exact"/>
        <w:ind w:firstLine="480" w:firstLineChars="200"/>
        <w:rPr>
          <w:rFonts w:hint="eastAsia" w:ascii="宋体" w:hAnsi="宋体" w:eastAsia="宋体" w:cs="宋体"/>
          <w:color w:val="auto"/>
          <w:sz w:val="24"/>
          <w:highlight w:val="none"/>
        </w:rPr>
      </w:pPr>
      <w:bookmarkStart w:id="33" w:name="_Toc28359007"/>
      <w:bookmarkStart w:id="34" w:name="_Toc28359084"/>
      <w:bookmarkStart w:id="35" w:name="_Toc35393794"/>
      <w:bookmarkStart w:id="36" w:name="_Toc35393625"/>
      <w:r>
        <w:rPr>
          <w:rFonts w:hint="eastAsia" w:ascii="宋体" w:hAnsi="宋体" w:eastAsia="宋体" w:cs="宋体"/>
          <w:color w:val="auto"/>
          <w:sz w:val="24"/>
          <w:highlight w:val="none"/>
          <w:lang w:eastAsia="zh-CN"/>
        </w:rPr>
        <w:t>六</w:t>
      </w:r>
      <w:r>
        <w:rPr>
          <w:rFonts w:hint="eastAsia" w:ascii="宋体" w:hAnsi="宋体" w:eastAsia="宋体" w:cs="宋体"/>
          <w:color w:val="auto"/>
          <w:sz w:val="24"/>
          <w:highlight w:val="none"/>
        </w:rPr>
        <w:t>、公告期限</w:t>
      </w:r>
      <w:bookmarkEnd w:id="33"/>
      <w:bookmarkEnd w:id="34"/>
      <w:bookmarkEnd w:id="35"/>
      <w:bookmarkEnd w:id="36"/>
    </w:p>
    <w:p w14:paraId="7B2C07D6">
      <w:pPr>
        <w:spacing w:line="4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14:paraId="2950E92F">
      <w:pPr>
        <w:spacing w:line="400" w:lineRule="exact"/>
        <w:ind w:firstLine="480" w:firstLineChars="200"/>
        <w:rPr>
          <w:rFonts w:hint="eastAsia" w:ascii="宋体" w:hAnsi="宋体" w:eastAsia="宋体" w:cs="宋体"/>
          <w:color w:val="auto"/>
          <w:sz w:val="24"/>
          <w:highlight w:val="none"/>
        </w:rPr>
      </w:pPr>
      <w:bookmarkStart w:id="37" w:name="_Toc35393626"/>
      <w:bookmarkStart w:id="38" w:name="_Toc35393795"/>
      <w:r>
        <w:rPr>
          <w:rFonts w:hint="eastAsia" w:ascii="宋体" w:hAnsi="宋体" w:eastAsia="宋体" w:cs="宋体"/>
          <w:color w:val="auto"/>
          <w:sz w:val="24"/>
          <w:highlight w:val="none"/>
          <w:lang w:eastAsia="zh-CN"/>
        </w:rPr>
        <w:t>七</w:t>
      </w:r>
      <w:r>
        <w:rPr>
          <w:rFonts w:hint="eastAsia" w:ascii="宋体" w:hAnsi="宋体" w:eastAsia="宋体" w:cs="宋体"/>
          <w:color w:val="auto"/>
          <w:sz w:val="24"/>
          <w:highlight w:val="none"/>
        </w:rPr>
        <w:t>、其他补充事宜</w:t>
      </w:r>
      <w:bookmarkEnd w:id="37"/>
      <w:bookmarkEnd w:id="38"/>
    </w:p>
    <w:p w14:paraId="1F340F7D">
      <w:pPr>
        <w:numPr>
          <w:ilvl w:val="0"/>
          <w:numId w:val="0"/>
        </w:num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本项目无需缴纳</w:t>
      </w:r>
      <w:r>
        <w:rPr>
          <w:rFonts w:hint="eastAsia" w:ascii="宋体" w:hAnsi="宋体" w:eastAsia="宋体" w:cs="宋体"/>
          <w:b w:val="0"/>
          <w:bCs w:val="0"/>
          <w:color w:val="auto"/>
          <w:sz w:val="24"/>
          <w:highlight w:val="none"/>
          <w:lang w:val="en-US" w:eastAsia="zh-CN"/>
        </w:rPr>
        <w:t>磋商</w:t>
      </w:r>
      <w:r>
        <w:rPr>
          <w:rFonts w:hint="eastAsia" w:ascii="宋体" w:hAnsi="宋体" w:eastAsia="宋体" w:cs="宋体"/>
          <w:b w:val="0"/>
          <w:bCs w:val="0"/>
          <w:color w:val="auto"/>
          <w:sz w:val="24"/>
          <w:highlight w:val="none"/>
        </w:rPr>
        <w:t>保证金。</w:t>
      </w:r>
    </w:p>
    <w:p w14:paraId="3F8B8259">
      <w:pPr>
        <w:numPr>
          <w:ilvl w:val="0"/>
          <w:numId w:val="0"/>
        </w:numPr>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本项目信息发布媒体：</w:t>
      </w:r>
    </w:p>
    <w:p w14:paraId="52C75BDA">
      <w:pPr>
        <w:pStyle w:val="9"/>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桂林市政府采购网（zfcg.czj.guilin.gov.cn）</w:t>
      </w:r>
    </w:p>
    <w:p w14:paraId="729650A9">
      <w:pPr>
        <w:pStyle w:val="9"/>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广西壮族自治区政府采</w:t>
      </w:r>
      <w:r>
        <w:rPr>
          <w:rFonts w:hint="eastAsia" w:ascii="宋体" w:hAnsi="宋体" w:eastAsia="宋体" w:cs="宋体"/>
          <w:color w:val="auto"/>
          <w:sz w:val="24"/>
          <w:highlight w:val="none"/>
        </w:rPr>
        <w:t>购网（www.ccgp-guangxi.gov.cn</w:t>
      </w:r>
      <w:r>
        <w:rPr>
          <w:rFonts w:hint="eastAsia" w:ascii="宋体" w:hAnsi="宋体" w:eastAsia="宋体" w:cs="宋体"/>
          <w:color w:val="auto"/>
          <w:sz w:val="24"/>
          <w:highlight w:val="none"/>
          <w:lang w:eastAsia="zh-CN"/>
        </w:rPr>
        <w:t>）</w:t>
      </w:r>
    </w:p>
    <w:p w14:paraId="7EF7B64B">
      <w:pPr>
        <w:rPr>
          <w:rFonts w:hint="default"/>
          <w:color w:val="auto"/>
          <w:lang w:val="en-US"/>
        </w:rPr>
      </w:pPr>
      <w:r>
        <w:rPr>
          <w:rFonts w:hint="eastAsia" w:ascii="宋体" w:hAnsi="宋体" w:cs="宋体"/>
          <w:color w:val="auto"/>
          <w:sz w:val="24"/>
          <w:highlight w:val="none"/>
          <w:lang w:val="en-US" w:eastAsia="zh-CN"/>
        </w:rPr>
        <w:t xml:space="preserve">    中国政府采购网（www.ccgp.gov.cn）</w:t>
      </w:r>
    </w:p>
    <w:p w14:paraId="1505F081">
      <w:pPr>
        <w:pStyle w:val="29"/>
        <w:numPr>
          <w:ilvl w:val="0"/>
          <w:numId w:val="2"/>
        </w:num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响应文件解密时间：截标时间后</w:t>
      </w:r>
      <w:r>
        <w:rPr>
          <w:rFonts w:hint="eastAsia" w:ascii="宋体" w:hAnsi="宋体" w:eastAsia="宋体" w:cs="宋体"/>
          <w:color w:val="auto"/>
          <w:highlight w:val="none"/>
          <w:u w:val="single"/>
        </w:rPr>
        <w:t>30</w:t>
      </w:r>
      <w:r>
        <w:rPr>
          <w:rFonts w:hint="eastAsia" w:ascii="宋体" w:hAnsi="宋体" w:eastAsia="宋体" w:cs="宋体"/>
          <w:color w:val="auto"/>
          <w:highlight w:val="none"/>
        </w:rPr>
        <w:t>分钟内（</w:t>
      </w:r>
      <w:r>
        <w:rPr>
          <w:rFonts w:hint="eastAsia" w:ascii="宋体" w:hAnsi="宋体" w:cs="宋体"/>
          <w:color w:val="auto"/>
          <w:highlight w:val="none"/>
          <w:u w:val="single"/>
          <w:lang w:eastAsia="zh-CN"/>
        </w:rPr>
        <w:t>202</w:t>
      </w:r>
      <w:r>
        <w:rPr>
          <w:rFonts w:hint="eastAsia" w:ascii="宋体" w:hAnsi="宋体" w:cs="宋体"/>
          <w:color w:val="auto"/>
          <w:highlight w:val="none"/>
          <w:u w:val="single"/>
          <w:lang w:val="en-US" w:eastAsia="zh-CN"/>
        </w:rPr>
        <w:t>5</w:t>
      </w:r>
      <w:r>
        <w:rPr>
          <w:rFonts w:hint="eastAsia" w:ascii="宋体" w:hAnsi="宋体" w:cs="宋体"/>
          <w:color w:val="auto"/>
          <w:highlight w:val="none"/>
          <w:u w:val="single"/>
          <w:lang w:eastAsia="zh-CN"/>
        </w:rPr>
        <w:t>年</w:t>
      </w:r>
      <w:r>
        <w:rPr>
          <w:rFonts w:hint="eastAsia" w:ascii="宋体" w:hAnsi="宋体" w:cs="宋体"/>
          <w:color w:val="auto"/>
          <w:highlight w:val="none"/>
          <w:u w:val="single"/>
          <w:lang w:val="en-US" w:eastAsia="zh-CN"/>
        </w:rPr>
        <w:t>11</w:t>
      </w:r>
      <w:r>
        <w:rPr>
          <w:rFonts w:hint="eastAsia" w:ascii="宋体" w:hAnsi="宋体" w:cs="宋体"/>
          <w:color w:val="auto"/>
          <w:highlight w:val="none"/>
          <w:u w:val="single"/>
          <w:lang w:eastAsia="zh-CN"/>
        </w:rPr>
        <w:t>月</w:t>
      </w:r>
      <w:r>
        <w:rPr>
          <w:rFonts w:hint="eastAsia" w:ascii="宋体" w:hAnsi="宋体" w:cs="宋体"/>
          <w:color w:val="auto"/>
          <w:highlight w:val="none"/>
          <w:u w:val="single"/>
          <w:lang w:val="en-US" w:eastAsia="zh-CN"/>
        </w:rPr>
        <w:t>03</w:t>
      </w:r>
      <w:r>
        <w:rPr>
          <w:rFonts w:hint="eastAsia" w:ascii="宋体" w:hAnsi="宋体" w:cs="宋体"/>
          <w:color w:val="auto"/>
          <w:highlight w:val="none"/>
          <w:u w:val="single"/>
          <w:lang w:eastAsia="zh-CN"/>
        </w:rPr>
        <w:t>日</w:t>
      </w:r>
      <w:r>
        <w:rPr>
          <w:rFonts w:hint="eastAsia" w:ascii="宋体" w:hAnsi="宋体" w:eastAsia="宋体" w:cs="宋体"/>
          <w:color w:val="auto"/>
          <w:highlight w:val="none"/>
          <w:u w:val="single"/>
        </w:rPr>
        <w:t>上午</w:t>
      </w:r>
      <w:r>
        <w:rPr>
          <w:rFonts w:hint="eastAsia" w:ascii="宋体" w:hAnsi="宋体" w:cs="宋体"/>
          <w:color w:val="auto"/>
          <w:highlight w:val="none"/>
          <w:u w:val="single"/>
          <w:lang w:val="en-US" w:eastAsia="zh-CN"/>
        </w:rPr>
        <w:t>10</w:t>
      </w:r>
      <w:r>
        <w:rPr>
          <w:rFonts w:hint="eastAsia" w:ascii="宋体" w:hAnsi="宋体" w:eastAsia="宋体" w:cs="宋体"/>
          <w:color w:val="auto"/>
          <w:highlight w:val="none"/>
          <w:u w:val="single"/>
          <w:lang w:val="en-US" w:eastAsia="zh-CN"/>
        </w:rPr>
        <w:t>时</w:t>
      </w:r>
      <w:r>
        <w:rPr>
          <w:rFonts w:hint="eastAsia" w:ascii="宋体" w:hAnsi="宋体" w:eastAsia="宋体" w:cs="宋体"/>
          <w:color w:val="auto"/>
          <w:highlight w:val="none"/>
          <w:u w:val="single"/>
        </w:rPr>
        <w:t>30</w:t>
      </w:r>
      <w:r>
        <w:rPr>
          <w:rFonts w:hint="eastAsia" w:ascii="宋体" w:hAnsi="宋体" w:eastAsia="宋体" w:cs="宋体"/>
          <w:color w:val="auto"/>
          <w:highlight w:val="none"/>
          <w:u w:val="single"/>
          <w:lang w:eastAsia="zh-CN"/>
        </w:rPr>
        <w:t>至</w:t>
      </w:r>
      <w:r>
        <w:rPr>
          <w:rFonts w:hint="eastAsia" w:ascii="宋体" w:hAnsi="宋体" w:eastAsia="宋体" w:cs="宋体"/>
          <w:color w:val="auto"/>
          <w:highlight w:val="none"/>
          <w:u w:val="single"/>
          <w:lang w:val="en-US" w:eastAsia="zh-CN"/>
        </w:rPr>
        <w:t>1</w:t>
      </w:r>
      <w:r>
        <w:rPr>
          <w:rFonts w:hint="eastAsia" w:ascii="宋体" w:hAnsi="宋体" w:cs="宋体"/>
          <w:color w:val="auto"/>
          <w:highlight w:val="none"/>
          <w:u w:val="single"/>
          <w:lang w:val="en-US" w:eastAsia="zh-CN"/>
        </w:rPr>
        <w:t>1</w:t>
      </w:r>
      <w:r>
        <w:rPr>
          <w:rFonts w:hint="eastAsia" w:ascii="宋体" w:hAnsi="宋体" w:eastAsia="宋体" w:cs="宋体"/>
          <w:color w:val="auto"/>
          <w:highlight w:val="none"/>
          <w:u w:val="single"/>
          <w:lang w:val="en-US" w:eastAsia="zh-CN"/>
        </w:rPr>
        <w:t>时00分</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供应商可以登录</w:t>
      </w:r>
      <w:r>
        <w:rPr>
          <w:rFonts w:hint="eastAsia" w:ascii="宋体" w:hAnsi="宋体" w:cs="宋体"/>
          <w:color w:val="auto"/>
          <w:highlight w:val="none"/>
          <w:lang w:eastAsia="zh-CN"/>
        </w:rPr>
        <w:t>广西政府采购云平台</w:t>
      </w:r>
      <w:r>
        <w:rPr>
          <w:rFonts w:hint="eastAsia" w:ascii="宋体" w:hAnsi="宋体" w:eastAsia="宋体" w:cs="宋体"/>
          <w:color w:val="auto"/>
          <w:highlight w:val="none"/>
        </w:rPr>
        <w:t>，用“项目采购-开标评标”功能进行解密</w:t>
      </w:r>
      <w:r>
        <w:rPr>
          <w:rFonts w:hint="eastAsia" w:ascii="宋体" w:hAnsi="宋体" w:eastAsia="宋体" w:cs="宋体"/>
          <w:color w:val="auto"/>
          <w:highlight w:val="none"/>
          <w:lang w:val="en-US" w:eastAsia="zh-CN"/>
        </w:rPr>
        <w:t>电子</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w:t>
      </w:r>
    </w:p>
    <w:p w14:paraId="437C704C">
      <w:pPr>
        <w:pStyle w:val="29"/>
        <w:numPr>
          <w:ilvl w:val="0"/>
          <w:numId w:val="0"/>
        </w:numPr>
        <w:spacing w:line="4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kern w:val="2"/>
          <w:sz w:val="24"/>
          <w:szCs w:val="24"/>
          <w:highlight w:val="none"/>
          <w:lang w:val="en-US" w:eastAsia="zh-CN" w:bidi="ar-SA"/>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w:t>
      </w:r>
      <w:r>
        <w:rPr>
          <w:rFonts w:hint="eastAsia" w:ascii="宋体" w:hAnsi="宋体" w:cs="宋体"/>
          <w:b/>
          <w:bCs/>
          <w:color w:val="auto"/>
          <w:kern w:val="2"/>
          <w:sz w:val="24"/>
          <w:szCs w:val="24"/>
          <w:highlight w:val="none"/>
          <w:lang w:val="en-US" w:eastAsia="zh-CN" w:bidi="ar-SA"/>
        </w:rPr>
        <w:t>（解密响应文件后，30分钟内在线签字确认，超过时间没有在线签字确认的系统将自动视为供应商认可）</w:t>
      </w:r>
      <w:r>
        <w:rPr>
          <w:rFonts w:hint="eastAsia" w:ascii="宋体" w:hAnsi="宋体" w:eastAsia="宋体" w:cs="宋体"/>
          <w:b/>
          <w:bCs/>
          <w:color w:val="auto"/>
          <w:kern w:val="2"/>
          <w:sz w:val="24"/>
          <w:szCs w:val="24"/>
          <w:highlight w:val="none"/>
          <w:lang w:val="en-US" w:eastAsia="zh-CN" w:bidi="ar-SA"/>
        </w:rPr>
        <w:t>。</w:t>
      </w:r>
    </w:p>
    <w:p w14:paraId="3D878C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八、在线投标响应（电子投标）说明</w:t>
      </w:r>
    </w:p>
    <w:p w14:paraId="7F4549D4">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1.本项目通过</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实行在线投标响应（电子投标），供应商需要先安装“</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电子交易客户端”，并按照本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文件和</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的要求，通过“</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电子交易客户端”编制并加密响应文件。供应商未按规定编制并加密的响应文件，</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将予以拒收。</w:t>
      </w:r>
    </w:p>
    <w:p w14:paraId="0B02E005">
      <w:pPr>
        <w:pStyle w:val="29"/>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sz w:val="24"/>
          <w:highlight w:val="none"/>
          <w:lang w:eastAsia="zh-CN"/>
        </w:rPr>
        <w:t>广西政府采购云平台</w:t>
      </w:r>
      <w:r>
        <w:rPr>
          <w:rFonts w:hint="eastAsia" w:ascii="宋体" w:hAnsi="宋体" w:eastAsia="宋体" w:cs="宋体"/>
          <w:color w:val="auto"/>
          <w:highlight w:val="none"/>
        </w:rPr>
        <w:t>电子交易客户端”请自行前往广西政府采购网下载并安装</w:t>
      </w:r>
      <w:r>
        <w:rPr>
          <w:rFonts w:hint="eastAsia" w:ascii="宋体" w:hAnsi="宋体" w:cs="宋体"/>
          <w:color w:val="auto"/>
          <w:highlight w:val="none"/>
          <w:lang w:val="en-US" w:eastAsia="zh-CN"/>
        </w:rPr>
        <w:t>,</w:t>
      </w:r>
      <w:r>
        <w:rPr>
          <w:rFonts w:hint="eastAsia" w:ascii="宋体" w:hAnsi="宋体" w:eastAsia="宋体" w:cs="宋体"/>
          <w:color w:val="auto"/>
          <w:highlight w:val="none"/>
        </w:rPr>
        <w:t>电子投标具体操作流程参考《政府采购项目电子交易管理操作指南-供应商》；在使用</w:t>
      </w:r>
      <w:r>
        <w:rPr>
          <w:rFonts w:hint="eastAsia" w:ascii="宋体" w:hAnsi="宋体" w:cs="宋体"/>
          <w:color w:val="auto"/>
          <w:sz w:val="24"/>
          <w:highlight w:val="none"/>
          <w:lang w:eastAsia="zh-CN"/>
        </w:rPr>
        <w:t>广西政府采购云平台</w:t>
      </w:r>
      <w:r>
        <w:rPr>
          <w:rFonts w:hint="eastAsia" w:ascii="宋体" w:hAnsi="宋体" w:eastAsia="宋体" w:cs="宋体"/>
          <w:color w:val="auto"/>
          <w:highlight w:val="none"/>
        </w:rPr>
        <w:t>投标客户端时，建议使用WIN7及以上操作系统,通过</w:t>
      </w:r>
      <w:r>
        <w:rPr>
          <w:rFonts w:hint="eastAsia" w:ascii="宋体" w:hAnsi="宋体" w:cs="宋体"/>
          <w:color w:val="auto"/>
          <w:highlight w:val="none"/>
          <w:lang w:eastAsia="zh-CN"/>
        </w:rPr>
        <w:t>广西政府采购云平台</w:t>
      </w:r>
      <w:r>
        <w:rPr>
          <w:rFonts w:hint="eastAsia" w:ascii="宋体" w:hAnsi="宋体" w:eastAsia="宋体" w:cs="宋体"/>
          <w:color w:val="auto"/>
          <w:highlight w:val="none"/>
        </w:rPr>
        <w:t>参与在线投标时如遇平台技术问题详询</w:t>
      </w:r>
      <w:r>
        <w:rPr>
          <w:rFonts w:hint="eastAsia" w:ascii="宋体" w:hAnsi="宋体" w:cs="宋体"/>
          <w:color w:val="auto"/>
          <w:highlight w:val="none"/>
          <w:lang w:eastAsia="zh-CN"/>
        </w:rPr>
        <w:t>95763</w:t>
      </w:r>
      <w:r>
        <w:rPr>
          <w:rFonts w:hint="eastAsia" w:ascii="宋体" w:hAnsi="宋体" w:eastAsia="宋体" w:cs="宋体"/>
          <w:color w:val="auto"/>
          <w:highlight w:val="none"/>
        </w:rPr>
        <w:t>。</w:t>
      </w:r>
    </w:p>
    <w:p w14:paraId="2F7A5AC3">
      <w:pPr>
        <w:spacing w:line="40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2.为确保网上操作合法、有效和安全，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供应商应当在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截止时间前完成在“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”的身份认证，确保在电子投标过程中能够对相关数据电文进行加密和使用电子签章。使用“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电子交易客户端”需要提前申领CA数字证书，申领流程请自行前往</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网站进行查阅；</w:t>
      </w:r>
      <w:r>
        <w:rPr>
          <w:rFonts w:hint="eastAsia" w:ascii="宋体" w:hAnsi="宋体" w:eastAsia="宋体" w:cs="宋体"/>
          <w:b/>
          <w:bCs/>
          <w:color w:val="auto"/>
          <w:sz w:val="24"/>
          <w:highlight w:val="none"/>
        </w:rPr>
        <w:t>（完成CA数字证书办理预计一周左右，建议供应商获取</w:t>
      </w:r>
      <w:r>
        <w:rPr>
          <w:rFonts w:hint="eastAsia" w:ascii="宋体" w:hAnsi="宋体" w:eastAsia="宋体" w:cs="宋体"/>
          <w:b/>
          <w:bCs/>
          <w:color w:val="auto"/>
          <w:sz w:val="24"/>
          <w:highlight w:val="none"/>
          <w:lang w:eastAsia="zh-CN"/>
        </w:rPr>
        <w:t>磋商</w:t>
      </w:r>
      <w:r>
        <w:rPr>
          <w:rFonts w:hint="eastAsia" w:ascii="宋体" w:hAnsi="宋体" w:eastAsia="宋体" w:cs="宋体"/>
          <w:b/>
          <w:bCs/>
          <w:color w:val="auto"/>
          <w:sz w:val="24"/>
          <w:highlight w:val="none"/>
        </w:rPr>
        <w:t>文件后立即办理。）</w:t>
      </w:r>
    </w:p>
    <w:p w14:paraId="5E26F66B">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供应商应当在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截止时间前，将生成的“电子</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响应文件”上传递交至</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响应文件递交</w:t>
      </w:r>
      <w:r>
        <w:rPr>
          <w:rFonts w:hint="eastAsia" w:ascii="宋体" w:hAnsi="宋体" w:eastAsia="宋体" w:cs="宋体"/>
          <w:color w:val="auto"/>
          <w:sz w:val="24"/>
          <w:highlight w:val="none"/>
        </w:rPr>
        <w:t>截止时间前可以撤回电子</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响应文件。补充或者修改电子</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响应文件的，应当先行撤回原文件，补充、修改后重新传输递交，</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lang w:val="en-US" w:eastAsia="zh-CN"/>
        </w:rPr>
        <w:t>响应文件递交</w:t>
      </w:r>
      <w:r>
        <w:rPr>
          <w:rFonts w:hint="eastAsia" w:ascii="宋体" w:hAnsi="宋体" w:eastAsia="宋体" w:cs="宋体"/>
          <w:color w:val="auto"/>
          <w:sz w:val="24"/>
          <w:highlight w:val="none"/>
        </w:rPr>
        <w:t>截止时间前未完成传输的，视为撤回</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w:t>
      </w:r>
    </w:p>
    <w:p w14:paraId="087716E6">
      <w:pPr>
        <w:pStyle w:val="29"/>
        <w:spacing w:line="400" w:lineRule="exact"/>
        <w:ind w:firstLine="480" w:firstLineChars="200"/>
        <w:rPr>
          <w:rFonts w:hint="eastAsia" w:ascii="宋体" w:hAnsi="宋体" w:eastAsia="宋体" w:cs="宋体"/>
          <w:b/>
          <w:bCs/>
          <w:color w:val="auto"/>
          <w:sz w:val="24"/>
          <w:highlight w:val="none"/>
          <w:u w:val="none"/>
          <w:lang w:val="en-US" w:eastAsia="zh-CN"/>
        </w:rPr>
      </w:pPr>
      <w:r>
        <w:rPr>
          <w:rFonts w:hint="eastAsia" w:ascii="宋体" w:hAnsi="宋体" w:eastAsia="宋体" w:cs="宋体"/>
          <w:b/>
          <w:bCs/>
          <w:color w:val="auto"/>
          <w:sz w:val="24"/>
          <w:highlight w:val="none"/>
          <w:u w:val="none"/>
          <w:lang w:val="en-US" w:eastAsia="zh-CN"/>
        </w:rPr>
        <w:t>4.本项目需要磋商供应商代表在截标当天截标后，按磋商小组要求及时登陆</w:t>
      </w:r>
      <w:r>
        <w:rPr>
          <w:rFonts w:hint="eastAsia" w:ascii="宋体" w:hAnsi="宋体" w:cs="宋体"/>
          <w:b/>
          <w:bCs/>
          <w:color w:val="auto"/>
          <w:sz w:val="24"/>
          <w:highlight w:val="none"/>
          <w:u w:val="none"/>
          <w:lang w:val="en-US" w:eastAsia="zh-CN"/>
        </w:rPr>
        <w:t>广西政府采购云平台</w:t>
      </w:r>
      <w:r>
        <w:rPr>
          <w:rFonts w:hint="eastAsia" w:ascii="宋体" w:hAnsi="宋体" w:eastAsia="宋体" w:cs="宋体"/>
          <w:b/>
          <w:bCs/>
          <w:color w:val="auto"/>
          <w:sz w:val="24"/>
          <w:highlight w:val="none"/>
          <w:u w:val="none"/>
          <w:lang w:val="en-US" w:eastAsia="zh-CN"/>
        </w:rPr>
        <w:t>等候在线磋商及提交最后报价。</w:t>
      </w:r>
    </w:p>
    <w:p w14:paraId="6E90D65E">
      <w:pPr>
        <w:pStyle w:val="29"/>
        <w:spacing w:line="40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cs="宋体"/>
          <w:b/>
          <w:bCs/>
          <w:color w:val="auto"/>
          <w:sz w:val="24"/>
          <w:highlight w:val="none"/>
          <w:u w:val="none"/>
          <w:lang w:val="en-US" w:eastAsia="zh-CN"/>
        </w:rPr>
        <w:t>5</w:t>
      </w:r>
      <w:r>
        <w:rPr>
          <w:rFonts w:hint="eastAsia" w:ascii="宋体" w:hAnsi="宋体" w:eastAsia="宋体" w:cs="宋体"/>
          <w:b/>
          <w:bCs/>
          <w:color w:val="auto"/>
          <w:sz w:val="24"/>
          <w:highlight w:val="none"/>
          <w:u w:val="none"/>
          <w:lang w:val="en-US" w:eastAsia="zh-CN"/>
        </w:rPr>
        <w:t>.本采购项目为广西政府采购云平台全流程电子化操作，参与磋商的供应商需自备计算机和网络设备（设备需可视频通话和读取</w:t>
      </w:r>
      <w:r>
        <w:rPr>
          <w:rFonts w:hint="eastAsia" w:ascii="宋体" w:hAnsi="宋体" w:cs="宋体"/>
          <w:b/>
          <w:bCs/>
          <w:color w:val="auto"/>
          <w:sz w:val="24"/>
          <w:highlight w:val="none"/>
          <w:u w:val="none"/>
          <w:lang w:val="en-US" w:eastAsia="zh-CN"/>
        </w:rPr>
        <w:t>广西政府采购云平台</w:t>
      </w:r>
      <w:r>
        <w:rPr>
          <w:rFonts w:hint="eastAsia" w:ascii="宋体" w:hAnsi="宋体" w:eastAsia="宋体" w:cs="宋体"/>
          <w:b/>
          <w:bCs/>
          <w:color w:val="auto"/>
          <w:sz w:val="24"/>
          <w:highlight w:val="none"/>
          <w:u w:val="none"/>
          <w:lang w:val="en-US" w:eastAsia="zh-CN"/>
        </w:rPr>
        <w:t>CA数字证书），确保磋商过程顺利进行；因供应商自身设备或网络原因造成的一切后果，由供应商自行承担。</w:t>
      </w:r>
    </w:p>
    <w:p w14:paraId="4493AD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九</w:t>
      </w:r>
      <w:r>
        <w:rPr>
          <w:rFonts w:hint="eastAsia" w:ascii="宋体" w:hAnsi="宋体" w:eastAsia="宋体" w:cs="宋体"/>
          <w:color w:val="auto"/>
          <w:sz w:val="24"/>
          <w:highlight w:val="none"/>
        </w:rPr>
        <w:t>、凡对本次采购提出询问，请按以下方式联系。</w:t>
      </w:r>
      <w:bookmarkEnd w:id="25"/>
      <w:bookmarkEnd w:id="26"/>
      <w:bookmarkEnd w:id="27"/>
      <w:bookmarkEnd w:id="28"/>
    </w:p>
    <w:p w14:paraId="530E63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39" w:name="_Toc35393806"/>
      <w:bookmarkStart w:id="40" w:name="_Toc28359096"/>
      <w:bookmarkStart w:id="41" w:name="_Toc28359019"/>
      <w:bookmarkStart w:id="42" w:name="_Toc35393637"/>
      <w:r>
        <w:rPr>
          <w:rFonts w:hint="eastAsia" w:ascii="宋体" w:hAnsi="宋体" w:eastAsia="宋体" w:cs="宋体"/>
          <w:color w:val="auto"/>
          <w:sz w:val="24"/>
          <w:highlight w:val="none"/>
        </w:rPr>
        <w:t>1.采购人信息</w:t>
      </w:r>
      <w:bookmarkEnd w:id="39"/>
      <w:bookmarkEnd w:id="40"/>
      <w:bookmarkEnd w:id="41"/>
      <w:bookmarkEnd w:id="42"/>
    </w:p>
    <w:p w14:paraId="1F74999F">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highlight w:val="none"/>
          <w:u w:val="single"/>
        </w:rPr>
      </w:pPr>
      <w:bookmarkStart w:id="43" w:name="_Toc28359097"/>
      <w:bookmarkStart w:id="44" w:name="_Toc35393807"/>
      <w:bookmarkStart w:id="45" w:name="_Toc28359020"/>
      <w:bookmarkStart w:id="46" w:name="_Toc35393638"/>
      <w:r>
        <w:rPr>
          <w:rFonts w:hint="eastAsia" w:ascii="宋体" w:hAnsi="宋体" w:eastAsia="宋体" w:cs="宋体"/>
          <w:color w:val="auto"/>
          <w:sz w:val="24"/>
          <w:highlight w:val="none"/>
        </w:rPr>
        <w:t>名    称：</w:t>
      </w:r>
      <w:r>
        <w:rPr>
          <w:rFonts w:hint="eastAsia" w:ascii="宋体" w:hAnsi="宋体" w:cs="宋体"/>
          <w:color w:val="auto"/>
          <w:sz w:val="24"/>
          <w:highlight w:val="none"/>
          <w:u w:val="single"/>
          <w:lang w:eastAsia="zh-CN"/>
        </w:rPr>
        <w:t>桂林市复兴学校</w:t>
      </w:r>
    </w:p>
    <w:p w14:paraId="2EDFC535">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cs="宋体"/>
          <w:color w:val="auto"/>
          <w:sz w:val="24"/>
          <w:highlight w:val="none"/>
          <w:u w:val="single"/>
        </w:rPr>
        <w:t>桂林市临桂区新龙路47号</w:t>
      </w:r>
    </w:p>
    <w:p w14:paraId="6C4252B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r>
        <w:rPr>
          <w:rFonts w:hint="eastAsia" w:ascii="宋体" w:hAnsi="宋体" w:cs="宋体"/>
          <w:color w:val="auto"/>
          <w:sz w:val="24"/>
          <w:highlight w:val="none"/>
          <w:u w:val="single"/>
          <w:lang w:val="en-US" w:eastAsia="zh-CN"/>
        </w:rPr>
        <w:t xml:space="preserve">黄老师 </w:t>
      </w:r>
      <w:r>
        <w:rPr>
          <w:rFonts w:hint="eastAsia" w:ascii="宋体" w:hAnsi="宋体"/>
          <w:color w:val="auto"/>
          <w:sz w:val="24"/>
          <w:highlight w:val="none"/>
          <w:u w:val="single"/>
          <w:lang w:val="en-US" w:eastAsia="zh-CN"/>
        </w:rPr>
        <w:t>0773-5322878</w:t>
      </w:r>
    </w:p>
    <w:p w14:paraId="26EF5F1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bookmarkEnd w:id="43"/>
      <w:bookmarkEnd w:id="44"/>
      <w:bookmarkEnd w:id="45"/>
      <w:bookmarkEnd w:id="46"/>
    </w:p>
    <w:p w14:paraId="7103949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u w:val="single"/>
        </w:rPr>
        <w:t>桂林市政府集中采购中心</w:t>
      </w:r>
    </w:p>
    <w:p w14:paraId="2BC6855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桂林市临桂区西城中路69号创业大厦西辅楼5楼</w:t>
      </w:r>
    </w:p>
    <w:p w14:paraId="78F424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rPr>
        <w:t>0773-5625</w:t>
      </w:r>
      <w:r>
        <w:rPr>
          <w:rFonts w:hint="eastAsia" w:ascii="宋体" w:hAnsi="宋体" w:eastAsia="宋体" w:cs="宋体"/>
          <w:color w:val="auto"/>
          <w:sz w:val="24"/>
          <w:highlight w:val="none"/>
          <w:u w:val="single"/>
          <w:lang w:val="en-US" w:eastAsia="zh-CN"/>
        </w:rPr>
        <w:t>1</w:t>
      </w:r>
      <w:r>
        <w:rPr>
          <w:rFonts w:hint="eastAsia" w:ascii="宋体" w:hAnsi="宋体" w:cs="宋体"/>
          <w:color w:val="auto"/>
          <w:sz w:val="24"/>
          <w:highlight w:val="none"/>
          <w:u w:val="single"/>
          <w:lang w:val="en-US" w:eastAsia="zh-CN"/>
        </w:rPr>
        <w:t>66</w:t>
      </w:r>
    </w:p>
    <w:p w14:paraId="68AFE3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47" w:name="_Toc35393808"/>
      <w:bookmarkStart w:id="48" w:name="_Toc28359098"/>
      <w:bookmarkStart w:id="49" w:name="_Toc35393639"/>
      <w:bookmarkStart w:id="50" w:name="_Toc28359021"/>
      <w:r>
        <w:rPr>
          <w:rFonts w:hint="eastAsia" w:ascii="宋体" w:hAnsi="宋体" w:eastAsia="宋体" w:cs="宋体"/>
          <w:color w:val="auto"/>
          <w:sz w:val="24"/>
          <w:highlight w:val="none"/>
        </w:rPr>
        <w:t>3.项目联系方式</w:t>
      </w:r>
      <w:bookmarkEnd w:id="47"/>
      <w:bookmarkEnd w:id="48"/>
      <w:bookmarkEnd w:id="49"/>
      <w:bookmarkEnd w:id="50"/>
    </w:p>
    <w:p w14:paraId="07AB9A67">
      <w:pPr>
        <w:pStyle w:val="1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hAnsi="宋体" w:cs="宋体"/>
          <w:color w:val="auto"/>
          <w:sz w:val="24"/>
          <w:szCs w:val="24"/>
          <w:highlight w:val="none"/>
          <w:u w:val="single"/>
          <w:lang w:val="en-US" w:eastAsia="zh-CN"/>
        </w:rPr>
        <w:t>廖</w:t>
      </w:r>
      <w:r>
        <w:rPr>
          <w:rFonts w:hint="eastAsia" w:ascii="宋体" w:hAnsi="宋体" w:eastAsia="宋体" w:cs="宋体"/>
          <w:color w:val="auto"/>
          <w:sz w:val="24"/>
          <w:szCs w:val="24"/>
          <w:highlight w:val="none"/>
          <w:u w:val="single"/>
          <w:lang w:val="en-US" w:eastAsia="zh-CN"/>
        </w:rPr>
        <w:t>工</w:t>
      </w:r>
    </w:p>
    <w:p w14:paraId="2AE5CB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电　　话：</w:t>
      </w:r>
      <w:r>
        <w:rPr>
          <w:rFonts w:hint="eastAsia" w:ascii="宋体" w:hAnsi="宋体" w:cs="宋体"/>
          <w:color w:val="auto"/>
          <w:sz w:val="24"/>
          <w:highlight w:val="none"/>
          <w:u w:val="single"/>
          <w:lang w:eastAsia="zh-CN"/>
        </w:rPr>
        <w:t>0773-56251</w:t>
      </w:r>
      <w:r>
        <w:rPr>
          <w:rFonts w:hint="eastAsia" w:ascii="宋体" w:hAnsi="宋体" w:cs="宋体"/>
          <w:color w:val="auto"/>
          <w:sz w:val="24"/>
          <w:highlight w:val="none"/>
          <w:u w:val="single"/>
          <w:lang w:val="en-US" w:eastAsia="zh-CN"/>
        </w:rPr>
        <w:t>66</w:t>
      </w:r>
    </w:p>
    <w:p w14:paraId="56E0C1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4.政府采购监督管理机构</w:t>
      </w:r>
    </w:p>
    <w:p w14:paraId="68DCB7A1">
      <w:pPr>
        <w:spacing w:line="400" w:lineRule="exact"/>
        <w:ind w:firstLine="480" w:firstLineChars="20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名 称：</w:t>
      </w:r>
      <w:r>
        <w:rPr>
          <w:rFonts w:hint="eastAsia" w:ascii="宋体" w:hAnsi="宋体" w:cs="宋体"/>
          <w:color w:val="auto"/>
          <w:sz w:val="24"/>
          <w:highlight w:val="none"/>
          <w:u w:val="single"/>
          <w:lang w:val="en-US" w:eastAsia="zh-CN"/>
        </w:rPr>
        <w:t>桂林市财政局</w:t>
      </w:r>
    </w:p>
    <w:p w14:paraId="1A76182C">
      <w:pPr>
        <w:spacing w:line="40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cs="宋体"/>
          <w:color w:val="auto"/>
          <w:sz w:val="24"/>
          <w:highlight w:val="none"/>
          <w:u w:val="single"/>
          <w:lang w:eastAsia="zh-CN"/>
        </w:rPr>
        <w:t>0773-2862142</w:t>
      </w:r>
    </w:p>
    <w:p w14:paraId="71AA6E73">
      <w:pPr>
        <w:pStyle w:val="9"/>
        <w:spacing w:line="400" w:lineRule="exact"/>
        <w:ind w:firstLine="420" w:firstLineChars="200"/>
        <w:rPr>
          <w:rFonts w:hint="eastAsia" w:ascii="宋体" w:hAnsi="宋体" w:eastAsia="宋体" w:cs="宋体"/>
          <w:color w:val="auto"/>
          <w:highlight w:val="none"/>
        </w:rPr>
      </w:pPr>
    </w:p>
    <w:p w14:paraId="229AD7C5">
      <w:pPr>
        <w:pStyle w:val="9"/>
        <w:rPr>
          <w:rFonts w:hint="eastAsia" w:ascii="宋体" w:hAnsi="宋体" w:eastAsia="宋体" w:cs="宋体"/>
          <w:color w:val="auto"/>
          <w:highlight w:val="none"/>
        </w:rPr>
      </w:pPr>
    </w:p>
    <w:p w14:paraId="4753EE6D">
      <w:pPr>
        <w:pStyle w:val="9"/>
        <w:rPr>
          <w:rFonts w:hint="eastAsia" w:ascii="宋体" w:hAnsi="宋体" w:eastAsia="宋体" w:cs="宋体"/>
          <w:color w:val="auto"/>
          <w:highlight w:val="none"/>
        </w:rPr>
      </w:pPr>
    </w:p>
    <w:p w14:paraId="60D89E39">
      <w:pPr>
        <w:pStyle w:val="9"/>
        <w:rPr>
          <w:rFonts w:hint="eastAsia" w:ascii="宋体" w:hAnsi="宋体" w:eastAsia="宋体" w:cs="宋体"/>
          <w:color w:val="auto"/>
          <w:highlight w:val="none"/>
        </w:rPr>
      </w:pPr>
    </w:p>
    <w:p w14:paraId="6B96250F">
      <w:pPr>
        <w:pStyle w:val="9"/>
        <w:rPr>
          <w:rFonts w:hint="eastAsia" w:ascii="宋体" w:hAnsi="宋体" w:eastAsia="宋体" w:cs="宋体"/>
          <w:color w:val="auto"/>
          <w:highlight w:val="none"/>
        </w:rPr>
      </w:pPr>
    </w:p>
    <w:p w14:paraId="257C7532">
      <w:pPr>
        <w:pStyle w:val="9"/>
        <w:rPr>
          <w:rFonts w:hint="eastAsia" w:ascii="宋体" w:hAnsi="宋体" w:eastAsia="宋体" w:cs="宋体"/>
          <w:color w:val="auto"/>
          <w:highlight w:val="none"/>
        </w:rPr>
      </w:pPr>
    </w:p>
    <w:p w14:paraId="6E895A6D">
      <w:pPr>
        <w:pStyle w:val="9"/>
        <w:rPr>
          <w:rFonts w:hint="eastAsia" w:ascii="宋体" w:hAnsi="宋体" w:eastAsia="宋体" w:cs="宋体"/>
          <w:color w:val="auto"/>
          <w:highlight w:val="none"/>
        </w:rPr>
      </w:pPr>
    </w:p>
    <w:p w14:paraId="3CB74CDC">
      <w:pPr>
        <w:rPr>
          <w:rFonts w:hint="eastAsia" w:ascii="宋体" w:hAnsi="宋体" w:eastAsia="宋体" w:cs="宋体"/>
          <w:color w:val="auto"/>
          <w:highlight w:val="none"/>
        </w:rPr>
      </w:pPr>
    </w:p>
    <w:p w14:paraId="1FE55985">
      <w:pPr>
        <w:pStyle w:val="9"/>
        <w:rPr>
          <w:rFonts w:hint="eastAsia" w:ascii="宋体" w:hAnsi="宋体" w:eastAsia="宋体" w:cs="宋体"/>
          <w:color w:val="auto"/>
          <w:highlight w:val="none"/>
        </w:rPr>
      </w:pPr>
    </w:p>
    <w:p w14:paraId="56C86451">
      <w:pPr>
        <w:pStyle w:val="9"/>
        <w:rPr>
          <w:rFonts w:hint="eastAsia" w:ascii="宋体" w:hAnsi="宋体" w:eastAsia="宋体" w:cs="宋体"/>
          <w:color w:val="auto"/>
          <w:highlight w:val="none"/>
        </w:rPr>
      </w:pPr>
    </w:p>
    <w:p w14:paraId="4A9231CF">
      <w:pPr>
        <w:pStyle w:val="2"/>
        <w:numPr>
          <w:ilvl w:val="0"/>
          <w:numId w:val="0"/>
        </w:numPr>
        <w:spacing w:line="240" w:lineRule="auto"/>
        <w:jc w:val="center"/>
        <w:rPr>
          <w:rFonts w:hint="eastAsia" w:ascii="宋体" w:hAnsi="宋体" w:eastAsia="宋体" w:cs="宋体"/>
          <w:color w:val="auto"/>
          <w:sz w:val="32"/>
          <w:szCs w:val="32"/>
          <w:highlight w:val="none"/>
        </w:rPr>
      </w:pPr>
      <w:bookmarkStart w:id="51" w:name="_Toc6348"/>
      <w:bookmarkStart w:id="52" w:name="_Toc19270"/>
      <w:bookmarkStart w:id="53" w:name="_Toc18092"/>
      <w:bookmarkStart w:id="54" w:name="_Toc10668"/>
      <w:r>
        <w:rPr>
          <w:rFonts w:hint="eastAsia" w:ascii="宋体" w:hAnsi="宋体" w:eastAsia="宋体" w:cs="宋体"/>
          <w:color w:val="auto"/>
          <w:sz w:val="32"/>
          <w:szCs w:val="32"/>
          <w:highlight w:val="none"/>
          <w:lang w:eastAsia="zh-CN"/>
        </w:rPr>
        <w:t>第二章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供应商须知</w:t>
      </w:r>
      <w:bookmarkEnd w:id="0"/>
      <w:bookmarkEnd w:id="1"/>
      <w:bookmarkEnd w:id="51"/>
      <w:bookmarkEnd w:id="52"/>
      <w:bookmarkEnd w:id="53"/>
      <w:bookmarkEnd w:id="54"/>
    </w:p>
    <w:p w14:paraId="6C19C871">
      <w:pPr>
        <w:pStyle w:val="3"/>
        <w:jc w:val="center"/>
        <w:rPr>
          <w:rFonts w:hint="eastAsia" w:ascii="宋体" w:hAnsi="宋体" w:eastAsia="宋体" w:cs="宋体"/>
          <w:b/>
          <w:bCs w:val="0"/>
          <w:color w:val="auto"/>
          <w:sz w:val="24"/>
          <w:szCs w:val="24"/>
          <w:highlight w:val="none"/>
        </w:rPr>
      </w:pPr>
      <w:bookmarkStart w:id="55" w:name="_Toc15178"/>
      <w:bookmarkStart w:id="56" w:name="_Toc31638"/>
      <w:bookmarkStart w:id="57" w:name="_Toc11219"/>
      <w:bookmarkStart w:id="58" w:name="_Toc9508"/>
      <w:bookmarkStart w:id="59" w:name="_Toc25063"/>
      <w:bookmarkStart w:id="60" w:name="_Toc13547"/>
      <w:r>
        <w:rPr>
          <w:rFonts w:hint="eastAsia" w:ascii="宋体" w:hAnsi="宋体" w:eastAsia="宋体" w:cs="宋体"/>
          <w:b/>
          <w:bCs w:val="0"/>
          <w:color w:val="auto"/>
          <w:sz w:val="24"/>
          <w:szCs w:val="24"/>
          <w:highlight w:val="none"/>
        </w:rPr>
        <w:t>供 应 商 须 知 前 附 表</w:t>
      </w:r>
      <w:bookmarkEnd w:id="55"/>
      <w:bookmarkEnd w:id="56"/>
      <w:bookmarkEnd w:id="57"/>
      <w:bookmarkEnd w:id="58"/>
      <w:bookmarkEnd w:id="59"/>
      <w:bookmarkEnd w:id="60"/>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14:paraId="1542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noWrap w:val="0"/>
            <w:vAlign w:val="center"/>
          </w:tcPr>
          <w:p w14:paraId="23DD1C9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42" w:type="dxa"/>
            <w:noWrap w:val="0"/>
            <w:vAlign w:val="center"/>
          </w:tcPr>
          <w:p w14:paraId="0627B8F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775" w:type="dxa"/>
            <w:noWrap w:val="0"/>
            <w:vAlign w:val="center"/>
          </w:tcPr>
          <w:p w14:paraId="5A50E94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6912" w:type="dxa"/>
            <w:noWrap w:val="0"/>
            <w:vAlign w:val="center"/>
          </w:tcPr>
          <w:p w14:paraId="76CFA4A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内容、要求</w:t>
            </w:r>
          </w:p>
        </w:tc>
      </w:tr>
      <w:tr w14:paraId="3016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noWrap w:val="0"/>
            <w:vAlign w:val="center"/>
          </w:tcPr>
          <w:p w14:paraId="37E393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42" w:type="dxa"/>
            <w:noWrap w:val="0"/>
            <w:vAlign w:val="center"/>
          </w:tcPr>
          <w:p w14:paraId="614EFF7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75" w:type="dxa"/>
            <w:noWrap w:val="0"/>
            <w:vAlign w:val="center"/>
          </w:tcPr>
          <w:p w14:paraId="0AD382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项目名称及项目编号</w:t>
            </w:r>
          </w:p>
        </w:tc>
        <w:tc>
          <w:tcPr>
            <w:tcW w:w="6912" w:type="dxa"/>
            <w:noWrap w:val="0"/>
            <w:vAlign w:val="top"/>
          </w:tcPr>
          <w:p w14:paraId="38807F2E">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val="en-US" w:eastAsia="zh-CN"/>
              </w:rPr>
              <w:t>桂林市复兴学校园林绿化服务采购项目</w:t>
            </w:r>
            <w:r>
              <w:rPr>
                <w:rFonts w:hint="eastAsia" w:ascii="宋体" w:hAnsi="宋体" w:eastAsia="宋体" w:cs="宋体"/>
                <w:color w:val="auto"/>
                <w:sz w:val="21"/>
                <w:szCs w:val="21"/>
                <w:highlight w:val="none"/>
                <w:lang w:eastAsia="zh-CN"/>
              </w:rPr>
              <w:t xml:space="preserve">      </w:t>
            </w:r>
          </w:p>
          <w:p w14:paraId="0649CCFA">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eastAsia="zh-CN"/>
              </w:rPr>
              <w:t>项目编号：</w:t>
            </w:r>
            <w:r>
              <w:rPr>
                <w:rFonts w:hint="eastAsia" w:ascii="宋体" w:hAnsi="宋体" w:cs="宋体"/>
                <w:color w:val="auto"/>
                <w:sz w:val="21"/>
                <w:szCs w:val="21"/>
                <w:highlight w:val="none"/>
                <w:lang w:val="en-US" w:eastAsia="zh-CN"/>
              </w:rPr>
              <w:t>GLZC2025-C3-990531-GLSZ</w:t>
            </w:r>
            <w:r>
              <w:rPr>
                <w:rFonts w:hint="eastAsia" w:ascii="宋体" w:hAnsi="宋体" w:eastAsia="宋体" w:cs="宋体"/>
                <w:color w:val="auto"/>
                <w:sz w:val="21"/>
                <w:szCs w:val="21"/>
                <w:highlight w:val="none"/>
                <w:lang w:eastAsia="zh-CN"/>
              </w:rPr>
              <w:t xml:space="preserve"> </w:t>
            </w:r>
          </w:p>
        </w:tc>
      </w:tr>
      <w:tr w14:paraId="04B5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27A969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42" w:type="dxa"/>
            <w:noWrap w:val="0"/>
            <w:vAlign w:val="center"/>
          </w:tcPr>
          <w:p w14:paraId="7677B2B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775" w:type="dxa"/>
            <w:noWrap w:val="0"/>
            <w:vAlign w:val="center"/>
          </w:tcPr>
          <w:p w14:paraId="220B2C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w:t>
            </w:r>
          </w:p>
        </w:tc>
        <w:tc>
          <w:tcPr>
            <w:tcW w:w="6912" w:type="dxa"/>
            <w:noWrap w:val="0"/>
            <w:vAlign w:val="center"/>
          </w:tcPr>
          <w:p w14:paraId="7C44F2C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符合《中华人民共和国政府采购法》第二十二条和《政府采购法实施条例》第十八条规定，具备合法资格的供应商；</w:t>
            </w:r>
          </w:p>
          <w:p w14:paraId="16F5945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rPr>
              <w:t>本项目不接受联合体参与磋商；</w:t>
            </w:r>
          </w:p>
          <w:p w14:paraId="152817C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60C144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落实政府采购政策需满足的资格要求：</w:t>
            </w:r>
            <w:r>
              <w:rPr>
                <w:rFonts w:hint="eastAsia" w:ascii="宋体" w:hAnsi="宋体" w:eastAsia="宋体" w:cs="宋体"/>
                <w:b/>
                <w:bCs/>
                <w:color w:val="auto"/>
                <w:sz w:val="21"/>
                <w:szCs w:val="21"/>
                <w:highlight w:val="none"/>
                <w:lang w:eastAsia="zh-CN"/>
              </w:rPr>
              <w:t>本项目</w:t>
            </w:r>
            <w:r>
              <w:rPr>
                <w:rFonts w:hint="eastAsia" w:ascii="宋体" w:hAnsi="宋体" w:cs="宋体"/>
                <w:b/>
                <w:bCs/>
                <w:color w:val="auto"/>
                <w:sz w:val="21"/>
                <w:szCs w:val="21"/>
                <w:highlight w:val="none"/>
                <w:lang w:eastAsia="zh-CN"/>
              </w:rPr>
              <w:t>专门面向</w:t>
            </w:r>
            <w:r>
              <w:rPr>
                <w:rFonts w:hint="eastAsia" w:ascii="宋体" w:hAnsi="宋体" w:cs="宋体"/>
                <w:b/>
                <w:bCs/>
                <w:color w:val="auto"/>
                <w:sz w:val="21"/>
                <w:szCs w:val="21"/>
                <w:highlight w:val="none"/>
                <w:lang w:val="en-US" w:eastAsia="zh-CN"/>
              </w:rPr>
              <w:t>小微</w:t>
            </w:r>
            <w:r>
              <w:rPr>
                <w:rFonts w:hint="eastAsia" w:ascii="宋体" w:hAnsi="宋体" w:cs="宋体"/>
                <w:b/>
                <w:bCs/>
                <w:color w:val="auto"/>
                <w:sz w:val="21"/>
                <w:szCs w:val="21"/>
                <w:highlight w:val="none"/>
                <w:lang w:eastAsia="zh-CN"/>
              </w:rPr>
              <w:t>企业</w:t>
            </w:r>
            <w:r>
              <w:rPr>
                <w:rFonts w:hint="eastAsia" w:ascii="宋体" w:hAnsi="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eastAsia="zh-CN"/>
              </w:rPr>
              <w:t>所属行业为</w:t>
            </w:r>
            <w:r>
              <w:rPr>
                <w:rFonts w:hint="eastAsia" w:ascii="宋体" w:hAnsi="宋体" w:cs="宋体"/>
                <w:b/>
                <w:bCs/>
                <w:color w:val="auto"/>
                <w:sz w:val="21"/>
                <w:szCs w:val="21"/>
                <w:highlight w:val="none"/>
                <w:lang w:val="en-US" w:eastAsia="zh-CN"/>
              </w:rPr>
              <w:t>物业管理</w:t>
            </w:r>
            <w:r>
              <w:rPr>
                <w:rFonts w:hint="eastAsia" w:ascii="宋体" w:hAnsi="宋体" w:cs="宋体"/>
                <w:b/>
                <w:bCs/>
                <w:color w:val="auto"/>
                <w:sz w:val="21"/>
                <w:szCs w:val="21"/>
                <w:highlight w:val="none"/>
                <w:lang w:eastAsia="zh-CN"/>
              </w:rPr>
              <w:t>。</w:t>
            </w:r>
          </w:p>
          <w:p w14:paraId="00AEBE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本项目的特定资格要求：</w:t>
            </w:r>
            <w:r>
              <w:rPr>
                <w:rFonts w:hint="eastAsia" w:ascii="宋体" w:hAnsi="宋体" w:cs="宋体"/>
                <w:b w:val="0"/>
                <w:bCs w:val="0"/>
                <w:color w:val="auto"/>
                <w:sz w:val="21"/>
                <w:szCs w:val="21"/>
                <w:highlight w:val="none"/>
                <w:lang w:val="en-US" w:eastAsia="zh-CN"/>
              </w:rPr>
              <w:t>无</w:t>
            </w:r>
            <w:r>
              <w:rPr>
                <w:rFonts w:hint="eastAsia" w:ascii="宋体" w:hAnsi="宋体" w:eastAsia="宋体" w:cs="宋体"/>
                <w:b/>
                <w:bCs/>
                <w:color w:val="auto"/>
                <w:sz w:val="21"/>
                <w:szCs w:val="21"/>
                <w:highlight w:val="none"/>
                <w:lang w:val="en-US" w:eastAsia="zh-CN"/>
              </w:rPr>
              <w:t>。</w:t>
            </w:r>
          </w:p>
        </w:tc>
      </w:tr>
      <w:tr w14:paraId="62FC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noWrap w:val="0"/>
            <w:vAlign w:val="center"/>
          </w:tcPr>
          <w:p w14:paraId="128729F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42" w:type="dxa"/>
            <w:noWrap w:val="0"/>
            <w:vAlign w:val="center"/>
          </w:tcPr>
          <w:p w14:paraId="26ADEEA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775" w:type="dxa"/>
            <w:noWrap w:val="0"/>
            <w:vAlign w:val="center"/>
          </w:tcPr>
          <w:p w14:paraId="01BE56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磋商费用</w:t>
            </w:r>
          </w:p>
        </w:tc>
        <w:tc>
          <w:tcPr>
            <w:tcW w:w="6912" w:type="dxa"/>
            <w:noWrap w:val="0"/>
            <w:vAlign w:val="center"/>
          </w:tcPr>
          <w:p w14:paraId="2C5B055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不论磋商结果如何，供应商均应自行承担所有与磋商有关的全部费用。 </w:t>
            </w:r>
          </w:p>
        </w:tc>
      </w:tr>
      <w:tr w14:paraId="6654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137CFF1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942" w:type="dxa"/>
            <w:noWrap w:val="0"/>
            <w:vAlign w:val="center"/>
          </w:tcPr>
          <w:p w14:paraId="7932D294">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13</w:t>
            </w:r>
          </w:p>
        </w:tc>
        <w:tc>
          <w:tcPr>
            <w:tcW w:w="1775" w:type="dxa"/>
            <w:noWrap w:val="0"/>
            <w:vAlign w:val="center"/>
          </w:tcPr>
          <w:p w14:paraId="412A3C85">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rPr>
              <w:t>磋商报价及采购预算金额</w:t>
            </w:r>
          </w:p>
        </w:tc>
        <w:tc>
          <w:tcPr>
            <w:tcW w:w="6912" w:type="dxa"/>
            <w:noWrap w:val="0"/>
            <w:vAlign w:val="center"/>
          </w:tcPr>
          <w:p w14:paraId="780C6B8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磋商报价应按磋商文件中相关附表格式填写。</w:t>
            </w:r>
            <w:r>
              <w:rPr>
                <w:rFonts w:hint="eastAsia" w:ascii="宋体" w:hAnsi="宋体" w:eastAsia="宋体" w:cs="宋体"/>
                <w:b/>
                <w:bCs/>
                <w:color w:val="auto"/>
                <w:szCs w:val="21"/>
                <w:highlight w:val="none"/>
              </w:rPr>
              <w:t>采购预算金额</w:t>
            </w:r>
            <w:r>
              <w:rPr>
                <w:rFonts w:hint="eastAsia" w:ascii="宋体" w:hAnsi="宋体" w:cs="宋体"/>
                <w:b/>
                <w:bCs/>
                <w:color w:val="auto"/>
                <w:szCs w:val="21"/>
                <w:highlight w:val="none"/>
                <w:lang w:eastAsia="zh-CN"/>
              </w:rPr>
              <w:t>：人民币壹拾贰万元整（¥120000.00元）。</w:t>
            </w:r>
            <w:r>
              <w:rPr>
                <w:rFonts w:hint="eastAsia" w:ascii="宋体" w:hAnsi="宋体" w:eastAsia="宋体" w:cs="宋体"/>
                <w:color w:val="auto"/>
                <w:szCs w:val="21"/>
                <w:highlight w:val="none"/>
              </w:rPr>
              <w:t>供应商报价</w:t>
            </w:r>
            <w:r>
              <w:rPr>
                <w:rFonts w:hint="eastAsia" w:ascii="宋体" w:hAnsi="宋体" w:eastAsia="宋体" w:cs="宋体"/>
                <w:color w:val="auto"/>
                <w:kern w:val="0"/>
                <w:szCs w:val="21"/>
                <w:highlight w:val="none"/>
              </w:rPr>
              <w:t>超出</w:t>
            </w:r>
            <w:r>
              <w:rPr>
                <w:rFonts w:hint="eastAsia" w:ascii="宋体" w:hAnsi="宋体" w:cs="宋体"/>
                <w:color w:val="auto"/>
                <w:kern w:val="0"/>
                <w:szCs w:val="21"/>
                <w:highlight w:val="none"/>
                <w:lang w:val="en-US" w:eastAsia="zh-CN"/>
              </w:rPr>
              <w:t>最高限价</w:t>
            </w:r>
            <w:r>
              <w:rPr>
                <w:rFonts w:hint="eastAsia" w:ascii="宋体" w:hAnsi="宋体" w:eastAsia="宋体" w:cs="宋体"/>
                <w:color w:val="auto"/>
                <w:kern w:val="0"/>
                <w:szCs w:val="21"/>
                <w:highlight w:val="none"/>
              </w:rPr>
              <w:t>金额的，响应文件按无效处理。</w:t>
            </w:r>
          </w:p>
          <w:p w14:paraId="75CC820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13.2供应商必须就“采购需求”中所有内容作完整唯一报价，否则，其响应文件无效；响应文件只允许有一个报价，有选择的或有条件的报价将不予接受。</w:t>
            </w:r>
          </w:p>
          <w:p w14:paraId="588548E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w:t>
            </w:r>
            <w:r>
              <w:rPr>
                <w:rFonts w:hint="eastAsia" w:ascii="宋体" w:hAnsi="宋体" w:eastAsia="宋体" w:cs="宋体"/>
                <w:color w:val="auto"/>
                <w:kern w:val="0"/>
                <w:szCs w:val="21"/>
                <w:highlight w:val="none"/>
              </w:rPr>
              <w:t>供应商应在规定时间内</w:t>
            </w:r>
            <w:r>
              <w:rPr>
                <w:rFonts w:hint="eastAsia" w:ascii="宋体" w:hAnsi="宋体" w:eastAsia="宋体" w:cs="宋体"/>
                <w:color w:val="auto"/>
                <w:kern w:val="0"/>
                <w:szCs w:val="21"/>
                <w:highlight w:val="none"/>
                <w:lang w:eastAsia="zh-CN"/>
              </w:rPr>
              <w:t>在广西政府采购云平台系统上</w:t>
            </w:r>
            <w:r>
              <w:rPr>
                <w:rFonts w:hint="eastAsia" w:ascii="宋体" w:hAnsi="宋体" w:eastAsia="宋体" w:cs="宋体"/>
                <w:color w:val="auto"/>
                <w:kern w:val="0"/>
                <w:szCs w:val="21"/>
                <w:highlight w:val="none"/>
              </w:rPr>
              <w:t>提交最后报价，</w:t>
            </w:r>
            <w:r>
              <w:rPr>
                <w:rFonts w:hint="eastAsia" w:ascii="宋体" w:hAnsi="宋体" w:eastAsia="宋体" w:cs="宋体"/>
                <w:color w:val="auto"/>
                <w:kern w:val="0"/>
                <w:szCs w:val="21"/>
                <w:highlight w:val="none"/>
                <w:lang w:eastAsia="zh-CN"/>
              </w:rPr>
              <w:t>超出评委设定的最后报价时限或其</w:t>
            </w:r>
            <w:r>
              <w:rPr>
                <w:rFonts w:hint="eastAsia" w:ascii="宋体" w:hAnsi="宋体" w:eastAsia="宋体" w:cs="宋体"/>
                <w:color w:val="auto"/>
                <w:kern w:val="0"/>
                <w:szCs w:val="21"/>
                <w:highlight w:val="none"/>
              </w:rPr>
              <w:t>最后报价超出采购预算导致已通过评审的响应文件无效的，按供应商在提交响应文件截止时间后撤回响应文件处理。</w:t>
            </w:r>
          </w:p>
        </w:tc>
      </w:tr>
      <w:tr w14:paraId="3A1F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564E1CF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942" w:type="dxa"/>
            <w:noWrap w:val="0"/>
            <w:vAlign w:val="center"/>
          </w:tcPr>
          <w:p w14:paraId="1EA718E0">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14.1</w:t>
            </w:r>
          </w:p>
        </w:tc>
        <w:tc>
          <w:tcPr>
            <w:tcW w:w="1775" w:type="dxa"/>
            <w:noWrap w:val="0"/>
            <w:vAlign w:val="center"/>
          </w:tcPr>
          <w:p w14:paraId="058FF548">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响应文件有效期</w:t>
            </w:r>
          </w:p>
        </w:tc>
        <w:tc>
          <w:tcPr>
            <w:tcW w:w="6912" w:type="dxa"/>
            <w:noWrap w:val="0"/>
            <w:vAlign w:val="top"/>
          </w:tcPr>
          <w:p w14:paraId="129FED14">
            <w:pPr>
              <w:tabs>
                <w:tab w:val="left" w:pos="130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响应文件递交截止时间之日起90天，有效期不足的响应文件将被拒绝。</w:t>
            </w:r>
          </w:p>
        </w:tc>
      </w:tr>
      <w:tr w14:paraId="6464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75E6BF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942" w:type="dxa"/>
            <w:noWrap w:val="0"/>
            <w:vAlign w:val="center"/>
          </w:tcPr>
          <w:p w14:paraId="2992AC1A">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15</w:t>
            </w:r>
          </w:p>
        </w:tc>
        <w:tc>
          <w:tcPr>
            <w:tcW w:w="1775" w:type="dxa"/>
            <w:noWrap w:val="0"/>
            <w:vAlign w:val="center"/>
          </w:tcPr>
          <w:p w14:paraId="10480DB4">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保证金</w:t>
            </w:r>
          </w:p>
        </w:tc>
        <w:tc>
          <w:tcPr>
            <w:tcW w:w="6912" w:type="dxa"/>
            <w:noWrap w:val="0"/>
            <w:vAlign w:val="top"/>
          </w:tcPr>
          <w:p w14:paraId="4EC25438">
            <w:pPr>
              <w:tabs>
                <w:tab w:val="left" w:pos="130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本项目无需缴纳磋商保证金</w:t>
            </w:r>
          </w:p>
        </w:tc>
      </w:tr>
      <w:tr w14:paraId="1584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7308B2EF">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942" w:type="dxa"/>
            <w:noWrap w:val="0"/>
            <w:vAlign w:val="center"/>
          </w:tcPr>
          <w:p w14:paraId="5B0DE30E">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1775" w:type="dxa"/>
            <w:noWrap w:val="0"/>
            <w:vAlign w:val="center"/>
          </w:tcPr>
          <w:p w14:paraId="25117389">
            <w:pPr>
              <w:pStyle w:val="4"/>
              <w:spacing w:before="0" w:after="0" w:line="360" w:lineRule="auto"/>
              <w:jc w:val="center"/>
              <w:rPr>
                <w:rFonts w:hint="eastAsia" w:ascii="宋体" w:hAnsi="宋体" w:eastAsia="宋体" w:cs="宋体"/>
                <w:b w:val="0"/>
                <w:bCs/>
                <w:color w:val="auto"/>
                <w:sz w:val="21"/>
                <w:szCs w:val="21"/>
                <w:highlight w:val="none"/>
                <w:lang w:eastAsia="zh-CN"/>
              </w:rPr>
            </w:pPr>
            <w:bookmarkStart w:id="61" w:name="_Toc27452"/>
            <w:bookmarkStart w:id="62" w:name="_Toc202"/>
            <w:bookmarkStart w:id="63" w:name="_Toc19911"/>
            <w:bookmarkStart w:id="64" w:name="_Toc12573"/>
            <w:bookmarkStart w:id="65" w:name="_Toc2356"/>
            <w:r>
              <w:rPr>
                <w:rFonts w:hint="eastAsia" w:ascii="宋体" w:hAnsi="宋体" w:eastAsia="宋体" w:cs="宋体"/>
                <w:b w:val="0"/>
                <w:bCs/>
                <w:color w:val="auto"/>
                <w:sz w:val="21"/>
                <w:szCs w:val="21"/>
                <w:highlight w:val="none"/>
              </w:rPr>
              <w:t>竞争性</w:t>
            </w:r>
            <w:r>
              <w:rPr>
                <w:rFonts w:hint="eastAsia" w:ascii="宋体" w:hAnsi="宋体" w:eastAsia="宋体" w:cs="宋体"/>
                <w:b w:val="0"/>
                <w:bCs/>
                <w:color w:val="auto"/>
                <w:sz w:val="21"/>
                <w:szCs w:val="21"/>
                <w:highlight w:val="none"/>
                <w:lang w:eastAsia="zh-CN"/>
              </w:rPr>
              <w:t>磋商</w:t>
            </w:r>
            <w:r>
              <w:rPr>
                <w:rFonts w:hint="eastAsia" w:ascii="宋体" w:hAnsi="宋体" w:eastAsia="宋体" w:cs="宋体"/>
                <w:b w:val="0"/>
                <w:bCs/>
                <w:color w:val="auto"/>
                <w:sz w:val="21"/>
                <w:szCs w:val="21"/>
                <w:highlight w:val="none"/>
              </w:rPr>
              <w:t>响应文件的</w:t>
            </w:r>
            <w:r>
              <w:rPr>
                <w:rFonts w:hint="eastAsia" w:ascii="宋体" w:hAnsi="宋体" w:eastAsia="宋体" w:cs="宋体"/>
                <w:b w:val="0"/>
                <w:bCs/>
                <w:color w:val="auto"/>
                <w:sz w:val="21"/>
                <w:szCs w:val="21"/>
                <w:highlight w:val="none"/>
                <w:lang w:eastAsia="zh-CN"/>
              </w:rPr>
              <w:t>制作</w:t>
            </w:r>
            <w:bookmarkEnd w:id="61"/>
            <w:bookmarkEnd w:id="62"/>
            <w:bookmarkEnd w:id="63"/>
            <w:bookmarkEnd w:id="64"/>
            <w:bookmarkEnd w:id="65"/>
          </w:p>
          <w:p w14:paraId="0B3C60DE">
            <w:pPr>
              <w:spacing w:line="360" w:lineRule="auto"/>
              <w:jc w:val="center"/>
              <w:rPr>
                <w:rFonts w:hint="eastAsia" w:ascii="宋体" w:hAnsi="宋体" w:eastAsia="宋体" w:cs="宋体"/>
                <w:color w:val="auto"/>
                <w:szCs w:val="21"/>
                <w:highlight w:val="none"/>
                <w:lang w:eastAsia="zh-CN"/>
              </w:rPr>
            </w:pPr>
          </w:p>
        </w:tc>
        <w:tc>
          <w:tcPr>
            <w:tcW w:w="6912" w:type="dxa"/>
            <w:noWrap w:val="0"/>
            <w:vAlign w:val="center"/>
          </w:tcPr>
          <w:p w14:paraId="18E626E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.1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响应文件中须加盖供应商公章部分均采用 CA 签章，并根据“政府采购项目电子交易管理操作指南-供应商” 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小组在评审时如做出对供应商不利的评审由供应商自行承担。电子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漏读，或者在按采购文件规定的部位查找不到相关内容的，由供应商自行承担。</w:t>
            </w:r>
          </w:p>
          <w:p w14:paraId="18826AC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16.2</w:t>
            </w:r>
            <w:r>
              <w:rPr>
                <w:rFonts w:hint="eastAsia" w:ascii="宋体" w:hAnsi="宋体" w:eastAsia="宋体" w:cs="宋体"/>
                <w:color w:val="auto"/>
                <w:szCs w:val="21"/>
                <w:highlight w:val="none"/>
              </w:rPr>
              <w:t>供应商法人（负责人）或授权代表持有</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个人CA签章的，应在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文件中涉及到签字的位置使用个人CA签章，没有办理</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文件中涉及到签字的位置手写签字后扫描或者拍照做成 PDF 的格式上传即可。</w:t>
            </w:r>
          </w:p>
          <w:p w14:paraId="128B8CB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响应文件因字迹潦草或表达不清所引起的后果由供应商负责。</w:t>
            </w:r>
          </w:p>
          <w:p w14:paraId="48B784EF">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w:t>
            </w:r>
            <w:r>
              <w:rPr>
                <w:rFonts w:hint="eastAsia" w:ascii="宋体" w:hAnsi="宋体" w:eastAsia="宋体" w:cs="宋体"/>
                <w:color w:val="auto"/>
                <w:szCs w:val="21"/>
                <w:highlight w:val="none"/>
                <w:lang w:eastAsia="zh-CN"/>
              </w:rPr>
              <w:t xml:space="preserve">磋商前准备 </w:t>
            </w:r>
          </w:p>
          <w:p w14:paraId="3BF7E66A">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14:paraId="3B7DC75E">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16.4.2</w:t>
            </w:r>
            <w:r>
              <w:rPr>
                <w:rFonts w:hint="eastAsia" w:ascii="宋体" w:hAnsi="宋体" w:eastAsia="宋体" w:cs="宋体"/>
                <w:color w:val="auto"/>
                <w:szCs w:val="21"/>
                <w:highlight w:val="none"/>
                <w:lang w:eastAsia="zh-CN"/>
              </w:rPr>
              <w:t>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正式注册入库供应商，并完成 CA 数字证书申领。因未注册入库、未办理 CA 数字证书等原因造成无法磋商或磋商失败等后果由供应商自行承担。 </w:t>
            </w:r>
          </w:p>
          <w:p w14:paraId="7CCE041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16.4.3</w:t>
            </w:r>
            <w:r>
              <w:rPr>
                <w:rFonts w:hint="eastAsia" w:ascii="宋体" w:hAnsi="宋体" w:eastAsia="宋体" w:cs="宋体"/>
                <w:color w:val="auto"/>
                <w:szCs w:val="21"/>
                <w:highlight w:val="none"/>
                <w:lang w:eastAsia="zh-CN"/>
              </w:rPr>
              <w:t>供应商将广西政府采购云平台电子交易客户端下载、安装完成后，可通过账号密码或 CA 登录客户端进行响应文件制作。客户端请至网站下载专区查看如有问题可拨打广西政府采购云平台客户服务热线 95763 进行咨询。</w:t>
            </w:r>
          </w:p>
        </w:tc>
      </w:tr>
      <w:tr w14:paraId="1C8C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62" w:type="dxa"/>
            <w:noWrap w:val="0"/>
            <w:vAlign w:val="center"/>
          </w:tcPr>
          <w:p w14:paraId="0F3FD29A">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942" w:type="dxa"/>
            <w:noWrap w:val="0"/>
            <w:vAlign w:val="center"/>
          </w:tcPr>
          <w:p w14:paraId="23B9344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p>
        </w:tc>
        <w:tc>
          <w:tcPr>
            <w:tcW w:w="1775" w:type="dxa"/>
            <w:noWrap w:val="0"/>
            <w:vAlign w:val="center"/>
          </w:tcPr>
          <w:p w14:paraId="57E5181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w:t>
            </w:r>
          </w:p>
        </w:tc>
        <w:tc>
          <w:tcPr>
            <w:tcW w:w="6912" w:type="dxa"/>
            <w:noWrap w:val="0"/>
            <w:vAlign w:val="center"/>
          </w:tcPr>
          <w:p w14:paraId="2D3C376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eastAsia="zh-CN"/>
              </w:rPr>
              <w:t>于</w:t>
            </w:r>
            <w:r>
              <w:rPr>
                <w:rFonts w:hint="eastAsia" w:ascii="宋体" w:hAnsi="宋体" w:cs="宋体"/>
                <w:color w:val="auto"/>
                <w:sz w:val="21"/>
                <w:szCs w:val="21"/>
                <w:highlight w:val="none"/>
                <w:u w:val="single"/>
                <w:lang w:eastAsia="zh-CN"/>
              </w:rPr>
              <w:t>2025年11月</w:t>
            </w:r>
            <w:r>
              <w:rPr>
                <w:rFonts w:hint="eastAsia" w:ascii="宋体" w:hAnsi="宋体" w:cs="宋体"/>
                <w:color w:val="auto"/>
                <w:sz w:val="21"/>
                <w:szCs w:val="21"/>
                <w:highlight w:val="none"/>
                <w:u w:val="single"/>
                <w:lang w:val="en-US" w:eastAsia="zh-CN"/>
              </w:rPr>
              <w:t>03</w:t>
            </w:r>
            <w:r>
              <w:rPr>
                <w:rFonts w:hint="eastAsia" w:ascii="宋体" w:hAnsi="宋体" w:cs="宋体"/>
                <w:color w:val="auto"/>
                <w:sz w:val="21"/>
                <w:szCs w:val="21"/>
                <w:highlight w:val="none"/>
                <w:u w:val="single"/>
                <w:lang w:eastAsia="zh-CN"/>
              </w:rPr>
              <w:t>日09时30分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的要求编制、加密传输磋商响应文件。供应商在使用系统进行投标的过程中遇到涉及平台使用的任何问题，可致电</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eastAsia="宋体" w:cs="宋体"/>
                <w:color w:val="auto"/>
                <w:szCs w:val="21"/>
                <w:highlight w:val="none"/>
                <w:lang w:eastAsia="zh-CN"/>
              </w:rPr>
              <w:t>95763</w:t>
            </w:r>
            <w:r>
              <w:rPr>
                <w:rFonts w:hint="eastAsia" w:ascii="宋体" w:hAnsi="宋体" w:eastAsia="宋体" w:cs="宋体"/>
                <w:color w:val="auto"/>
                <w:szCs w:val="21"/>
                <w:highlight w:val="none"/>
              </w:rPr>
              <w:t>。</w:t>
            </w:r>
          </w:p>
        </w:tc>
      </w:tr>
      <w:tr w14:paraId="104B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noWrap w:val="0"/>
            <w:vAlign w:val="center"/>
          </w:tcPr>
          <w:p w14:paraId="0C858C81">
            <w:pPr>
              <w:spacing w:line="360" w:lineRule="auto"/>
              <w:jc w:val="center"/>
              <w:rPr>
                <w:rFonts w:hint="eastAsia" w:ascii="宋体" w:hAnsi="宋体" w:eastAsia="宋体" w:cs="宋体"/>
                <w:color w:val="auto"/>
                <w:position w:val="-2"/>
                <w:szCs w:val="21"/>
                <w:highlight w:val="none"/>
                <w:lang w:eastAsia="zh-CN"/>
              </w:rPr>
            </w:pPr>
            <w:r>
              <w:rPr>
                <w:rFonts w:hint="eastAsia" w:ascii="宋体" w:hAnsi="宋体" w:eastAsia="宋体" w:cs="宋体"/>
                <w:color w:val="auto"/>
                <w:position w:val="-2"/>
                <w:szCs w:val="21"/>
                <w:highlight w:val="none"/>
                <w:lang w:val="en-US" w:eastAsia="zh-CN"/>
              </w:rPr>
              <w:t>9</w:t>
            </w:r>
          </w:p>
        </w:tc>
        <w:tc>
          <w:tcPr>
            <w:tcW w:w="942" w:type="dxa"/>
            <w:noWrap w:val="0"/>
            <w:vAlign w:val="center"/>
          </w:tcPr>
          <w:p w14:paraId="33B3F689">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18.2</w:t>
            </w:r>
          </w:p>
        </w:tc>
        <w:tc>
          <w:tcPr>
            <w:tcW w:w="1775" w:type="dxa"/>
            <w:noWrap w:val="0"/>
            <w:vAlign w:val="center"/>
          </w:tcPr>
          <w:p w14:paraId="10D8A267">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lang w:eastAsia="zh-CN"/>
              </w:rPr>
              <w:t>磋商响应文件解密时间</w:t>
            </w:r>
          </w:p>
        </w:tc>
        <w:tc>
          <w:tcPr>
            <w:tcW w:w="6912" w:type="dxa"/>
            <w:noWrap w:val="0"/>
            <w:vAlign w:val="center"/>
          </w:tcPr>
          <w:p w14:paraId="10D0226B">
            <w:pPr>
              <w:pStyle w:val="29"/>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磋商响应文件解密时间：截标时间后30分钟内（</w:t>
            </w:r>
            <w:r>
              <w:rPr>
                <w:rFonts w:hint="eastAsia" w:ascii="宋体" w:hAnsi="宋体" w:cs="宋体"/>
                <w:color w:val="auto"/>
                <w:kern w:val="2"/>
                <w:sz w:val="21"/>
                <w:szCs w:val="21"/>
                <w:highlight w:val="none"/>
                <w:lang w:val="en-US" w:eastAsia="zh-CN" w:bidi="ar-SA"/>
              </w:rPr>
              <w:t>2025年11月03日09时30分</w:t>
            </w:r>
            <w:r>
              <w:rPr>
                <w:rFonts w:hint="eastAsia" w:ascii="宋体" w:hAnsi="宋体" w:eastAsia="宋体" w:cs="宋体"/>
                <w:color w:val="auto"/>
                <w:kern w:val="2"/>
                <w:sz w:val="21"/>
                <w:szCs w:val="21"/>
                <w:highlight w:val="none"/>
                <w:lang w:val="en-US" w:eastAsia="zh-CN" w:bidi="ar-SA"/>
              </w:rPr>
              <w:t>至1</w:t>
            </w:r>
            <w:r>
              <w:rPr>
                <w:rFonts w:hint="eastAsia" w:ascii="宋体" w:hAnsi="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eastAsia="zh-CN" w:bidi="ar-SA"/>
              </w:rPr>
              <w:t>时00分)磋商供应商可以登录</w:t>
            </w:r>
            <w:r>
              <w:rPr>
                <w:rFonts w:hint="eastAsia" w:ascii="宋体" w:hAnsi="宋体" w:cs="宋体"/>
                <w:color w:val="auto"/>
                <w:kern w:val="2"/>
                <w:sz w:val="21"/>
                <w:szCs w:val="21"/>
                <w:highlight w:val="none"/>
                <w:lang w:val="en-US" w:eastAsia="zh-CN" w:bidi="ar-SA"/>
              </w:rPr>
              <w:t>广西政府采购云平台</w:t>
            </w:r>
            <w:r>
              <w:rPr>
                <w:rFonts w:hint="eastAsia" w:ascii="宋体" w:hAnsi="宋体" w:eastAsia="宋体" w:cs="宋体"/>
                <w:color w:val="auto"/>
                <w:kern w:val="2"/>
                <w:sz w:val="21"/>
                <w:szCs w:val="21"/>
                <w:highlight w:val="none"/>
                <w:lang w:val="en-US" w:eastAsia="zh-CN" w:bidi="ar-SA"/>
              </w:rPr>
              <w:t>，用“项目采购-开标评标”功能进行解密磋商响应文件。</w:t>
            </w:r>
          </w:p>
          <w:p w14:paraId="3C5F4BEC">
            <w:pPr>
              <w:pStyle w:val="29"/>
              <w:rPr>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lang w:val="en-US" w:eastAsia="zh-CN"/>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解密响应文件后，30分钟内在线签字确认，超过时间没有在线签字确认的系统将自动视为供应商认可</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eastAsia="zh-CN"/>
              </w:rPr>
              <w:t>。</w:t>
            </w:r>
          </w:p>
        </w:tc>
      </w:tr>
      <w:tr w14:paraId="0A75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noWrap w:val="0"/>
            <w:vAlign w:val="center"/>
          </w:tcPr>
          <w:p w14:paraId="44BD8E94">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942" w:type="dxa"/>
            <w:noWrap w:val="0"/>
            <w:vAlign w:val="center"/>
          </w:tcPr>
          <w:p w14:paraId="72FB60F4">
            <w:pPr>
              <w:spacing w:line="360" w:lineRule="auto"/>
              <w:ind w:firstLine="105" w:firstLineChars="50"/>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19.1</w:t>
            </w:r>
          </w:p>
        </w:tc>
        <w:tc>
          <w:tcPr>
            <w:tcW w:w="1775" w:type="dxa"/>
            <w:noWrap w:val="0"/>
            <w:vAlign w:val="center"/>
          </w:tcPr>
          <w:p w14:paraId="6C2FCDC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磋商小组组成</w:t>
            </w:r>
          </w:p>
        </w:tc>
        <w:tc>
          <w:tcPr>
            <w:tcW w:w="6912" w:type="dxa"/>
            <w:noWrap w:val="0"/>
            <w:vAlign w:val="center"/>
          </w:tcPr>
          <w:p w14:paraId="115720C5">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w:t>
            </w:r>
            <w:r>
              <w:rPr>
                <w:rFonts w:hint="eastAsia" w:ascii="宋体" w:hAnsi="宋体" w:cs="宋体"/>
                <w:color w:val="auto"/>
                <w:szCs w:val="21"/>
                <w:highlight w:val="none"/>
                <w:lang w:eastAsia="zh-CN"/>
              </w:rPr>
              <w:t>评审</w:t>
            </w:r>
            <w:r>
              <w:rPr>
                <w:rFonts w:hint="eastAsia" w:ascii="宋体" w:hAnsi="宋体" w:eastAsia="宋体" w:cs="宋体"/>
                <w:color w:val="auto"/>
                <w:szCs w:val="21"/>
                <w:highlight w:val="none"/>
              </w:rPr>
              <w:t>专家组成。磋商小组的构成：</w:t>
            </w:r>
            <w:r>
              <w:rPr>
                <w:rFonts w:hint="eastAsia" w:ascii="宋体" w:hAnsi="宋体" w:eastAsia="宋体" w:cs="宋体"/>
                <w:color w:val="auto"/>
                <w:szCs w:val="21"/>
                <w:highlight w:val="none"/>
                <w:u w:val="single"/>
              </w:rPr>
              <w:t xml:space="preserve">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 </w:t>
            </w:r>
            <w:r>
              <w:rPr>
                <w:rFonts w:hint="eastAsia" w:ascii="宋体" w:hAnsi="宋体" w:eastAsia="宋体" w:cs="宋体"/>
                <w:color w:val="auto"/>
                <w:szCs w:val="21"/>
                <w:highlight w:val="none"/>
              </w:rPr>
              <w:t>人。</w:t>
            </w:r>
          </w:p>
        </w:tc>
      </w:tr>
      <w:tr w14:paraId="0D83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noWrap w:val="0"/>
            <w:vAlign w:val="center"/>
          </w:tcPr>
          <w:p w14:paraId="703D2105">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942" w:type="dxa"/>
            <w:noWrap w:val="0"/>
            <w:vAlign w:val="center"/>
          </w:tcPr>
          <w:p w14:paraId="3F6958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w:t>
            </w:r>
          </w:p>
        </w:tc>
        <w:tc>
          <w:tcPr>
            <w:tcW w:w="1775" w:type="dxa"/>
            <w:noWrap w:val="0"/>
            <w:vAlign w:val="center"/>
          </w:tcPr>
          <w:p w14:paraId="0631935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磋商时间、地点、人员</w:t>
            </w:r>
          </w:p>
        </w:tc>
        <w:tc>
          <w:tcPr>
            <w:tcW w:w="6912" w:type="dxa"/>
            <w:noWrap w:val="0"/>
            <w:vAlign w:val="top"/>
          </w:tcPr>
          <w:p w14:paraId="48677DDE">
            <w:pPr>
              <w:spacing w:line="360" w:lineRule="auto"/>
              <w:ind w:left="315" w:hanging="315" w:hanging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19.2.1磋商时间：响应文件递交截止时间后。</w:t>
            </w:r>
          </w:p>
          <w:p w14:paraId="378E29DF">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19.2.2磋商地点：本项目需要磋商供应商代表在截标当天截标后，按磋商小组要求及时登陆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等候在线磋商</w:t>
            </w:r>
            <w:r>
              <w:rPr>
                <w:rFonts w:hint="eastAsia" w:ascii="宋体" w:hAnsi="宋体" w:eastAsia="宋体" w:cs="宋体"/>
                <w:color w:val="auto"/>
                <w:szCs w:val="21"/>
                <w:highlight w:val="none"/>
                <w:lang w:eastAsia="zh-CN"/>
              </w:rPr>
              <w:t>。</w:t>
            </w:r>
          </w:p>
          <w:p w14:paraId="5DEE9D43">
            <w:pPr>
              <w:spacing w:line="360" w:lineRule="auto"/>
              <w:ind w:left="15" w:hanging="14" w:hangingChars="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19.2.3磋商参加人员：供应商法定代表人、负责人、自然人或相应的委托代</w:t>
            </w:r>
            <w:r>
              <w:rPr>
                <w:rFonts w:hint="eastAsia" w:ascii="宋体" w:hAnsi="宋体" w:eastAsia="宋体" w:cs="宋体"/>
                <w:color w:val="auto"/>
                <w:szCs w:val="21"/>
                <w:highlight w:val="none"/>
                <w:u w:val="none"/>
              </w:rPr>
              <w:t>理人持有效身份证原件</w:t>
            </w:r>
            <w:r>
              <w:rPr>
                <w:rFonts w:hint="eastAsia" w:ascii="宋体" w:hAnsi="宋体" w:eastAsia="宋体" w:cs="宋体"/>
                <w:color w:val="auto"/>
                <w:szCs w:val="21"/>
                <w:highlight w:val="none"/>
                <w:u w:val="none"/>
                <w:lang w:eastAsia="zh-CN"/>
              </w:rPr>
              <w:t>和供应商</w:t>
            </w:r>
            <w:r>
              <w:rPr>
                <w:rFonts w:hint="eastAsia" w:ascii="宋体" w:hAnsi="宋体" w:cs="宋体"/>
                <w:color w:val="auto"/>
                <w:szCs w:val="21"/>
                <w:highlight w:val="none"/>
                <w:u w:val="none"/>
                <w:lang w:eastAsia="zh-CN"/>
              </w:rPr>
              <w:t>广西政府采购云平台</w:t>
            </w:r>
            <w:r>
              <w:rPr>
                <w:rFonts w:hint="eastAsia" w:ascii="宋体" w:hAnsi="宋体" w:eastAsia="宋体" w:cs="宋体"/>
                <w:color w:val="auto"/>
                <w:szCs w:val="21"/>
                <w:highlight w:val="none"/>
                <w:u w:val="none"/>
                <w:lang w:val="en-US" w:eastAsia="zh-CN"/>
              </w:rPr>
              <w:t>CA数字证书</w:t>
            </w:r>
            <w:r>
              <w:rPr>
                <w:rFonts w:hint="eastAsia" w:ascii="宋体" w:hAnsi="宋体" w:eastAsia="宋体" w:cs="宋体"/>
                <w:color w:val="auto"/>
                <w:szCs w:val="21"/>
                <w:highlight w:val="none"/>
              </w:rPr>
              <w:t>参加磋商。请供应商按时到达指定地点等候磋商。</w:t>
            </w:r>
          </w:p>
          <w:p w14:paraId="6F970E77">
            <w:pPr>
              <w:tabs>
                <w:tab w:val="left" w:pos="114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19.2.4响应文件递交截止时间后，由磋商小组在评标室内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开启响应文件。</w:t>
            </w:r>
          </w:p>
        </w:tc>
      </w:tr>
      <w:tr w14:paraId="47F0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32457A47">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942" w:type="dxa"/>
            <w:noWrap w:val="0"/>
            <w:vAlign w:val="center"/>
          </w:tcPr>
          <w:p w14:paraId="46B204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p>
        </w:tc>
        <w:tc>
          <w:tcPr>
            <w:tcW w:w="1775" w:type="dxa"/>
            <w:noWrap w:val="0"/>
            <w:vAlign w:val="center"/>
          </w:tcPr>
          <w:p w14:paraId="2B74AAB7">
            <w:pPr>
              <w:pStyle w:val="13"/>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评审办法</w:t>
            </w:r>
          </w:p>
        </w:tc>
        <w:tc>
          <w:tcPr>
            <w:tcW w:w="6912" w:type="dxa"/>
            <w:noWrap w:val="0"/>
            <w:vAlign w:val="center"/>
          </w:tcPr>
          <w:p w14:paraId="012D9F91">
            <w:pPr>
              <w:tabs>
                <w:tab w:val="left" w:pos="11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具体详见第四章评审办法。</w:t>
            </w:r>
          </w:p>
        </w:tc>
      </w:tr>
      <w:tr w14:paraId="673B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56EF75AB">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942" w:type="dxa"/>
            <w:noWrap w:val="0"/>
            <w:vAlign w:val="center"/>
          </w:tcPr>
          <w:p w14:paraId="1295BE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775" w:type="dxa"/>
            <w:noWrap w:val="0"/>
            <w:vAlign w:val="center"/>
          </w:tcPr>
          <w:p w14:paraId="424A2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w:t>
            </w:r>
          </w:p>
        </w:tc>
        <w:tc>
          <w:tcPr>
            <w:tcW w:w="6912" w:type="dxa"/>
            <w:noWrap w:val="0"/>
            <w:vAlign w:val="center"/>
          </w:tcPr>
          <w:p w14:paraId="70285EEA">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w:t>
            </w:r>
            <w:r>
              <w:rPr>
                <w:rFonts w:hint="eastAsia" w:ascii="宋体" w:hAnsi="宋体" w:cs="宋体"/>
                <w:color w:val="auto"/>
                <w:szCs w:val="21"/>
                <w:highlight w:val="none"/>
                <w:lang w:eastAsia="zh-CN"/>
              </w:rPr>
              <w:t>号</w:t>
            </w:r>
            <w:r>
              <w:rPr>
                <w:rFonts w:hint="eastAsia" w:ascii="宋体" w:hAnsi="宋体" w:eastAsia="宋体" w:cs="宋体"/>
                <w:color w:val="auto"/>
                <w:szCs w:val="21"/>
                <w:highlight w:val="none"/>
              </w:rPr>
              <w:t>），由采购代理机构对第一成交候选人进行信用查询：</w:t>
            </w:r>
          </w:p>
          <w:p w14:paraId="13CE2E0D">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⑴查询渠道：“信用中国”网站(www.creditchina.gov.cn)、中国政府采购网(www.ccgp.gov.cn)等；</w:t>
            </w:r>
          </w:p>
          <w:p w14:paraId="6744DBAA">
            <w:pPr>
              <w:spacing w:line="360" w:lineRule="auto"/>
              <w:ind w:left="315" w:hanging="315" w:hanging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⑵查询时间：成交通知书发出前；</w:t>
            </w:r>
          </w:p>
          <w:p w14:paraId="53565DBD">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⑶信用信息查询记录和证据留存方式：在查询网站中直接打印查询记录，打印材料作为采购活动资料保存；</w:t>
            </w:r>
          </w:p>
          <w:p w14:paraId="77B25FAC">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14:paraId="0C67F59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7263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noWrap w:val="0"/>
            <w:vAlign w:val="center"/>
          </w:tcPr>
          <w:p w14:paraId="3D327E9F">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942" w:type="dxa"/>
            <w:noWrap w:val="0"/>
            <w:vAlign w:val="center"/>
          </w:tcPr>
          <w:p w14:paraId="4A675C8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1775" w:type="dxa"/>
            <w:noWrap w:val="0"/>
            <w:vAlign w:val="center"/>
          </w:tcPr>
          <w:p w14:paraId="6C4DA3D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成交结果公告</w:t>
            </w:r>
          </w:p>
          <w:p w14:paraId="5FE320E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及成交通知书</w:t>
            </w:r>
          </w:p>
        </w:tc>
        <w:tc>
          <w:tcPr>
            <w:tcW w:w="6912" w:type="dxa"/>
            <w:noWrap w:val="0"/>
            <w:vAlign w:val="top"/>
          </w:tcPr>
          <w:p w14:paraId="5D21D97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4E5109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公告发布的同时，采购代理机构在线向</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供应商发出电子</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通知书。</w:t>
            </w:r>
          </w:p>
        </w:tc>
      </w:tr>
      <w:tr w14:paraId="1806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noWrap w:val="0"/>
            <w:vAlign w:val="center"/>
          </w:tcPr>
          <w:p w14:paraId="075C00A9">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942" w:type="dxa"/>
            <w:noWrap w:val="0"/>
            <w:vAlign w:val="center"/>
          </w:tcPr>
          <w:p w14:paraId="128C10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775" w:type="dxa"/>
            <w:noWrap w:val="0"/>
            <w:vAlign w:val="center"/>
          </w:tcPr>
          <w:p w14:paraId="55970E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912" w:type="dxa"/>
            <w:noWrap w:val="0"/>
            <w:vAlign w:val="center"/>
          </w:tcPr>
          <w:p w14:paraId="26125F06">
            <w:pPr>
              <w:numPr>
                <w:ilvl w:val="0"/>
                <w:numId w:val="0"/>
              </w:numPr>
              <w:bidi w:val="0"/>
              <w:rPr>
                <w:rFonts w:hint="eastAsia" w:ascii="宋体" w:hAnsi="宋体" w:eastAsia="宋体" w:cs="宋体"/>
                <w:color w:val="auto"/>
                <w:szCs w:val="21"/>
                <w:highlight w:val="none"/>
                <w:lang w:val="en-US" w:eastAsia="zh-CN"/>
              </w:rPr>
            </w:pPr>
            <w:r>
              <w:rPr>
                <w:rFonts w:hint="eastAsia" w:hAnsi="宋体" w:cs="宋体"/>
                <w:color w:val="auto"/>
                <w:szCs w:val="21"/>
                <w:highlight w:val="none"/>
              </w:rPr>
              <w:t>本项目无需缴纳履约保证金。</w:t>
            </w:r>
          </w:p>
        </w:tc>
      </w:tr>
      <w:tr w14:paraId="42BE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48A5AB99">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942" w:type="dxa"/>
            <w:noWrap w:val="0"/>
            <w:vAlign w:val="center"/>
          </w:tcPr>
          <w:p w14:paraId="1889719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1775" w:type="dxa"/>
            <w:noWrap w:val="0"/>
            <w:vAlign w:val="center"/>
          </w:tcPr>
          <w:p w14:paraId="284D9D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签订合同时间</w:t>
            </w:r>
          </w:p>
        </w:tc>
        <w:tc>
          <w:tcPr>
            <w:tcW w:w="6912" w:type="dxa"/>
            <w:noWrap w:val="0"/>
            <w:vAlign w:val="top"/>
          </w:tcPr>
          <w:p w14:paraId="10978BF6">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eastAsia="zh-CN"/>
              </w:rPr>
              <w:t>成交通知书发出之日起</w:t>
            </w:r>
            <w:r>
              <w:rPr>
                <w:rFonts w:hint="eastAsia" w:ascii="宋体" w:hAnsi="宋体" w:cs="宋体"/>
                <w:b/>
                <w:bCs/>
                <w:color w:val="auto"/>
                <w:szCs w:val="21"/>
                <w:highlight w:val="none"/>
                <w:lang w:val="en-US" w:eastAsia="zh-CN"/>
              </w:rPr>
              <w:t>八</w:t>
            </w:r>
            <w:r>
              <w:rPr>
                <w:rFonts w:hint="eastAsia" w:ascii="宋体" w:hAnsi="宋体" w:eastAsia="宋体" w:cs="宋体"/>
                <w:b/>
                <w:bCs/>
                <w:color w:val="auto"/>
                <w:szCs w:val="21"/>
                <w:highlight w:val="none"/>
                <w:lang w:eastAsia="zh-CN"/>
              </w:rPr>
              <w:t>个工作日内签订合同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eastAsia="zh-CN"/>
              </w:rPr>
              <w:t>供应商收到</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eastAsia="zh-CN"/>
              </w:rPr>
              <w:t>通知书后，应按规定与采购人在“</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lang w:eastAsia="zh-CN"/>
              </w:rPr>
              <w:t>”上在线签订电子合同。</w:t>
            </w:r>
          </w:p>
        </w:tc>
      </w:tr>
      <w:tr w14:paraId="3764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51FC075D">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w:t>
            </w:r>
          </w:p>
        </w:tc>
        <w:tc>
          <w:tcPr>
            <w:tcW w:w="942" w:type="dxa"/>
            <w:noWrap w:val="0"/>
            <w:vAlign w:val="center"/>
          </w:tcPr>
          <w:p w14:paraId="74E6E5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w:t>
            </w:r>
          </w:p>
        </w:tc>
        <w:tc>
          <w:tcPr>
            <w:tcW w:w="1775" w:type="dxa"/>
            <w:noWrap w:val="0"/>
            <w:vAlign w:val="center"/>
          </w:tcPr>
          <w:p w14:paraId="086759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合同备案存档</w:t>
            </w:r>
          </w:p>
        </w:tc>
        <w:tc>
          <w:tcPr>
            <w:tcW w:w="6912" w:type="dxa"/>
            <w:noWrap w:val="0"/>
            <w:vAlign w:val="center"/>
          </w:tcPr>
          <w:p w14:paraId="6C3CF85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政府采购合同双方自签订之日起</w:t>
            </w:r>
            <w:r>
              <w:rPr>
                <w:rFonts w:hint="eastAsia" w:ascii="宋体" w:hAnsi="宋体" w:eastAsia="宋体" w:cs="宋体"/>
                <w:color w:val="auto"/>
                <w:szCs w:val="21"/>
                <w:highlight w:val="none"/>
                <w:lang w:val="en-US" w:eastAsia="zh-CN"/>
              </w:rPr>
              <w:t>将自动存档于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上</w:t>
            </w:r>
            <w:r>
              <w:rPr>
                <w:rFonts w:hint="eastAsia" w:ascii="宋体" w:hAnsi="宋体" w:eastAsia="宋体" w:cs="宋体"/>
                <w:color w:val="auto"/>
                <w:szCs w:val="21"/>
                <w:highlight w:val="none"/>
              </w:rPr>
              <w:t>，采购人于合同签订之日起七个工作日内将一份合同原件送本级财政部门备案。</w:t>
            </w:r>
          </w:p>
        </w:tc>
      </w:tr>
      <w:tr w14:paraId="2819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02F6BF15">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w:t>
            </w:r>
          </w:p>
        </w:tc>
        <w:tc>
          <w:tcPr>
            <w:tcW w:w="942" w:type="dxa"/>
            <w:noWrap w:val="0"/>
            <w:vAlign w:val="center"/>
          </w:tcPr>
          <w:p w14:paraId="485F02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1775" w:type="dxa"/>
            <w:noWrap w:val="0"/>
            <w:vAlign w:val="center"/>
          </w:tcPr>
          <w:p w14:paraId="56F732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6912" w:type="dxa"/>
            <w:noWrap w:val="0"/>
            <w:vAlign w:val="top"/>
          </w:tcPr>
          <w:p w14:paraId="6957A730">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本项目不收取采购代理服务费</w:t>
            </w:r>
          </w:p>
        </w:tc>
      </w:tr>
      <w:tr w14:paraId="468E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1B6E75C5">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w:t>
            </w:r>
          </w:p>
        </w:tc>
        <w:tc>
          <w:tcPr>
            <w:tcW w:w="942" w:type="dxa"/>
            <w:noWrap w:val="0"/>
            <w:vAlign w:val="center"/>
          </w:tcPr>
          <w:p w14:paraId="6725E84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775" w:type="dxa"/>
            <w:noWrap w:val="0"/>
            <w:vAlign w:val="center"/>
          </w:tcPr>
          <w:p w14:paraId="61B217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解释权</w:t>
            </w:r>
          </w:p>
        </w:tc>
        <w:tc>
          <w:tcPr>
            <w:tcW w:w="6912" w:type="dxa"/>
            <w:noWrap w:val="0"/>
            <w:vAlign w:val="top"/>
          </w:tcPr>
          <w:p w14:paraId="56F1356B">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16F6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noWrap w:val="0"/>
            <w:vAlign w:val="center"/>
          </w:tcPr>
          <w:p w14:paraId="72374946">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942" w:type="dxa"/>
            <w:noWrap w:val="0"/>
            <w:vAlign w:val="center"/>
          </w:tcPr>
          <w:p w14:paraId="375B2A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775" w:type="dxa"/>
            <w:noWrap w:val="0"/>
            <w:vAlign w:val="center"/>
          </w:tcPr>
          <w:p w14:paraId="58EB2B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监督管理机构</w:t>
            </w:r>
          </w:p>
        </w:tc>
        <w:tc>
          <w:tcPr>
            <w:tcW w:w="6912" w:type="dxa"/>
            <w:noWrap w:val="0"/>
            <w:vAlign w:val="center"/>
          </w:tcPr>
          <w:p w14:paraId="49388E3A">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桂林市财政局</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电话：</w:t>
            </w:r>
            <w:r>
              <w:rPr>
                <w:rFonts w:hint="eastAsia" w:ascii="宋体" w:hAnsi="宋体" w:cs="宋体"/>
                <w:color w:val="auto"/>
                <w:szCs w:val="21"/>
                <w:highlight w:val="none"/>
                <w:lang w:eastAsia="zh-CN"/>
              </w:rPr>
              <w:t xml:space="preserve">0773-2862142 </w:t>
            </w:r>
          </w:p>
        </w:tc>
      </w:tr>
    </w:tbl>
    <w:p w14:paraId="4F604281">
      <w:pPr>
        <w:pStyle w:val="19"/>
        <w:ind w:left="0" w:leftChars="0" w:firstLine="0" w:firstLineChars="0"/>
        <w:rPr>
          <w:rFonts w:hint="eastAsia" w:ascii="宋体" w:hAnsi="宋体" w:eastAsia="宋体" w:cs="宋体"/>
          <w:b/>
          <w:color w:val="auto"/>
          <w:sz w:val="28"/>
          <w:szCs w:val="28"/>
          <w:highlight w:val="none"/>
        </w:rPr>
      </w:pPr>
    </w:p>
    <w:p w14:paraId="5264107D">
      <w:pPr>
        <w:rPr>
          <w:rFonts w:hint="eastAsia" w:ascii="宋体" w:hAnsi="宋体" w:eastAsia="宋体" w:cs="宋体"/>
          <w:color w:val="auto"/>
          <w:highlight w:val="none"/>
        </w:rPr>
      </w:pPr>
    </w:p>
    <w:p w14:paraId="29FCCF4C">
      <w:pPr>
        <w:pStyle w:val="3"/>
        <w:jc w:val="center"/>
        <w:rPr>
          <w:rFonts w:hint="eastAsia" w:ascii="宋体" w:hAnsi="宋体" w:eastAsia="宋体" w:cs="宋体"/>
          <w:b/>
          <w:bCs w:val="0"/>
          <w:color w:val="auto"/>
          <w:szCs w:val="28"/>
          <w:highlight w:val="none"/>
        </w:rPr>
      </w:pPr>
      <w:bookmarkStart w:id="66" w:name="_Toc19410"/>
      <w:bookmarkStart w:id="67" w:name="_Toc29465"/>
      <w:bookmarkStart w:id="68" w:name="_Toc30008"/>
      <w:bookmarkStart w:id="69" w:name="_Toc10058"/>
      <w:bookmarkStart w:id="70" w:name="_Toc22792"/>
      <w:r>
        <w:rPr>
          <w:rFonts w:hint="eastAsia" w:ascii="宋体" w:hAnsi="宋体" w:eastAsia="宋体" w:cs="宋体"/>
          <w:b/>
          <w:bCs w:val="0"/>
          <w:color w:val="auto"/>
          <w:szCs w:val="28"/>
          <w:highlight w:val="none"/>
        </w:rPr>
        <w:t>一、总则</w:t>
      </w:r>
      <w:bookmarkEnd w:id="66"/>
      <w:bookmarkEnd w:id="67"/>
      <w:bookmarkEnd w:id="68"/>
      <w:bookmarkEnd w:id="69"/>
      <w:bookmarkEnd w:id="70"/>
    </w:p>
    <w:p w14:paraId="273C2E6C">
      <w:pPr>
        <w:pStyle w:val="4"/>
        <w:spacing w:before="0" w:after="0" w:line="360" w:lineRule="auto"/>
        <w:ind w:firstLine="420" w:firstLineChars="200"/>
        <w:rPr>
          <w:rFonts w:hint="eastAsia" w:ascii="宋体" w:hAnsi="宋体" w:eastAsia="宋体" w:cs="宋体"/>
          <w:color w:val="auto"/>
          <w:sz w:val="21"/>
          <w:szCs w:val="21"/>
          <w:highlight w:val="none"/>
        </w:rPr>
      </w:pPr>
      <w:bookmarkStart w:id="71" w:name="_Toc18277"/>
      <w:bookmarkStart w:id="72" w:name="_Toc24721"/>
      <w:bookmarkStart w:id="73" w:name="_Toc3607"/>
      <w:bookmarkStart w:id="74" w:name="_Toc9118"/>
      <w:bookmarkStart w:id="75" w:name="_Toc6626"/>
      <w:r>
        <w:rPr>
          <w:rFonts w:hint="eastAsia" w:ascii="宋体" w:hAnsi="宋体" w:eastAsia="宋体" w:cs="宋体"/>
          <w:color w:val="auto"/>
          <w:sz w:val="21"/>
          <w:szCs w:val="21"/>
          <w:highlight w:val="none"/>
        </w:rPr>
        <w:t>1. 适应范围</w:t>
      </w:r>
      <w:bookmarkEnd w:id="71"/>
      <w:bookmarkEnd w:id="72"/>
      <w:bookmarkEnd w:id="73"/>
      <w:bookmarkEnd w:id="74"/>
      <w:bookmarkEnd w:id="75"/>
    </w:p>
    <w:p w14:paraId="77C91E50">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项目名称及项目编号：</w:t>
      </w:r>
    </w:p>
    <w:p w14:paraId="70DA8B12">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val="en-US" w:eastAsia="zh-CN"/>
        </w:rPr>
        <w:t>桂林市复兴学校园林绿化服务采购项目</w:t>
      </w:r>
      <w:r>
        <w:rPr>
          <w:rFonts w:hint="eastAsia" w:ascii="宋体" w:hAnsi="宋体" w:eastAsia="宋体" w:cs="宋体"/>
          <w:color w:val="auto"/>
          <w:sz w:val="21"/>
          <w:szCs w:val="21"/>
          <w:highlight w:val="none"/>
        </w:rPr>
        <w:t xml:space="preserve"> </w:t>
      </w:r>
    </w:p>
    <w:p w14:paraId="07CDA5F4">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Style w:val="35"/>
          <w:rFonts w:hint="eastAsia" w:ascii="宋体"/>
          <w:color w:val="auto"/>
          <w:szCs w:val="21"/>
          <w:highlight w:val="none"/>
          <w:lang w:val="en-US" w:eastAsia="zh-CN"/>
        </w:rPr>
        <w:t>GLZC2025-C3-990531-GLSZ</w:t>
      </w:r>
    </w:p>
    <w:p w14:paraId="1AE51823">
      <w:pPr>
        <w:spacing w:line="36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1.2本竞争性磋商文件（以下简称磋商文件）适用于本磋商项目的磋商、评审、合同履约、验收、付款等行为（法律、法规另有规定的，从其规定）。</w:t>
      </w:r>
    </w:p>
    <w:p w14:paraId="06FB9717">
      <w:pPr>
        <w:pStyle w:val="4"/>
        <w:spacing w:before="0" w:after="0" w:line="360" w:lineRule="auto"/>
        <w:ind w:firstLine="420" w:firstLineChars="200"/>
        <w:rPr>
          <w:rFonts w:hint="eastAsia" w:ascii="宋体" w:hAnsi="宋体" w:eastAsia="宋体" w:cs="宋体"/>
          <w:color w:val="auto"/>
          <w:sz w:val="21"/>
          <w:szCs w:val="21"/>
          <w:highlight w:val="none"/>
        </w:rPr>
      </w:pPr>
      <w:bookmarkStart w:id="76" w:name="_Toc21032"/>
      <w:bookmarkStart w:id="77" w:name="_Toc28336"/>
      <w:bookmarkStart w:id="78" w:name="_Toc5137"/>
      <w:bookmarkStart w:id="79" w:name="_Toc3355"/>
      <w:bookmarkStart w:id="80" w:name="_Toc20311"/>
      <w:r>
        <w:rPr>
          <w:rFonts w:hint="eastAsia" w:ascii="宋体" w:hAnsi="宋体" w:eastAsia="宋体" w:cs="宋体"/>
          <w:color w:val="auto"/>
          <w:sz w:val="21"/>
          <w:szCs w:val="21"/>
          <w:highlight w:val="none"/>
        </w:rPr>
        <w:t>2. 定义</w:t>
      </w:r>
      <w:bookmarkEnd w:id="76"/>
      <w:bookmarkEnd w:id="77"/>
      <w:bookmarkEnd w:id="78"/>
      <w:bookmarkEnd w:id="79"/>
      <w:bookmarkEnd w:id="80"/>
    </w:p>
    <w:p w14:paraId="088CD389">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2.1“供应商”是指符合本次采购项目的供应商资格并提交响应文件、参加磋商的供应商。如果该供应商在本次磋商中成交，即成为“成交供应商”。</w:t>
      </w:r>
    </w:p>
    <w:p w14:paraId="75B4361E">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2.2“货物”系指按磋商文件规定，供应商须向采购人提供的一切设备、保险、税金、备品备件、工具、手册及其它有关技术资料和材料。</w:t>
      </w:r>
    </w:p>
    <w:p w14:paraId="5B3BFD6A">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2.3“服务”系指按磋商文件规定，供应商须承担的安装、调试、技术协助、校准、培训、技术指导以及其他类似的义务。</w:t>
      </w:r>
    </w:p>
    <w:p w14:paraId="3E9811D1">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2.4“项目”系指供应商按磋商文件规定向采购人提供的货物和服务。</w:t>
      </w:r>
    </w:p>
    <w:p w14:paraId="043CD879">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2.5“书面形式”包括信函、传真、电报等。</w:t>
      </w:r>
    </w:p>
    <w:p w14:paraId="6651139D">
      <w:pPr>
        <w:pStyle w:val="4"/>
        <w:spacing w:before="0" w:after="0" w:line="360" w:lineRule="auto"/>
        <w:ind w:firstLine="420" w:firstLineChars="200"/>
        <w:rPr>
          <w:rFonts w:hint="eastAsia" w:ascii="宋体" w:hAnsi="宋体" w:eastAsia="宋体" w:cs="宋体"/>
          <w:color w:val="auto"/>
          <w:sz w:val="21"/>
          <w:szCs w:val="21"/>
          <w:highlight w:val="none"/>
        </w:rPr>
      </w:pPr>
      <w:bookmarkStart w:id="81" w:name="_Toc10645"/>
      <w:bookmarkStart w:id="82" w:name="_Toc25441"/>
      <w:bookmarkStart w:id="83" w:name="_Toc19559"/>
      <w:bookmarkStart w:id="84" w:name="_Toc23631"/>
      <w:bookmarkStart w:id="85" w:name="_Toc21872"/>
      <w:r>
        <w:rPr>
          <w:rFonts w:hint="eastAsia" w:ascii="宋体" w:hAnsi="宋体" w:eastAsia="宋体" w:cs="宋体"/>
          <w:color w:val="auto"/>
          <w:sz w:val="21"/>
          <w:szCs w:val="21"/>
          <w:highlight w:val="none"/>
        </w:rPr>
        <w:t>3. 供应商资格</w:t>
      </w:r>
      <w:bookmarkEnd w:id="81"/>
      <w:bookmarkEnd w:id="82"/>
      <w:bookmarkEnd w:id="83"/>
      <w:bookmarkEnd w:id="84"/>
      <w:bookmarkEnd w:id="85"/>
    </w:p>
    <w:p w14:paraId="44A019D8">
      <w:pPr>
        <w:spacing w:line="360" w:lineRule="exact"/>
        <w:ind w:firstLine="43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3.1符合《中华人民共和国政府采购法》第二十二条和《政府采购法实施条例》第十八条规定，具备合法资格的供应商；</w:t>
      </w:r>
    </w:p>
    <w:p w14:paraId="78A6BE3D">
      <w:pPr>
        <w:spacing w:line="360" w:lineRule="exact"/>
        <w:ind w:firstLine="43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3.2本项目不接受联合体参与磋商；</w:t>
      </w:r>
    </w:p>
    <w:p w14:paraId="53C539C8">
      <w:pPr>
        <w:spacing w:line="360" w:lineRule="exact"/>
        <w:ind w:firstLine="43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r>
        <w:rPr>
          <w:rFonts w:hint="eastAsia" w:ascii="宋体" w:hAnsi="宋体" w:cs="宋体"/>
          <w:bCs/>
          <w:color w:val="auto"/>
          <w:szCs w:val="21"/>
          <w:highlight w:val="none"/>
          <w:lang w:eastAsia="zh-CN"/>
        </w:rPr>
        <w:t>；</w:t>
      </w:r>
    </w:p>
    <w:p w14:paraId="507AE3F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color w:val="auto"/>
          <w:sz w:val="21"/>
          <w:szCs w:val="21"/>
          <w:highlight w:val="none"/>
          <w:lang w:val="en-US" w:eastAsia="zh-CN"/>
        </w:rPr>
      </w:pPr>
      <w:bookmarkStart w:id="86" w:name="_Toc16496"/>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落实政府采购政策需满足的资格要求：</w:t>
      </w:r>
      <w:r>
        <w:rPr>
          <w:rFonts w:hint="eastAsia" w:ascii="宋体" w:hAnsi="宋体" w:eastAsia="宋体" w:cs="宋体"/>
          <w:b/>
          <w:bCs/>
          <w:color w:val="auto"/>
          <w:sz w:val="21"/>
          <w:szCs w:val="21"/>
          <w:highlight w:val="none"/>
          <w:lang w:eastAsia="zh-CN"/>
        </w:rPr>
        <w:t>本项目</w:t>
      </w:r>
      <w:r>
        <w:rPr>
          <w:rFonts w:hint="eastAsia" w:ascii="宋体" w:hAnsi="宋体" w:cs="宋体"/>
          <w:b/>
          <w:bCs/>
          <w:color w:val="auto"/>
          <w:sz w:val="21"/>
          <w:szCs w:val="21"/>
          <w:highlight w:val="none"/>
          <w:lang w:eastAsia="zh-CN"/>
        </w:rPr>
        <w:t>专门面向</w:t>
      </w:r>
      <w:r>
        <w:rPr>
          <w:rFonts w:hint="eastAsia" w:ascii="宋体" w:hAnsi="宋体" w:cs="宋体"/>
          <w:b/>
          <w:bCs/>
          <w:color w:val="auto"/>
          <w:sz w:val="21"/>
          <w:szCs w:val="21"/>
          <w:highlight w:val="none"/>
          <w:lang w:val="en-US" w:eastAsia="zh-CN"/>
        </w:rPr>
        <w:t>小微</w:t>
      </w:r>
      <w:r>
        <w:rPr>
          <w:rFonts w:hint="eastAsia" w:ascii="宋体" w:hAnsi="宋体" w:cs="宋体"/>
          <w:b/>
          <w:bCs/>
          <w:color w:val="auto"/>
          <w:sz w:val="21"/>
          <w:szCs w:val="21"/>
          <w:highlight w:val="none"/>
          <w:lang w:eastAsia="zh-CN"/>
        </w:rPr>
        <w:t>企业</w:t>
      </w:r>
      <w:r>
        <w:rPr>
          <w:rFonts w:hint="eastAsia" w:ascii="宋体" w:hAnsi="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lang w:eastAsia="zh-CN"/>
        </w:rPr>
        <w:t>，所属行业为其</w:t>
      </w:r>
      <w:r>
        <w:rPr>
          <w:rFonts w:hint="eastAsia" w:ascii="宋体" w:hAnsi="宋体" w:cs="宋体"/>
          <w:b/>
          <w:bCs/>
          <w:color w:val="auto"/>
          <w:sz w:val="21"/>
          <w:szCs w:val="21"/>
          <w:highlight w:val="none"/>
          <w:lang w:val="en-US" w:eastAsia="zh-CN"/>
        </w:rPr>
        <w:t>物业管理</w:t>
      </w:r>
      <w:r>
        <w:rPr>
          <w:rFonts w:hint="eastAsia" w:ascii="宋体" w:hAnsi="宋体" w:eastAsia="宋体" w:cs="宋体"/>
          <w:b/>
          <w:bCs/>
          <w:color w:val="auto"/>
          <w:sz w:val="21"/>
          <w:szCs w:val="21"/>
          <w:highlight w:val="none"/>
          <w:lang w:val="en-US" w:eastAsia="zh-CN"/>
        </w:rPr>
        <w:t>；</w:t>
      </w:r>
    </w:p>
    <w:p w14:paraId="39BA39CF">
      <w:pPr>
        <w:keepNext w:val="0"/>
        <w:keepLines w:val="0"/>
        <w:spacing w:before="0" w:after="0" w:line="360" w:lineRule="exact"/>
        <w:ind w:firstLine="420" w:firstLineChars="200"/>
        <w:rPr>
          <w:rFonts w:hint="eastAsia" w:ascii="宋体" w:hAnsi="宋体" w:eastAsia="宋体" w:cs="宋体"/>
          <w:b w:val="0"/>
          <w:bCs w:val="0"/>
          <w:color w:val="auto"/>
          <w:sz w:val="21"/>
          <w:szCs w:val="21"/>
          <w:highlight w:val="none"/>
          <w:lang w:eastAsia="zh-CN"/>
        </w:rPr>
      </w:pPr>
      <w:bookmarkStart w:id="87" w:name="_Toc4527"/>
      <w:bookmarkStart w:id="88" w:name="_Toc10069"/>
      <w:bookmarkStart w:id="89" w:name="_Toc5736"/>
      <w:bookmarkStart w:id="90" w:name="_Toc32646"/>
      <w:bookmarkStart w:id="91" w:name="_Toc5959"/>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本项目的特定资格要求：</w:t>
      </w:r>
      <w:bookmarkEnd w:id="87"/>
      <w:bookmarkEnd w:id="88"/>
      <w:bookmarkEnd w:id="89"/>
      <w:bookmarkEnd w:id="90"/>
      <w:bookmarkEnd w:id="91"/>
      <w:r>
        <w:rPr>
          <w:rFonts w:hint="eastAsia" w:ascii="宋体" w:hAnsi="宋体" w:cs="宋体"/>
          <w:b w:val="0"/>
          <w:bCs w:val="0"/>
          <w:color w:val="auto"/>
          <w:sz w:val="21"/>
          <w:szCs w:val="21"/>
          <w:highlight w:val="none"/>
          <w:lang w:val="en-US" w:eastAsia="zh-CN"/>
        </w:rPr>
        <w:t>无</w:t>
      </w:r>
      <w:r>
        <w:rPr>
          <w:rFonts w:hint="eastAsia" w:ascii="宋体" w:hAnsi="宋体" w:eastAsia="宋体" w:cs="宋体"/>
          <w:b/>
          <w:bCs/>
          <w:color w:val="auto"/>
          <w:sz w:val="21"/>
          <w:szCs w:val="21"/>
          <w:highlight w:val="none"/>
          <w:lang w:val="en-US" w:eastAsia="zh-CN"/>
        </w:rPr>
        <w:t>；</w:t>
      </w:r>
    </w:p>
    <w:p w14:paraId="635C9EDD">
      <w:pPr>
        <w:spacing w:line="400" w:lineRule="exact"/>
        <w:ind w:firstLine="435"/>
        <w:rPr>
          <w:rFonts w:hint="eastAsia"/>
          <w:color w:val="auto"/>
          <w:highlight w:val="none"/>
        </w:rPr>
      </w:pPr>
      <w:r>
        <w:rPr>
          <w:rFonts w:hint="eastAsia" w:ascii="宋体" w:hAnsi="宋体" w:cs="宋体"/>
          <w:b/>
          <w:color w:val="auto"/>
          <w:szCs w:val="21"/>
          <w:highlight w:val="none"/>
        </w:rPr>
        <w:t>3.6实质性要求：</w:t>
      </w:r>
      <w:r>
        <w:rPr>
          <w:rFonts w:hint="eastAsia" w:ascii="宋体" w:hAnsi="宋体" w:cs="宋体"/>
          <w:b/>
          <w:bCs/>
          <w:color w:val="auto"/>
          <w:sz w:val="21"/>
          <w:szCs w:val="21"/>
          <w:highlight w:val="none"/>
        </w:rPr>
        <w:t>“采购需求”</w:t>
      </w:r>
      <w:r>
        <w:rPr>
          <w:rFonts w:hint="eastAsia" w:ascii="宋体" w:hAnsi="宋体" w:cs="宋体"/>
          <w:b/>
          <w:bCs/>
          <w:color w:val="auto"/>
          <w:sz w:val="21"/>
          <w:szCs w:val="21"/>
          <w:highlight w:val="none"/>
          <w:lang w:val="en-US" w:eastAsia="zh-CN"/>
        </w:rPr>
        <w:t>中</w:t>
      </w:r>
      <w:r>
        <w:rPr>
          <w:rFonts w:hint="eastAsia" w:ascii="宋体" w:hAnsi="宋体" w:cs="宋体"/>
          <w:b/>
          <w:bCs/>
          <w:color w:val="auto"/>
          <w:sz w:val="21"/>
          <w:szCs w:val="21"/>
          <w:highlight w:val="none"/>
        </w:rPr>
        <w:t>要求</w:t>
      </w:r>
      <w:r>
        <w:rPr>
          <w:rFonts w:hint="eastAsia" w:ascii="宋体" w:hAnsi="宋体" w:cs="宋体"/>
          <w:b/>
          <w:bCs/>
          <w:color w:val="auto"/>
          <w:sz w:val="21"/>
          <w:szCs w:val="21"/>
          <w:highlight w:val="none"/>
          <w:lang w:val="en-US" w:eastAsia="zh-CN"/>
        </w:rPr>
        <w:t>均</w:t>
      </w:r>
      <w:r>
        <w:rPr>
          <w:rFonts w:hint="eastAsia" w:ascii="宋体" w:hAnsi="宋体" w:cs="宋体"/>
          <w:b/>
          <w:bCs/>
          <w:color w:val="auto"/>
          <w:sz w:val="21"/>
          <w:szCs w:val="21"/>
          <w:highlight w:val="none"/>
        </w:rPr>
        <w:t>为实质性要求，不允许负偏离，否则投标无效</w:t>
      </w:r>
      <w:r>
        <w:rPr>
          <w:rFonts w:hint="eastAsia" w:ascii="宋体" w:hAnsi="宋体" w:cs="宋体"/>
          <w:b/>
          <w:bCs/>
          <w:color w:val="auto"/>
          <w:sz w:val="21"/>
          <w:szCs w:val="21"/>
          <w:highlight w:val="none"/>
          <w:lang w:eastAsia="zh-CN"/>
        </w:rPr>
        <w:t>；</w:t>
      </w:r>
    </w:p>
    <w:p w14:paraId="4C9151FA">
      <w:pPr>
        <w:pStyle w:val="4"/>
        <w:spacing w:before="0" w:after="0" w:line="360" w:lineRule="auto"/>
        <w:ind w:firstLine="420" w:firstLineChars="200"/>
        <w:rPr>
          <w:rFonts w:hint="eastAsia" w:ascii="宋体" w:hAnsi="宋体" w:eastAsia="宋体" w:cs="宋体"/>
          <w:color w:val="auto"/>
          <w:sz w:val="21"/>
          <w:szCs w:val="21"/>
          <w:highlight w:val="none"/>
        </w:rPr>
      </w:pPr>
      <w:bookmarkStart w:id="92" w:name="_Toc15983"/>
      <w:bookmarkStart w:id="93" w:name="_Toc2401"/>
      <w:bookmarkStart w:id="94" w:name="_Toc26672"/>
      <w:bookmarkStart w:id="95" w:name="_Toc18835"/>
      <w:r>
        <w:rPr>
          <w:rFonts w:hint="eastAsia" w:ascii="宋体" w:hAnsi="宋体" w:eastAsia="宋体" w:cs="宋体"/>
          <w:color w:val="auto"/>
          <w:sz w:val="21"/>
          <w:szCs w:val="21"/>
          <w:highlight w:val="none"/>
        </w:rPr>
        <w:t>4. 磋商费用</w:t>
      </w:r>
      <w:bookmarkEnd w:id="86"/>
      <w:bookmarkEnd w:id="92"/>
      <w:bookmarkEnd w:id="93"/>
      <w:bookmarkEnd w:id="94"/>
      <w:bookmarkEnd w:id="95"/>
    </w:p>
    <w:p w14:paraId="1F1E9C9C">
      <w:pPr>
        <w:tabs>
          <w:tab w:val="left" w:pos="1635"/>
        </w:tabs>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不论磋商结果如何，供应商均应自行承担所有与磋商有关的全部费用。</w:t>
      </w:r>
    </w:p>
    <w:p w14:paraId="6395237F">
      <w:pPr>
        <w:pStyle w:val="4"/>
        <w:numPr>
          <w:ilvl w:val="0"/>
          <w:numId w:val="3"/>
        </w:numPr>
        <w:spacing w:before="0" w:after="0" w:line="360" w:lineRule="auto"/>
        <w:ind w:firstLine="420" w:firstLineChars="200"/>
        <w:rPr>
          <w:rFonts w:hint="eastAsia" w:ascii="宋体" w:hAnsi="宋体" w:eastAsia="宋体" w:cs="宋体"/>
          <w:color w:val="auto"/>
          <w:sz w:val="21"/>
          <w:szCs w:val="21"/>
          <w:highlight w:val="none"/>
        </w:rPr>
      </w:pPr>
      <w:bookmarkStart w:id="96" w:name="_Toc6933"/>
      <w:bookmarkStart w:id="97" w:name="_Toc1271"/>
      <w:bookmarkStart w:id="98" w:name="_Toc31376"/>
      <w:bookmarkStart w:id="99" w:name="_Toc31044"/>
      <w:bookmarkStart w:id="100" w:name="_Toc23088"/>
      <w:r>
        <w:rPr>
          <w:rFonts w:hint="eastAsia" w:ascii="宋体" w:hAnsi="宋体" w:eastAsia="宋体" w:cs="宋体"/>
          <w:color w:val="auto"/>
          <w:sz w:val="21"/>
          <w:szCs w:val="21"/>
          <w:highlight w:val="none"/>
        </w:rPr>
        <w:t>联合体要求</w:t>
      </w:r>
      <w:bookmarkEnd w:id="96"/>
      <w:bookmarkEnd w:id="97"/>
      <w:bookmarkEnd w:id="98"/>
      <w:bookmarkEnd w:id="99"/>
      <w:bookmarkEnd w:id="100"/>
    </w:p>
    <w:p w14:paraId="3A4D898F">
      <w:pPr>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本项目不接受联合体参与磋商</w:t>
      </w:r>
    </w:p>
    <w:p w14:paraId="3D207B34">
      <w:pPr>
        <w:pStyle w:val="4"/>
        <w:numPr>
          <w:ilvl w:val="0"/>
          <w:numId w:val="3"/>
        </w:numPr>
        <w:spacing w:before="0" w:after="0" w:line="360" w:lineRule="auto"/>
        <w:ind w:firstLine="420" w:firstLineChars="200"/>
        <w:rPr>
          <w:rFonts w:hint="eastAsia" w:ascii="宋体" w:hAnsi="宋体" w:eastAsia="宋体" w:cs="宋体"/>
          <w:color w:val="auto"/>
          <w:sz w:val="21"/>
          <w:szCs w:val="21"/>
          <w:highlight w:val="none"/>
        </w:rPr>
      </w:pPr>
      <w:bookmarkStart w:id="101" w:name="_Toc19438"/>
      <w:bookmarkStart w:id="102" w:name="_Toc16359"/>
      <w:bookmarkStart w:id="103" w:name="_Toc4152"/>
      <w:bookmarkStart w:id="104" w:name="_Toc6579"/>
      <w:bookmarkStart w:id="105" w:name="_Toc12624"/>
      <w:bookmarkStart w:id="106" w:name="_Toc17658"/>
      <w:r>
        <w:rPr>
          <w:rFonts w:hint="eastAsia" w:ascii="宋体" w:hAnsi="宋体" w:eastAsia="宋体" w:cs="宋体"/>
          <w:color w:val="auto"/>
          <w:sz w:val="21"/>
          <w:szCs w:val="21"/>
          <w:highlight w:val="none"/>
        </w:rPr>
        <w:t>转包与分包</w:t>
      </w:r>
      <w:bookmarkEnd w:id="101"/>
    </w:p>
    <w:p w14:paraId="7B1B4E69">
      <w:pPr>
        <w:bidi w:val="0"/>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.1 本项目不允许转包。</w:t>
      </w:r>
    </w:p>
    <w:p w14:paraId="757BFF18">
      <w:pPr>
        <w:bidi w:val="0"/>
        <w:ind w:firstLine="420" w:firstLineChars="200"/>
        <w:rPr>
          <w:rFonts w:hint="eastAsia" w:ascii="宋体" w:hAnsi="宋体" w:eastAsia="宋体" w:cs="宋体"/>
          <w:bCs/>
          <w:color w:val="auto"/>
          <w:szCs w:val="21"/>
          <w:highlight w:val="none"/>
        </w:rPr>
      </w:pP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 xml:space="preserve">.2 </w:t>
      </w:r>
      <w:r>
        <w:rPr>
          <w:rFonts w:hint="eastAsia"/>
          <w:color w:val="auto"/>
          <w:highlight w:val="none"/>
        </w:rPr>
        <w:t>本项目不可以分包。</w:t>
      </w:r>
    </w:p>
    <w:p w14:paraId="6123785A">
      <w:pPr>
        <w:pStyle w:val="4"/>
        <w:spacing w:before="0" w:after="0" w:line="360" w:lineRule="auto"/>
        <w:ind w:firstLine="420" w:firstLineChars="200"/>
        <w:rPr>
          <w:rFonts w:hint="eastAsia" w:ascii="宋体" w:hAnsi="宋体" w:eastAsia="宋体" w:cs="宋体"/>
          <w:color w:val="auto"/>
          <w:sz w:val="21"/>
          <w:szCs w:val="21"/>
          <w:highlight w:val="none"/>
        </w:rPr>
      </w:pPr>
      <w:bookmarkStart w:id="107" w:name="_Toc27497"/>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质疑和投诉</w:t>
      </w:r>
      <w:bookmarkEnd w:id="107"/>
      <w:r>
        <w:rPr>
          <w:rFonts w:hint="eastAsia" w:ascii="宋体" w:hAnsi="宋体" w:eastAsia="宋体" w:cs="宋体"/>
          <w:color w:val="auto"/>
          <w:sz w:val="21"/>
          <w:szCs w:val="21"/>
          <w:highlight w:val="none"/>
        </w:rPr>
        <w:tab/>
      </w:r>
    </w:p>
    <w:p w14:paraId="19AB2358">
      <w:pPr>
        <w:pStyle w:val="29"/>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u w:val="none"/>
          <w:lang w:val="en-US" w:eastAsia="zh-CN" w:bidi="ar-SA"/>
        </w:rPr>
        <w:t>7</w:t>
      </w:r>
      <w:r>
        <w:rPr>
          <w:rFonts w:hint="eastAsia" w:ascii="宋体" w:hAnsi="宋体" w:eastAsia="宋体" w:cs="宋体"/>
          <w:color w:val="auto"/>
          <w:kern w:val="2"/>
          <w:sz w:val="21"/>
          <w:szCs w:val="21"/>
          <w:highlight w:val="none"/>
          <w:u w:val="none"/>
          <w:lang w:val="en-US" w:eastAsia="zh-CN" w:bidi="ar-SA"/>
        </w:rPr>
        <w:t>.1供应商认为磋商文件使自己的合法权益受到损害的，应当在本项目竞争性磋商公告期限届满之日起七个工作日内以书面形式向采购人或桂林市政府集中采购中心提出质疑。供应商认为招标过程或中标结果使自己的合法权益受到损害的，应当在采购程序环节结束之日或中标</w:t>
      </w:r>
      <w:r>
        <w:rPr>
          <w:rFonts w:hint="eastAsia" w:ascii="宋体" w:hAnsi="宋体" w:cs="宋体"/>
          <w:color w:val="auto"/>
          <w:kern w:val="2"/>
          <w:sz w:val="21"/>
          <w:szCs w:val="21"/>
          <w:highlight w:val="none"/>
          <w:u w:val="none"/>
          <w:lang w:val="en-US" w:eastAsia="zh-CN" w:bidi="ar-SA"/>
        </w:rPr>
        <w:t>（成交）</w:t>
      </w:r>
      <w:r>
        <w:rPr>
          <w:rFonts w:hint="eastAsia" w:ascii="宋体" w:hAnsi="宋体" w:eastAsia="宋体" w:cs="宋体"/>
          <w:color w:val="auto"/>
          <w:kern w:val="2"/>
          <w:sz w:val="21"/>
          <w:szCs w:val="21"/>
          <w:highlight w:val="none"/>
          <w:u w:val="none"/>
          <w:lang w:val="en-US" w:eastAsia="zh-CN" w:bidi="ar-SA"/>
        </w:rPr>
        <w:t>公告期限届满之日起七个工作日内，以书面形式向采购人或桂林市政府集中采购中心提出质疑。</w:t>
      </w:r>
    </w:p>
    <w:p w14:paraId="6ABF3778">
      <w:pPr>
        <w:pStyle w:val="29"/>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接收质疑函方式：以书面形式（原件）提交。</w:t>
      </w:r>
    </w:p>
    <w:p w14:paraId="18F79E36">
      <w:pPr>
        <w:pStyle w:val="29"/>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质疑联系人：桂林市政府集中采购中心，联系电话：0773-5625162</w:t>
      </w:r>
    </w:p>
    <w:p w14:paraId="25913A4D">
      <w:pPr>
        <w:pStyle w:val="29"/>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通讯地址：桂林市临桂区西城中路69号创业大厦西辅楼5楼574室</w:t>
      </w:r>
    </w:p>
    <w:p w14:paraId="101F4DD4">
      <w:pPr>
        <w:pStyle w:val="29"/>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u w:val="none"/>
          <w:lang w:val="en-US" w:eastAsia="zh-CN" w:bidi="ar-SA"/>
        </w:rPr>
        <w:t>7</w:t>
      </w:r>
      <w:r>
        <w:rPr>
          <w:rFonts w:hint="eastAsia" w:ascii="宋体" w:hAnsi="宋体" w:eastAsia="宋体" w:cs="宋体"/>
          <w:color w:val="auto"/>
          <w:kern w:val="2"/>
          <w:sz w:val="21"/>
          <w:szCs w:val="21"/>
          <w:highlight w:val="none"/>
          <w:u w:val="none"/>
          <w:lang w:val="en-US" w:eastAsia="zh-CN" w:bidi="ar-SA"/>
        </w:rPr>
        <w:t>.2收到供应商书面质疑函后，采购人应当在七个工作日内对质疑事项作出答复（答复内容不得涉及商业秘密），并委托采购代理机构以书面形式通知质疑供应商，在财政部门指定的媒体发布质疑答复公告。</w:t>
      </w:r>
    </w:p>
    <w:p w14:paraId="26380139">
      <w:pPr>
        <w:pStyle w:val="29"/>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u w:val="none"/>
          <w:lang w:val="en-US" w:eastAsia="zh-CN" w:bidi="ar-SA"/>
        </w:rPr>
        <w:t>7</w:t>
      </w:r>
      <w:r>
        <w:rPr>
          <w:rFonts w:hint="eastAsia" w:ascii="宋体" w:hAnsi="宋体" w:eastAsia="宋体" w:cs="宋体"/>
          <w:color w:val="auto"/>
          <w:kern w:val="2"/>
          <w:sz w:val="21"/>
          <w:szCs w:val="21"/>
          <w:highlight w:val="none"/>
          <w:u w:val="none"/>
          <w:lang w:val="en-US" w:eastAsia="zh-CN" w:bidi="ar-SA"/>
        </w:rPr>
        <w:t>.3供应商对采购人或采购代理机构的答复不满意，或者采购人或采购代理机构未在规定的时间内作出答复的，可以在答复期满后十五个工作日内向本级财政部门投诉。</w:t>
      </w:r>
    </w:p>
    <w:p w14:paraId="105B4F9F">
      <w:pPr>
        <w:pStyle w:val="29"/>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u w:val="none"/>
          <w:lang w:val="en-US" w:eastAsia="zh-CN" w:bidi="ar-SA"/>
        </w:rPr>
        <w:t>7</w:t>
      </w:r>
      <w:r>
        <w:rPr>
          <w:rFonts w:hint="eastAsia" w:ascii="宋体" w:hAnsi="宋体" w:eastAsia="宋体" w:cs="宋体"/>
          <w:color w:val="auto"/>
          <w:kern w:val="2"/>
          <w:sz w:val="21"/>
          <w:szCs w:val="21"/>
          <w:highlight w:val="none"/>
          <w:u w:val="none"/>
          <w:lang w:val="en-US" w:eastAsia="zh-CN" w:bidi="ar-SA"/>
        </w:rPr>
        <w:t>.4质疑、投诉应当采用书面形式，质疑书、投诉书实行实名制，均应明确阐述招标文件、招标过程或中标结果中使自己合法权益受到损害的实质性内容，并提供必要的证明材料。</w:t>
      </w:r>
    </w:p>
    <w:p w14:paraId="60A363AB">
      <w:pPr>
        <w:pStyle w:val="29"/>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u w:val="none"/>
          <w:lang w:val="en-US" w:eastAsia="zh-CN" w:bidi="ar-SA"/>
        </w:rPr>
        <w:t>7</w:t>
      </w:r>
      <w:r>
        <w:rPr>
          <w:rFonts w:hint="eastAsia" w:ascii="宋体" w:hAnsi="宋体" w:eastAsia="宋体" w:cs="宋体"/>
          <w:color w:val="auto"/>
          <w:kern w:val="2"/>
          <w:sz w:val="21"/>
          <w:szCs w:val="21"/>
          <w:highlight w:val="none"/>
          <w:u w:val="none"/>
          <w:lang w:val="en-US" w:eastAsia="zh-CN" w:bidi="ar-SA"/>
        </w:rPr>
        <w:t>.5供应商在法定质疑期内应当一次性提出针对同一采购程序环节的质疑。</w:t>
      </w:r>
    </w:p>
    <w:p w14:paraId="5A4489F3">
      <w:pPr>
        <w:pStyle w:val="29"/>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u w:val="none"/>
          <w:lang w:val="en-US" w:eastAsia="zh-CN" w:bidi="ar-SA"/>
        </w:rPr>
        <w:t>7</w:t>
      </w:r>
      <w:r>
        <w:rPr>
          <w:rFonts w:hint="eastAsia" w:ascii="宋体" w:hAnsi="宋体" w:eastAsia="宋体" w:cs="宋体"/>
          <w:color w:val="auto"/>
          <w:kern w:val="2"/>
          <w:sz w:val="21"/>
          <w:szCs w:val="21"/>
          <w:highlight w:val="none"/>
          <w:u w:val="none"/>
          <w:lang w:val="en-US" w:eastAsia="zh-CN" w:bidi="ar-SA"/>
        </w:rPr>
        <w:t>.6 不在法定质疑期内提出的质疑函可以拒收。不符合要求的质疑函在法定质疑期内及时补充完整，否则作质疑不成立处理。</w:t>
      </w:r>
    </w:p>
    <w:p w14:paraId="34010E83">
      <w:pPr>
        <w:pStyle w:val="4"/>
        <w:spacing w:before="0" w:after="0" w:line="360" w:lineRule="auto"/>
        <w:ind w:firstLine="420" w:firstLineChars="200"/>
        <w:rPr>
          <w:rFonts w:hint="eastAsia" w:ascii="宋体" w:hAnsi="宋体" w:eastAsia="宋体" w:cs="宋体"/>
          <w:color w:val="auto"/>
          <w:sz w:val="21"/>
          <w:szCs w:val="21"/>
          <w:highlight w:val="none"/>
        </w:rPr>
      </w:pPr>
      <w:bookmarkStart w:id="108" w:name="_Toc22055"/>
      <w:r>
        <w:rPr>
          <w:rFonts w:hint="eastAsia" w:ascii="宋体" w:hAnsi="宋体" w:eastAsia="宋体" w:cs="宋体"/>
          <w:color w:val="auto"/>
          <w:sz w:val="21"/>
          <w:szCs w:val="21"/>
          <w:highlight w:val="none"/>
        </w:rPr>
        <w:t>8. 特别说明</w:t>
      </w:r>
      <w:bookmarkEnd w:id="108"/>
    </w:p>
    <w:p w14:paraId="1DAD0B5B">
      <w:pPr>
        <w:tabs>
          <w:tab w:val="left" w:pos="1635"/>
        </w:tabs>
        <w:spacing w:line="360" w:lineRule="exact"/>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8.1关联供应商不得参加同一合同项下政府采购活动，否则响应文件将被视为无效：</w:t>
      </w:r>
    </w:p>
    <w:p w14:paraId="510872E3">
      <w:pPr>
        <w:tabs>
          <w:tab w:val="left" w:pos="1635"/>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（1）单位负责人为同一人或者存在直接控股、管理关系的，不得参加同一合同项下的政府采购活动。</w:t>
      </w:r>
    </w:p>
    <w:p w14:paraId="0CE96DA1">
      <w:pPr>
        <w:tabs>
          <w:tab w:val="left" w:pos="1635"/>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）为本采购项目提供整体设计、规范编制或者项目管理、监理、检测等服务的供应商，不得再参加本次采购活动。</w:t>
      </w:r>
    </w:p>
    <w:p w14:paraId="4A6826D4">
      <w:pPr>
        <w:tabs>
          <w:tab w:val="left" w:pos="1635"/>
        </w:tabs>
        <w:spacing w:line="360" w:lineRule="exact"/>
        <w:ind w:firstLine="435"/>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8.2</w:t>
      </w:r>
      <w:r>
        <w:rPr>
          <w:rFonts w:hint="eastAsia" w:ascii="宋体" w:hAnsi="宋体" w:eastAsia="宋体" w:cs="宋体"/>
          <w:b/>
          <w:bCs/>
          <w:color w:val="auto"/>
          <w:szCs w:val="21"/>
          <w:highlight w:val="none"/>
        </w:rPr>
        <w:t>提供相同品牌产品的不同供应商参加同一合同项下磋商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bookmarkEnd w:id="102"/>
    <w:bookmarkEnd w:id="103"/>
    <w:bookmarkEnd w:id="104"/>
    <w:bookmarkEnd w:id="105"/>
    <w:bookmarkEnd w:id="106"/>
    <w:p w14:paraId="0962AA2A">
      <w:pPr>
        <w:pStyle w:val="9"/>
        <w:rPr>
          <w:rFonts w:hint="eastAsia" w:ascii="宋体" w:hAnsi="宋体" w:eastAsia="宋体" w:cs="宋体"/>
          <w:color w:val="auto"/>
          <w:highlight w:val="none"/>
        </w:rPr>
      </w:pPr>
    </w:p>
    <w:p w14:paraId="75ECEF67">
      <w:pPr>
        <w:pStyle w:val="3"/>
        <w:jc w:val="center"/>
        <w:rPr>
          <w:rFonts w:hint="eastAsia" w:ascii="宋体" w:hAnsi="宋体" w:eastAsia="宋体" w:cs="宋体"/>
          <w:b/>
          <w:bCs w:val="0"/>
          <w:color w:val="auto"/>
          <w:szCs w:val="28"/>
          <w:highlight w:val="none"/>
        </w:rPr>
      </w:pPr>
      <w:bookmarkStart w:id="109" w:name="_Toc22498"/>
      <w:bookmarkStart w:id="110" w:name="_Toc13647"/>
      <w:bookmarkStart w:id="111" w:name="_Toc2933"/>
      <w:bookmarkStart w:id="112" w:name="_Toc8933"/>
      <w:bookmarkStart w:id="113" w:name="_Toc20463"/>
      <w:r>
        <w:rPr>
          <w:rFonts w:hint="eastAsia" w:ascii="宋体" w:hAnsi="宋体" w:eastAsia="宋体" w:cs="宋体"/>
          <w:b/>
          <w:bCs w:val="0"/>
          <w:color w:val="auto"/>
          <w:szCs w:val="28"/>
          <w:highlight w:val="none"/>
        </w:rPr>
        <w:t>二、磋商文件</w:t>
      </w:r>
      <w:bookmarkEnd w:id="109"/>
      <w:bookmarkEnd w:id="110"/>
      <w:bookmarkEnd w:id="111"/>
      <w:bookmarkEnd w:id="112"/>
      <w:bookmarkEnd w:id="113"/>
    </w:p>
    <w:p w14:paraId="0AE9107D">
      <w:pPr>
        <w:pStyle w:val="4"/>
        <w:spacing w:before="0" w:after="0" w:line="360" w:lineRule="auto"/>
        <w:ind w:firstLine="420" w:firstLineChars="200"/>
        <w:rPr>
          <w:rFonts w:hint="eastAsia" w:ascii="宋体" w:hAnsi="宋体" w:eastAsia="宋体" w:cs="宋体"/>
          <w:color w:val="auto"/>
          <w:sz w:val="21"/>
          <w:szCs w:val="21"/>
          <w:highlight w:val="none"/>
          <w:lang w:val="pt-BR"/>
        </w:rPr>
      </w:pPr>
      <w:bookmarkStart w:id="114" w:name="_Toc16130"/>
      <w:bookmarkStart w:id="115" w:name="_Toc26780"/>
      <w:bookmarkStart w:id="116" w:name="_Toc23298"/>
      <w:bookmarkStart w:id="117" w:name="_Toc20523"/>
      <w:bookmarkStart w:id="118" w:name="_Toc18964"/>
      <w:r>
        <w:rPr>
          <w:rFonts w:hint="eastAsia" w:ascii="宋体" w:hAnsi="宋体" w:eastAsia="宋体" w:cs="宋体"/>
          <w:color w:val="auto"/>
          <w:sz w:val="21"/>
          <w:szCs w:val="21"/>
          <w:highlight w:val="none"/>
          <w:lang w:val="pt-BR"/>
        </w:rPr>
        <w:t xml:space="preserve">9. </w:t>
      </w:r>
      <w:r>
        <w:rPr>
          <w:rFonts w:hint="eastAsia" w:ascii="宋体" w:hAnsi="宋体" w:eastAsia="宋体" w:cs="宋体"/>
          <w:color w:val="auto"/>
          <w:sz w:val="21"/>
          <w:szCs w:val="21"/>
          <w:highlight w:val="none"/>
        </w:rPr>
        <w:t>磋商文件的构成</w:t>
      </w:r>
      <w:bookmarkEnd w:id="114"/>
      <w:bookmarkEnd w:id="115"/>
      <w:bookmarkEnd w:id="116"/>
      <w:bookmarkEnd w:id="117"/>
      <w:bookmarkEnd w:id="118"/>
    </w:p>
    <w:p w14:paraId="75BE3ECC">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08F74075">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34614625">
      <w:pPr>
        <w:spacing w:beforeLines="0" w:afterLines="0"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（3）采购需求</w:t>
      </w:r>
      <w:r>
        <w:rPr>
          <w:rFonts w:hint="eastAsia" w:ascii="宋体" w:hAnsi="宋体" w:eastAsia="宋体" w:cs="宋体"/>
          <w:bCs/>
          <w:color w:val="auto"/>
          <w:szCs w:val="21"/>
          <w:highlight w:val="none"/>
        </w:rPr>
        <w:t>；</w:t>
      </w:r>
    </w:p>
    <w:p w14:paraId="5B9ECD16">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（4）评审办法；</w:t>
      </w:r>
    </w:p>
    <w:p w14:paraId="303C3944">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（5）采购合同（合同主要条款及格式）；</w:t>
      </w:r>
    </w:p>
    <w:p w14:paraId="0B1F09CF">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（6）响应文件（格式）。</w:t>
      </w:r>
    </w:p>
    <w:p w14:paraId="3FEC6B29">
      <w:pPr>
        <w:pStyle w:val="4"/>
        <w:spacing w:before="0" w:after="0" w:line="360" w:lineRule="auto"/>
        <w:ind w:firstLine="420" w:firstLineChars="200"/>
        <w:rPr>
          <w:rFonts w:hint="eastAsia" w:ascii="宋体" w:hAnsi="宋体" w:eastAsia="宋体" w:cs="宋体"/>
          <w:color w:val="auto"/>
          <w:sz w:val="21"/>
          <w:szCs w:val="21"/>
          <w:highlight w:val="none"/>
        </w:rPr>
      </w:pPr>
      <w:bookmarkStart w:id="119" w:name="_Toc14609"/>
      <w:bookmarkStart w:id="120" w:name="_Toc16622"/>
      <w:bookmarkStart w:id="121" w:name="_Toc17224"/>
      <w:bookmarkStart w:id="122" w:name="_Toc9103"/>
      <w:bookmarkStart w:id="123" w:name="_Toc1452"/>
      <w:r>
        <w:rPr>
          <w:rFonts w:hint="eastAsia" w:ascii="宋体" w:hAnsi="宋体" w:eastAsia="宋体" w:cs="宋体"/>
          <w:color w:val="auto"/>
          <w:sz w:val="21"/>
          <w:szCs w:val="21"/>
          <w:highlight w:val="none"/>
        </w:rPr>
        <w:t>10. 磋商文件的澄清与修改</w:t>
      </w:r>
      <w:bookmarkEnd w:id="119"/>
      <w:bookmarkEnd w:id="120"/>
      <w:bookmarkEnd w:id="121"/>
      <w:bookmarkEnd w:id="122"/>
      <w:bookmarkEnd w:id="123"/>
    </w:p>
    <w:p w14:paraId="26F02DF1">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提交首次响应文件截止之日前，采购代理机构可以对已发出的磋商文件进行必要澄清、答复、修改或</w:t>
      </w:r>
    </w:p>
    <w:p w14:paraId="16B70257">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补充，澄清或者修改的内容可能影响响应文件编制的，澄清或者修改的内容作为磋商文件的组成部分。采购代理机构应当在提交首次响应文件递交截止时间</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前在本项目竞争性磋商公告发布的同一媒体上发布更正公告，不足</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的，应当顺延首次响应文件递交截止时间。</w:t>
      </w:r>
    </w:p>
    <w:p w14:paraId="1C3A65C7">
      <w:pPr>
        <w:spacing w:beforeLines="0" w:afterLines="0" w:line="360" w:lineRule="auto"/>
        <w:ind w:left="0" w:leftChars="0"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10.2</w:t>
      </w:r>
      <w:r>
        <w:rPr>
          <w:rFonts w:hint="eastAsia" w:ascii="宋体" w:hAnsi="宋体" w:eastAsia="宋体" w:cs="宋体"/>
          <w:b/>
          <w:bCs/>
          <w:color w:val="auto"/>
          <w:szCs w:val="21"/>
          <w:highlight w:val="none"/>
        </w:rPr>
        <w:t>供应商应实时关注本项目信息公告发布媒体相关网站了解澄清、修改等与项目有关的内容，如因供应</w:t>
      </w:r>
    </w:p>
    <w:p w14:paraId="3586CE5E">
      <w:pPr>
        <w:spacing w:beforeLines="0" w:afterLines="0" w:line="360" w:lineRule="auto"/>
        <w:ind w:left="0" w:leftChars="0"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商未及时登录相关网站了解澄清、修改等与项目有关的内容，从而导致响应文件无效的，由供应商自行承担责任。</w:t>
      </w:r>
    </w:p>
    <w:p w14:paraId="73BE171F">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10.3澄清或者修改的内容为磋商文件的组成部分。当澄清或者修改通知就同一内容的表述不一致时，以最</w:t>
      </w:r>
    </w:p>
    <w:p w14:paraId="658D6CF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后发出的文件为准。</w:t>
      </w:r>
    </w:p>
    <w:p w14:paraId="7A03E9D4">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 磋商文件的澄清或者修改都应该通过本项目采购代理机构以法定形式发布，采购人非通过本机构，不</w:t>
      </w:r>
    </w:p>
    <w:p w14:paraId="04815D4E">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得擅自澄清或者修改磋商文件。</w:t>
      </w:r>
    </w:p>
    <w:p w14:paraId="0968D55A">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10.5采购单位可以视采购具体情况，延长响应文件截止时间和磋商时间，在本项目竞争性磋商公告发布的</w:t>
      </w:r>
    </w:p>
    <w:p w14:paraId="0F17B5A8">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同一媒体上发布变更公告。</w:t>
      </w:r>
    </w:p>
    <w:p w14:paraId="1E9A50C9">
      <w:pPr>
        <w:pStyle w:val="29"/>
        <w:rPr>
          <w:rFonts w:hint="eastAsia" w:ascii="宋体" w:hAnsi="宋体" w:eastAsia="宋体" w:cs="宋体"/>
          <w:color w:val="auto"/>
          <w:highlight w:val="none"/>
        </w:rPr>
      </w:pPr>
    </w:p>
    <w:p w14:paraId="7345EA43">
      <w:pPr>
        <w:pStyle w:val="3"/>
        <w:jc w:val="center"/>
        <w:rPr>
          <w:rFonts w:hint="eastAsia" w:ascii="宋体" w:hAnsi="宋体" w:eastAsia="宋体" w:cs="宋体"/>
          <w:b/>
          <w:bCs w:val="0"/>
          <w:color w:val="auto"/>
          <w:szCs w:val="28"/>
          <w:highlight w:val="none"/>
        </w:rPr>
      </w:pPr>
      <w:bookmarkStart w:id="124" w:name="_Toc26342"/>
      <w:bookmarkStart w:id="125" w:name="_Toc16747"/>
      <w:bookmarkStart w:id="126" w:name="_Toc22859"/>
      <w:bookmarkStart w:id="127" w:name="_Toc20830"/>
      <w:bookmarkStart w:id="128" w:name="_Toc20641"/>
      <w:r>
        <w:rPr>
          <w:rFonts w:hint="eastAsia" w:ascii="宋体" w:hAnsi="宋体" w:eastAsia="宋体" w:cs="宋体"/>
          <w:b/>
          <w:bCs w:val="0"/>
          <w:color w:val="auto"/>
          <w:szCs w:val="28"/>
          <w:highlight w:val="none"/>
        </w:rPr>
        <w:t>三、竞争性磋商响应文件的编制</w:t>
      </w:r>
      <w:bookmarkEnd w:id="124"/>
      <w:bookmarkEnd w:id="125"/>
      <w:bookmarkEnd w:id="126"/>
      <w:bookmarkEnd w:id="127"/>
      <w:bookmarkEnd w:id="128"/>
    </w:p>
    <w:p w14:paraId="3F0F3D41">
      <w:pPr>
        <w:pStyle w:val="4"/>
        <w:spacing w:before="0" w:after="0" w:line="360" w:lineRule="auto"/>
        <w:ind w:firstLine="420" w:firstLineChars="200"/>
        <w:jc w:val="left"/>
        <w:rPr>
          <w:rFonts w:hint="eastAsia" w:ascii="宋体" w:hAnsi="宋体" w:eastAsia="宋体" w:cs="宋体"/>
          <w:b/>
          <w:color w:val="auto"/>
          <w:sz w:val="21"/>
          <w:szCs w:val="21"/>
          <w:highlight w:val="none"/>
          <w:lang w:val="en-US" w:eastAsia="zh-CN"/>
        </w:rPr>
      </w:pPr>
      <w:bookmarkStart w:id="129" w:name="_Toc26575"/>
      <w:bookmarkStart w:id="130" w:name="_Toc772"/>
      <w:bookmarkStart w:id="131" w:name="_Toc15096"/>
      <w:bookmarkStart w:id="132" w:name="_Toc1090"/>
      <w:r>
        <w:rPr>
          <w:rFonts w:hint="eastAsia" w:ascii="宋体" w:hAnsi="宋体" w:eastAsia="宋体" w:cs="宋体"/>
          <w:b/>
          <w:color w:val="auto"/>
          <w:sz w:val="21"/>
          <w:szCs w:val="21"/>
          <w:highlight w:val="none"/>
          <w:lang w:val="en-US" w:eastAsia="zh-CN"/>
        </w:rPr>
        <w:t>11.竞争性磋商响应文件编制基本要求</w:t>
      </w:r>
      <w:bookmarkEnd w:id="129"/>
      <w:bookmarkEnd w:id="130"/>
      <w:bookmarkEnd w:id="131"/>
      <w:bookmarkEnd w:id="132"/>
    </w:p>
    <w:p w14:paraId="35FD0539">
      <w:pPr>
        <w:spacing w:beforeLines="0" w:afterLines="0" w:line="360" w:lineRule="auto"/>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11.1 本项目实行电子投标，供应商应准备电子磋商响应文件：</w:t>
      </w:r>
    </w:p>
    <w:p w14:paraId="03D6D483">
      <w:pPr>
        <w:spacing w:beforeLines="0" w:afterLines="0" w:line="360" w:lineRule="auto"/>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11.1.1 电子响应文件按</w:t>
      </w:r>
      <w:r>
        <w:rPr>
          <w:rFonts w:hint="eastAsia" w:ascii="宋体" w:hAnsi="宋体" w:cs="宋体"/>
          <w:b/>
          <w:bCs/>
          <w:color w:val="auto"/>
          <w:szCs w:val="21"/>
          <w:highlight w:val="none"/>
          <w:lang w:val="en-US" w:eastAsia="zh-CN"/>
        </w:rPr>
        <w:t>广西政府采购云平台</w:t>
      </w:r>
      <w:r>
        <w:rPr>
          <w:rFonts w:hint="eastAsia" w:ascii="宋体" w:hAnsi="宋体" w:eastAsia="宋体" w:cs="宋体"/>
          <w:b/>
          <w:bCs/>
          <w:color w:val="auto"/>
          <w:szCs w:val="21"/>
          <w:highlight w:val="none"/>
          <w:lang w:val="en-US" w:eastAsia="zh-CN"/>
        </w:rPr>
        <w:t>要求及本磋商文件要求制作、加密并递交。具体操作流程可参考《政府采购项目电子交易管理操作指南-供应商》，指南可在</w:t>
      </w:r>
      <w:r>
        <w:rPr>
          <w:rFonts w:ascii="宋体" w:hAnsi="宋体" w:cs="宋体"/>
          <w:b/>
          <w:bCs/>
          <w:color w:val="auto"/>
          <w:szCs w:val="21"/>
        </w:rPr>
        <w:t xml:space="preserve"> “</w:t>
      </w:r>
      <w:r>
        <w:rPr>
          <w:rFonts w:hint="eastAsia" w:ascii="宋体" w:hAnsi="宋体" w:cs="宋体"/>
          <w:b/>
          <w:bCs/>
          <w:color w:val="auto"/>
          <w:szCs w:val="21"/>
        </w:rPr>
        <w:t>广西政府采购云平台</w:t>
      </w:r>
      <w:r>
        <w:rPr>
          <w:rFonts w:ascii="宋体" w:hAnsi="宋体" w:cs="宋体"/>
          <w:b/>
          <w:bCs/>
          <w:color w:val="auto"/>
          <w:szCs w:val="21"/>
        </w:rPr>
        <w:t>”</w:t>
      </w:r>
      <w:r>
        <w:rPr>
          <w:rFonts w:hint="eastAsia" w:ascii="宋体" w:hAnsi="宋体" w:eastAsia="宋体" w:cs="宋体"/>
          <w:b/>
          <w:bCs/>
          <w:color w:val="auto"/>
          <w:szCs w:val="21"/>
          <w:highlight w:val="none"/>
          <w:lang w:val="en-US" w:eastAsia="zh-CN"/>
        </w:rPr>
        <w:t xml:space="preserve">下载。 </w:t>
      </w:r>
    </w:p>
    <w:p w14:paraId="30D2EDE7">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竞争性磋商响应文件（以下简称响应文件）的组成及要求</w:t>
      </w:r>
    </w:p>
    <w:p w14:paraId="2D5102B5">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2.1</w:t>
      </w:r>
      <w:r>
        <w:rPr>
          <w:rFonts w:hint="eastAsia" w:ascii="宋体" w:hAnsi="宋体" w:eastAsia="宋体" w:cs="宋体"/>
          <w:b/>
          <w:bCs/>
          <w:color w:val="auto"/>
          <w:szCs w:val="21"/>
          <w:highlight w:val="none"/>
        </w:rPr>
        <w:t>响应文件组成【格式见第六章“响应文件（格式）”】</w:t>
      </w:r>
    </w:p>
    <w:p w14:paraId="45E96B92">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资格性响应证明材料：</w:t>
      </w:r>
    </w:p>
    <w:p w14:paraId="1A60A7F8">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（1）供应商相应的法定代表人、负责人、自然人身份证正反两面</w:t>
      </w:r>
      <w:r>
        <w:rPr>
          <w:rFonts w:hint="eastAsia" w:ascii="宋体" w:hAnsi="宋体" w:cs="宋体"/>
          <w:color w:val="auto"/>
          <w:szCs w:val="21"/>
          <w:highlight w:val="none"/>
          <w:lang w:eastAsia="zh-CN"/>
        </w:rPr>
        <w:t>扫描件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59980288">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（2）供应商的授权委托书原件、委托代理人身份证正反面</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以及由县级以上（含县级）社会养老保险经办机构出具的供应商为委托代理人交纳的响应文件递交截止时间前</w:t>
      </w:r>
      <w:r>
        <w:rPr>
          <w:rFonts w:hint="eastAsia" w:ascii="宋体" w:hAnsi="宋体" w:cs="宋体"/>
          <w:color w:val="auto"/>
          <w:szCs w:val="21"/>
          <w:highlight w:val="none"/>
          <w:lang w:eastAsia="zh-CN"/>
        </w:rPr>
        <w:t>三个月内任意一个月养老保险证明扫描件</w:t>
      </w:r>
      <w:r>
        <w:rPr>
          <w:rFonts w:hint="eastAsia" w:ascii="宋体" w:hAnsi="宋体" w:eastAsia="宋体" w:cs="宋体"/>
          <w:color w:val="auto"/>
          <w:szCs w:val="21"/>
          <w:highlight w:val="none"/>
        </w:rPr>
        <w:t>，除供应商为以下</w:t>
      </w:r>
      <w:r>
        <w:rPr>
          <w:rFonts w:hint="eastAsia" w:ascii="宋体" w:hAnsi="宋体" w:cs="宋体"/>
          <w:color w:val="auto"/>
          <w:szCs w:val="21"/>
          <w:highlight w:val="none"/>
          <w:lang w:val="en-US" w:eastAsia="zh-CN"/>
        </w:rPr>
        <w:t>四</w:t>
      </w:r>
      <w:r>
        <w:rPr>
          <w:rFonts w:hint="eastAsia" w:ascii="宋体" w:hAnsi="宋体" w:eastAsia="宋体" w:cs="宋体"/>
          <w:color w:val="auto"/>
          <w:szCs w:val="21"/>
          <w:highlight w:val="none"/>
        </w:rPr>
        <w:t>种情形的：</w:t>
      </w:r>
    </w:p>
    <w:p w14:paraId="6E830326">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①如供应商为截标时间前60日以内成立的公司，可以提供供应商与委托代理人签订的劳动合同</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代替</w:t>
      </w:r>
      <w:r>
        <w:rPr>
          <w:rFonts w:hint="eastAsia" w:ascii="宋体" w:hAnsi="宋体" w:cs="宋体"/>
          <w:color w:val="auto"/>
          <w:szCs w:val="21"/>
          <w:highlight w:val="none"/>
          <w:lang w:eastAsia="zh-CN"/>
        </w:rPr>
        <w:t>养老保险证明扫描件</w:t>
      </w:r>
      <w:r>
        <w:rPr>
          <w:rFonts w:hint="eastAsia" w:ascii="宋体" w:hAnsi="宋体" w:eastAsia="宋体" w:cs="宋体"/>
          <w:color w:val="auto"/>
          <w:szCs w:val="21"/>
          <w:highlight w:val="none"/>
        </w:rPr>
        <w:t>；</w:t>
      </w:r>
    </w:p>
    <w:p w14:paraId="015DF681">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②如供应商为事业单位，可以提供事业单位机构编制管理证</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或事业单位机构为其发放工资的工资条</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代替</w:t>
      </w:r>
      <w:r>
        <w:rPr>
          <w:rFonts w:hint="eastAsia" w:ascii="宋体" w:hAnsi="宋体" w:cs="宋体"/>
          <w:color w:val="auto"/>
          <w:szCs w:val="21"/>
          <w:highlight w:val="none"/>
          <w:lang w:eastAsia="zh-CN"/>
        </w:rPr>
        <w:t>养老保险证明扫描件</w:t>
      </w:r>
      <w:r>
        <w:rPr>
          <w:rFonts w:hint="eastAsia" w:ascii="宋体" w:hAnsi="宋体" w:eastAsia="宋体" w:cs="宋体"/>
          <w:color w:val="auto"/>
          <w:szCs w:val="21"/>
          <w:highlight w:val="none"/>
        </w:rPr>
        <w:t>；</w:t>
      </w:r>
    </w:p>
    <w:p w14:paraId="1FCDFC45">
      <w:pPr>
        <w:spacing w:beforeLines="0" w:afterLines="0" w:line="360" w:lineRule="auto"/>
        <w:ind w:firstLine="420" w:firstLineChars="200"/>
        <w:jc w:val="left"/>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③如委托代理人为免缴纳</w:t>
      </w:r>
      <w:r>
        <w:rPr>
          <w:rFonts w:hint="eastAsia" w:ascii="宋体" w:hAnsi="宋体" w:cs="宋体"/>
          <w:color w:val="auto"/>
          <w:szCs w:val="21"/>
          <w:highlight w:val="none"/>
          <w:lang w:eastAsia="zh-CN"/>
        </w:rPr>
        <w:t>养老保险</w:t>
      </w:r>
      <w:r>
        <w:rPr>
          <w:rFonts w:hint="eastAsia" w:ascii="宋体" w:hAnsi="宋体" w:eastAsia="宋体" w:cs="宋体"/>
          <w:color w:val="auto"/>
          <w:szCs w:val="21"/>
          <w:highlight w:val="none"/>
        </w:rPr>
        <w:t>人员，提供免缴纳</w:t>
      </w:r>
      <w:r>
        <w:rPr>
          <w:rFonts w:hint="eastAsia" w:ascii="宋体" w:hAnsi="宋体" w:cs="宋体"/>
          <w:color w:val="auto"/>
          <w:szCs w:val="21"/>
          <w:highlight w:val="none"/>
          <w:lang w:eastAsia="zh-CN"/>
        </w:rPr>
        <w:t>养老保险</w:t>
      </w:r>
      <w:r>
        <w:rPr>
          <w:rFonts w:hint="eastAsia" w:ascii="宋体" w:hAnsi="宋体" w:eastAsia="宋体" w:cs="宋体"/>
          <w:color w:val="auto"/>
          <w:szCs w:val="21"/>
          <w:highlight w:val="none"/>
        </w:rPr>
        <w:t>的证明材料</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及供应商与委托代理人签订的劳动合同</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代替</w:t>
      </w:r>
      <w:r>
        <w:rPr>
          <w:rFonts w:hint="eastAsia" w:ascii="宋体" w:hAnsi="宋体" w:cs="宋体"/>
          <w:color w:val="auto"/>
          <w:szCs w:val="21"/>
          <w:highlight w:val="none"/>
          <w:lang w:eastAsia="zh-CN"/>
        </w:rPr>
        <w:t>养老保险证明扫描件；</w:t>
      </w:r>
    </w:p>
    <w:p w14:paraId="1984F5FB">
      <w:pPr>
        <w:spacing w:beforeLines="0" w:after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401418B3">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【属自然人的应提供由县级以上（含县级）社会养老保险经办机构出具的自然人本人及委托代理人所交纳的响应文件递交截止时间前</w:t>
      </w:r>
      <w:r>
        <w:rPr>
          <w:rFonts w:hint="eastAsia" w:ascii="宋体" w:hAnsi="宋体" w:cs="宋体"/>
          <w:b/>
          <w:bCs/>
          <w:color w:val="auto"/>
          <w:szCs w:val="21"/>
          <w:highlight w:val="none"/>
          <w:lang w:eastAsia="zh-CN"/>
        </w:rPr>
        <w:t>三个月内任意一个月养老保险证明扫描件，</w:t>
      </w:r>
      <w:r>
        <w:rPr>
          <w:rFonts w:hint="eastAsia" w:ascii="宋体" w:hAnsi="宋体" w:cs="宋体"/>
          <w:b/>
          <w:bCs/>
          <w:color w:val="auto"/>
          <w:szCs w:val="21"/>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（委托代理时必须提供；如为联合体的，授权委托书原件须由牵头人出具）</w:t>
      </w:r>
    </w:p>
    <w:p w14:paraId="72BF623C">
      <w:pPr>
        <w:numPr>
          <w:ilvl w:val="-1"/>
          <w:numId w:val="0"/>
        </w:numPr>
        <w:spacing w:line="360" w:lineRule="auto"/>
        <w:ind w:firstLine="210" w:firstLineChars="1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lang w:eastAsia="zh-CN"/>
        </w:rPr>
        <w:t>参加政府采购活动前3年内在经营活动中没有重大违法记录及有关信用信息的书面声明或专项信用报告</w:t>
      </w:r>
      <w:r>
        <w:rPr>
          <w:rFonts w:hint="eastAsia" w:ascii="宋体" w:hAnsi="宋体" w:eastAsia="宋体" w:cs="宋体"/>
          <w:b/>
          <w:bCs/>
          <w:color w:val="auto"/>
          <w:szCs w:val="21"/>
          <w:highlight w:val="none"/>
        </w:rPr>
        <w:t>（必须提供）；</w:t>
      </w:r>
    </w:p>
    <w:p w14:paraId="49363E38">
      <w:pPr>
        <w:pStyle w:val="9"/>
        <w:numPr>
          <w:ilvl w:val="0"/>
          <w:numId w:val="0"/>
        </w:numPr>
        <w:ind w:firstLine="420" w:firstLineChars="200"/>
        <w:rPr>
          <w:rFonts w:hint="eastAsia" w:ascii="宋体" w:hAnsi="宋体" w:eastAsia="宋体" w:cs="宋体"/>
          <w:color w:val="auto"/>
          <w:highlight w:val="none"/>
        </w:rPr>
      </w:pPr>
      <w:r>
        <w:rPr>
          <w:rFonts w:hint="eastAsia" w:ascii="宋体" w:hAnsi="宋体" w:eastAsia="宋体" w:cs="宋体"/>
          <w:b/>
          <w:bCs/>
          <w:color w:val="auto"/>
          <w:lang w:eastAsia="zh-CN"/>
        </w:rPr>
        <w:t>注：</w:t>
      </w:r>
      <w:r>
        <w:rPr>
          <w:rFonts w:hint="eastAsia" w:ascii="宋体" w:hAnsi="宋体" w:eastAsia="宋体" w:cs="宋体"/>
          <w:b/>
          <w:bCs/>
          <w:color w:val="auto"/>
          <w:lang w:val="en-US" w:eastAsia="zh-CN"/>
        </w:rPr>
        <w:t>供应商</w:t>
      </w:r>
      <w:r>
        <w:rPr>
          <w:rFonts w:hint="eastAsia" w:ascii="宋体" w:hAnsi="宋体" w:eastAsia="宋体" w:cs="宋体"/>
          <w:b/>
          <w:bCs/>
          <w:color w:val="auto"/>
          <w:lang w:eastAsia="zh-CN"/>
        </w:rPr>
        <w:t>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w:t>
      </w:r>
      <w:r>
        <w:rPr>
          <w:rFonts w:hint="eastAsia" w:ascii="宋体" w:hAnsi="宋体" w:eastAsia="宋体" w:cs="宋体"/>
          <w:b/>
          <w:bCs/>
          <w:color w:val="auto"/>
          <w:lang w:val="en-US" w:eastAsia="zh-CN"/>
        </w:rPr>
        <w:t>供应商</w:t>
      </w:r>
      <w:r>
        <w:rPr>
          <w:rFonts w:hint="eastAsia" w:ascii="宋体" w:hAnsi="宋体" w:eastAsia="宋体" w:cs="宋体"/>
          <w:b/>
          <w:bCs/>
          <w:color w:val="auto"/>
          <w:lang w:eastAsia="zh-CN"/>
        </w:rPr>
        <w:t>根据注册地信用中国网站的要求获取。</w:t>
      </w:r>
    </w:p>
    <w:p w14:paraId="1DC93B08">
      <w:pPr>
        <w:numPr>
          <w:ilvl w:val="0"/>
          <w:numId w:val="4"/>
        </w:num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供应商的法人或者其他组织营业执照等证明文件</w:t>
      </w:r>
      <w:r>
        <w:rPr>
          <w:rFonts w:hint="eastAsia" w:ascii="宋体" w:hAnsi="宋体" w:cs="宋体"/>
          <w:color w:val="auto"/>
          <w:szCs w:val="21"/>
          <w:highlight w:val="none"/>
          <w:lang w:eastAsia="zh-CN"/>
        </w:rPr>
        <w:t>扫描件</w:t>
      </w:r>
      <w:r>
        <w:rPr>
          <w:rFonts w:hint="eastAsia" w:ascii="宋体" w:hAnsi="宋体" w:eastAsia="宋体" w:cs="宋体"/>
          <w:b/>
          <w:bCs/>
          <w:color w:val="auto"/>
          <w:szCs w:val="21"/>
          <w:highlight w:val="none"/>
        </w:rPr>
        <w:t>（必须提供，自然人除外）；</w:t>
      </w:r>
    </w:p>
    <w:p w14:paraId="2E65BF23">
      <w:pPr>
        <w:tabs>
          <w:tab w:val="left" w:pos="1305"/>
        </w:tabs>
        <w:spacing w:line="400" w:lineRule="exact"/>
        <w:ind w:firstLine="420" w:firstLineChars="200"/>
        <w:rPr>
          <w:rFonts w:ascii="宋体" w:hAnsi="宋体" w:cs="宋体"/>
          <w:color w:val="auto"/>
          <w:szCs w:val="21"/>
          <w:u w:val="none"/>
        </w:rPr>
      </w:pPr>
      <w:r>
        <w:rPr>
          <w:rFonts w:hint="eastAsia" w:ascii="宋体" w:hAnsi="宋体" w:cs="宋体"/>
          <w:b/>
          <w:color w:val="auto"/>
          <w:szCs w:val="21"/>
          <w:u w:val="none"/>
        </w:rPr>
        <w:t>注：供应商为企业（包括合伙企业），应提供</w:t>
      </w:r>
      <w:r>
        <w:rPr>
          <w:rFonts w:hint="eastAsia" w:ascii="宋体" w:hAnsi="宋体" w:cs="宋体"/>
          <w:b/>
          <w:color w:val="auto"/>
          <w:szCs w:val="21"/>
          <w:u w:val="none"/>
          <w:lang w:eastAsia="zh-CN"/>
        </w:rPr>
        <w:t>市场监管部门（登记机关）</w:t>
      </w:r>
      <w:r>
        <w:rPr>
          <w:rFonts w:hint="eastAsia" w:ascii="宋体" w:hAnsi="宋体" w:cs="宋体"/>
          <w:b/>
          <w:color w:val="auto"/>
          <w:szCs w:val="21"/>
          <w:u w:val="non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66C2AFFA">
      <w:pPr>
        <w:numPr>
          <w:ilvl w:val="0"/>
          <w:numId w:val="4"/>
        </w:num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财务状况报告</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color w:val="auto"/>
          <w:szCs w:val="21"/>
          <w:highlight w:val="none"/>
        </w:rPr>
        <w:t>；</w:t>
      </w:r>
    </w:p>
    <w:p w14:paraId="1FEF43CD">
      <w:pPr>
        <w:numPr>
          <w:ilvl w:val="0"/>
          <w:numId w:val="4"/>
        </w:num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供应商近半年内任意一个月或任一季度依法缴纳税收的证明材料【增值税发票(税收完税证明)或企业所得税完税证明或税务部门出具的免税证明</w:t>
      </w:r>
      <w:r>
        <w:rPr>
          <w:rFonts w:hint="eastAsia" w:ascii="宋体" w:hAnsi="宋体" w:cs="宋体"/>
          <w:color w:val="auto"/>
          <w:szCs w:val="21"/>
          <w:lang w:eastAsia="zh-CN"/>
        </w:rPr>
        <w:t>或税务部门出具的无欠税证明</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扫描件</w:t>
      </w:r>
      <w:r>
        <w:rPr>
          <w:rFonts w:hint="eastAsia" w:ascii="宋体" w:hAnsi="宋体" w:eastAsia="宋体" w:cs="宋体"/>
          <w:b/>
          <w:bCs/>
          <w:color w:val="auto"/>
          <w:szCs w:val="21"/>
          <w:highlight w:val="none"/>
        </w:rPr>
        <w:t>（必须提供）</w:t>
      </w:r>
      <w:r>
        <w:rPr>
          <w:rFonts w:hint="eastAsia" w:ascii="宋体" w:hAnsi="宋体" w:cs="宋体"/>
          <w:b/>
          <w:bCs/>
          <w:color w:val="auto"/>
          <w:szCs w:val="21"/>
          <w:highlight w:val="none"/>
          <w:lang w:eastAsia="zh-CN"/>
        </w:rPr>
        <w:t>；</w:t>
      </w:r>
    </w:p>
    <w:p w14:paraId="3375D481">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（7）《中小企业声明函》（见附件）</w:t>
      </w:r>
      <w:r>
        <w:rPr>
          <w:rFonts w:hint="eastAsia" w:ascii="宋体" w:hAnsi="宋体" w:eastAsia="宋体" w:cs="宋体"/>
          <w:b/>
          <w:bCs/>
          <w:color w:val="auto"/>
          <w:szCs w:val="21"/>
          <w:highlight w:val="none"/>
          <w:lang w:val="en-US" w:eastAsia="zh-CN"/>
        </w:rPr>
        <w:t>（除监狱企业及残疾人福利性单位外，必须提供）；</w:t>
      </w:r>
    </w:p>
    <w:p w14:paraId="485FBE1D">
      <w:pPr>
        <w:spacing w:line="360" w:lineRule="auto"/>
        <w:ind w:firstLine="420" w:firstLineChars="200"/>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（8）如提供服务的供应商属于监狱企业的，应当提供由省级以上监狱管理局、戒毒管理局等（含新疆生产建设兵团）出具的属于监狱企业的证明文件, 否则不予享受优惠政策</w:t>
      </w:r>
      <w:r>
        <w:rPr>
          <w:rFonts w:hint="eastAsia" w:ascii="宋体" w:hAnsi="宋体" w:eastAsia="宋体" w:cs="宋体"/>
          <w:b/>
          <w:bCs/>
          <w:color w:val="auto"/>
          <w:szCs w:val="21"/>
          <w:highlight w:val="none"/>
          <w:lang w:val="en-US" w:eastAsia="zh-CN"/>
        </w:rPr>
        <w:t>（如供应商属于监狱企业的，则必须提供）；</w:t>
      </w:r>
    </w:p>
    <w:p w14:paraId="0450389F">
      <w:pPr>
        <w:spacing w:line="360" w:lineRule="auto"/>
        <w:ind w:firstLine="420" w:firstLineChars="200"/>
        <w:rPr>
          <w:rFonts w:hint="eastAsia" w:ascii="宋体" w:hAnsi="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（9）符合条件的残疾人福利性单位在参加政府采购活动时，应当提供《残疾人福利性单位声明函》（见附件），并对声明的真实性负责；</w:t>
      </w:r>
      <w:r>
        <w:rPr>
          <w:rFonts w:hint="eastAsia" w:ascii="宋体" w:hAnsi="宋体" w:eastAsia="宋体" w:cs="宋体"/>
          <w:b/>
          <w:bCs/>
          <w:color w:val="auto"/>
          <w:szCs w:val="21"/>
          <w:highlight w:val="none"/>
          <w:lang w:val="en-US" w:eastAsia="zh-CN"/>
        </w:rPr>
        <w:t>（如供应商属于残疾人福利性单位的，则必须提供）</w:t>
      </w:r>
      <w:r>
        <w:rPr>
          <w:rFonts w:hint="eastAsia" w:ascii="宋体" w:hAnsi="宋体" w:cs="宋体"/>
          <w:b/>
          <w:bCs/>
          <w:color w:val="auto"/>
          <w:szCs w:val="21"/>
          <w:highlight w:val="none"/>
          <w:lang w:val="en-US" w:eastAsia="zh-CN"/>
        </w:rPr>
        <w:t>；</w:t>
      </w:r>
    </w:p>
    <w:p w14:paraId="30A59D13">
      <w:pPr>
        <w:pStyle w:val="19"/>
        <w:spacing w:beforeLines="0" w:afterLines="0"/>
        <w:ind w:left="0" w:leftChars="0" w:firstLine="420"/>
        <w:jc w:val="left"/>
        <w:rPr>
          <w:rFonts w:hint="eastAsia" w:ascii="宋体" w:hAnsi="宋体" w:eastAsia="宋体" w:cs="宋体"/>
          <w:color w:val="auto"/>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1.2</w:t>
      </w:r>
      <w:r>
        <w:rPr>
          <w:rFonts w:hint="eastAsia" w:ascii="宋体" w:hAnsi="宋体" w:eastAsia="宋体" w:cs="宋体"/>
          <w:b/>
          <w:bCs/>
          <w:color w:val="auto"/>
          <w:szCs w:val="21"/>
          <w:highlight w:val="none"/>
        </w:rPr>
        <w:t>符合性响应证明材料：</w:t>
      </w:r>
    </w:p>
    <w:p w14:paraId="22231FC7">
      <w:pPr>
        <w:spacing w:beforeLines="0" w:afterLines="0"/>
        <w:ind w:left="0" w:leftChars="0" w:firstLine="420" w:firstLineChars="200"/>
        <w:jc w:val="left"/>
        <w:rPr>
          <w:rFonts w:hint="eastAsia" w:ascii="宋体" w:hAnsi="宋体" w:eastAsia="宋体" w:cs="宋体"/>
          <w:color w:val="auto"/>
          <w:szCs w:val="21"/>
          <w:highlight w:val="none"/>
        </w:rPr>
      </w:pPr>
      <w:bookmarkStart w:id="133" w:name="_Toc16312"/>
      <w:bookmarkStart w:id="134" w:name="_Toc28932"/>
      <w:bookmarkStart w:id="135" w:name="_Toc294"/>
      <w:bookmarkStart w:id="136" w:name="_Toc2809"/>
      <w:r>
        <w:rPr>
          <w:rFonts w:hint="eastAsia" w:ascii="宋体" w:hAnsi="宋体" w:eastAsia="宋体" w:cs="宋体"/>
          <w:bCs w:val="0"/>
          <w:color w:val="auto"/>
          <w:sz w:val="21"/>
          <w:szCs w:val="21"/>
          <w:highlight w:val="none"/>
          <w:lang w:val="en-US"/>
        </w:rPr>
        <w:t>（1）响应函（格式见附件）</w:t>
      </w:r>
      <w:r>
        <w:rPr>
          <w:rFonts w:hint="eastAsia" w:ascii="宋体" w:hAnsi="宋体" w:eastAsia="宋体" w:cs="宋体"/>
          <w:b/>
          <w:bCs/>
          <w:color w:val="auto"/>
          <w:sz w:val="21"/>
          <w:szCs w:val="21"/>
          <w:highlight w:val="none"/>
          <w:lang w:val="en-US"/>
        </w:rPr>
        <w:t>（必须提供）</w:t>
      </w:r>
      <w:bookmarkEnd w:id="133"/>
      <w:r>
        <w:rPr>
          <w:rFonts w:hint="eastAsia" w:ascii="宋体" w:hAnsi="宋体" w:eastAsia="宋体" w:cs="宋体"/>
          <w:b/>
          <w:bCs/>
          <w:color w:val="auto"/>
          <w:sz w:val="21"/>
          <w:szCs w:val="21"/>
          <w:highlight w:val="none"/>
          <w:lang w:val="en-US" w:eastAsia="zh-CN"/>
        </w:rPr>
        <w:t>；</w:t>
      </w:r>
      <w:bookmarkEnd w:id="134"/>
      <w:bookmarkEnd w:id="135"/>
      <w:bookmarkEnd w:id="136"/>
    </w:p>
    <w:p w14:paraId="60911E68">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）磋商报价表（格式见附件）</w:t>
      </w:r>
      <w:r>
        <w:rPr>
          <w:rFonts w:hint="eastAsia" w:ascii="宋体" w:hAnsi="宋体" w:eastAsia="宋体" w:cs="宋体"/>
          <w:b/>
          <w:bCs/>
          <w:color w:val="auto"/>
          <w:szCs w:val="21"/>
          <w:highlight w:val="none"/>
        </w:rPr>
        <w:t>（必须提供）；</w:t>
      </w:r>
    </w:p>
    <w:p w14:paraId="3FECDEBA">
      <w:pPr>
        <w:spacing w:beforeLines="0" w:afterLines="0"/>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）服务（技术）响应、商务偏离情况说明表（格式见附件）</w:t>
      </w:r>
      <w:r>
        <w:rPr>
          <w:rFonts w:hint="eastAsia" w:ascii="宋体" w:hAnsi="宋体" w:eastAsia="宋体" w:cs="宋体"/>
          <w:b/>
          <w:bCs/>
          <w:color w:val="auto"/>
          <w:szCs w:val="21"/>
          <w:highlight w:val="none"/>
        </w:rPr>
        <w:t>(必须提供)；</w:t>
      </w:r>
    </w:p>
    <w:p w14:paraId="5302ED09">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）服务承诺书（由供应商根据本项目采购需求、特点及供应商自身的处理能力自行编写，承诺书内容至少应包括“采购需求”中的所有服务条款）</w:t>
      </w:r>
      <w:r>
        <w:rPr>
          <w:rFonts w:hint="eastAsia" w:ascii="宋体" w:hAnsi="宋体" w:eastAsia="宋体" w:cs="宋体"/>
          <w:b w:val="0"/>
          <w:bCs w:val="0"/>
          <w:color w:val="auto"/>
          <w:szCs w:val="21"/>
          <w:highlight w:val="none"/>
        </w:rPr>
        <w:t>（格式见附件）</w:t>
      </w:r>
      <w:r>
        <w:rPr>
          <w:rFonts w:hint="eastAsia" w:ascii="宋体" w:hAnsi="宋体" w:eastAsia="宋体" w:cs="宋体"/>
          <w:b/>
          <w:bCs/>
          <w:color w:val="auto"/>
          <w:szCs w:val="21"/>
          <w:highlight w:val="none"/>
        </w:rPr>
        <w:t>（必须提供）；</w:t>
      </w:r>
    </w:p>
    <w:p w14:paraId="218BEFC1">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针对本项目的服务方案（</w:t>
      </w:r>
      <w:r>
        <w:rPr>
          <w:rFonts w:hint="eastAsia" w:ascii="宋体" w:hAnsi="宋体" w:eastAsia="宋体" w:cs="宋体"/>
          <w:color w:val="auto"/>
          <w:szCs w:val="21"/>
          <w:highlight w:val="none"/>
        </w:rPr>
        <w:t>格式见附件）</w:t>
      </w:r>
      <w:r>
        <w:rPr>
          <w:rFonts w:hint="eastAsia" w:ascii="宋体" w:hAnsi="宋体" w:eastAsia="宋体" w:cs="宋体"/>
          <w:b/>
          <w:bCs/>
          <w:color w:val="auto"/>
          <w:szCs w:val="21"/>
          <w:highlight w:val="none"/>
        </w:rPr>
        <w:t>（必须提供）</w:t>
      </w:r>
      <w:r>
        <w:rPr>
          <w:rFonts w:hint="eastAsia" w:ascii="宋体" w:hAnsi="宋体" w:eastAsia="宋体" w:cs="宋体"/>
          <w:b/>
          <w:bCs/>
          <w:color w:val="auto"/>
          <w:szCs w:val="21"/>
          <w:highlight w:val="none"/>
          <w:lang w:eastAsia="zh-CN"/>
        </w:rPr>
        <w:t>。</w:t>
      </w:r>
    </w:p>
    <w:p w14:paraId="72C65395">
      <w:pPr>
        <w:pStyle w:val="19"/>
        <w:spacing w:beforeLines="0" w:afterLines="0"/>
        <w:ind w:left="0" w:leftChars="0" w:firstLine="42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1.3</w:t>
      </w:r>
      <w:r>
        <w:rPr>
          <w:rFonts w:hint="eastAsia" w:ascii="宋体" w:hAnsi="宋体" w:eastAsia="宋体" w:cs="宋体"/>
          <w:b/>
          <w:bCs/>
          <w:color w:val="auto"/>
          <w:szCs w:val="21"/>
          <w:highlight w:val="none"/>
        </w:rPr>
        <w:t>其他有效证明材料</w:t>
      </w:r>
    </w:p>
    <w:p w14:paraId="4DCDA788">
      <w:pPr>
        <w:spacing w:beforeLines="0" w:afterLines="0" w:line="360" w:lineRule="auto"/>
        <w:ind w:firstLine="420" w:firstLineChars="200"/>
        <w:jc w:val="left"/>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项目实施人员一览表（格式见附件）</w:t>
      </w:r>
      <w:r>
        <w:rPr>
          <w:rFonts w:hint="eastAsia" w:ascii="宋体" w:hAnsi="宋体" w:eastAsia="宋体" w:cs="宋体"/>
          <w:b/>
          <w:bCs/>
          <w:color w:val="auto"/>
          <w:szCs w:val="21"/>
          <w:highlight w:val="none"/>
        </w:rPr>
        <w:t>（如有，请提供）</w:t>
      </w:r>
      <w:r>
        <w:rPr>
          <w:rFonts w:hint="eastAsia" w:ascii="宋体" w:hAnsi="宋体" w:eastAsia="宋体" w:cs="宋体"/>
          <w:b/>
          <w:bCs/>
          <w:color w:val="auto"/>
          <w:szCs w:val="21"/>
          <w:highlight w:val="none"/>
          <w:lang w:eastAsia="zh-CN"/>
        </w:rPr>
        <w:t>；</w:t>
      </w:r>
    </w:p>
    <w:p w14:paraId="0F79FAC5">
      <w:p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）“采购需求”需提供的有效证明文件</w:t>
      </w:r>
      <w:r>
        <w:rPr>
          <w:rFonts w:hint="eastAsia" w:ascii="宋体" w:hAnsi="宋体" w:eastAsia="宋体" w:cs="宋体"/>
          <w:b/>
          <w:bCs/>
          <w:color w:val="auto"/>
          <w:szCs w:val="21"/>
          <w:highlight w:val="none"/>
        </w:rPr>
        <w:t>（如有，请提供）；</w:t>
      </w:r>
    </w:p>
    <w:p w14:paraId="11FDC9D3">
      <w:pPr>
        <w:numPr>
          <w:ilvl w:val="0"/>
          <w:numId w:val="0"/>
        </w:numPr>
        <w:tabs>
          <w:tab w:val="left" w:pos="1305"/>
        </w:tabs>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lang w:eastAsia="zh-CN"/>
        </w:rPr>
        <w:t>自2023年1月1日以来同类业绩的相关证明材料（以中标、成交通知书或签订的采购合同扫描件为准，并能清晰反映所提供的服务类型、种类、金额）</w:t>
      </w:r>
      <w:r>
        <w:rPr>
          <w:rFonts w:hint="eastAsia" w:ascii="宋体" w:hAnsi="宋体" w:eastAsia="宋体" w:cs="宋体"/>
          <w:b/>
          <w:bCs/>
          <w:color w:val="auto"/>
          <w:szCs w:val="21"/>
          <w:highlight w:val="none"/>
        </w:rPr>
        <w:t>（如有，请提供）；</w:t>
      </w:r>
    </w:p>
    <w:p w14:paraId="3FFDA6FA">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供应商可结合本项目的评审办法视自身情况自行提交其它相关证明材料</w:t>
      </w:r>
      <w:r>
        <w:rPr>
          <w:rFonts w:hint="eastAsia" w:ascii="宋体" w:hAnsi="宋体" w:eastAsia="宋体" w:cs="宋体"/>
          <w:b/>
          <w:bCs/>
          <w:color w:val="auto"/>
          <w:szCs w:val="21"/>
          <w:highlight w:val="none"/>
        </w:rPr>
        <w:t>（如有，请提供）</w:t>
      </w:r>
      <w:r>
        <w:rPr>
          <w:rFonts w:hint="eastAsia" w:ascii="宋体" w:hAnsi="宋体" w:eastAsia="宋体" w:cs="宋体"/>
          <w:color w:val="auto"/>
          <w:szCs w:val="21"/>
          <w:highlight w:val="none"/>
        </w:rPr>
        <w:t>。</w:t>
      </w:r>
    </w:p>
    <w:p w14:paraId="2DC1FB9A">
      <w:pPr>
        <w:spacing w:beforeLines="0" w:after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供应商</w:t>
      </w:r>
      <w:r>
        <w:rPr>
          <w:rFonts w:hint="eastAsia" w:ascii="宋体" w:hAnsi="宋体" w:eastAsia="宋体" w:cs="宋体"/>
          <w:b/>
          <w:bCs/>
          <w:color w:val="auto"/>
          <w:highlight w:val="none"/>
        </w:rPr>
        <w:t>提供的以上相关证明材料属于“必须提供”的文件应加盖</w:t>
      </w:r>
      <w:r>
        <w:rPr>
          <w:rFonts w:hint="eastAsia" w:ascii="宋体" w:hAnsi="宋体" w:eastAsia="宋体" w:cs="宋体"/>
          <w:b/>
          <w:bCs/>
          <w:color w:val="auto"/>
          <w:highlight w:val="none"/>
          <w:lang w:eastAsia="zh-CN"/>
        </w:rPr>
        <w:t>磋商供应商</w:t>
      </w:r>
      <w:r>
        <w:rPr>
          <w:rFonts w:hint="eastAsia" w:ascii="宋体" w:hAnsi="宋体" w:eastAsia="宋体" w:cs="宋体"/>
          <w:b/>
          <w:bCs/>
          <w:color w:val="auto"/>
          <w:highlight w:val="none"/>
        </w:rPr>
        <w:t>公章（CA签章）</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自然人</w:t>
      </w:r>
      <w:r>
        <w:rPr>
          <w:rFonts w:hint="eastAsia" w:ascii="宋体" w:hAnsi="宋体" w:eastAsia="宋体" w:cs="宋体"/>
          <w:b/>
          <w:bCs/>
          <w:color w:val="auto"/>
          <w:highlight w:val="none"/>
          <w:lang w:eastAsia="zh-CN"/>
        </w:rPr>
        <w:t>签字或</w:t>
      </w:r>
      <w:r>
        <w:rPr>
          <w:rFonts w:hint="eastAsia" w:ascii="宋体" w:hAnsi="宋体" w:eastAsia="宋体" w:cs="宋体"/>
          <w:b/>
          <w:bCs/>
          <w:color w:val="auto"/>
          <w:highlight w:val="none"/>
          <w:lang w:val="en-US" w:eastAsia="zh-CN"/>
        </w:rPr>
        <w:t>个人</w:t>
      </w:r>
      <w:r>
        <w:rPr>
          <w:rFonts w:hint="eastAsia" w:ascii="宋体" w:hAnsi="宋体" w:eastAsia="宋体" w:cs="宋体"/>
          <w:b/>
          <w:bCs/>
          <w:color w:val="auto"/>
          <w:highlight w:val="none"/>
        </w:rPr>
        <w:t>CA签章，否则</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无效。</w:t>
      </w:r>
    </w:p>
    <w:p w14:paraId="5782EAB9">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rPr>
        <w:t>供应商应按竞争性磋商文件第六章“响应文件（格式）”编制响应文件。</w:t>
      </w:r>
    </w:p>
    <w:p w14:paraId="612C474A">
      <w:pPr>
        <w:spacing w:beforeLines="0" w:afterLines="0" w:line="360" w:lineRule="exact"/>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特别说明：</w:t>
      </w:r>
    </w:p>
    <w:p w14:paraId="3DE0B753">
      <w:pPr>
        <w:spacing w:beforeLines="0" w:afterLines="0" w:line="36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（1）响</w:t>
      </w:r>
      <w:r>
        <w:rPr>
          <w:rFonts w:hint="eastAsia" w:ascii="宋体" w:hAnsi="宋体" w:eastAsia="宋体" w:cs="宋体"/>
          <w:b/>
          <w:color w:val="auto"/>
          <w:szCs w:val="21"/>
          <w:highlight w:val="none"/>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252AAAB7">
      <w:pPr>
        <w:numPr>
          <w:ilvl w:val="0"/>
          <w:numId w:val="5"/>
        </w:numPr>
        <w:spacing w:beforeLines="0" w:afterLines="0" w:line="360" w:lineRule="exact"/>
        <w:ind w:left="0" w:leftChars="0" w:firstLine="420" w:firstLineChars="20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lang w:eastAsia="zh-CN"/>
        </w:rPr>
        <w:t>磋商文件</w:t>
      </w:r>
      <w:r>
        <w:rPr>
          <w:rFonts w:hint="eastAsia" w:ascii="宋体" w:hAnsi="宋体" w:eastAsia="宋体" w:cs="宋体"/>
          <w:b/>
          <w:bCs/>
          <w:color w:val="auto"/>
          <w:szCs w:val="21"/>
          <w:highlight w:val="none"/>
        </w:rPr>
        <w:t>要求法定代表人（负责人）或委托代理人签字的部分必须签字然后扫描或者拍照做成 pdf 格式上传</w:t>
      </w:r>
      <w:r>
        <w:rPr>
          <w:rFonts w:hint="eastAsia" w:ascii="宋体" w:hAnsi="宋体" w:eastAsia="宋体" w:cs="宋体"/>
          <w:b/>
          <w:bCs/>
          <w:color w:val="auto"/>
          <w:szCs w:val="21"/>
          <w:highlight w:val="none"/>
          <w:lang w:eastAsia="zh-CN"/>
        </w:rPr>
        <w:t>（或加盖个人</w:t>
      </w:r>
      <w:r>
        <w:rPr>
          <w:rFonts w:hint="eastAsia" w:ascii="宋体" w:hAnsi="宋体" w:eastAsia="宋体" w:cs="宋体"/>
          <w:b/>
          <w:bCs/>
          <w:color w:val="auto"/>
          <w:szCs w:val="21"/>
          <w:highlight w:val="none"/>
          <w:lang w:val="en-US" w:eastAsia="zh-CN"/>
        </w:rPr>
        <w:t>CA签章</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，无签字的视为</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无效。</w:t>
      </w:r>
    </w:p>
    <w:p w14:paraId="5D52CC00">
      <w:pPr>
        <w:pStyle w:val="4"/>
        <w:spacing w:before="0" w:after="0" w:line="360" w:lineRule="auto"/>
        <w:ind w:firstLine="420" w:firstLineChars="200"/>
        <w:jc w:val="left"/>
        <w:rPr>
          <w:rFonts w:hint="eastAsia" w:ascii="宋体" w:hAnsi="宋体" w:eastAsia="宋体" w:cs="宋体"/>
          <w:color w:val="auto"/>
          <w:sz w:val="21"/>
          <w:szCs w:val="21"/>
          <w:highlight w:val="none"/>
        </w:rPr>
      </w:pPr>
      <w:bookmarkStart w:id="137" w:name="_Toc6845"/>
      <w:bookmarkStart w:id="138" w:name="_Toc2180"/>
      <w:bookmarkStart w:id="139" w:name="_Toc714"/>
      <w:bookmarkStart w:id="140" w:name="_Toc13440"/>
      <w:bookmarkStart w:id="141" w:name="_Toc31718"/>
      <w:r>
        <w:rPr>
          <w:rFonts w:hint="eastAsia" w:ascii="宋体" w:hAnsi="宋体" w:eastAsia="宋体" w:cs="宋体"/>
          <w:color w:val="auto"/>
          <w:sz w:val="21"/>
          <w:szCs w:val="21"/>
          <w:highlight w:val="none"/>
        </w:rPr>
        <w:t>12. 响应文件的语言及计量</w:t>
      </w:r>
      <w:bookmarkEnd w:id="137"/>
      <w:bookmarkEnd w:id="138"/>
      <w:bookmarkEnd w:id="139"/>
      <w:bookmarkEnd w:id="140"/>
      <w:bookmarkEnd w:id="141"/>
    </w:p>
    <w:p w14:paraId="6BFE6F91">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4C1E544F">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磋商计量单位，磋商文件已有明确规定的，使用磋商文件规定的计量单位；磋商文件没有规定的，应采用中华人民共和国法定计量单位（货币单位：人民币元），否则视同未响应。</w:t>
      </w:r>
    </w:p>
    <w:p w14:paraId="39A2CF94">
      <w:pPr>
        <w:pStyle w:val="4"/>
        <w:spacing w:before="0" w:after="0" w:line="360" w:lineRule="auto"/>
        <w:ind w:firstLine="420" w:firstLineChars="200"/>
        <w:jc w:val="left"/>
        <w:rPr>
          <w:rFonts w:hint="eastAsia" w:ascii="宋体" w:hAnsi="宋体" w:eastAsia="宋体" w:cs="宋体"/>
          <w:color w:val="auto"/>
          <w:sz w:val="21"/>
          <w:szCs w:val="21"/>
          <w:highlight w:val="none"/>
        </w:rPr>
      </w:pPr>
      <w:bookmarkStart w:id="142" w:name="_Toc27987"/>
      <w:bookmarkStart w:id="143" w:name="_Toc30930"/>
      <w:bookmarkStart w:id="144" w:name="_Toc10838"/>
      <w:bookmarkStart w:id="145" w:name="_Toc31582"/>
      <w:bookmarkStart w:id="146" w:name="_Toc31576"/>
      <w:r>
        <w:rPr>
          <w:rFonts w:hint="eastAsia" w:ascii="宋体" w:hAnsi="宋体" w:eastAsia="宋体" w:cs="宋体"/>
          <w:color w:val="auto"/>
          <w:sz w:val="21"/>
          <w:szCs w:val="21"/>
          <w:highlight w:val="none"/>
        </w:rPr>
        <w:t>13. 磋商报价及采购预算金额</w:t>
      </w:r>
      <w:bookmarkEnd w:id="142"/>
      <w:bookmarkEnd w:id="143"/>
      <w:bookmarkEnd w:id="144"/>
      <w:bookmarkEnd w:id="145"/>
      <w:bookmarkEnd w:id="146"/>
    </w:p>
    <w:p w14:paraId="70415F3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磋商报价应按磋商文件中相关附表格式填写。采购预算金额（人民币）：</w:t>
      </w:r>
      <w:r>
        <w:rPr>
          <w:rFonts w:hint="eastAsia" w:ascii="宋体" w:hAnsi="宋体" w:cs="宋体"/>
          <w:b/>
          <w:bCs/>
          <w:color w:val="auto"/>
          <w:szCs w:val="21"/>
          <w:highlight w:val="none"/>
          <w:lang w:eastAsia="zh-CN"/>
        </w:rPr>
        <w:t>人民币壹拾贰万元整（¥120000.00元）。</w:t>
      </w:r>
      <w:r>
        <w:rPr>
          <w:rFonts w:hint="eastAsia" w:ascii="宋体" w:hAnsi="宋体" w:eastAsia="宋体" w:cs="宋体"/>
          <w:color w:val="auto"/>
          <w:szCs w:val="21"/>
          <w:highlight w:val="none"/>
        </w:rPr>
        <w:t>报价超过</w:t>
      </w:r>
      <w:r>
        <w:rPr>
          <w:rFonts w:hint="eastAsia" w:ascii="宋体" w:hAnsi="宋体" w:cs="宋体"/>
          <w:color w:val="auto"/>
          <w:szCs w:val="21"/>
          <w:highlight w:val="none"/>
          <w:lang w:val="en-US" w:eastAsia="zh-CN"/>
        </w:rPr>
        <w:t>最高限价</w:t>
      </w:r>
      <w:r>
        <w:rPr>
          <w:rFonts w:hint="eastAsia" w:ascii="宋体" w:hAnsi="宋体" w:eastAsia="宋体" w:cs="宋体"/>
          <w:color w:val="auto"/>
          <w:szCs w:val="21"/>
          <w:highlight w:val="none"/>
        </w:rPr>
        <w:t>金额的，响应文件按无效处理。</w:t>
      </w:r>
    </w:p>
    <w:p w14:paraId="4B9C781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13.2供应商必须就“采购需求”中所竞所有内容作完整唯一报价，否则，其响应文件无效。响应文件只允许有一个报价，有选择的或有条件的报价将不予接受。</w:t>
      </w:r>
    </w:p>
    <w:p w14:paraId="57DBA9C9">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磋商报价应包括本次采购范围内所有成本费用的总和；供应商综合考虑在报价中。</w:t>
      </w:r>
    </w:p>
    <w:p w14:paraId="62CB878D">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13.4供应商应在规定时间内在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系统上提交最后报价，超出评委设定的最后报价时限或其最后报价超出采购预算导致已通过评审的响应文件无效的，按供应商在提交响应文件截止时间后撤回响应文件处理。</w:t>
      </w:r>
    </w:p>
    <w:p w14:paraId="166C3A4B">
      <w:pPr>
        <w:pStyle w:val="4"/>
        <w:spacing w:before="0" w:after="0" w:line="360" w:lineRule="auto"/>
        <w:ind w:firstLine="420" w:firstLineChars="200"/>
        <w:jc w:val="left"/>
        <w:rPr>
          <w:rFonts w:hint="eastAsia" w:ascii="宋体" w:hAnsi="宋体" w:eastAsia="宋体" w:cs="宋体"/>
          <w:color w:val="auto"/>
          <w:sz w:val="21"/>
          <w:szCs w:val="21"/>
          <w:highlight w:val="none"/>
        </w:rPr>
      </w:pPr>
      <w:bookmarkStart w:id="147" w:name="_Toc2608"/>
      <w:bookmarkStart w:id="148" w:name="_Toc26881"/>
      <w:bookmarkStart w:id="149" w:name="_Toc9708"/>
      <w:bookmarkStart w:id="150" w:name="_Toc27015"/>
      <w:bookmarkStart w:id="151" w:name="_Toc3662"/>
      <w:r>
        <w:rPr>
          <w:rFonts w:hint="eastAsia" w:ascii="宋体" w:hAnsi="宋体" w:eastAsia="宋体" w:cs="宋体"/>
          <w:color w:val="auto"/>
          <w:sz w:val="21"/>
          <w:szCs w:val="21"/>
          <w:highlight w:val="none"/>
        </w:rPr>
        <w:t>14. 响应文件有效期</w:t>
      </w:r>
      <w:bookmarkEnd w:id="147"/>
      <w:bookmarkEnd w:id="148"/>
      <w:bookmarkEnd w:id="149"/>
      <w:bookmarkEnd w:id="150"/>
      <w:bookmarkEnd w:id="151"/>
    </w:p>
    <w:p w14:paraId="26CB834B">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响应文件有效期：响应文件递交截止时间之日起90天，有效期不足的响应文件将被拒绝。</w:t>
      </w:r>
    </w:p>
    <w:p w14:paraId="5CAFA529">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出现特殊情况下，需要延长响应文件有效期的，采购代理机构</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通知供应商延长响应文件有效期。供应商同意延长的，但不能修改响应文件。供应商拒绝延长的，其响应文件无效。</w:t>
      </w:r>
    </w:p>
    <w:p w14:paraId="79E58D65">
      <w:pPr>
        <w:pStyle w:val="4"/>
        <w:spacing w:before="0" w:after="0" w:line="360" w:lineRule="auto"/>
        <w:ind w:firstLine="420" w:firstLineChars="200"/>
        <w:jc w:val="left"/>
        <w:rPr>
          <w:rFonts w:hint="eastAsia" w:ascii="宋体" w:hAnsi="宋体" w:eastAsia="宋体" w:cs="宋体"/>
          <w:color w:val="auto"/>
          <w:sz w:val="21"/>
          <w:szCs w:val="21"/>
          <w:highlight w:val="none"/>
        </w:rPr>
      </w:pPr>
      <w:bookmarkStart w:id="152" w:name="_Toc24706"/>
      <w:bookmarkStart w:id="153" w:name="_Toc12696"/>
      <w:bookmarkStart w:id="154" w:name="_Toc22805"/>
      <w:bookmarkStart w:id="155" w:name="_Toc872"/>
      <w:bookmarkStart w:id="156" w:name="_Toc22602"/>
      <w:r>
        <w:rPr>
          <w:rFonts w:hint="eastAsia" w:ascii="宋体" w:hAnsi="宋体" w:eastAsia="宋体" w:cs="宋体"/>
          <w:color w:val="auto"/>
          <w:sz w:val="21"/>
          <w:szCs w:val="21"/>
          <w:highlight w:val="none"/>
        </w:rPr>
        <w:t>15. 保证金</w:t>
      </w:r>
      <w:bookmarkEnd w:id="152"/>
      <w:bookmarkEnd w:id="153"/>
      <w:bookmarkEnd w:id="154"/>
      <w:bookmarkEnd w:id="155"/>
      <w:bookmarkEnd w:id="156"/>
    </w:p>
    <w:p w14:paraId="5196B39C">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本项目无需缴纳磋商保证金。</w:t>
      </w:r>
    </w:p>
    <w:p w14:paraId="3C6982F5">
      <w:pPr>
        <w:pStyle w:val="4"/>
        <w:spacing w:before="0" w:after="0" w:line="360" w:lineRule="auto"/>
        <w:ind w:firstLine="420" w:firstLineChars="200"/>
        <w:jc w:val="left"/>
        <w:rPr>
          <w:rFonts w:hint="eastAsia" w:ascii="宋体" w:hAnsi="宋体" w:eastAsia="宋体" w:cs="宋体"/>
          <w:color w:val="auto"/>
          <w:sz w:val="21"/>
          <w:szCs w:val="21"/>
          <w:highlight w:val="none"/>
          <w:lang w:eastAsia="zh-CN"/>
        </w:rPr>
      </w:pPr>
      <w:bookmarkStart w:id="157" w:name="_Toc387"/>
      <w:bookmarkStart w:id="158" w:name="_Toc3348"/>
      <w:bookmarkStart w:id="159" w:name="_Toc8815"/>
      <w:bookmarkStart w:id="160" w:name="_Toc32621"/>
      <w:bookmarkStart w:id="161" w:name="_Toc17790"/>
      <w:r>
        <w:rPr>
          <w:rFonts w:hint="eastAsia" w:ascii="宋体" w:hAnsi="宋体" w:eastAsia="宋体" w:cs="宋体"/>
          <w:color w:val="auto"/>
          <w:sz w:val="21"/>
          <w:szCs w:val="21"/>
          <w:highlight w:val="none"/>
        </w:rPr>
        <w:t>16. 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响应文件的</w:t>
      </w:r>
      <w:bookmarkEnd w:id="157"/>
      <w:r>
        <w:rPr>
          <w:rFonts w:hint="eastAsia" w:ascii="宋体" w:hAnsi="宋体" w:eastAsia="宋体" w:cs="宋体"/>
          <w:color w:val="auto"/>
          <w:sz w:val="21"/>
          <w:szCs w:val="21"/>
          <w:highlight w:val="none"/>
          <w:lang w:eastAsia="zh-CN"/>
        </w:rPr>
        <w:t>制作</w:t>
      </w:r>
      <w:bookmarkEnd w:id="158"/>
      <w:bookmarkEnd w:id="159"/>
      <w:bookmarkEnd w:id="160"/>
      <w:bookmarkEnd w:id="161"/>
    </w:p>
    <w:p w14:paraId="70EE95CE">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.1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响应文件中须加盖供应商公章部分均采用 CA 签章，并根据“政府采购项目电子交易管理操作指南-供应商” 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小组在评审时如做出对供应商不利的评审由供应商自行承担。电子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漏读，或者在按采购文件规定的部位查找不到相关内容的，由供应商自行承担。</w:t>
      </w:r>
    </w:p>
    <w:p w14:paraId="5A49342C">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16.2</w:t>
      </w:r>
      <w:r>
        <w:rPr>
          <w:rFonts w:hint="eastAsia" w:ascii="宋体" w:hAnsi="宋体" w:eastAsia="宋体" w:cs="宋体"/>
          <w:color w:val="auto"/>
          <w:szCs w:val="21"/>
          <w:highlight w:val="none"/>
        </w:rPr>
        <w:t>供应商法人（负责人）或授权代表持有</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个人CA签章的，应在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文件中涉及到签字的位置使用个人CA签章，没有办理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文件中涉及到签字的位置手写签字后扫描或者拍照做成 PDF 的格式上传即可。</w:t>
      </w:r>
    </w:p>
    <w:p w14:paraId="25AEEE8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响应文件因字迹潦草或表达不清所引起的后果由供应商负责。</w:t>
      </w:r>
    </w:p>
    <w:p w14:paraId="4C1DB5F5">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w:t>
      </w:r>
      <w:r>
        <w:rPr>
          <w:rFonts w:hint="eastAsia" w:ascii="宋体" w:hAnsi="宋体" w:eastAsia="宋体" w:cs="宋体"/>
          <w:color w:val="auto"/>
          <w:szCs w:val="21"/>
          <w:highlight w:val="none"/>
          <w:lang w:eastAsia="zh-CN"/>
        </w:rPr>
        <w:t xml:space="preserve">磋商前准备 </w:t>
      </w:r>
    </w:p>
    <w:p w14:paraId="3481E2D3">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14:paraId="4A1EF322">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16.4.2</w:t>
      </w:r>
      <w:r>
        <w:rPr>
          <w:rFonts w:hint="eastAsia" w:ascii="宋体" w:hAnsi="宋体" w:eastAsia="宋体" w:cs="宋体"/>
          <w:color w:val="auto"/>
          <w:szCs w:val="21"/>
          <w:highlight w:val="none"/>
          <w:lang w:eastAsia="zh-CN"/>
        </w:rPr>
        <w:t>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正式注册入库供应商，并完成 CA 数字证书申领。因未注册入库、未办理 CA 数字证书等原因造成无法磋商或磋商失败等后果由供应商自行承担。 </w:t>
      </w:r>
    </w:p>
    <w:p w14:paraId="300E977E">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16.4.3</w:t>
      </w:r>
      <w:r>
        <w:rPr>
          <w:rFonts w:hint="eastAsia" w:ascii="宋体" w:hAnsi="宋体" w:eastAsia="宋体" w:cs="宋体"/>
          <w:color w:val="auto"/>
          <w:szCs w:val="21"/>
          <w:highlight w:val="none"/>
          <w:lang w:eastAsia="zh-CN"/>
        </w:rPr>
        <w:t>供应商将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电子交易客户端下载、安装完成后，可通过账号密码或 CA 登录客户端进行响应文件制作。客户端请至网站下载专区查看，如有问题可拨打广西政府采购云平台客户服务热线 95763 进行咨询。</w:t>
      </w:r>
    </w:p>
    <w:p w14:paraId="2FD753B2">
      <w:pPr>
        <w:pStyle w:val="4"/>
        <w:spacing w:before="0" w:after="0" w:line="360" w:lineRule="auto"/>
        <w:ind w:firstLine="420" w:firstLineChars="200"/>
        <w:jc w:val="left"/>
        <w:rPr>
          <w:rFonts w:hint="eastAsia" w:ascii="宋体" w:hAnsi="宋体" w:eastAsia="宋体" w:cs="宋体"/>
          <w:color w:val="auto"/>
          <w:sz w:val="21"/>
          <w:szCs w:val="21"/>
          <w:highlight w:val="none"/>
        </w:rPr>
      </w:pPr>
      <w:bookmarkStart w:id="162" w:name="_Toc8570"/>
      <w:bookmarkStart w:id="163" w:name="_Toc22794"/>
      <w:bookmarkStart w:id="164" w:name="_Toc1031"/>
      <w:bookmarkStart w:id="165" w:name="_Toc25208"/>
      <w:r>
        <w:rPr>
          <w:rFonts w:hint="eastAsia" w:ascii="宋体" w:hAnsi="宋体" w:eastAsia="宋体" w:cs="宋体"/>
          <w:color w:val="auto"/>
          <w:sz w:val="21"/>
          <w:szCs w:val="21"/>
          <w:highlight w:val="none"/>
        </w:rPr>
        <w:t>17. 响应文件的修改和撤回</w:t>
      </w:r>
      <w:bookmarkEnd w:id="162"/>
      <w:bookmarkEnd w:id="163"/>
      <w:bookmarkEnd w:id="164"/>
      <w:bookmarkEnd w:id="165"/>
    </w:p>
    <w:p w14:paraId="77B31385">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17.1 </w:t>
      </w:r>
      <w:r>
        <w:rPr>
          <w:rFonts w:hint="eastAsia" w:ascii="宋体" w:hAnsi="宋体" w:eastAsia="宋体" w:cs="宋体"/>
          <w:color w:val="auto"/>
          <w:szCs w:val="21"/>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732E2920">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在响应文件递交截止时间后的响应文件有效期内，供应商不得撤回其响应文件。</w:t>
      </w:r>
    </w:p>
    <w:p w14:paraId="4D178EE5">
      <w:pPr>
        <w:pStyle w:val="4"/>
        <w:spacing w:before="0" w:after="0" w:line="360" w:lineRule="auto"/>
        <w:ind w:firstLine="420" w:firstLineChars="200"/>
        <w:jc w:val="left"/>
        <w:rPr>
          <w:rFonts w:hint="eastAsia" w:ascii="宋体" w:hAnsi="宋体" w:eastAsia="宋体" w:cs="宋体"/>
          <w:color w:val="auto"/>
          <w:sz w:val="21"/>
          <w:szCs w:val="21"/>
          <w:highlight w:val="none"/>
          <w:lang w:eastAsia="zh-CN"/>
        </w:rPr>
      </w:pPr>
      <w:bookmarkStart w:id="166" w:name="_Toc30156"/>
      <w:bookmarkStart w:id="167" w:name="_Toc11330"/>
      <w:bookmarkStart w:id="168" w:name="_Toc21490"/>
      <w:bookmarkStart w:id="169" w:name="_Toc27030"/>
      <w:bookmarkStart w:id="170" w:name="_Toc5295"/>
      <w:r>
        <w:rPr>
          <w:rFonts w:hint="eastAsia" w:ascii="宋体" w:hAnsi="宋体" w:eastAsia="宋体" w:cs="宋体"/>
          <w:color w:val="auto"/>
          <w:sz w:val="21"/>
          <w:szCs w:val="21"/>
          <w:highlight w:val="none"/>
        </w:rPr>
        <w:t>18. 响应文件的递交</w:t>
      </w:r>
      <w:r>
        <w:rPr>
          <w:rFonts w:hint="eastAsia" w:ascii="宋体" w:hAnsi="宋体" w:eastAsia="宋体" w:cs="宋体"/>
          <w:color w:val="auto"/>
          <w:sz w:val="21"/>
          <w:szCs w:val="21"/>
          <w:highlight w:val="none"/>
          <w:lang w:eastAsia="zh-CN"/>
        </w:rPr>
        <w:t>和解密</w:t>
      </w:r>
      <w:bookmarkEnd w:id="166"/>
      <w:bookmarkEnd w:id="167"/>
      <w:bookmarkEnd w:id="168"/>
      <w:bookmarkEnd w:id="169"/>
      <w:bookmarkEnd w:id="170"/>
    </w:p>
    <w:p w14:paraId="4C208681">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18.1响应文件递交截止时间</w:t>
      </w:r>
      <w:r>
        <w:rPr>
          <w:rFonts w:hint="eastAsia" w:ascii="宋体" w:hAnsi="宋体" w:eastAsia="宋体" w:cs="宋体"/>
          <w:color w:val="auto"/>
          <w:szCs w:val="21"/>
          <w:highlight w:val="none"/>
          <w:lang w:eastAsia="zh-CN"/>
        </w:rPr>
        <w:t>：于</w:t>
      </w:r>
      <w:r>
        <w:rPr>
          <w:rFonts w:hint="eastAsia" w:ascii="宋体" w:hAnsi="宋体" w:cs="宋体"/>
          <w:color w:val="auto"/>
          <w:sz w:val="21"/>
          <w:szCs w:val="21"/>
          <w:highlight w:val="none"/>
          <w:u w:val="single"/>
          <w:lang w:eastAsia="zh-CN"/>
        </w:rPr>
        <w:t>2025年11月</w:t>
      </w:r>
      <w:r>
        <w:rPr>
          <w:rFonts w:hint="eastAsia" w:ascii="宋体" w:hAnsi="宋体" w:cs="宋体"/>
          <w:color w:val="auto"/>
          <w:sz w:val="21"/>
          <w:szCs w:val="21"/>
          <w:highlight w:val="none"/>
          <w:u w:val="single"/>
          <w:lang w:val="en-US" w:eastAsia="zh-CN"/>
        </w:rPr>
        <w:t>03</w:t>
      </w:r>
      <w:r>
        <w:rPr>
          <w:rFonts w:hint="eastAsia" w:ascii="宋体" w:hAnsi="宋体" w:cs="宋体"/>
          <w:color w:val="auto"/>
          <w:sz w:val="21"/>
          <w:szCs w:val="21"/>
          <w:highlight w:val="none"/>
          <w:u w:val="single"/>
          <w:lang w:eastAsia="zh-CN"/>
        </w:rPr>
        <w:t>日09时30分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的要求编制、加密传输磋商响应文件。供应商在使用系统进行投标的过程中遇到涉及平台使用的任何问题，可致电</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eastAsia="宋体" w:cs="宋体"/>
          <w:color w:val="auto"/>
          <w:szCs w:val="21"/>
          <w:highlight w:val="none"/>
          <w:lang w:eastAsia="zh-CN"/>
        </w:rPr>
        <w:t>95763</w:t>
      </w:r>
      <w:r>
        <w:rPr>
          <w:rFonts w:hint="eastAsia" w:ascii="宋体" w:hAnsi="宋体" w:eastAsia="宋体" w:cs="宋体"/>
          <w:color w:val="auto"/>
          <w:szCs w:val="21"/>
          <w:highlight w:val="none"/>
        </w:rPr>
        <w:t>。</w:t>
      </w:r>
    </w:p>
    <w:p w14:paraId="55ED8A32">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18.2磋商响应文件解密时间：截标时间后</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分钟内（</w:t>
      </w:r>
      <w:r>
        <w:rPr>
          <w:rFonts w:hint="eastAsia" w:ascii="宋体" w:hAnsi="宋体" w:cs="宋体"/>
          <w:color w:val="auto"/>
          <w:sz w:val="21"/>
          <w:szCs w:val="21"/>
          <w:highlight w:val="none"/>
          <w:u w:val="single"/>
          <w:lang w:eastAsia="zh-CN"/>
        </w:rPr>
        <w:t>2025年11月</w:t>
      </w:r>
      <w:r>
        <w:rPr>
          <w:rFonts w:hint="eastAsia" w:ascii="宋体" w:hAnsi="宋体" w:cs="宋体"/>
          <w:color w:val="auto"/>
          <w:sz w:val="21"/>
          <w:szCs w:val="21"/>
          <w:highlight w:val="none"/>
          <w:u w:val="single"/>
          <w:lang w:val="en-US" w:eastAsia="zh-CN"/>
        </w:rPr>
        <w:t>03</w:t>
      </w:r>
      <w:r>
        <w:rPr>
          <w:rFonts w:hint="eastAsia" w:ascii="宋体" w:hAnsi="宋体" w:cs="宋体"/>
          <w:color w:val="auto"/>
          <w:sz w:val="21"/>
          <w:szCs w:val="21"/>
          <w:highlight w:val="none"/>
          <w:u w:val="single"/>
          <w:lang w:eastAsia="zh-CN"/>
        </w:rPr>
        <w:t>日09时30分</w:t>
      </w:r>
      <w:r>
        <w:rPr>
          <w:rFonts w:hint="eastAsia" w:ascii="宋体" w:hAnsi="宋体" w:eastAsia="宋体" w:cs="宋体"/>
          <w:color w:val="auto"/>
          <w:szCs w:val="21"/>
          <w:highlight w:val="none"/>
          <w:u w:val="single"/>
        </w:rPr>
        <w:t>至</w:t>
      </w:r>
      <w:r>
        <w:rPr>
          <w:rFonts w:hint="eastAsia" w:ascii="宋体" w:hAnsi="宋体" w:eastAsia="宋体" w:cs="宋体"/>
          <w:color w:val="auto"/>
          <w:szCs w:val="21"/>
          <w:highlight w:val="none"/>
          <w:u w:val="single"/>
          <w:lang w:val="en-US" w:eastAsia="zh-CN"/>
        </w:rPr>
        <w:t>1</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u w:val="single"/>
        </w:rPr>
        <w:t>分</w:t>
      </w:r>
      <w:r>
        <w:rPr>
          <w:rFonts w:hint="eastAsia" w:ascii="宋体" w:hAnsi="宋体" w:eastAsia="宋体" w:cs="宋体"/>
          <w:color w:val="auto"/>
          <w:szCs w:val="21"/>
          <w:highlight w:val="none"/>
        </w:rPr>
        <w:t>)磋商供应商可以登录</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，用“项目采购-开标评标”功能进行解密磋商文件。</w:t>
      </w:r>
    </w:p>
    <w:p w14:paraId="5CB06B99">
      <w:pPr>
        <w:spacing w:beforeLines="0" w:afterLines="0" w:line="360" w:lineRule="auto"/>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解密响应文件后，30分钟内在线签字确认，超过时间没有在线签字确认的系统将自动视为供应商认可）</w:t>
      </w:r>
      <w:r>
        <w:rPr>
          <w:rFonts w:hint="eastAsia" w:ascii="宋体" w:hAnsi="宋体" w:cs="宋体"/>
          <w:b/>
          <w:bCs/>
          <w:color w:val="auto"/>
          <w:szCs w:val="21"/>
          <w:highlight w:val="none"/>
          <w:lang w:val="en-US" w:eastAsia="zh-CN"/>
        </w:rPr>
        <w:t>。</w:t>
      </w:r>
    </w:p>
    <w:p w14:paraId="50C3FF6A">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除竞争性磋商文件另有规定外，供应商所递交的响应文件不予退还。</w:t>
      </w:r>
    </w:p>
    <w:p w14:paraId="71E8024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18.4 </w:t>
      </w:r>
      <w:r>
        <w:rPr>
          <w:rFonts w:hint="eastAsia" w:ascii="宋体" w:hAnsi="宋体" w:eastAsia="宋体" w:cs="宋体"/>
          <w:color w:val="auto"/>
          <w:szCs w:val="21"/>
          <w:highlight w:val="none"/>
        </w:rPr>
        <w:t>电子响应文件的相关说明</w:t>
      </w:r>
    </w:p>
    <w:p w14:paraId="2E794C95">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（1）供应商进行电子投标应安装客户端软件，并按照采购文件和电子交易平台的要求编制并加密</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响应文件。供应商未按规定加密的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响应文件，电子交易平台将拒收。供应商应当在</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截止时间前完成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响应文件的传输递交，并可以补充、修改或者撤回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响应文件。补充或者修改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响应文件的，应当先行撤回原文件，补充、修改后重新传输递交。</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截止时间前未完成传输的，视为撤回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截止时间后递交的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 xml:space="preserve">响应文件，电子交易平台将拒收。 </w:t>
      </w:r>
    </w:p>
    <w:p w14:paraId="0BC08650">
      <w:p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（2）如有特殊情况，采购代理机构延长截止时间和开标时间，采购代理机构和供应商的权利和义务将受到新的截止时间和开标时间的约束。</w:t>
      </w:r>
    </w:p>
    <w:p w14:paraId="42FF5CA6">
      <w:pPr>
        <w:pStyle w:val="3"/>
        <w:jc w:val="center"/>
        <w:rPr>
          <w:rFonts w:hint="eastAsia" w:ascii="宋体" w:hAnsi="宋体" w:eastAsia="宋体" w:cs="宋体"/>
          <w:b/>
          <w:bCs w:val="0"/>
          <w:color w:val="auto"/>
          <w:szCs w:val="28"/>
          <w:highlight w:val="none"/>
        </w:rPr>
      </w:pPr>
      <w:bookmarkStart w:id="171" w:name="_Toc2433"/>
      <w:bookmarkStart w:id="172" w:name="_Toc18044"/>
      <w:bookmarkStart w:id="173" w:name="_Toc13269"/>
      <w:bookmarkStart w:id="174" w:name="_Toc28417"/>
      <w:bookmarkStart w:id="175" w:name="_Toc31400"/>
      <w:r>
        <w:rPr>
          <w:rFonts w:hint="eastAsia" w:ascii="宋体" w:hAnsi="宋体" w:eastAsia="宋体" w:cs="宋体"/>
          <w:b/>
          <w:bCs w:val="0"/>
          <w:color w:val="auto"/>
          <w:szCs w:val="28"/>
          <w:highlight w:val="none"/>
        </w:rPr>
        <w:t>四、竞争性磋商（简称磋商）与评审</w:t>
      </w:r>
      <w:bookmarkEnd w:id="171"/>
      <w:bookmarkEnd w:id="172"/>
      <w:bookmarkEnd w:id="173"/>
      <w:bookmarkEnd w:id="174"/>
      <w:bookmarkEnd w:id="175"/>
    </w:p>
    <w:p w14:paraId="11795E73">
      <w:pPr>
        <w:pStyle w:val="4"/>
        <w:spacing w:before="0" w:after="0" w:line="360" w:lineRule="auto"/>
        <w:ind w:firstLine="420" w:firstLineChars="200"/>
        <w:rPr>
          <w:rFonts w:hint="eastAsia" w:ascii="宋体" w:hAnsi="宋体" w:eastAsia="宋体" w:cs="宋体"/>
          <w:color w:val="auto"/>
          <w:sz w:val="21"/>
          <w:szCs w:val="21"/>
          <w:highlight w:val="none"/>
        </w:rPr>
      </w:pPr>
      <w:bookmarkStart w:id="176" w:name="_Toc16910"/>
      <w:bookmarkStart w:id="177" w:name="_Toc336"/>
      <w:bookmarkStart w:id="178" w:name="_Toc16035"/>
      <w:bookmarkStart w:id="179" w:name="_Toc31588"/>
      <w:bookmarkStart w:id="180" w:name="_Toc16714"/>
      <w:r>
        <w:rPr>
          <w:rFonts w:hint="eastAsia" w:ascii="宋体" w:hAnsi="宋体" w:eastAsia="宋体" w:cs="宋体"/>
          <w:color w:val="auto"/>
          <w:sz w:val="21"/>
          <w:szCs w:val="21"/>
          <w:highlight w:val="none"/>
        </w:rPr>
        <w:t>19. 磋商小组组成及磋商时间、地点、人员</w:t>
      </w:r>
      <w:bookmarkEnd w:id="176"/>
      <w:bookmarkEnd w:id="177"/>
      <w:bookmarkEnd w:id="178"/>
      <w:bookmarkEnd w:id="179"/>
      <w:bookmarkEnd w:id="180"/>
    </w:p>
    <w:p w14:paraId="03A07A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 磋商小组组成：</w:t>
      </w:r>
    </w:p>
    <w:p w14:paraId="267AA0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w:t>
      </w:r>
      <w:r>
        <w:rPr>
          <w:rFonts w:hint="eastAsia" w:ascii="宋体" w:hAnsi="宋体" w:cs="宋体"/>
          <w:color w:val="auto"/>
          <w:szCs w:val="21"/>
          <w:highlight w:val="none"/>
          <w:lang w:eastAsia="zh-CN"/>
        </w:rPr>
        <w:t>评审</w:t>
      </w:r>
      <w:r>
        <w:rPr>
          <w:rFonts w:hint="eastAsia" w:ascii="宋体" w:hAnsi="宋体" w:eastAsia="宋体" w:cs="宋体"/>
          <w:color w:val="auto"/>
          <w:szCs w:val="21"/>
          <w:highlight w:val="none"/>
        </w:rPr>
        <w:t>专家组成。磋商小组的构成：</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 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 </w:t>
      </w:r>
      <w:r>
        <w:rPr>
          <w:rFonts w:hint="eastAsia" w:ascii="宋体" w:hAnsi="宋体" w:eastAsia="宋体" w:cs="宋体"/>
          <w:color w:val="auto"/>
          <w:szCs w:val="21"/>
          <w:highlight w:val="none"/>
        </w:rPr>
        <w:t>人。</w:t>
      </w:r>
    </w:p>
    <w:p w14:paraId="2F2035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磋商时间、地点、人员：</w:t>
      </w:r>
    </w:p>
    <w:p w14:paraId="4FC3777C">
      <w:pPr>
        <w:spacing w:line="360" w:lineRule="auto"/>
        <w:ind w:firstLine="420" w:firstLineChars="200"/>
        <w:rPr>
          <w:rFonts w:hint="eastAsia" w:ascii="宋体" w:hAnsi="宋体" w:eastAsia="宋体" w:cs="宋体"/>
          <w:color w:val="auto"/>
          <w:szCs w:val="21"/>
          <w:highlight w:val="none"/>
        </w:rPr>
      </w:pPr>
      <w:bookmarkStart w:id="181" w:name="_Toc9878"/>
      <w:r>
        <w:rPr>
          <w:rFonts w:hint="eastAsia" w:ascii="宋体" w:hAnsi="宋体" w:eastAsia="宋体" w:cs="宋体"/>
          <w:color w:val="auto"/>
          <w:szCs w:val="21"/>
          <w:highlight w:val="none"/>
        </w:rPr>
        <w:t>19.2.1磋商时间：响应文件递交截止时间后。</w:t>
      </w:r>
      <w:bookmarkEnd w:id="181"/>
    </w:p>
    <w:p w14:paraId="32E78D6E">
      <w:pPr>
        <w:spacing w:line="360" w:lineRule="auto"/>
        <w:ind w:firstLine="420" w:firstLineChars="200"/>
        <w:rPr>
          <w:rFonts w:hint="eastAsia" w:ascii="宋体" w:hAnsi="宋体" w:eastAsia="宋体" w:cs="宋体"/>
          <w:color w:val="auto"/>
          <w:szCs w:val="21"/>
          <w:highlight w:val="none"/>
          <w:lang w:eastAsia="zh-CN"/>
        </w:rPr>
      </w:pPr>
      <w:bookmarkStart w:id="182" w:name="_Toc29268"/>
      <w:r>
        <w:rPr>
          <w:rFonts w:hint="eastAsia" w:ascii="宋体" w:hAnsi="宋体" w:eastAsia="宋体" w:cs="宋体"/>
          <w:color w:val="auto"/>
          <w:szCs w:val="21"/>
          <w:highlight w:val="none"/>
          <w:lang w:val="en-US" w:eastAsia="zh-CN"/>
        </w:rPr>
        <w:t>19.2.2磋商地点</w:t>
      </w:r>
      <w:r>
        <w:rPr>
          <w:rFonts w:hint="eastAsia" w:ascii="宋体" w:hAnsi="宋体" w:eastAsia="宋体" w:cs="宋体"/>
          <w:color w:val="auto"/>
          <w:szCs w:val="21"/>
          <w:highlight w:val="none"/>
        </w:rPr>
        <w:t>：</w:t>
      </w:r>
      <w:bookmarkEnd w:id="182"/>
      <w:r>
        <w:rPr>
          <w:rFonts w:hint="eastAsia" w:ascii="宋体" w:hAnsi="宋体" w:eastAsia="宋体" w:cs="宋体"/>
          <w:color w:val="auto"/>
          <w:szCs w:val="21"/>
          <w:highlight w:val="none"/>
        </w:rPr>
        <w:t>本项目需要磋商供应商代表在截标当天截标后，按磋商小组要求及时登陆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等候在线磋商</w:t>
      </w:r>
      <w:r>
        <w:rPr>
          <w:rFonts w:hint="eastAsia" w:ascii="宋体" w:hAnsi="宋体" w:eastAsia="宋体" w:cs="宋体"/>
          <w:color w:val="auto"/>
          <w:szCs w:val="21"/>
          <w:highlight w:val="none"/>
          <w:lang w:eastAsia="zh-CN"/>
        </w:rPr>
        <w:t>。</w:t>
      </w:r>
    </w:p>
    <w:p w14:paraId="605721DB">
      <w:pPr>
        <w:spacing w:line="360" w:lineRule="auto"/>
        <w:ind w:firstLine="420" w:firstLineChars="200"/>
        <w:rPr>
          <w:rFonts w:hint="eastAsia" w:ascii="宋体" w:hAnsi="宋体" w:eastAsia="宋体" w:cs="宋体"/>
          <w:b w:val="0"/>
          <w:bCs/>
          <w:color w:val="auto"/>
          <w:sz w:val="21"/>
          <w:szCs w:val="21"/>
          <w:highlight w:val="none"/>
        </w:rPr>
      </w:pPr>
      <w:bookmarkStart w:id="183" w:name="_Toc21307"/>
      <w:r>
        <w:rPr>
          <w:rFonts w:hint="eastAsia" w:ascii="宋体" w:hAnsi="宋体" w:eastAsia="宋体" w:cs="宋体"/>
          <w:color w:val="auto"/>
          <w:szCs w:val="21"/>
          <w:highlight w:val="none"/>
        </w:rPr>
        <w:t>19</w:t>
      </w:r>
      <w:r>
        <w:rPr>
          <w:rFonts w:hint="eastAsia" w:ascii="宋体" w:hAnsi="宋体" w:eastAsia="宋体" w:cs="宋体"/>
          <w:b w:val="0"/>
          <w:bCs/>
          <w:color w:val="auto"/>
          <w:sz w:val="21"/>
          <w:szCs w:val="21"/>
          <w:highlight w:val="none"/>
        </w:rPr>
        <w:t>.2.3磋商参加人员：供应商法定代表人、负责人、自然人或相应的委托代理人持</w:t>
      </w:r>
      <w:r>
        <w:rPr>
          <w:rFonts w:hint="eastAsia" w:ascii="宋体" w:hAnsi="宋体" w:eastAsia="宋体" w:cs="宋体"/>
          <w:b w:val="0"/>
          <w:bCs/>
          <w:color w:val="auto"/>
          <w:sz w:val="21"/>
          <w:szCs w:val="21"/>
          <w:highlight w:val="none"/>
          <w:u w:val="single"/>
        </w:rPr>
        <w:t>有效身份证原件</w:t>
      </w:r>
      <w:r>
        <w:rPr>
          <w:rFonts w:hint="eastAsia" w:ascii="宋体" w:hAnsi="宋体" w:eastAsia="宋体" w:cs="宋体"/>
          <w:b w:val="0"/>
          <w:bCs/>
          <w:color w:val="auto"/>
          <w:sz w:val="21"/>
          <w:szCs w:val="21"/>
          <w:highlight w:val="none"/>
        </w:rPr>
        <w:t>和供应商</w:t>
      </w:r>
      <w:r>
        <w:rPr>
          <w:rFonts w:hint="eastAsia" w:ascii="宋体" w:hAnsi="宋体" w:cs="宋体"/>
          <w:b w:val="0"/>
          <w:bCs/>
          <w:color w:val="auto"/>
          <w:sz w:val="21"/>
          <w:szCs w:val="21"/>
          <w:highlight w:val="none"/>
          <w:u w:val="single"/>
          <w:lang w:eastAsia="zh-CN"/>
        </w:rPr>
        <w:t>广西政府采购云平台</w:t>
      </w:r>
      <w:r>
        <w:rPr>
          <w:rFonts w:hint="eastAsia" w:ascii="宋体" w:hAnsi="宋体" w:eastAsia="宋体" w:cs="宋体"/>
          <w:b w:val="0"/>
          <w:bCs/>
          <w:color w:val="auto"/>
          <w:sz w:val="21"/>
          <w:szCs w:val="21"/>
          <w:highlight w:val="none"/>
          <w:u w:val="single"/>
        </w:rPr>
        <w:t>CA数字证书</w:t>
      </w:r>
      <w:r>
        <w:rPr>
          <w:rFonts w:hint="eastAsia" w:ascii="宋体" w:hAnsi="宋体" w:eastAsia="宋体" w:cs="宋体"/>
          <w:b w:val="0"/>
          <w:bCs/>
          <w:color w:val="auto"/>
          <w:sz w:val="21"/>
          <w:szCs w:val="21"/>
          <w:highlight w:val="none"/>
        </w:rPr>
        <w:t>参加磋商。</w:t>
      </w:r>
    </w:p>
    <w:bookmarkEnd w:id="183"/>
    <w:p w14:paraId="0E4F336B">
      <w:pPr>
        <w:spacing w:line="360" w:lineRule="auto"/>
        <w:ind w:firstLine="420" w:firstLineChars="200"/>
        <w:rPr>
          <w:rFonts w:hint="eastAsia" w:ascii="宋体" w:hAnsi="宋体" w:eastAsia="宋体" w:cs="宋体"/>
          <w:b w:val="0"/>
          <w:bCs/>
          <w:color w:val="auto"/>
          <w:sz w:val="21"/>
          <w:szCs w:val="21"/>
          <w:highlight w:val="none"/>
        </w:rPr>
      </w:pPr>
      <w:bookmarkStart w:id="184" w:name="_Toc6288"/>
      <w:r>
        <w:rPr>
          <w:rFonts w:hint="eastAsia" w:ascii="宋体" w:hAnsi="宋体" w:eastAsia="宋体" w:cs="宋体"/>
          <w:b w:val="0"/>
          <w:bCs/>
          <w:color w:val="auto"/>
          <w:sz w:val="21"/>
          <w:szCs w:val="21"/>
          <w:highlight w:val="none"/>
        </w:rPr>
        <w:t>19.2.4响应文件递交截止时间后，由磋商小组在评标室内线上开启响应文件。</w:t>
      </w:r>
      <w:bookmarkEnd w:id="184"/>
    </w:p>
    <w:p w14:paraId="27EFE0AB">
      <w:pPr>
        <w:pStyle w:val="4"/>
        <w:spacing w:before="0" w:after="0" w:line="360" w:lineRule="auto"/>
        <w:ind w:firstLine="420" w:firstLineChars="200"/>
        <w:rPr>
          <w:rFonts w:hint="eastAsia" w:ascii="宋体" w:hAnsi="宋体" w:eastAsia="宋体" w:cs="宋体"/>
          <w:color w:val="auto"/>
          <w:sz w:val="21"/>
          <w:szCs w:val="21"/>
          <w:highlight w:val="none"/>
        </w:rPr>
      </w:pPr>
      <w:bookmarkStart w:id="185" w:name="_Toc18640"/>
      <w:bookmarkStart w:id="186" w:name="_Toc6109"/>
      <w:bookmarkStart w:id="187" w:name="_Toc29833"/>
      <w:bookmarkStart w:id="188" w:name="_Toc17452"/>
      <w:bookmarkStart w:id="189" w:name="_Toc25258"/>
      <w:r>
        <w:rPr>
          <w:rFonts w:hint="eastAsia" w:ascii="宋体" w:hAnsi="宋体" w:eastAsia="宋体" w:cs="宋体"/>
          <w:color w:val="auto"/>
          <w:sz w:val="21"/>
          <w:szCs w:val="21"/>
          <w:highlight w:val="none"/>
        </w:rPr>
        <w:t>20. 评审原则</w:t>
      </w:r>
      <w:bookmarkEnd w:id="185"/>
      <w:bookmarkEnd w:id="186"/>
      <w:bookmarkEnd w:id="187"/>
      <w:bookmarkEnd w:id="188"/>
      <w:bookmarkEnd w:id="189"/>
    </w:p>
    <w:p w14:paraId="08F3AB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 磋商小组必须坚持公平、公正、科学和择优的原则。</w:t>
      </w:r>
    </w:p>
    <w:p w14:paraId="2DA73B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评审办法：综合评分法，具体详见第四章评审办法。</w:t>
      </w:r>
    </w:p>
    <w:p w14:paraId="4B4D04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磋商小组应按磋商文件进行评审，不得擅自更改评审办法。</w:t>
      </w:r>
    </w:p>
    <w:p w14:paraId="3AE43D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在评审过程中，磋商小组任何人不得对某个供应商发表任何倾向性意见，不得向其他磋商小组成员明示或者暗示自己的评审意见。</w:t>
      </w:r>
    </w:p>
    <w:p w14:paraId="51153BD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1FE9BE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 响应文件最后报价出现前后不一致的，除竞争性磋商文件另有规定外，按照下列规定修正：</w:t>
      </w:r>
    </w:p>
    <w:p w14:paraId="73B0B54B">
      <w:pPr>
        <w:pStyle w:val="33"/>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highlight w:val="none"/>
        </w:rPr>
        <w:t>响应文件中磋商报价表内容与响应文件中相应内容不一致的，以最后磋商报价表为准；</w:t>
      </w:r>
    </w:p>
    <w:p w14:paraId="29781D46">
      <w:pPr>
        <w:pStyle w:val="33"/>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rPr>
        <w:t xml:space="preserve"> 大写金额和小写金额不一致的，以大写金额为准；</w:t>
      </w:r>
    </w:p>
    <w:p w14:paraId="1E211171">
      <w:pPr>
        <w:pStyle w:val="33"/>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 xml:space="preserve"> 单价金额小数点或者百分比有明显错位的，以报价表的总价为准，并修改单价；</w:t>
      </w:r>
    </w:p>
    <w:p w14:paraId="4337DDEF">
      <w:pPr>
        <w:pStyle w:val="33"/>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(4) </w:t>
      </w:r>
      <w:r>
        <w:rPr>
          <w:rFonts w:hint="eastAsia" w:ascii="宋体" w:hAnsi="宋体" w:eastAsia="宋体" w:cs="宋体"/>
          <w:color w:val="auto"/>
          <w:highlight w:val="none"/>
        </w:rPr>
        <w:t>总价金额与按单价汇总金额不一致的，以单价金额计算结果为准。</w:t>
      </w:r>
    </w:p>
    <w:p w14:paraId="690B24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54E8C989">
      <w:pPr>
        <w:pStyle w:val="4"/>
        <w:spacing w:before="0" w:after="0" w:line="360" w:lineRule="auto"/>
        <w:ind w:firstLine="420" w:firstLineChars="200"/>
        <w:rPr>
          <w:rFonts w:hint="eastAsia" w:ascii="宋体" w:hAnsi="宋体" w:eastAsia="宋体" w:cs="宋体"/>
          <w:color w:val="auto"/>
          <w:sz w:val="21"/>
          <w:szCs w:val="21"/>
          <w:highlight w:val="none"/>
        </w:rPr>
      </w:pPr>
      <w:bookmarkStart w:id="190" w:name="_Toc27193"/>
      <w:bookmarkStart w:id="191" w:name="_Toc17571"/>
      <w:bookmarkStart w:id="192" w:name="_Toc1312"/>
      <w:bookmarkStart w:id="193" w:name="_Toc12941"/>
      <w:bookmarkStart w:id="194" w:name="_Toc21555"/>
      <w:r>
        <w:rPr>
          <w:rFonts w:hint="eastAsia" w:ascii="宋体" w:hAnsi="宋体" w:eastAsia="宋体" w:cs="宋体"/>
          <w:color w:val="auto"/>
          <w:sz w:val="21"/>
          <w:szCs w:val="21"/>
          <w:highlight w:val="none"/>
        </w:rPr>
        <w:t>21. 评审程序及磋商要求</w:t>
      </w:r>
      <w:bookmarkEnd w:id="190"/>
      <w:bookmarkEnd w:id="191"/>
      <w:bookmarkEnd w:id="192"/>
      <w:bookmarkEnd w:id="193"/>
      <w:bookmarkEnd w:id="194"/>
    </w:p>
    <w:p w14:paraId="1CBA35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21.1磋商小组成员的通讯工具或相关电子设备交由桂林市公共资源交易中心统一保管后到达评标室，采购 </w:t>
      </w:r>
    </w:p>
    <w:p w14:paraId="6D993B4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代理机构核实磋商小组成员身份，告知回避要求，宣布评审工作纪律和程序，推选磋商小组组长。</w:t>
      </w:r>
    </w:p>
    <w:p w14:paraId="519D90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5B93E9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49C90888">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14:paraId="457DE0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21.4.1 查询渠道：《国家企业信用信息公示系统》（网址：www.gsxt.gov.cn/index.html）</w:t>
      </w:r>
    </w:p>
    <w:p w14:paraId="559D64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21.4.2 审查流程：</w:t>
      </w:r>
    </w:p>
    <w:p w14:paraId="7C87A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（1）进入《国家企业信用信息公示系统》（网址：www.gsxt.gov.cn/index.html），输入企业名称，进入企业信息主页面；</w:t>
      </w:r>
    </w:p>
    <w:p w14:paraId="79D213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（2）查看主页“股东及出资信息”栏，或年报中的“股东及出资信息”栏信息；</w:t>
      </w:r>
    </w:p>
    <w:p w14:paraId="0B3B53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（3）将各供应商的股东及出资信息进行比对，得出审查结论；</w:t>
      </w:r>
    </w:p>
    <w:p w14:paraId="09BD3C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（4）将相关资料作为评审资料打印存档。</w:t>
      </w:r>
    </w:p>
    <w:p w14:paraId="6BE92A8D">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21.5 磋商小组如发现供应商提供的证明文件不齐全或不符合规定格式的，应一次性告知供应商，供应</w:t>
      </w:r>
    </w:p>
    <w:p w14:paraId="162FD665">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商应在规定的时间内</w:t>
      </w:r>
      <w:r>
        <w:rPr>
          <w:rFonts w:hint="eastAsia" w:ascii="宋体" w:hAnsi="宋体" w:eastAsia="宋体" w:cs="宋体"/>
          <w:b/>
          <w:bCs/>
          <w:color w:val="auto"/>
          <w:szCs w:val="21"/>
          <w:highlight w:val="none"/>
          <w:lang w:eastAsia="zh-CN"/>
        </w:rPr>
        <w:t>线上</w:t>
      </w:r>
      <w:r>
        <w:rPr>
          <w:rFonts w:hint="eastAsia" w:ascii="宋体" w:hAnsi="宋体" w:eastAsia="宋体" w:cs="宋体"/>
          <w:b/>
          <w:bCs/>
          <w:color w:val="auto"/>
          <w:szCs w:val="21"/>
          <w:highlight w:val="none"/>
        </w:rPr>
        <w:t>补正或更正。</w:t>
      </w:r>
    </w:p>
    <w:p w14:paraId="4B64D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21.6 磋商小组在对响应文件的有效性、完整性和响应程度进行审查时，可以要求供应商对响应文件中含义 </w:t>
      </w:r>
    </w:p>
    <w:p w14:paraId="1583766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不明确、同类问题表述不一致或者有明显文字和计算错误的内容等作出必要的澄清、说明或者更正。供应商的 </w:t>
      </w:r>
    </w:p>
    <w:p w14:paraId="2E521D4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澄清、说明或者更正不得超出响应文件的范围或者改变响应文件的实质性内容。澄清、说明或者更正应由其法 </w:t>
      </w:r>
    </w:p>
    <w:p w14:paraId="67811FF7">
      <w:pPr>
        <w:pStyle w:val="8"/>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定代表人或相应的授权委托代表签字</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lang w:val="en-US" w:eastAsia="zh-CN"/>
        </w:rPr>
        <w:t>个人CA签章)</w:t>
      </w:r>
      <w:r>
        <w:rPr>
          <w:rFonts w:hint="eastAsia" w:ascii="宋体" w:hAnsi="宋体" w:eastAsia="宋体" w:cs="宋体"/>
          <w:color w:val="auto"/>
          <w:szCs w:val="21"/>
          <w:highlight w:val="none"/>
        </w:rPr>
        <w:t>或者加盖供应商公章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p>
    <w:p w14:paraId="74782F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根据磋商文件规定的程序、评定成交的标准等事项与实质性响应竞争性磋商文件要求的供应商进行磋商。 </w:t>
      </w:r>
    </w:p>
    <w:p w14:paraId="203398C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未实质性响应磋商文件的响应文件按无效处理，磋商小组应当告知有关供应商。 </w:t>
      </w:r>
    </w:p>
    <w:p w14:paraId="5EB2A5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磋商小组所有成员应当按已确定的磋商顺序集中与单一供应商分别进行磋商，并给予所有实质性响应竞争 </w:t>
      </w:r>
    </w:p>
    <w:p w14:paraId="7495948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性磋商文件要求的供应商平等的磋商机会。 </w:t>
      </w:r>
    </w:p>
    <w:p w14:paraId="787A6F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磋商中，磋商小组不得透露与磋商有关的其他供应商的技术资料、价格和其他信息。 </w:t>
      </w:r>
    </w:p>
    <w:p w14:paraId="0C31ED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磋商小组对磋商过程和重要磋商内容进行记录，磋商双方在记录上签字确认。 </w:t>
      </w:r>
    </w:p>
    <w:p w14:paraId="6B3518E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1F234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21.8 在磋商过程中，磋商小组可以根据磋商文件和磋商情况实质性变动项目需求中的技术、服务要求以及 </w:t>
      </w:r>
    </w:p>
    <w:p w14:paraId="10243FB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合同草案条款，但不得变动磋商文件中的其他内容。实质性变动的内容，须经采购人代表确认。 </w:t>
      </w:r>
    </w:p>
    <w:p w14:paraId="728FEE6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对磋商文件作出的实质性变动是磋商文件的有效组成部分，磋商小组应当及时</w:t>
      </w:r>
      <w:r>
        <w:rPr>
          <w:rFonts w:hint="eastAsia" w:ascii="宋体" w:hAnsi="宋体" w:eastAsia="宋体" w:cs="宋体"/>
          <w:color w:val="auto"/>
          <w:szCs w:val="21"/>
          <w:highlight w:val="none"/>
          <w:lang w:eastAsia="zh-CN"/>
        </w:rPr>
        <w:t>通过</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同时</w:t>
      </w:r>
      <w:r>
        <w:rPr>
          <w:rFonts w:hint="eastAsia" w:ascii="宋体" w:hAnsi="宋体" w:eastAsia="宋体" w:cs="宋体"/>
          <w:color w:val="auto"/>
          <w:szCs w:val="21"/>
          <w:highlight w:val="none"/>
        </w:rPr>
        <w:t xml:space="preserve">通知所有参加磋商的供应商。 </w:t>
      </w:r>
    </w:p>
    <w:p w14:paraId="54B08E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供应商应当按照磋商文件的变动情况和磋商小组的要求重新提交响应文件，并由其法定代表人、负责人、</w:t>
      </w:r>
      <w:r>
        <w:rPr>
          <w:rFonts w:hint="eastAsia" w:ascii="宋体" w:hAnsi="宋体" w:eastAsia="宋体" w:cs="宋体"/>
          <w:color w:val="auto"/>
          <w:szCs w:val="21"/>
          <w:highlight w:val="none"/>
          <w:lang w:eastAsia="zh-CN"/>
        </w:rPr>
        <w:t>自然人或相应的授权委托代表签字（个人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或者加盖供应商公章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 xml:space="preserve">。逾时不交的，视同放弃磋商。 </w:t>
      </w:r>
    </w:p>
    <w:p w14:paraId="403ABA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21.9 第二轮磋商</w:t>
      </w:r>
    </w:p>
    <w:p w14:paraId="564EA9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磋商小组集中就重新提交的响应文件或磋商小组提出的磋商意见与单一响应供应商分别进行磋商。磋商小组对磋商过程和重要磋商内容进行记录，磋商双方在记录上签字确认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CA签章确认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19B86B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磋商后，供应商根据磋商小组统一整理的书面磋商记录要求做出书面承诺，并由其法定代表人或授权代表签字或者加盖公章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后按时</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lang w:val="en-US" w:eastAsia="zh-CN"/>
        </w:rPr>
        <w:t>提交</w:t>
      </w:r>
      <w:r>
        <w:rPr>
          <w:rFonts w:hint="eastAsia" w:ascii="宋体" w:hAnsi="宋体" w:eastAsia="宋体" w:cs="宋体"/>
          <w:color w:val="auto"/>
          <w:szCs w:val="21"/>
          <w:highlight w:val="none"/>
        </w:rPr>
        <w:t>。</w:t>
      </w:r>
    </w:p>
    <w:p w14:paraId="300025D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5A7B91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21.10 在采购过程中符合竞争要求的供应商或者报价未超过采购预算的供应商不足 3 家的，采购人或者采购代理机构应当终止竞争性磋商采购活动。 </w:t>
      </w:r>
    </w:p>
    <w:p w14:paraId="03628B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21.11 最后报价 </w:t>
      </w:r>
    </w:p>
    <w:p w14:paraId="2C8605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21.11.1 磋商文件能够详细列明采购标的的技术、服务要求的，磋商结束后，磋商小组应当要求所有继续参加磋商的供应商在规定时间内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提交最后报价，提交最后报价的供应商不得少于 3 家。 </w:t>
      </w:r>
    </w:p>
    <w:p w14:paraId="58E7E2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 </w:t>
      </w:r>
    </w:p>
    <w:p w14:paraId="34E85BF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21.11.3 根据《财政部关于政府采购竞争性磋商采购方式管理暂行办法有关问题的补充通知》</w:t>
      </w:r>
      <w:r>
        <w:rPr>
          <w:rFonts w:hint="eastAsia" w:ascii="宋体" w:hAnsi="宋体" w:eastAsia="宋体" w:cs="宋体"/>
          <w:color w:val="auto"/>
          <w:szCs w:val="21"/>
          <w:highlight w:val="none"/>
          <w:lang w:val="en-US" w:eastAsia="zh-CN"/>
        </w:rPr>
        <w:t>(</w:t>
      </w:r>
      <w:r>
        <w:rPr>
          <w:rFonts w:hint="eastAsia"/>
          <w:color w:val="auto"/>
          <w:highlight w:val="none"/>
          <w:lang w:eastAsia="zh-CN"/>
        </w:rPr>
        <w:t>财库</w:t>
      </w:r>
      <w:r>
        <w:rPr>
          <w:rFonts w:hint="eastAsia" w:ascii="宋体" w:hAnsi="宋体" w:eastAsia="宋体" w:cs="宋体"/>
          <w:color w:val="auto"/>
          <w:szCs w:val="21"/>
          <w:highlight w:val="none"/>
          <w:lang w:eastAsia="zh-CN"/>
        </w:rPr>
        <w:t>〔2015〕124号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10193990">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21.11.4 根据《政府采购竞争性磋商采购方式管理暂行办法》</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财库〔2014〕214 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w:t>
      </w:r>
      <w:r>
        <w:rPr>
          <w:rFonts w:hint="eastAsia" w:ascii="宋体" w:hAnsi="宋体" w:eastAsia="宋体" w:cs="宋体"/>
          <w:b/>
          <w:bCs/>
          <w:color w:val="auto"/>
          <w:szCs w:val="21"/>
          <w:highlight w:val="none"/>
        </w:rPr>
        <w:t xml:space="preserve">最后报价是供应商响应文件的有效组成部分。 </w:t>
      </w:r>
      <w:r>
        <w:rPr>
          <w:rFonts w:hint="eastAsia" w:ascii="宋体" w:hAnsi="宋体" w:eastAsia="宋体" w:cs="宋体"/>
          <w:color w:val="auto"/>
          <w:szCs w:val="21"/>
          <w:highlight w:val="none"/>
        </w:rPr>
        <w:t>符合本办法(财库〔2014〕214号文)第三条第四项情形的，提交最后报价的供应商可以为2家。</w:t>
      </w:r>
      <w:r>
        <w:rPr>
          <w:rFonts w:hint="eastAsia" w:ascii="宋体" w:hAnsi="宋体" w:eastAsia="宋体" w:cs="宋体"/>
          <w:b/>
          <w:bCs/>
          <w:color w:val="auto"/>
          <w:szCs w:val="21"/>
          <w:highlight w:val="none"/>
        </w:rPr>
        <w:t>（财库〔2014〕214号文第三条第四项：市场竞争不充分的科研项目，以及需要扶持的科技成果转化项目。）</w:t>
      </w:r>
    </w:p>
    <w:p w14:paraId="7655F2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21.12 已提交响应文件的供应商，在提交最后报价之前，可以根据磋商情况退出磋商。 </w:t>
      </w:r>
    </w:p>
    <w:p w14:paraId="0F5D9C4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rPr>
        <w:t>未退出</w:t>
      </w:r>
      <w:r>
        <w:rPr>
          <w:rFonts w:hint="eastAsia" w:ascii="宋体" w:hAnsi="宋体" w:cs="宋体"/>
          <w:color w:val="auto"/>
          <w:szCs w:val="21"/>
          <w:lang w:eastAsia="zh-CN"/>
        </w:rPr>
        <w:t>磋商</w:t>
      </w:r>
      <w:r>
        <w:rPr>
          <w:rFonts w:hint="eastAsia" w:ascii="宋体" w:hAnsi="宋体" w:cs="宋体"/>
          <w:color w:val="auto"/>
          <w:szCs w:val="21"/>
        </w:rPr>
        <w:t>的供应商</w:t>
      </w:r>
      <w:r>
        <w:rPr>
          <w:rFonts w:hint="eastAsia" w:ascii="宋体" w:hAnsi="宋体" w:eastAsia="宋体" w:cs="宋体"/>
          <w:color w:val="auto"/>
          <w:kern w:val="0"/>
          <w:szCs w:val="21"/>
        </w:rPr>
        <w:t>应在规定时间内在广西政府采购云平台系统上提交最后报价，超出评委设定的最后报价时限或其最后报价超出采购预算导致已通过评审的响应文件无效的，按供应商在提交响应文件截止时间后撤回响应文件处理</w:t>
      </w:r>
      <w:r>
        <w:rPr>
          <w:rFonts w:hint="eastAsia" w:ascii="宋体" w:hAnsi="宋体" w:eastAsia="宋体" w:cs="宋体"/>
          <w:color w:val="auto"/>
          <w:kern w:val="0"/>
          <w:szCs w:val="21"/>
          <w:lang w:eastAsia="zh-CN"/>
        </w:rPr>
        <w:t>。</w:t>
      </w:r>
      <w:r>
        <w:rPr>
          <w:rFonts w:hint="eastAsia" w:ascii="宋体" w:hAnsi="宋体" w:eastAsia="宋体" w:cs="宋体"/>
          <w:color w:val="auto"/>
          <w:szCs w:val="21"/>
          <w:highlight w:val="none"/>
        </w:rPr>
        <w:t xml:space="preserve"> </w:t>
      </w:r>
    </w:p>
    <w:p w14:paraId="260DD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21.13 评审报告 </w:t>
      </w:r>
    </w:p>
    <w:p w14:paraId="02BC01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磋商小组应当从质量和服务均能满足磋商文件全部实质性响应要求的供应商中，按照最后综合得分由高到低的顺序提出 3 名以上（含 3 名）成交候选人，并编写评审报告。</w:t>
      </w:r>
    </w:p>
    <w:p w14:paraId="6D0130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21.14 在评审过程中出现法律法规和磋商文件均没有明确规定的情形时，由磋商小组现场协商解决，协商 </w:t>
      </w:r>
    </w:p>
    <w:p w14:paraId="231CA2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不一致的，由全体磋商小组投票表决，以得票率二分之一以上磋商小组成员的意见为准。 </w:t>
      </w:r>
    </w:p>
    <w:p w14:paraId="41ED3D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21.15 采购代理机构发现磋商小组有明显的违规倾向或歧视现象，或不按评审办法进行，或其他不正常行 </w:t>
      </w:r>
    </w:p>
    <w:p w14:paraId="51B8547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为的，应当及时制止。如制止无效，应及时向</w:t>
      </w:r>
      <w:r>
        <w:rPr>
          <w:rFonts w:hint="eastAsia" w:ascii="宋体" w:hAnsi="宋体" w:cs="宋体"/>
          <w:color w:val="auto"/>
          <w:szCs w:val="21"/>
          <w:highlight w:val="none"/>
          <w:lang w:val="en-US" w:eastAsia="zh-CN"/>
        </w:rPr>
        <w:t>桂林市</w:t>
      </w:r>
      <w:r>
        <w:rPr>
          <w:rFonts w:hint="eastAsia" w:ascii="宋体" w:hAnsi="宋体" w:eastAsia="宋体" w:cs="宋体"/>
          <w:color w:val="auto"/>
          <w:szCs w:val="21"/>
          <w:highlight w:val="none"/>
        </w:rPr>
        <w:t>政府采购监督管理机构报告。</w:t>
      </w:r>
    </w:p>
    <w:p w14:paraId="58572D0A">
      <w:pPr>
        <w:spacing w:line="360" w:lineRule="auto"/>
        <w:ind w:firstLine="420" w:firstLineChars="200"/>
        <w:rPr>
          <w:rFonts w:hint="eastAsia" w:ascii="宋体" w:hAnsi="宋体" w:eastAsia="宋体" w:cs="宋体"/>
          <w:b/>
          <w:bCs/>
          <w:color w:val="auto"/>
          <w:highlight w:val="none"/>
        </w:rPr>
      </w:pPr>
      <w:r>
        <w:rPr>
          <w:rFonts w:hint="eastAsia" w:ascii="宋体" w:hAnsi="宋体" w:eastAsia="宋体" w:cs="宋体"/>
          <w:color w:val="auto"/>
          <w:szCs w:val="21"/>
          <w:highlight w:val="none"/>
        </w:rPr>
        <w:t>21.16 本采购项目的评审依据为竞争性磋商文件和竞争性磋商响应文件，采用的评审方法为</w:t>
      </w:r>
      <w:r>
        <w:rPr>
          <w:rFonts w:hint="eastAsia" w:ascii="宋体" w:hAnsi="宋体" w:eastAsia="宋体" w:cs="宋体"/>
          <w:b/>
          <w:bCs/>
          <w:color w:val="auto"/>
          <w:szCs w:val="21"/>
          <w:highlight w:val="none"/>
        </w:rPr>
        <w:t>综合评分法。</w:t>
      </w:r>
    </w:p>
    <w:p w14:paraId="30A49FCC">
      <w:pPr>
        <w:pStyle w:val="4"/>
        <w:spacing w:before="0" w:after="0" w:line="360" w:lineRule="auto"/>
        <w:ind w:firstLine="420" w:firstLineChars="200"/>
        <w:rPr>
          <w:rFonts w:hint="eastAsia" w:ascii="宋体" w:hAnsi="宋体" w:eastAsia="宋体" w:cs="宋体"/>
          <w:color w:val="auto"/>
          <w:sz w:val="21"/>
          <w:szCs w:val="21"/>
          <w:highlight w:val="none"/>
        </w:rPr>
      </w:pPr>
      <w:bookmarkStart w:id="195" w:name="_Toc2149"/>
      <w:bookmarkStart w:id="196" w:name="_Toc29029"/>
      <w:bookmarkStart w:id="197" w:name="_Toc32470"/>
      <w:bookmarkStart w:id="198" w:name="_Toc26487"/>
      <w:bookmarkStart w:id="199" w:name="_Toc23844"/>
      <w:r>
        <w:rPr>
          <w:rFonts w:hint="eastAsia" w:ascii="宋体" w:hAnsi="宋体" w:eastAsia="宋体" w:cs="宋体"/>
          <w:color w:val="auto"/>
          <w:sz w:val="21"/>
          <w:szCs w:val="21"/>
          <w:highlight w:val="none"/>
        </w:rPr>
        <w:t>22. 确定成交供应商</w:t>
      </w:r>
      <w:bookmarkEnd w:id="195"/>
      <w:bookmarkEnd w:id="196"/>
      <w:bookmarkEnd w:id="197"/>
      <w:bookmarkEnd w:id="198"/>
      <w:bookmarkEnd w:id="199"/>
    </w:p>
    <w:p w14:paraId="33CAD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7C70863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22.2采购单位应当确定磋商小组推荐排名第一的成交候选人为成交供应商。</w:t>
      </w:r>
    </w:p>
    <w:p w14:paraId="4549CB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排名第一的成交候选人放弃成交、因不可抗力提出不能履行合同，或信用信息记录不符合相关规定的，或者磋商文件规定应当提交履约保证金而在规定的期限内未能提交的（本项目免收履约保证金），采购单位可以确定排名第二的成交候选人为成交供应商。</w:t>
      </w:r>
    </w:p>
    <w:p w14:paraId="34925E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22.4排名第二的成交候选人因前款规定的同样原因不能签订合同的，采购单位可以确定排名第三的成交候选人为成交供应商。</w:t>
      </w:r>
    </w:p>
    <w:p w14:paraId="4746B2C7">
      <w:pPr>
        <w:pStyle w:val="4"/>
        <w:spacing w:before="0" w:after="0" w:line="360" w:lineRule="auto"/>
        <w:ind w:firstLine="420" w:firstLineChars="200"/>
        <w:rPr>
          <w:rFonts w:hint="eastAsia" w:ascii="宋体" w:hAnsi="宋体" w:eastAsia="宋体" w:cs="宋体"/>
          <w:color w:val="auto"/>
          <w:sz w:val="21"/>
          <w:szCs w:val="21"/>
          <w:highlight w:val="none"/>
        </w:rPr>
      </w:pPr>
      <w:bookmarkStart w:id="200" w:name="_Toc7831"/>
      <w:bookmarkStart w:id="201" w:name="_Toc2766"/>
      <w:bookmarkStart w:id="202" w:name="_Toc2221"/>
      <w:bookmarkStart w:id="203" w:name="_Toc21715"/>
      <w:bookmarkStart w:id="204" w:name="_Toc19046"/>
      <w:r>
        <w:rPr>
          <w:rFonts w:hint="eastAsia" w:ascii="宋体" w:hAnsi="宋体" w:eastAsia="宋体" w:cs="宋体"/>
          <w:color w:val="auto"/>
          <w:sz w:val="21"/>
          <w:szCs w:val="21"/>
          <w:highlight w:val="none"/>
        </w:rPr>
        <w:t>23. 属于下列情况之一者，响应文件无效</w:t>
      </w:r>
      <w:bookmarkEnd w:id="200"/>
      <w:bookmarkEnd w:id="201"/>
      <w:bookmarkEnd w:id="202"/>
      <w:bookmarkEnd w:id="203"/>
      <w:bookmarkEnd w:id="204"/>
    </w:p>
    <w:p w14:paraId="6C5ACB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（1）未按磋商文件规定完整</w:t>
      </w:r>
      <w:r>
        <w:rPr>
          <w:rFonts w:hint="eastAsia" w:ascii="宋体" w:hAnsi="宋体" w:eastAsia="宋体" w:cs="宋体"/>
          <w:color w:val="auto"/>
          <w:szCs w:val="21"/>
          <w:highlight w:val="none"/>
          <w:lang w:val="en-US" w:eastAsia="zh-CN"/>
        </w:rPr>
        <w:t>线上</w:t>
      </w:r>
      <w:r>
        <w:rPr>
          <w:rFonts w:hint="eastAsia" w:ascii="宋体" w:hAnsi="宋体" w:eastAsia="宋体" w:cs="宋体"/>
          <w:color w:val="auto"/>
          <w:szCs w:val="21"/>
          <w:highlight w:val="none"/>
        </w:rPr>
        <w:t>提交响应文件或未按规定要求</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的；</w:t>
      </w:r>
    </w:p>
    <w:p w14:paraId="4BF489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（2）不具备磋商文件规定的资格要求的；</w:t>
      </w:r>
    </w:p>
    <w:p w14:paraId="675330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（3）响应文件未按磋商文件的内容和要求编制，或提供虚假材料的；</w:t>
      </w:r>
    </w:p>
    <w:p w14:paraId="753B35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（4）响应文件有效期、交货时间、免费保修期（升级、维护）期/维护期、售后服务不能满足磋商文件要求的；</w:t>
      </w:r>
    </w:p>
    <w:p w14:paraId="3948F5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（5）供应商未就“采购需求”中的所有内容作完整唯一报价的，或报价超出采购预算总金额的；</w:t>
      </w:r>
    </w:p>
    <w:p w14:paraId="25BCAD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（6）未在磋商小组规定的时间内提交响应文件(包括最后报价)的；</w:t>
      </w:r>
    </w:p>
    <w:p w14:paraId="5B43E6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（7）超越了按照法律法规规定必须获得行政许可或者行政审批的经营范围的；</w:t>
      </w:r>
    </w:p>
    <w:p w14:paraId="285DB4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（8）未满足磋商文件实质性要求的或者响应文件有采购人不能接受的附加条件的；</w:t>
      </w:r>
    </w:p>
    <w:p w14:paraId="2FF7182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（9）响应文件实质性要求未做变动，供应商最后报价高于第一次报价的；</w:t>
      </w:r>
    </w:p>
    <w:p w14:paraId="69CAA1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（10）不符合法律、法规和磋商文件规定的其他实质性要求和条件的。</w:t>
      </w:r>
    </w:p>
    <w:p w14:paraId="42CC44B6">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供应商有下列情形之一的视为供应商相互串通磋商，响应文件将被视为无效</w:t>
      </w:r>
    </w:p>
    <w:p w14:paraId="729973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（1）不同供应商的响应文件由同一单位或者个人编制；或不同供应商报名的IP地址一致的；</w:t>
      </w:r>
    </w:p>
    <w:p w14:paraId="2F4495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（2）不同供应商委托同一单位或者个人办理磋商事宜；</w:t>
      </w:r>
    </w:p>
    <w:p w14:paraId="73E9CC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ED023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（4）不同供应商的响应文件异常一致或竞标报价呈规律性差异；</w:t>
      </w:r>
    </w:p>
    <w:p w14:paraId="5678A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w:t>
      </w:r>
      <w:r>
        <w:rPr>
          <w:rFonts w:hint="eastAsia" w:ascii="宋体" w:hAnsi="宋体" w:cs="宋体"/>
          <w:color w:val="auto"/>
          <w:szCs w:val="21"/>
          <w:highlight w:val="none"/>
          <w:lang w:eastAsia="zh-CN"/>
        </w:rPr>
        <w:t>编</w:t>
      </w:r>
      <w:r>
        <w:rPr>
          <w:rFonts w:hint="eastAsia" w:ascii="宋体" w:hAnsi="宋体" w:eastAsia="宋体" w:cs="宋体"/>
          <w:color w:val="auto"/>
          <w:szCs w:val="21"/>
          <w:highlight w:val="none"/>
        </w:rPr>
        <w:t>；</w:t>
      </w:r>
    </w:p>
    <w:p w14:paraId="30EE87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p>
    <w:p w14:paraId="78F8890B">
      <w:pPr>
        <w:pStyle w:val="4"/>
        <w:spacing w:before="0" w:after="0" w:line="360" w:lineRule="auto"/>
        <w:ind w:firstLine="420" w:firstLineChars="200"/>
        <w:rPr>
          <w:rFonts w:hint="eastAsia" w:ascii="宋体" w:hAnsi="宋体" w:eastAsia="宋体" w:cs="宋体"/>
          <w:color w:val="auto"/>
          <w:sz w:val="21"/>
          <w:szCs w:val="21"/>
          <w:highlight w:val="none"/>
        </w:rPr>
      </w:pPr>
      <w:bookmarkStart w:id="205" w:name="_Toc5168"/>
      <w:bookmarkStart w:id="206" w:name="_Toc20770"/>
      <w:bookmarkStart w:id="207" w:name="_Toc15929"/>
      <w:bookmarkStart w:id="208" w:name="_Toc5714"/>
      <w:bookmarkStart w:id="209" w:name="_Toc17161"/>
      <w:r>
        <w:rPr>
          <w:rFonts w:hint="eastAsia" w:ascii="宋体" w:hAnsi="宋体" w:eastAsia="宋体" w:cs="宋体"/>
          <w:color w:val="auto"/>
          <w:sz w:val="21"/>
          <w:szCs w:val="21"/>
          <w:highlight w:val="none"/>
        </w:rPr>
        <w:t>24. 出现下列情形之一的，采购人或者采购代理机构应当终止竞争性磋商采购活动，发布项目终止公告并说明原因，重新开展采购活动</w:t>
      </w:r>
      <w:bookmarkEnd w:id="205"/>
      <w:bookmarkEnd w:id="206"/>
      <w:bookmarkEnd w:id="207"/>
      <w:bookmarkEnd w:id="208"/>
      <w:bookmarkEnd w:id="209"/>
    </w:p>
    <w:p w14:paraId="0EE9B9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6FADD6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（2）出现影响采购公正的违法、违规行为的； </w:t>
      </w:r>
    </w:p>
    <w:p w14:paraId="43CF2717">
      <w:pPr>
        <w:spacing w:line="360" w:lineRule="auto"/>
        <w:ind w:firstLine="420" w:firstLineChars="20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t>（3）在采购过程中符合竞争要求的供应商或者报价未超过采购预算的供应商不足3家的。</w:t>
      </w:r>
      <w:r>
        <w:rPr>
          <w:rFonts w:hint="eastAsia" w:ascii="宋体" w:hAnsi="宋体" w:eastAsia="宋体" w:cs="宋体"/>
          <w:b/>
          <w:bCs/>
          <w:color w:val="auto"/>
          <w:szCs w:val="21"/>
          <w:highlight w:val="none"/>
        </w:rPr>
        <w:t>（除财库〔2014〕214 号《政府采购竞争性磋商采购方式管理暂行办法》第二十一条第三款规定的情形外）</w:t>
      </w:r>
      <w:r>
        <w:rPr>
          <w:rFonts w:hint="eastAsia" w:ascii="宋体" w:hAnsi="宋体" w:cs="宋体"/>
          <w:b/>
          <w:bCs/>
          <w:color w:val="auto"/>
          <w:szCs w:val="21"/>
          <w:highlight w:val="none"/>
          <w:lang w:eastAsia="zh-CN"/>
        </w:rPr>
        <w:t>。</w:t>
      </w:r>
    </w:p>
    <w:p w14:paraId="671B1735">
      <w:pPr>
        <w:pStyle w:val="4"/>
        <w:spacing w:before="0" w:after="0" w:line="360" w:lineRule="auto"/>
        <w:ind w:firstLine="420" w:firstLineChars="200"/>
        <w:rPr>
          <w:rFonts w:hint="eastAsia" w:ascii="宋体" w:hAnsi="宋体" w:eastAsia="宋体" w:cs="宋体"/>
          <w:color w:val="auto"/>
          <w:sz w:val="21"/>
          <w:szCs w:val="21"/>
          <w:highlight w:val="none"/>
        </w:rPr>
      </w:pPr>
      <w:bookmarkStart w:id="210" w:name="_Toc15936"/>
      <w:bookmarkStart w:id="211" w:name="_Toc25539"/>
      <w:bookmarkStart w:id="212" w:name="_Toc32461"/>
      <w:bookmarkStart w:id="213" w:name="_Toc19105"/>
      <w:bookmarkStart w:id="214" w:name="_Toc26609"/>
      <w:r>
        <w:rPr>
          <w:rFonts w:hint="eastAsia" w:ascii="宋体" w:hAnsi="宋体" w:eastAsia="宋体" w:cs="宋体"/>
          <w:color w:val="auto"/>
          <w:sz w:val="21"/>
          <w:szCs w:val="21"/>
          <w:highlight w:val="none"/>
        </w:rPr>
        <w:t>25. 磋商过程的监控</w:t>
      </w:r>
      <w:bookmarkEnd w:id="210"/>
      <w:bookmarkEnd w:id="211"/>
      <w:bookmarkEnd w:id="212"/>
      <w:bookmarkEnd w:id="213"/>
      <w:bookmarkEnd w:id="214"/>
    </w:p>
    <w:p w14:paraId="4C1997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本项目磋商过程实行全程录音、录像监控，供应商在磋商过程中所进行的试图影响磋商结果的不公正活动，可能导致其磋商被拒绝。</w:t>
      </w:r>
    </w:p>
    <w:p w14:paraId="71A9AA00">
      <w:pPr>
        <w:pStyle w:val="4"/>
        <w:numPr>
          <w:ilvl w:val="0"/>
          <w:numId w:val="6"/>
        </w:numPr>
        <w:spacing w:before="0" w:after="0" w:line="360" w:lineRule="auto"/>
        <w:ind w:firstLine="420" w:firstLineChars="200"/>
        <w:rPr>
          <w:rFonts w:hint="eastAsia" w:ascii="宋体" w:hAnsi="宋体" w:eastAsia="宋体" w:cs="宋体"/>
          <w:color w:val="auto"/>
          <w:sz w:val="21"/>
          <w:szCs w:val="21"/>
          <w:highlight w:val="none"/>
        </w:rPr>
      </w:pPr>
      <w:bookmarkStart w:id="215" w:name="_Toc5667"/>
      <w:bookmarkStart w:id="216" w:name="_Toc14787"/>
      <w:bookmarkStart w:id="217" w:name="_Toc27175"/>
      <w:bookmarkStart w:id="218" w:name="_Toc32457"/>
      <w:bookmarkStart w:id="219" w:name="_Toc6437"/>
      <w:r>
        <w:rPr>
          <w:rFonts w:hint="eastAsia" w:ascii="宋体" w:hAnsi="宋体" w:eastAsia="宋体" w:cs="宋体"/>
          <w:color w:val="auto"/>
          <w:sz w:val="21"/>
          <w:szCs w:val="21"/>
          <w:highlight w:val="none"/>
        </w:rPr>
        <w:t>信用查询</w:t>
      </w:r>
      <w:bookmarkEnd w:id="215"/>
      <w:bookmarkEnd w:id="216"/>
      <w:bookmarkEnd w:id="217"/>
      <w:bookmarkEnd w:id="218"/>
      <w:bookmarkEnd w:id="219"/>
    </w:p>
    <w:p w14:paraId="3DB415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桂财采〔2016〕37号</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，采购代理机构对成交人的成交资格进行信用查询：</w:t>
      </w:r>
    </w:p>
    <w:p w14:paraId="0D3B717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（1）查询渠道：“信用中国”网站(www.creditchina.gov.cn)、中国政府采购网(www.ccgp.gov.cn)等；</w:t>
      </w:r>
    </w:p>
    <w:p w14:paraId="5A00DF8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（2）查询时间：成交通知书发出前；</w:t>
      </w:r>
    </w:p>
    <w:p w14:paraId="609593A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（3）信用信息查询记录和证据留存方式：在查询网站中直接打印查询记录，打印材料作为采购活动资料保存。</w:t>
      </w:r>
    </w:p>
    <w:p w14:paraId="26FE3A7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255DBAF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D14B1AA">
      <w:pPr>
        <w:pStyle w:val="4"/>
        <w:spacing w:before="0" w:after="0" w:line="360" w:lineRule="auto"/>
        <w:ind w:firstLine="420" w:firstLineChars="200"/>
        <w:rPr>
          <w:rFonts w:hint="eastAsia" w:ascii="宋体" w:hAnsi="宋体" w:eastAsia="宋体" w:cs="宋体"/>
          <w:color w:val="auto"/>
          <w:sz w:val="21"/>
          <w:szCs w:val="21"/>
          <w:highlight w:val="none"/>
        </w:rPr>
      </w:pPr>
      <w:bookmarkStart w:id="220" w:name="_Toc18494"/>
      <w:bookmarkStart w:id="221" w:name="_Toc9438"/>
      <w:bookmarkStart w:id="222" w:name="_Toc6319"/>
      <w:bookmarkStart w:id="223" w:name="_Toc778"/>
      <w:bookmarkStart w:id="224" w:name="_Toc23899"/>
      <w:r>
        <w:rPr>
          <w:rFonts w:hint="eastAsia" w:ascii="宋体" w:hAnsi="宋体" w:eastAsia="宋体" w:cs="宋体"/>
          <w:color w:val="auto"/>
          <w:sz w:val="21"/>
          <w:szCs w:val="21"/>
          <w:highlight w:val="none"/>
        </w:rPr>
        <w:t>27. 成交结果公告及成交通知书</w:t>
      </w:r>
      <w:bookmarkEnd w:id="220"/>
      <w:bookmarkEnd w:id="221"/>
      <w:bookmarkEnd w:id="222"/>
      <w:bookmarkEnd w:id="223"/>
      <w:bookmarkEnd w:id="224"/>
    </w:p>
    <w:p w14:paraId="59BC6F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2274D0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27.2 </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公告发布的同时，采购代理机构在线向</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供应商发出电子</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通知书。</w:t>
      </w:r>
    </w:p>
    <w:p w14:paraId="704014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 采购代理机构无义务向未成交的供应商解释未成交原因和退还响应文件。</w:t>
      </w:r>
    </w:p>
    <w:p w14:paraId="3A944750">
      <w:pPr>
        <w:pStyle w:val="3"/>
        <w:jc w:val="center"/>
        <w:rPr>
          <w:rFonts w:hint="eastAsia" w:ascii="宋体" w:hAnsi="宋体" w:eastAsia="宋体" w:cs="宋体"/>
          <w:b/>
          <w:bCs w:val="0"/>
          <w:color w:val="auto"/>
          <w:szCs w:val="28"/>
          <w:highlight w:val="none"/>
        </w:rPr>
      </w:pPr>
      <w:bookmarkStart w:id="225" w:name="_Toc6469"/>
      <w:bookmarkStart w:id="226" w:name="_Toc10354"/>
      <w:bookmarkStart w:id="227" w:name="_Toc25593"/>
      <w:bookmarkStart w:id="228" w:name="_Toc19479"/>
      <w:bookmarkStart w:id="229" w:name="_Toc31764"/>
      <w:r>
        <w:rPr>
          <w:rFonts w:hint="eastAsia" w:ascii="宋体" w:hAnsi="宋体" w:eastAsia="宋体" w:cs="宋体"/>
          <w:b/>
          <w:bCs w:val="0"/>
          <w:color w:val="auto"/>
          <w:szCs w:val="28"/>
          <w:highlight w:val="none"/>
        </w:rPr>
        <w:t>五、签订合同</w:t>
      </w:r>
      <w:bookmarkEnd w:id="225"/>
      <w:bookmarkEnd w:id="226"/>
      <w:bookmarkEnd w:id="227"/>
      <w:bookmarkEnd w:id="228"/>
      <w:bookmarkEnd w:id="229"/>
    </w:p>
    <w:p w14:paraId="7DF05E0C">
      <w:pPr>
        <w:pStyle w:val="4"/>
        <w:spacing w:before="0" w:after="0" w:line="360" w:lineRule="auto"/>
        <w:ind w:firstLine="420" w:firstLineChars="200"/>
        <w:rPr>
          <w:rFonts w:hint="eastAsia" w:ascii="宋体" w:hAnsi="宋体" w:eastAsia="宋体" w:cs="宋体"/>
          <w:color w:val="auto"/>
          <w:sz w:val="21"/>
          <w:szCs w:val="21"/>
          <w:highlight w:val="none"/>
        </w:rPr>
      </w:pPr>
      <w:bookmarkStart w:id="230" w:name="_Toc26520"/>
      <w:bookmarkStart w:id="231" w:name="_Toc9892"/>
      <w:bookmarkStart w:id="232" w:name="_Toc29247"/>
      <w:bookmarkStart w:id="233" w:name="_Toc2100"/>
      <w:bookmarkStart w:id="234" w:name="_Toc6518"/>
      <w:r>
        <w:rPr>
          <w:rFonts w:hint="eastAsia" w:ascii="宋体" w:hAnsi="宋体" w:eastAsia="宋体" w:cs="宋体"/>
          <w:color w:val="auto"/>
          <w:sz w:val="21"/>
          <w:szCs w:val="21"/>
          <w:highlight w:val="none"/>
        </w:rPr>
        <w:t>28. 履约保证金</w:t>
      </w:r>
      <w:bookmarkEnd w:id="230"/>
      <w:bookmarkEnd w:id="231"/>
      <w:bookmarkEnd w:id="232"/>
      <w:bookmarkEnd w:id="233"/>
      <w:bookmarkEnd w:id="234"/>
    </w:p>
    <w:p w14:paraId="1B633FBF">
      <w:pPr>
        <w:numPr>
          <w:ilvl w:val="0"/>
          <w:numId w:val="0"/>
        </w:numPr>
        <w:bidi w:val="0"/>
        <w:ind w:firstLine="420" w:firstLineChars="200"/>
        <w:rPr>
          <w:rFonts w:hint="eastAsia" w:ascii="宋体" w:hAnsi="宋体" w:eastAsia="宋体" w:cs="宋体"/>
          <w:b/>
          <w:color w:val="auto"/>
          <w:szCs w:val="21"/>
          <w:highlight w:val="none"/>
        </w:rPr>
      </w:pPr>
      <w:r>
        <w:rPr>
          <w:rFonts w:hint="eastAsia" w:hAnsi="宋体" w:cs="宋体"/>
          <w:color w:val="auto"/>
          <w:szCs w:val="21"/>
          <w:highlight w:val="none"/>
        </w:rPr>
        <w:t>本项目无需缴纳履约保证金</w:t>
      </w:r>
      <w:r>
        <w:rPr>
          <w:rFonts w:hint="eastAsia" w:ascii="宋体" w:hAnsi="宋体" w:eastAsia="宋体" w:cs="宋体"/>
          <w:color w:val="auto"/>
          <w:kern w:val="2"/>
          <w:sz w:val="21"/>
          <w:szCs w:val="21"/>
          <w:highlight w:val="none"/>
          <w:lang w:val="en-US" w:eastAsia="zh-CN" w:bidi="ar-SA"/>
        </w:rPr>
        <w:t>。</w:t>
      </w:r>
    </w:p>
    <w:p w14:paraId="1868911C">
      <w:pPr>
        <w:pStyle w:val="4"/>
        <w:spacing w:before="0" w:after="0" w:line="360" w:lineRule="auto"/>
        <w:ind w:firstLine="420" w:firstLineChars="200"/>
        <w:rPr>
          <w:rFonts w:hint="eastAsia" w:ascii="宋体" w:hAnsi="宋体" w:eastAsia="宋体" w:cs="宋体"/>
          <w:color w:val="auto"/>
          <w:sz w:val="21"/>
          <w:szCs w:val="21"/>
          <w:highlight w:val="none"/>
        </w:rPr>
      </w:pPr>
      <w:bookmarkStart w:id="235" w:name="_Toc4237"/>
      <w:bookmarkStart w:id="236" w:name="_Toc2947"/>
      <w:bookmarkStart w:id="237" w:name="_Toc4956"/>
      <w:bookmarkStart w:id="238" w:name="_Toc1023"/>
      <w:bookmarkStart w:id="239" w:name="_Toc6482"/>
      <w:r>
        <w:rPr>
          <w:rFonts w:hint="eastAsia" w:ascii="宋体" w:hAnsi="宋体" w:eastAsia="宋体" w:cs="宋体"/>
          <w:color w:val="auto"/>
          <w:sz w:val="21"/>
          <w:szCs w:val="21"/>
          <w:highlight w:val="none"/>
        </w:rPr>
        <w:t>29. 签订合同</w:t>
      </w:r>
      <w:bookmarkEnd w:id="235"/>
      <w:bookmarkEnd w:id="236"/>
      <w:bookmarkEnd w:id="237"/>
      <w:bookmarkEnd w:id="238"/>
      <w:bookmarkEnd w:id="239"/>
    </w:p>
    <w:p w14:paraId="6177AE21">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29.1 签订合同时间：</w:t>
      </w:r>
      <w:r>
        <w:rPr>
          <w:rFonts w:hint="eastAsia" w:ascii="宋体" w:hAnsi="宋体" w:eastAsia="宋体" w:cs="宋体"/>
          <w:b/>
          <w:bCs/>
          <w:color w:val="auto"/>
          <w:szCs w:val="21"/>
          <w:highlight w:val="none"/>
          <w:lang w:eastAsia="zh-CN"/>
        </w:rPr>
        <w:t>成交通知书发出之日起</w:t>
      </w:r>
      <w:r>
        <w:rPr>
          <w:rFonts w:hint="eastAsia" w:ascii="宋体" w:hAnsi="宋体" w:cs="宋体"/>
          <w:b/>
          <w:bCs/>
          <w:color w:val="auto"/>
          <w:szCs w:val="21"/>
          <w:highlight w:val="none"/>
          <w:lang w:val="en-US" w:eastAsia="zh-CN"/>
        </w:rPr>
        <w:t>八个工作</w:t>
      </w:r>
      <w:r>
        <w:rPr>
          <w:rFonts w:hint="eastAsia" w:ascii="宋体" w:hAnsi="宋体" w:eastAsia="宋体" w:cs="宋体"/>
          <w:b/>
          <w:bCs/>
          <w:color w:val="auto"/>
          <w:szCs w:val="21"/>
          <w:highlight w:val="none"/>
          <w:lang w:eastAsia="zh-CN"/>
        </w:rPr>
        <w:t>日内签订合同。</w:t>
      </w:r>
      <w:r>
        <w:rPr>
          <w:rFonts w:hint="eastAsia" w:ascii="宋体" w:hAnsi="宋体" w:eastAsia="宋体" w:cs="宋体"/>
          <w:b/>
          <w:bCs/>
          <w:color w:val="auto"/>
          <w:szCs w:val="21"/>
          <w:highlight w:val="none"/>
          <w:lang w:val="en-US" w:eastAsia="zh-CN"/>
        </w:rPr>
        <w:t>成交</w:t>
      </w:r>
      <w:r>
        <w:rPr>
          <w:rFonts w:hint="eastAsia" w:ascii="宋体" w:hAnsi="宋体" w:eastAsia="宋体" w:cs="宋体"/>
          <w:b/>
          <w:bCs/>
          <w:color w:val="auto"/>
          <w:szCs w:val="21"/>
          <w:highlight w:val="none"/>
          <w:lang w:eastAsia="zh-CN"/>
        </w:rPr>
        <w:t>供应商收到</w:t>
      </w:r>
      <w:r>
        <w:rPr>
          <w:rFonts w:hint="eastAsia" w:ascii="宋体" w:hAnsi="宋体" w:eastAsia="宋体" w:cs="宋体"/>
          <w:b/>
          <w:bCs/>
          <w:color w:val="auto"/>
          <w:szCs w:val="21"/>
          <w:highlight w:val="none"/>
          <w:lang w:val="en-US" w:eastAsia="zh-CN"/>
        </w:rPr>
        <w:t>成交</w:t>
      </w:r>
      <w:r>
        <w:rPr>
          <w:rFonts w:hint="eastAsia" w:ascii="宋体" w:hAnsi="宋体" w:eastAsia="宋体" w:cs="宋体"/>
          <w:b/>
          <w:bCs/>
          <w:color w:val="auto"/>
          <w:szCs w:val="21"/>
          <w:highlight w:val="none"/>
          <w:lang w:eastAsia="zh-CN"/>
        </w:rPr>
        <w:t>通知书后，应按规定与采购人在“</w:t>
      </w:r>
      <w:r>
        <w:rPr>
          <w:rFonts w:hint="eastAsia" w:ascii="宋体" w:hAnsi="宋体" w:eastAsia="宋体" w:cs="宋体"/>
          <w:b/>
          <w:bCs/>
          <w:color w:val="auto"/>
          <w:szCs w:val="21"/>
          <w:highlight w:val="none"/>
          <w:lang w:val="en-US" w:eastAsia="zh-CN"/>
        </w:rPr>
        <w:t>广西政府采购云平台</w:t>
      </w:r>
      <w:r>
        <w:rPr>
          <w:rFonts w:hint="eastAsia" w:ascii="宋体" w:hAnsi="宋体" w:eastAsia="宋体" w:cs="宋体"/>
          <w:b/>
          <w:bCs/>
          <w:color w:val="auto"/>
          <w:szCs w:val="21"/>
          <w:highlight w:val="none"/>
          <w:lang w:eastAsia="zh-CN"/>
        </w:rPr>
        <w:t>”上在线签订电子合同。</w:t>
      </w:r>
    </w:p>
    <w:p w14:paraId="3723E3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6295F9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（1）成交后不与采购人签订合同的（不可抗力除外）；</w:t>
      </w:r>
    </w:p>
    <w:p w14:paraId="7DD0B5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（2）将成交项目转让给他人，或者在响应文件中未说明，且未经采购人同意，将成交项目分包给他人的；</w:t>
      </w:r>
    </w:p>
    <w:p w14:paraId="372F65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（3）拒绝履行合同义务的。</w:t>
      </w:r>
    </w:p>
    <w:p w14:paraId="5EAEEF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29.3 合同备案存档：政府采购合同双方自签订之日起</w:t>
      </w:r>
      <w:r>
        <w:rPr>
          <w:rFonts w:hint="eastAsia" w:ascii="宋体" w:hAnsi="宋体" w:eastAsia="宋体" w:cs="宋体"/>
          <w:color w:val="auto"/>
          <w:szCs w:val="21"/>
          <w:highlight w:val="none"/>
          <w:lang w:val="en-US" w:eastAsia="zh-CN"/>
        </w:rPr>
        <w:t>将自动存档于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上</w:t>
      </w:r>
      <w:r>
        <w:rPr>
          <w:rFonts w:hint="eastAsia" w:ascii="宋体" w:hAnsi="宋体" w:eastAsia="宋体" w:cs="宋体"/>
          <w:color w:val="auto"/>
          <w:szCs w:val="21"/>
          <w:highlight w:val="none"/>
        </w:rPr>
        <w:t>，采购人于合同签订之日起七个工作日内将一份合同原件送本级财政部门备案。</w:t>
      </w:r>
    </w:p>
    <w:p w14:paraId="2BDAAF80">
      <w:pPr>
        <w:pStyle w:val="3"/>
        <w:jc w:val="center"/>
        <w:rPr>
          <w:rFonts w:hint="eastAsia" w:ascii="宋体" w:hAnsi="宋体" w:eastAsia="宋体" w:cs="宋体"/>
          <w:b/>
          <w:bCs w:val="0"/>
          <w:color w:val="auto"/>
          <w:szCs w:val="28"/>
          <w:highlight w:val="none"/>
        </w:rPr>
      </w:pPr>
      <w:bookmarkStart w:id="240" w:name="_Toc26484"/>
      <w:bookmarkStart w:id="241" w:name="_Toc24170"/>
      <w:bookmarkStart w:id="242" w:name="_Toc16348"/>
      <w:bookmarkStart w:id="243" w:name="_Toc2951"/>
      <w:bookmarkStart w:id="244" w:name="_Toc3007"/>
      <w:r>
        <w:rPr>
          <w:rFonts w:hint="eastAsia" w:ascii="宋体" w:hAnsi="宋体" w:eastAsia="宋体" w:cs="宋体"/>
          <w:b/>
          <w:bCs w:val="0"/>
          <w:color w:val="auto"/>
          <w:szCs w:val="28"/>
          <w:highlight w:val="none"/>
        </w:rPr>
        <w:t>六、其他事项</w:t>
      </w:r>
      <w:bookmarkEnd w:id="240"/>
      <w:bookmarkEnd w:id="241"/>
      <w:bookmarkEnd w:id="242"/>
      <w:bookmarkEnd w:id="243"/>
      <w:bookmarkEnd w:id="244"/>
    </w:p>
    <w:p w14:paraId="0C835425">
      <w:pPr>
        <w:pStyle w:val="4"/>
        <w:spacing w:before="0" w:after="0" w:line="360" w:lineRule="auto"/>
        <w:ind w:firstLine="420" w:firstLineChars="200"/>
        <w:rPr>
          <w:rFonts w:hint="eastAsia" w:ascii="宋体" w:hAnsi="宋体" w:eastAsia="宋体" w:cs="宋体"/>
          <w:color w:val="auto"/>
          <w:sz w:val="21"/>
          <w:szCs w:val="21"/>
          <w:highlight w:val="none"/>
        </w:rPr>
      </w:pPr>
      <w:bookmarkStart w:id="245" w:name="_Toc28647"/>
      <w:bookmarkStart w:id="246" w:name="_Toc2872"/>
      <w:bookmarkStart w:id="247" w:name="_Toc20023"/>
      <w:bookmarkStart w:id="248" w:name="_Toc31010"/>
      <w:bookmarkStart w:id="249" w:name="_Toc17996"/>
      <w:r>
        <w:rPr>
          <w:rFonts w:hint="eastAsia" w:ascii="宋体" w:hAnsi="宋体" w:eastAsia="宋体" w:cs="宋体"/>
          <w:color w:val="auto"/>
          <w:sz w:val="21"/>
          <w:szCs w:val="21"/>
          <w:highlight w:val="none"/>
        </w:rPr>
        <w:t>30. 采购代理服务费</w:t>
      </w:r>
      <w:bookmarkEnd w:id="245"/>
      <w:bookmarkEnd w:id="246"/>
      <w:bookmarkEnd w:id="247"/>
      <w:bookmarkEnd w:id="248"/>
      <w:bookmarkEnd w:id="249"/>
    </w:p>
    <w:p w14:paraId="09070991">
      <w:pPr>
        <w:pStyle w:val="19"/>
        <w:ind w:left="0" w:leftChars="0" w:firstLine="840" w:firstLineChars="4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Cs w:val="21"/>
          <w:highlight w:val="none"/>
        </w:rPr>
        <w:t>本项目不收采购取代理服务费</w:t>
      </w:r>
      <w:r>
        <w:rPr>
          <w:rFonts w:hint="eastAsia" w:ascii="宋体" w:hAnsi="宋体" w:cs="宋体"/>
          <w:b w:val="0"/>
          <w:bCs w:val="0"/>
          <w:color w:val="auto"/>
          <w:szCs w:val="21"/>
          <w:highlight w:val="none"/>
          <w:lang w:eastAsia="zh-CN"/>
        </w:rPr>
        <w:t>。</w:t>
      </w:r>
    </w:p>
    <w:p w14:paraId="06C65EB2">
      <w:pPr>
        <w:spacing w:line="360" w:lineRule="auto"/>
        <w:ind w:firstLine="420" w:firstLineChars="200"/>
        <w:outlineLvl w:val="2"/>
        <w:rPr>
          <w:rFonts w:hint="eastAsia" w:ascii="宋体" w:hAnsi="宋体" w:eastAsia="宋体" w:cs="宋体"/>
          <w:color w:val="auto"/>
          <w:szCs w:val="21"/>
          <w:highlight w:val="none"/>
        </w:rPr>
      </w:pPr>
      <w:bookmarkStart w:id="250" w:name="_Toc17414"/>
      <w:bookmarkStart w:id="251" w:name="_Toc8271"/>
      <w:bookmarkStart w:id="252" w:name="_Toc12374"/>
      <w:bookmarkStart w:id="253" w:name="_Toc10842"/>
      <w:bookmarkStart w:id="254" w:name="_Toc19135"/>
      <w:r>
        <w:rPr>
          <w:rFonts w:hint="eastAsia" w:ascii="宋体" w:hAnsi="宋体" w:eastAsia="宋体" w:cs="宋体"/>
          <w:b/>
          <w:color w:val="auto"/>
          <w:sz w:val="21"/>
          <w:szCs w:val="21"/>
          <w:highlight w:val="none"/>
        </w:rPr>
        <w:t>31. 解释权</w:t>
      </w:r>
      <w:bookmarkEnd w:id="250"/>
      <w:bookmarkEnd w:id="251"/>
      <w:bookmarkEnd w:id="252"/>
      <w:bookmarkEnd w:id="253"/>
      <w:bookmarkEnd w:id="254"/>
    </w:p>
    <w:p w14:paraId="1681BAAE">
      <w:pPr>
        <w:spacing w:line="360" w:lineRule="auto"/>
        <w:ind w:firstLine="840" w:firstLineChars="4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1516C513">
      <w:pPr>
        <w:snapToGrid w:val="0"/>
        <w:spacing w:line="400" w:lineRule="exact"/>
        <w:ind w:firstLine="420" w:firstLineChars="200"/>
        <w:outlineLvl w:val="2"/>
        <w:rPr>
          <w:rFonts w:hint="eastAsia" w:ascii="宋体" w:hAnsi="宋体" w:eastAsia="宋体" w:cs="宋体"/>
          <w:color w:val="auto"/>
          <w:szCs w:val="21"/>
          <w:highlight w:val="none"/>
        </w:rPr>
      </w:pPr>
      <w:bookmarkStart w:id="255" w:name="_Toc11326"/>
      <w:bookmarkStart w:id="256" w:name="_Toc21062"/>
      <w:bookmarkStart w:id="257" w:name="_Toc24443"/>
      <w:bookmarkStart w:id="258" w:name="_Toc9303"/>
      <w:r>
        <w:rPr>
          <w:rStyle w:val="22"/>
          <w:rFonts w:hint="eastAsia" w:ascii="宋体" w:hAnsi="宋体" w:eastAsia="宋体" w:cs="宋体"/>
          <w:b/>
          <w:color w:val="auto"/>
          <w:sz w:val="21"/>
          <w:szCs w:val="21"/>
          <w:highlight w:val="none"/>
        </w:rPr>
        <w:t>32. 监督管理机构</w:t>
      </w:r>
      <w:bookmarkEnd w:id="255"/>
      <w:bookmarkEnd w:id="256"/>
      <w:bookmarkEnd w:id="257"/>
      <w:bookmarkEnd w:id="258"/>
    </w:p>
    <w:p w14:paraId="3D0C038F">
      <w:pPr>
        <w:snapToGrid w:val="0"/>
        <w:spacing w:line="400" w:lineRule="exact"/>
        <w:ind w:firstLine="840" w:firstLineChars="400"/>
        <w:outlineLvl w:val="9"/>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桂林市财政局</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电话：</w:t>
      </w:r>
      <w:r>
        <w:rPr>
          <w:rFonts w:hint="eastAsia" w:ascii="宋体" w:hAnsi="宋体" w:cs="宋体"/>
          <w:color w:val="auto"/>
          <w:szCs w:val="21"/>
          <w:highlight w:val="none"/>
          <w:lang w:eastAsia="zh-CN"/>
        </w:rPr>
        <w:t xml:space="preserve">0773-2862142 </w:t>
      </w:r>
      <w:r>
        <w:rPr>
          <w:rFonts w:hint="eastAsia" w:ascii="宋体" w:hAnsi="宋体" w:eastAsia="宋体" w:cs="宋体"/>
          <w:color w:val="auto"/>
          <w:szCs w:val="21"/>
          <w:highlight w:val="none"/>
          <w:lang w:eastAsia="zh-CN"/>
        </w:rPr>
        <w:t>。</w:t>
      </w:r>
      <w:bookmarkStart w:id="259" w:name="_Toc4906"/>
      <w:bookmarkStart w:id="260" w:name="_Toc20144"/>
      <w:bookmarkStart w:id="261" w:name="_Toc29649"/>
      <w:bookmarkStart w:id="262" w:name="_Toc8410"/>
    </w:p>
    <w:p w14:paraId="1FF0611F">
      <w:pPr>
        <w:pStyle w:val="2"/>
        <w:numPr>
          <w:ilvl w:val="0"/>
          <w:numId w:val="0"/>
        </w:numPr>
        <w:tabs>
          <w:tab w:val="left" w:pos="0"/>
        </w:tabs>
        <w:autoSpaceDE w:val="0"/>
        <w:autoSpaceDN w:val="0"/>
        <w:adjustRightInd w:val="0"/>
        <w:spacing w:before="0" w:after="0" w:line="360" w:lineRule="auto"/>
        <w:jc w:val="both"/>
        <w:rPr>
          <w:rFonts w:hint="eastAsia" w:ascii="宋体" w:hAnsi="宋体" w:eastAsia="宋体" w:cs="宋体"/>
          <w:color w:val="auto"/>
          <w:sz w:val="32"/>
          <w:szCs w:val="32"/>
          <w:highlight w:val="none"/>
          <w:lang w:eastAsia="zh-CN"/>
        </w:rPr>
      </w:pPr>
    </w:p>
    <w:p w14:paraId="273FFA24">
      <w:pPr>
        <w:pStyle w:val="2"/>
        <w:numPr>
          <w:ilvl w:val="0"/>
          <w:numId w:val="0"/>
        </w:numPr>
        <w:tabs>
          <w:tab w:val="left" w:pos="0"/>
        </w:tabs>
        <w:autoSpaceDE w:val="0"/>
        <w:autoSpaceDN w:val="0"/>
        <w:adjustRightInd w:val="0"/>
        <w:spacing w:before="0" w:after="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第三章</w:t>
      </w:r>
      <w:r>
        <w:rPr>
          <w:rFonts w:hint="eastAsia" w:ascii="宋体" w:hAnsi="宋体" w:eastAsia="宋体" w:cs="宋体"/>
          <w:color w:val="auto"/>
          <w:sz w:val="32"/>
          <w:szCs w:val="32"/>
          <w:highlight w:val="none"/>
        </w:rPr>
        <w:t xml:space="preserve"> </w:t>
      </w:r>
      <w:bookmarkStart w:id="263" w:name="_Toc24601"/>
      <w:bookmarkStart w:id="264" w:name="_Toc22353"/>
      <w:r>
        <w:rPr>
          <w:rFonts w:hint="eastAsia" w:ascii="宋体" w:hAnsi="宋体" w:eastAsia="宋体" w:cs="宋体"/>
          <w:color w:val="auto"/>
          <w:sz w:val="32"/>
          <w:szCs w:val="32"/>
          <w:highlight w:val="none"/>
        </w:rPr>
        <w:t>采购需求</w:t>
      </w:r>
      <w:bookmarkEnd w:id="259"/>
      <w:bookmarkEnd w:id="260"/>
      <w:bookmarkEnd w:id="261"/>
      <w:bookmarkEnd w:id="262"/>
      <w:bookmarkEnd w:id="263"/>
      <w:bookmarkEnd w:id="264"/>
    </w:p>
    <w:p w14:paraId="437BCCFA">
      <w:pPr>
        <w:jc w:val="both"/>
        <w:rPr>
          <w:rFonts w:hint="eastAsia" w:ascii="宋体" w:hAnsi="宋体" w:cs="宋体"/>
          <w:color w:val="auto"/>
          <w:szCs w:val="21"/>
        </w:rPr>
      </w:pPr>
      <w:bookmarkStart w:id="265" w:name="_Toc26022"/>
      <w:bookmarkStart w:id="266" w:name="_Toc23712"/>
      <w:bookmarkStart w:id="267" w:name="_Toc2989"/>
      <w:bookmarkStart w:id="268" w:name="_Toc20868"/>
      <w:bookmarkStart w:id="269" w:name="_Toc18464"/>
      <w:bookmarkStart w:id="270" w:name="_Toc6574"/>
      <w:r>
        <w:rPr>
          <w:rFonts w:hint="eastAsia"/>
          <w:b/>
          <w:bCs/>
          <w:color w:val="auto"/>
          <w:sz w:val="21"/>
          <w:szCs w:val="21"/>
          <w:highlight w:val="none"/>
          <w:lang w:val="en-US" w:eastAsia="zh-CN"/>
        </w:rPr>
        <w:t>注：本项目采购需求均为实质性要求。</w:t>
      </w:r>
    </w:p>
    <w:p w14:paraId="52F1949E">
      <w:pPr>
        <w:numPr>
          <w:ilvl w:val="0"/>
          <w:numId w:val="0"/>
        </w:numPr>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1.</w:t>
      </w:r>
      <w:r>
        <w:rPr>
          <w:rFonts w:hint="eastAsia" w:ascii="宋体" w:hAnsi="宋体" w:eastAsia="宋体" w:cs="宋体"/>
          <w:b/>
          <w:bCs/>
          <w:color w:val="auto"/>
          <w:sz w:val="24"/>
          <w:szCs w:val="24"/>
          <w:lang w:val="en-US" w:eastAsia="zh-CN"/>
        </w:rPr>
        <w:t>项目基本情况</w:t>
      </w:r>
    </w:p>
    <w:p w14:paraId="1E22606A">
      <w:pPr>
        <w:numPr>
          <w:ilvl w:val="0"/>
          <w:numId w:val="0"/>
        </w:numP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lang w:val="en-US" w:eastAsia="zh-CN"/>
        </w:rPr>
        <w:t>1.1物业情况</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2665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3C806F1C">
            <w:pPr>
              <w:numPr>
                <w:ilvl w:val="0"/>
                <w:numId w:val="0"/>
              </w:numP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物业名称</w:t>
            </w:r>
          </w:p>
        </w:tc>
        <w:tc>
          <w:tcPr>
            <w:tcW w:w="4261" w:type="dxa"/>
            <w:noWrap w:val="0"/>
            <w:vAlign w:val="top"/>
          </w:tcPr>
          <w:p w14:paraId="0D3D2458">
            <w:pPr>
              <w:numPr>
                <w:ilvl w:val="0"/>
                <w:numId w:val="0"/>
              </w:numP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物业地址</w:t>
            </w:r>
          </w:p>
        </w:tc>
      </w:tr>
      <w:tr w14:paraId="6398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06AC5701">
            <w:pPr>
              <w:numPr>
                <w:ilvl w:val="0"/>
                <w:numId w:val="0"/>
              </w:numPr>
              <w:rPr>
                <w:rFonts w:hint="default" w:ascii="宋体" w:hAnsi="宋体" w:cs="宋体"/>
                <w:color w:val="auto"/>
                <w:szCs w:val="21"/>
                <w:lang w:val="en-US" w:eastAsia="zh-CN"/>
              </w:rPr>
            </w:pPr>
            <w:r>
              <w:rPr>
                <w:rFonts w:hint="eastAsia" w:ascii="宋体" w:hAnsi="宋体" w:eastAsia="宋体" w:cs="宋体"/>
                <w:color w:val="auto"/>
                <w:vertAlign w:val="baseline"/>
                <w:lang w:val="en-US" w:eastAsia="zh-CN"/>
              </w:rPr>
              <w:t>物业名称1：</w:t>
            </w:r>
            <w:r>
              <w:rPr>
                <w:rFonts w:hint="eastAsia" w:ascii="宋体" w:hAnsi="宋体" w:cs="宋体"/>
                <w:color w:val="auto"/>
                <w:szCs w:val="21"/>
                <w:lang w:val="en-US" w:eastAsia="zh-CN"/>
              </w:rPr>
              <w:t>桂林市复兴学校</w:t>
            </w:r>
          </w:p>
        </w:tc>
        <w:tc>
          <w:tcPr>
            <w:tcW w:w="4261" w:type="dxa"/>
            <w:noWrap w:val="0"/>
            <w:vAlign w:val="top"/>
          </w:tcPr>
          <w:p w14:paraId="65005FAB">
            <w:pPr>
              <w:numPr>
                <w:ilvl w:val="0"/>
                <w:numId w:val="0"/>
              </w:numP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桂林市临桂区新龙路47号</w:t>
            </w:r>
          </w:p>
        </w:tc>
      </w:tr>
    </w:tbl>
    <w:p w14:paraId="7DAB0269">
      <w:pPr>
        <w:numPr>
          <w:ilvl w:val="0"/>
          <w:numId w:val="0"/>
        </w:numPr>
        <w:spacing w:line="24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1.2采购人提供</w:t>
      </w:r>
      <w:r>
        <w:rPr>
          <w:rFonts w:hint="eastAsia" w:ascii="宋体" w:hAnsi="宋体" w:cs="宋体"/>
          <w:b/>
          <w:bCs/>
          <w:color w:val="auto"/>
          <w:sz w:val="24"/>
          <w:szCs w:val="24"/>
          <w:lang w:val="en-US" w:eastAsia="zh-CN"/>
        </w:rPr>
        <w:t>成交供应商</w:t>
      </w:r>
      <w:r>
        <w:rPr>
          <w:rFonts w:hint="eastAsia" w:ascii="宋体" w:hAnsi="宋体" w:eastAsia="宋体" w:cs="宋体"/>
          <w:b/>
          <w:bCs/>
          <w:color w:val="auto"/>
          <w:sz w:val="24"/>
          <w:szCs w:val="24"/>
          <w:lang w:val="en-US" w:eastAsia="zh-CN"/>
        </w:rPr>
        <w:t>使用的场地、设施设备、耗材等</w:t>
      </w:r>
    </w:p>
    <w:p w14:paraId="4A0EC016">
      <w:pPr>
        <w:numPr>
          <w:ilvl w:val="0"/>
          <w:numId w:val="0"/>
        </w:numPr>
        <w:spacing w:line="240" w:lineRule="auto"/>
        <w:rPr>
          <w:rFonts w:hint="default" w:ascii="宋体" w:hAnsi="宋体" w:eastAsia="宋体" w:cs="宋体"/>
          <w:color w:val="auto"/>
          <w:lang w:val="en-US" w:eastAsia="zh-CN"/>
        </w:rPr>
      </w:pPr>
      <w:r>
        <w:rPr>
          <w:rFonts w:hint="eastAsia" w:ascii="宋体" w:hAnsi="宋体" w:eastAsia="宋体" w:cs="宋体"/>
          <w:color w:val="auto"/>
          <w:kern w:val="2"/>
          <w:sz w:val="21"/>
          <w:szCs w:val="24"/>
          <w:lang w:val="en-US" w:eastAsia="zh-CN" w:bidi="ar-SA"/>
        </w:rPr>
        <w:t>（</w:t>
      </w:r>
      <w:r>
        <w:rPr>
          <w:rFonts w:hint="eastAsia" w:ascii="宋体" w:hAnsi="宋体" w:cs="宋体"/>
          <w:color w:val="auto"/>
          <w:kern w:val="2"/>
          <w:sz w:val="21"/>
          <w:szCs w:val="24"/>
          <w:lang w:val="en-US" w:eastAsia="zh-CN" w:bidi="ar-SA"/>
        </w:rPr>
        <w:t>1</w:t>
      </w:r>
      <w:r>
        <w:rPr>
          <w:rFonts w:hint="eastAsia" w:ascii="宋体" w:hAnsi="宋体" w:eastAsia="宋体" w:cs="宋体"/>
          <w:color w:val="auto"/>
          <w:kern w:val="2"/>
          <w:sz w:val="21"/>
          <w:szCs w:val="24"/>
          <w:lang w:val="en-US" w:eastAsia="zh-CN" w:bidi="ar-SA"/>
        </w:rPr>
        <w:t>）</w:t>
      </w:r>
      <w:r>
        <w:rPr>
          <w:rFonts w:hint="eastAsia" w:ascii="宋体" w:hAnsi="宋体" w:eastAsia="宋体" w:cs="宋体"/>
          <w:color w:val="auto"/>
          <w:lang w:val="en-US" w:eastAsia="zh-CN"/>
        </w:rPr>
        <w:t>采购人可提供的零星维修材料</w:t>
      </w:r>
      <w:r>
        <w:rPr>
          <w:rFonts w:hint="eastAsia" w:ascii="宋体" w:hAnsi="宋体" w:cs="宋体"/>
          <w:color w:val="auto"/>
          <w:lang w:val="en-US" w:eastAsia="zh-CN"/>
        </w:rPr>
        <w:t>：无</w:t>
      </w:r>
    </w:p>
    <w:p w14:paraId="6EDB584D">
      <w:pPr>
        <w:numPr>
          <w:ilvl w:val="0"/>
          <w:numId w:val="0"/>
        </w:numPr>
        <w:spacing w:line="240" w:lineRule="auto"/>
        <w:rPr>
          <w:rFonts w:hint="default" w:ascii="宋体" w:hAnsi="宋体" w:eastAsia="宋体" w:cs="宋体"/>
          <w:color w:val="auto"/>
          <w:lang w:val="en-US" w:eastAsia="zh-CN"/>
        </w:rPr>
      </w:pPr>
      <w:r>
        <w:rPr>
          <w:rFonts w:hint="eastAsia" w:ascii="宋体" w:hAnsi="宋体" w:eastAsia="宋体" w:cs="宋体"/>
          <w:color w:val="auto"/>
          <w:kern w:val="2"/>
          <w:sz w:val="21"/>
          <w:szCs w:val="24"/>
          <w:lang w:val="en-US" w:eastAsia="zh-CN" w:bidi="ar-SA"/>
        </w:rPr>
        <w:t>（</w:t>
      </w:r>
      <w:r>
        <w:rPr>
          <w:rFonts w:hint="eastAsia" w:ascii="宋体" w:hAnsi="宋体" w:cs="宋体"/>
          <w:color w:val="auto"/>
          <w:kern w:val="2"/>
          <w:sz w:val="21"/>
          <w:szCs w:val="24"/>
          <w:lang w:val="en-US" w:eastAsia="zh-CN" w:bidi="ar-SA"/>
        </w:rPr>
        <w:t>2</w:t>
      </w:r>
      <w:r>
        <w:rPr>
          <w:rFonts w:hint="eastAsia" w:ascii="宋体" w:hAnsi="宋体" w:eastAsia="宋体" w:cs="宋体"/>
          <w:color w:val="auto"/>
          <w:kern w:val="2"/>
          <w:sz w:val="21"/>
          <w:szCs w:val="24"/>
          <w:lang w:val="en-US" w:eastAsia="zh-CN" w:bidi="ar-SA"/>
        </w:rPr>
        <w:t>）</w:t>
      </w:r>
      <w:r>
        <w:rPr>
          <w:rFonts w:hint="eastAsia" w:ascii="宋体" w:hAnsi="宋体" w:eastAsia="宋体" w:cs="宋体"/>
          <w:color w:val="auto"/>
          <w:lang w:val="en-US" w:eastAsia="zh-CN"/>
        </w:rPr>
        <w:t>采购人可提供的低值易耗品</w:t>
      </w:r>
      <w:r>
        <w:rPr>
          <w:rFonts w:hint="eastAsia" w:ascii="宋体" w:hAnsi="宋体" w:cs="宋体"/>
          <w:color w:val="auto"/>
          <w:lang w:val="en-US" w:eastAsia="zh-CN"/>
        </w:rPr>
        <w:t>：无</w:t>
      </w:r>
    </w:p>
    <w:p w14:paraId="6A2D223B">
      <w:pPr>
        <w:numPr>
          <w:ilvl w:val="0"/>
          <w:numId w:val="7"/>
        </w:num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物业服务范围</w:t>
      </w:r>
    </w:p>
    <w:p w14:paraId="4EC68A76">
      <w:pPr>
        <w:ind w:firstLine="420" w:firstLineChars="200"/>
        <w:rPr>
          <w:rFonts w:hint="eastAsia"/>
          <w:color w:val="auto"/>
          <w:lang w:val="en-US" w:eastAsia="zh-CN"/>
        </w:rPr>
      </w:pPr>
      <w:r>
        <w:rPr>
          <w:rFonts w:hint="eastAsia"/>
          <w:color w:val="auto"/>
          <w:lang w:val="en-US" w:eastAsia="zh-CN"/>
        </w:rPr>
        <w:t>本次学校园林绿化项目旨在打造优美、舒适、宜人的校园环境，为师生提供良好的学习和生活空间。学校占地面积 20 亩，约 13333.4 平方米，需对校园内的公共区域、教学区周边、宿舍区周边、运动区周边及其他闲置区域进行全面绿化。</w:t>
      </w:r>
    </w:p>
    <w:p w14:paraId="5393248A">
      <w:pPr>
        <w:numPr>
          <w:ilvl w:val="0"/>
          <w:numId w:val="0"/>
        </w:numPr>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3.</w:t>
      </w:r>
      <w:r>
        <w:rPr>
          <w:rFonts w:hint="eastAsia" w:ascii="宋体" w:hAnsi="宋体" w:eastAsia="宋体" w:cs="宋体"/>
          <w:b/>
          <w:bCs/>
          <w:color w:val="auto"/>
          <w:sz w:val="24"/>
          <w:szCs w:val="24"/>
          <w:lang w:val="en-US" w:eastAsia="zh-CN"/>
        </w:rPr>
        <w:t>物业管理服务内容及标准</w:t>
      </w:r>
    </w:p>
    <w:p w14:paraId="6BB0B2CC">
      <w:pPr>
        <w:numPr>
          <w:ilvl w:val="0"/>
          <w:numId w:val="0"/>
        </w:numPr>
        <w:ind w:firstLine="420"/>
        <w:rPr>
          <w:rFonts w:hint="eastAsia"/>
          <w:color w:val="auto"/>
          <w:vertAlign w:val="baseline"/>
          <w:lang w:val="en-US" w:eastAsia="zh-CN"/>
        </w:rPr>
      </w:pPr>
      <w:r>
        <w:rPr>
          <w:rFonts w:hint="eastAsia" w:ascii="宋体" w:hAnsi="宋体" w:eastAsia="宋体" w:cs="宋体"/>
          <w:b/>
          <w:bCs/>
          <w:color w:val="auto"/>
          <w:sz w:val="24"/>
          <w:szCs w:val="24"/>
          <w:lang w:val="en-US" w:eastAsia="zh-CN"/>
        </w:rPr>
        <w:t>物业管理服务包含绿化服务。</w:t>
      </w:r>
    </w:p>
    <w:p w14:paraId="0A9E8C48">
      <w:pPr>
        <w:numPr>
          <w:ilvl w:val="0"/>
          <w:numId w:val="0"/>
        </w:numPr>
        <w:rPr>
          <w:rFonts w:hint="eastAsia"/>
          <w:color w:val="auto"/>
          <w:lang w:val="en-US" w:eastAsia="zh-CN"/>
        </w:rPr>
      </w:pPr>
      <w:r>
        <w:rPr>
          <w:rFonts w:hint="eastAsia" w:ascii="宋体" w:hAnsi="宋体" w:eastAsia="宋体" w:cs="宋体"/>
          <w:b/>
          <w:bCs/>
          <w:color w:val="auto"/>
          <w:sz w:val="24"/>
          <w:szCs w:val="24"/>
          <w:vertAlign w:val="baseline"/>
          <w:lang w:val="en-US" w:eastAsia="zh-CN"/>
        </w:rPr>
        <w:t>3.</w:t>
      </w:r>
      <w:r>
        <w:rPr>
          <w:rFonts w:hint="eastAsia" w:ascii="宋体" w:hAnsi="宋体" w:cs="宋体"/>
          <w:b/>
          <w:bCs/>
          <w:color w:val="auto"/>
          <w:sz w:val="24"/>
          <w:szCs w:val="24"/>
          <w:vertAlign w:val="baseline"/>
          <w:lang w:val="en-US" w:eastAsia="zh-CN"/>
        </w:rPr>
        <w:t>1</w:t>
      </w:r>
      <w:r>
        <w:rPr>
          <w:rFonts w:hint="eastAsia" w:ascii="宋体" w:hAnsi="宋体" w:eastAsia="宋体" w:cs="宋体"/>
          <w:b/>
          <w:bCs/>
          <w:color w:val="auto"/>
          <w:sz w:val="24"/>
          <w:szCs w:val="24"/>
          <w:vertAlign w:val="baseline"/>
          <w:lang w:val="en-US" w:eastAsia="zh-CN"/>
        </w:rPr>
        <w:t>绿化服务</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765"/>
        <w:gridCol w:w="6264"/>
      </w:tblGrid>
      <w:tr w14:paraId="0212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top"/>
          </w:tcPr>
          <w:p w14:paraId="2C4C522D">
            <w:pPr>
              <w:numPr>
                <w:ilvl w:val="0"/>
                <w:numId w:val="0"/>
              </w:numPr>
              <w:rPr>
                <w:rFonts w:hint="eastAsia"/>
                <w:color w:val="auto"/>
                <w:vertAlign w:val="baseline"/>
                <w:lang w:val="en-US" w:eastAsia="zh-CN"/>
              </w:rPr>
            </w:pPr>
            <w:r>
              <w:rPr>
                <w:rFonts w:hint="eastAsia"/>
                <w:color w:val="auto"/>
                <w:vertAlign w:val="baseline"/>
                <w:lang w:val="en-US" w:eastAsia="zh-CN"/>
              </w:rPr>
              <w:t>序号</w:t>
            </w:r>
          </w:p>
        </w:tc>
        <w:tc>
          <w:tcPr>
            <w:tcW w:w="1765" w:type="dxa"/>
            <w:noWrap w:val="0"/>
            <w:vAlign w:val="top"/>
          </w:tcPr>
          <w:p w14:paraId="58CCAFFA">
            <w:pPr>
              <w:numPr>
                <w:ilvl w:val="0"/>
                <w:numId w:val="0"/>
              </w:numPr>
              <w:rPr>
                <w:rFonts w:hint="eastAsia"/>
                <w:color w:val="auto"/>
                <w:vertAlign w:val="baseline"/>
                <w:lang w:val="en-US" w:eastAsia="zh-CN"/>
              </w:rPr>
            </w:pPr>
            <w:r>
              <w:rPr>
                <w:rFonts w:hint="eastAsia"/>
                <w:color w:val="auto"/>
                <w:vertAlign w:val="baseline"/>
                <w:lang w:val="en-US" w:eastAsia="zh-CN"/>
              </w:rPr>
              <w:t>服务内容</w:t>
            </w:r>
          </w:p>
        </w:tc>
        <w:tc>
          <w:tcPr>
            <w:tcW w:w="6264" w:type="dxa"/>
            <w:noWrap w:val="0"/>
            <w:vAlign w:val="top"/>
          </w:tcPr>
          <w:p w14:paraId="2FFE0371">
            <w:pPr>
              <w:numPr>
                <w:ilvl w:val="0"/>
                <w:numId w:val="0"/>
              </w:numPr>
              <w:rPr>
                <w:rFonts w:hint="eastAsia"/>
                <w:color w:val="auto"/>
                <w:vertAlign w:val="baseline"/>
                <w:lang w:val="en-US" w:eastAsia="zh-CN"/>
              </w:rPr>
            </w:pPr>
            <w:r>
              <w:rPr>
                <w:rFonts w:hint="eastAsia"/>
                <w:color w:val="auto"/>
                <w:vertAlign w:val="baseline"/>
                <w:lang w:val="en-US" w:eastAsia="zh-CN"/>
              </w:rPr>
              <w:t>服务标准</w:t>
            </w:r>
          </w:p>
        </w:tc>
      </w:tr>
      <w:tr w14:paraId="6C29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087" w:type="dxa"/>
            <w:vMerge w:val="restart"/>
            <w:noWrap w:val="0"/>
            <w:vAlign w:val="top"/>
          </w:tcPr>
          <w:p w14:paraId="221523BE">
            <w:pPr>
              <w:numPr>
                <w:ilvl w:val="0"/>
                <w:numId w:val="0"/>
              </w:numPr>
              <w:rPr>
                <w:rFonts w:hint="eastAsia"/>
                <w:color w:val="auto"/>
                <w:vertAlign w:val="baseline"/>
                <w:lang w:val="en-US" w:eastAsia="zh-CN"/>
              </w:rPr>
            </w:pPr>
            <w:r>
              <w:rPr>
                <w:rFonts w:hint="eastAsia"/>
                <w:color w:val="auto"/>
                <w:vertAlign w:val="baseline"/>
                <w:lang w:val="en-US" w:eastAsia="zh-CN"/>
              </w:rPr>
              <w:t>1</w:t>
            </w:r>
          </w:p>
        </w:tc>
        <w:tc>
          <w:tcPr>
            <w:tcW w:w="1765" w:type="dxa"/>
            <w:vMerge w:val="restart"/>
            <w:noWrap w:val="0"/>
            <w:vAlign w:val="top"/>
          </w:tcPr>
          <w:p w14:paraId="31016592">
            <w:pPr>
              <w:numPr>
                <w:ilvl w:val="0"/>
                <w:numId w:val="0"/>
              </w:numPr>
              <w:rPr>
                <w:rFonts w:hint="eastAsia"/>
                <w:color w:val="auto"/>
                <w:vertAlign w:val="baseline"/>
                <w:lang w:val="en-US" w:eastAsia="zh-CN"/>
              </w:rPr>
            </w:pPr>
            <w:r>
              <w:rPr>
                <w:rFonts w:hint="eastAsia"/>
                <w:color w:val="auto"/>
                <w:vertAlign w:val="baseline"/>
                <w:lang w:val="en-US" w:eastAsia="zh-CN"/>
              </w:rPr>
              <w:t>基本要求</w:t>
            </w:r>
          </w:p>
        </w:tc>
        <w:tc>
          <w:tcPr>
            <w:tcW w:w="6264" w:type="dxa"/>
            <w:noWrap w:val="0"/>
            <w:vAlign w:val="top"/>
          </w:tcPr>
          <w:p w14:paraId="07EDCAA9">
            <w:pPr>
              <w:numPr>
                <w:ilvl w:val="0"/>
                <w:numId w:val="0"/>
              </w:numPr>
              <w:rPr>
                <w:rFonts w:hint="eastAsia"/>
                <w:color w:val="auto"/>
                <w:vertAlign w:val="baseline"/>
                <w:lang w:val="en-US" w:eastAsia="zh-CN"/>
              </w:rPr>
            </w:pPr>
            <w:r>
              <w:rPr>
                <w:rFonts w:hint="eastAsia"/>
                <w:color w:val="auto"/>
                <w:vertAlign w:val="baseline"/>
                <w:lang w:val="en-US" w:eastAsia="zh-CN"/>
              </w:rPr>
              <w:t>（1）</w:t>
            </w:r>
            <w:r>
              <w:rPr>
                <w:rFonts w:hint="eastAsia" w:ascii="宋体" w:hAnsi="宋体" w:cs="宋体"/>
                <w:color w:val="auto"/>
                <w:szCs w:val="21"/>
                <w:lang w:eastAsia="zh-CN"/>
              </w:rPr>
              <w:t>供应商</w:t>
            </w:r>
            <w:r>
              <w:rPr>
                <w:rFonts w:hint="eastAsia" w:ascii="宋体" w:hAnsi="宋体" w:cs="宋体"/>
                <w:color w:val="auto"/>
                <w:szCs w:val="21"/>
              </w:rPr>
              <w:t>要制订完善的绿化日常养护计划。根据环境树木和盆载花苗的生长习性，专人负责、及时进行淋水、修剪、施肥、杀虫等各项管理措施，如有枯萎，及时更换</w:t>
            </w:r>
            <w:r>
              <w:rPr>
                <w:rFonts w:hint="eastAsia"/>
                <w:color w:val="auto"/>
                <w:vertAlign w:val="baseline"/>
                <w:lang w:val="en-US" w:eastAsia="zh-CN"/>
              </w:rPr>
              <w:t>。</w:t>
            </w:r>
          </w:p>
        </w:tc>
      </w:tr>
      <w:tr w14:paraId="5E26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087" w:type="dxa"/>
            <w:vMerge w:val="continue"/>
            <w:noWrap w:val="0"/>
            <w:vAlign w:val="top"/>
          </w:tcPr>
          <w:p w14:paraId="2BC96C62">
            <w:pPr>
              <w:numPr>
                <w:ilvl w:val="0"/>
                <w:numId w:val="0"/>
              </w:numPr>
              <w:rPr>
                <w:rFonts w:hint="eastAsia"/>
                <w:color w:val="auto"/>
                <w:vertAlign w:val="baseline"/>
                <w:lang w:val="en-US" w:eastAsia="zh-CN"/>
              </w:rPr>
            </w:pPr>
          </w:p>
        </w:tc>
        <w:tc>
          <w:tcPr>
            <w:tcW w:w="1765" w:type="dxa"/>
            <w:vMerge w:val="continue"/>
            <w:noWrap w:val="0"/>
            <w:vAlign w:val="top"/>
          </w:tcPr>
          <w:p w14:paraId="11C438FC">
            <w:pPr>
              <w:numPr>
                <w:ilvl w:val="0"/>
                <w:numId w:val="0"/>
              </w:numPr>
              <w:rPr>
                <w:rFonts w:hint="eastAsia"/>
                <w:color w:val="auto"/>
                <w:vertAlign w:val="baseline"/>
                <w:lang w:val="en-US" w:eastAsia="zh-CN"/>
              </w:rPr>
            </w:pPr>
          </w:p>
        </w:tc>
        <w:tc>
          <w:tcPr>
            <w:tcW w:w="6264" w:type="dxa"/>
            <w:noWrap w:val="0"/>
            <w:vAlign w:val="top"/>
          </w:tcPr>
          <w:p w14:paraId="6CFF26D8">
            <w:pPr>
              <w:numPr>
                <w:ilvl w:val="0"/>
                <w:numId w:val="0"/>
              </w:numPr>
              <w:rPr>
                <w:rFonts w:hint="eastAsia"/>
                <w:color w:val="auto"/>
              </w:rPr>
            </w:pPr>
            <w:r>
              <w:rPr>
                <w:rFonts w:hint="eastAsia"/>
                <w:color w:val="auto"/>
                <w:vertAlign w:val="baseline"/>
                <w:lang w:val="en-US" w:eastAsia="zh-CN"/>
              </w:rPr>
              <w:t>（2）供应商要进行</w:t>
            </w:r>
            <w:r>
              <w:rPr>
                <w:rFonts w:hint="eastAsia"/>
                <w:color w:val="auto"/>
              </w:rPr>
              <w:t>节日景观布置与维护​</w:t>
            </w:r>
          </w:p>
          <w:p w14:paraId="6314DB3C">
            <w:pPr>
              <w:numPr>
                <w:ilvl w:val="0"/>
                <w:numId w:val="0"/>
              </w:numPr>
              <w:rPr>
                <w:rFonts w:hint="eastAsia"/>
                <w:color w:val="auto"/>
              </w:rPr>
            </w:pPr>
            <w:r>
              <w:rPr>
                <w:rFonts w:hint="eastAsia"/>
                <w:color w:val="auto"/>
              </w:rPr>
              <w:t>节日前 7 天完成节日景观的布置工作，包括花卉摆放、装饰物品悬挂或安装等，确保景观布置符合节日主题和校园整体风格。​</w:t>
            </w:r>
          </w:p>
          <w:p w14:paraId="3B48FBAC">
            <w:pPr>
              <w:numPr>
                <w:ilvl w:val="0"/>
                <w:numId w:val="0"/>
              </w:numPr>
              <w:rPr>
                <w:rFonts w:hint="eastAsia"/>
                <w:color w:val="auto"/>
              </w:rPr>
            </w:pPr>
            <w:r>
              <w:rPr>
                <w:rFonts w:hint="eastAsia"/>
                <w:color w:val="auto"/>
              </w:rPr>
              <w:t>节日期间安排专人对节日景观进行维护，及时更换枯萎的花卉、修复损坏的装饰物品，保持景观的完整性和美观度。​</w:t>
            </w:r>
          </w:p>
          <w:p w14:paraId="170AD6D5">
            <w:pPr>
              <w:numPr>
                <w:ilvl w:val="0"/>
                <w:numId w:val="0"/>
              </w:numPr>
              <w:rPr>
                <w:rFonts w:hint="eastAsia"/>
                <w:color w:val="auto"/>
                <w:vertAlign w:val="baseline"/>
                <w:lang w:val="en-US" w:eastAsia="zh-CN"/>
              </w:rPr>
            </w:pPr>
            <w:r>
              <w:rPr>
                <w:rFonts w:hint="eastAsia"/>
                <w:color w:val="auto"/>
              </w:rPr>
              <w:t>节日结束后 5 天内完成节日景观的拆除和清理工作，将装饰物品妥善保管，以备下次使用。</w:t>
            </w:r>
          </w:p>
        </w:tc>
      </w:tr>
      <w:tr w14:paraId="3387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87" w:type="dxa"/>
            <w:vMerge w:val="continue"/>
            <w:noWrap w:val="0"/>
            <w:vAlign w:val="top"/>
          </w:tcPr>
          <w:p w14:paraId="7DAC3440">
            <w:pPr>
              <w:numPr>
                <w:ilvl w:val="0"/>
                <w:numId w:val="0"/>
              </w:numPr>
              <w:rPr>
                <w:rFonts w:hint="eastAsia"/>
                <w:color w:val="auto"/>
                <w:vertAlign w:val="baseline"/>
                <w:lang w:val="en-US" w:eastAsia="zh-CN"/>
              </w:rPr>
            </w:pPr>
          </w:p>
        </w:tc>
        <w:tc>
          <w:tcPr>
            <w:tcW w:w="1765" w:type="dxa"/>
            <w:vMerge w:val="continue"/>
            <w:noWrap w:val="0"/>
            <w:vAlign w:val="top"/>
          </w:tcPr>
          <w:p w14:paraId="41CAD90D">
            <w:pPr>
              <w:numPr>
                <w:ilvl w:val="0"/>
                <w:numId w:val="0"/>
              </w:numPr>
              <w:rPr>
                <w:rFonts w:hint="eastAsia"/>
                <w:color w:val="auto"/>
                <w:vertAlign w:val="baseline"/>
                <w:lang w:val="en-US" w:eastAsia="zh-CN"/>
              </w:rPr>
            </w:pPr>
          </w:p>
        </w:tc>
        <w:tc>
          <w:tcPr>
            <w:tcW w:w="6264" w:type="dxa"/>
            <w:noWrap w:val="0"/>
            <w:vAlign w:val="top"/>
          </w:tcPr>
          <w:p w14:paraId="1FB21942">
            <w:pPr>
              <w:numPr>
                <w:ilvl w:val="0"/>
                <w:numId w:val="0"/>
              </w:numPr>
              <w:rPr>
                <w:rFonts w:hint="eastAsia"/>
                <w:color w:val="auto"/>
                <w:vertAlign w:val="baseline"/>
                <w:lang w:val="en-US" w:eastAsia="zh-CN"/>
              </w:rPr>
            </w:pPr>
            <w:r>
              <w:rPr>
                <w:rFonts w:hint="eastAsia" w:ascii="宋体" w:hAnsi="宋体" w:cs="宋体"/>
                <w:color w:val="auto"/>
                <w:szCs w:val="21"/>
              </w:rPr>
              <w:t>（3）</w:t>
            </w:r>
            <w:r>
              <w:rPr>
                <w:rFonts w:hint="eastAsia" w:ascii="宋体" w:hAnsi="宋体" w:cs="宋体"/>
                <w:color w:val="auto"/>
                <w:szCs w:val="21"/>
                <w:lang w:eastAsia="zh-CN"/>
              </w:rPr>
              <w:t>供应商</w:t>
            </w:r>
            <w:r>
              <w:rPr>
                <w:rFonts w:hint="eastAsia" w:ascii="宋体" w:hAnsi="宋体" w:cs="宋体"/>
                <w:color w:val="auto"/>
                <w:szCs w:val="21"/>
              </w:rPr>
              <w:t>做好绿化养护的防农药中毒、防毒虫、防红火蚊、防毒蛇等预防措施，以免危害读者身体健康。</w:t>
            </w:r>
          </w:p>
        </w:tc>
      </w:tr>
      <w:tr w14:paraId="389C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87" w:type="dxa"/>
            <w:vMerge w:val="continue"/>
            <w:noWrap w:val="0"/>
            <w:vAlign w:val="top"/>
          </w:tcPr>
          <w:p w14:paraId="054F723A">
            <w:pPr>
              <w:numPr>
                <w:ilvl w:val="0"/>
                <w:numId w:val="0"/>
              </w:numPr>
              <w:rPr>
                <w:rFonts w:hint="eastAsia"/>
                <w:color w:val="auto"/>
                <w:vertAlign w:val="baseline"/>
                <w:lang w:val="en-US" w:eastAsia="zh-CN"/>
              </w:rPr>
            </w:pPr>
          </w:p>
        </w:tc>
        <w:tc>
          <w:tcPr>
            <w:tcW w:w="1765" w:type="dxa"/>
            <w:vMerge w:val="continue"/>
            <w:noWrap w:val="0"/>
            <w:vAlign w:val="top"/>
          </w:tcPr>
          <w:p w14:paraId="7E12376E">
            <w:pPr>
              <w:numPr>
                <w:ilvl w:val="0"/>
                <w:numId w:val="0"/>
              </w:numPr>
              <w:rPr>
                <w:rFonts w:hint="eastAsia"/>
                <w:color w:val="auto"/>
                <w:vertAlign w:val="baseline"/>
                <w:lang w:val="en-US" w:eastAsia="zh-CN"/>
              </w:rPr>
            </w:pPr>
          </w:p>
        </w:tc>
        <w:tc>
          <w:tcPr>
            <w:tcW w:w="6264" w:type="dxa"/>
            <w:noWrap w:val="0"/>
            <w:vAlign w:val="top"/>
          </w:tcPr>
          <w:p w14:paraId="1849F1CA">
            <w:pPr>
              <w:numPr>
                <w:ilvl w:val="0"/>
                <w:numId w:val="0"/>
              </w:numPr>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4</w:t>
            </w:r>
            <w:r>
              <w:rPr>
                <w:rFonts w:hint="eastAsia" w:ascii="宋体" w:hAnsi="宋体" w:cs="宋体"/>
                <w:color w:val="auto"/>
                <w:szCs w:val="21"/>
                <w:lang w:eastAsia="zh-CN"/>
              </w:rPr>
              <w:t>）养护期为 1 年，养护内容包括浇水、施肥、修剪、病虫害防治、除草、松土、支撑固定等。供应商需制定详细的养护计划，并严格按照计划执行。​</w:t>
            </w:r>
          </w:p>
        </w:tc>
      </w:tr>
      <w:tr w14:paraId="4E4F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87" w:type="dxa"/>
            <w:noWrap w:val="0"/>
            <w:vAlign w:val="top"/>
          </w:tcPr>
          <w:p w14:paraId="1506D39E">
            <w:pPr>
              <w:numPr>
                <w:ilvl w:val="0"/>
                <w:numId w:val="0"/>
              </w:numPr>
              <w:rPr>
                <w:rFonts w:hint="eastAsia"/>
                <w:color w:val="auto"/>
                <w:vertAlign w:val="baseline"/>
                <w:lang w:val="en-US" w:eastAsia="zh-CN"/>
              </w:rPr>
            </w:pPr>
          </w:p>
        </w:tc>
        <w:tc>
          <w:tcPr>
            <w:tcW w:w="1765" w:type="dxa"/>
            <w:noWrap w:val="0"/>
            <w:vAlign w:val="top"/>
          </w:tcPr>
          <w:p w14:paraId="0A481DCC">
            <w:pPr>
              <w:numPr>
                <w:ilvl w:val="0"/>
                <w:numId w:val="0"/>
              </w:numPr>
              <w:rPr>
                <w:rFonts w:hint="eastAsia"/>
                <w:color w:val="auto"/>
                <w:vertAlign w:val="baseline"/>
                <w:lang w:val="en-US" w:eastAsia="zh-CN"/>
              </w:rPr>
            </w:pPr>
          </w:p>
        </w:tc>
        <w:tc>
          <w:tcPr>
            <w:tcW w:w="6264" w:type="dxa"/>
            <w:noWrap w:val="0"/>
            <w:vAlign w:val="top"/>
          </w:tcPr>
          <w:p w14:paraId="3463D0B4">
            <w:pPr>
              <w:numPr>
                <w:ilvl w:val="0"/>
                <w:numId w:val="0"/>
              </w:numPr>
              <w:rPr>
                <w:rFonts w:hint="eastAsia" w:ascii="宋体" w:hAnsi="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5</w:t>
            </w:r>
            <w:r>
              <w:rPr>
                <w:rFonts w:hint="eastAsia" w:ascii="宋体" w:hAnsi="宋体" w:cs="宋体"/>
                <w:color w:val="auto"/>
                <w:szCs w:val="21"/>
                <w:lang w:eastAsia="zh-CN"/>
              </w:rPr>
              <w:t>）浇水：依据季节、天气及植物生长阶段，合理调整浇水量与频次。夏季高温，清晨与傍晚加大浇水量；冬季寒冷，减少浇水避免冻害。使用喷灌、滴灌设备时，确保覆盖均匀。​</w:t>
            </w:r>
          </w:p>
        </w:tc>
      </w:tr>
      <w:tr w14:paraId="7B19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87" w:type="dxa"/>
            <w:noWrap w:val="0"/>
            <w:vAlign w:val="top"/>
          </w:tcPr>
          <w:p w14:paraId="394FE5A8">
            <w:pPr>
              <w:numPr>
                <w:ilvl w:val="0"/>
                <w:numId w:val="0"/>
              </w:numPr>
              <w:rPr>
                <w:rFonts w:hint="eastAsia"/>
                <w:color w:val="auto"/>
                <w:vertAlign w:val="baseline"/>
                <w:lang w:val="en-US" w:eastAsia="zh-CN"/>
              </w:rPr>
            </w:pPr>
          </w:p>
        </w:tc>
        <w:tc>
          <w:tcPr>
            <w:tcW w:w="1765" w:type="dxa"/>
            <w:noWrap w:val="0"/>
            <w:vAlign w:val="top"/>
          </w:tcPr>
          <w:p w14:paraId="47E214CA">
            <w:pPr>
              <w:numPr>
                <w:ilvl w:val="0"/>
                <w:numId w:val="0"/>
              </w:numPr>
              <w:rPr>
                <w:rFonts w:hint="eastAsia"/>
                <w:color w:val="auto"/>
                <w:vertAlign w:val="baseline"/>
                <w:lang w:val="en-US" w:eastAsia="zh-CN"/>
              </w:rPr>
            </w:pPr>
          </w:p>
        </w:tc>
        <w:tc>
          <w:tcPr>
            <w:tcW w:w="6264" w:type="dxa"/>
            <w:noWrap w:val="0"/>
            <w:vAlign w:val="top"/>
          </w:tcPr>
          <w:p w14:paraId="7D8DB94D">
            <w:pPr>
              <w:numPr>
                <w:ilvl w:val="0"/>
                <w:numId w:val="0"/>
              </w:numPr>
              <w:rPr>
                <w:rFonts w:hint="eastAsia" w:ascii="宋体" w:hAnsi="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6</w:t>
            </w:r>
            <w:r>
              <w:rPr>
                <w:rFonts w:hint="eastAsia" w:ascii="宋体" w:hAnsi="宋体" w:cs="宋体"/>
                <w:color w:val="auto"/>
                <w:szCs w:val="21"/>
                <w:lang w:eastAsia="zh-CN"/>
              </w:rPr>
              <w:t>）修剪：对草坪进行定期修剪，保持 3-5 厘米高度，使草坪平整美观。针对树木，去除枯枝、徒长枝、病枝，塑造良好树形，提升通风透光性；花卉则根据造型需求与花期进行修剪，促进二次开花。</w:t>
            </w:r>
          </w:p>
        </w:tc>
      </w:tr>
      <w:tr w14:paraId="0021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87" w:type="dxa"/>
            <w:noWrap w:val="0"/>
            <w:vAlign w:val="top"/>
          </w:tcPr>
          <w:p w14:paraId="7A63D0D2">
            <w:pPr>
              <w:numPr>
                <w:ilvl w:val="0"/>
                <w:numId w:val="0"/>
              </w:numPr>
              <w:rPr>
                <w:rFonts w:hint="eastAsia"/>
                <w:color w:val="auto"/>
                <w:vertAlign w:val="baseline"/>
                <w:lang w:val="en-US" w:eastAsia="zh-CN"/>
              </w:rPr>
            </w:pPr>
          </w:p>
        </w:tc>
        <w:tc>
          <w:tcPr>
            <w:tcW w:w="1765" w:type="dxa"/>
            <w:noWrap w:val="0"/>
            <w:vAlign w:val="top"/>
          </w:tcPr>
          <w:p w14:paraId="0D68AFA3">
            <w:pPr>
              <w:numPr>
                <w:ilvl w:val="0"/>
                <w:numId w:val="0"/>
              </w:numPr>
              <w:rPr>
                <w:rFonts w:hint="eastAsia"/>
                <w:color w:val="auto"/>
                <w:vertAlign w:val="baseline"/>
                <w:lang w:val="en-US" w:eastAsia="zh-CN"/>
              </w:rPr>
            </w:pPr>
          </w:p>
        </w:tc>
        <w:tc>
          <w:tcPr>
            <w:tcW w:w="6264" w:type="dxa"/>
            <w:noWrap w:val="0"/>
            <w:vAlign w:val="top"/>
          </w:tcPr>
          <w:p w14:paraId="1D919105">
            <w:pPr>
              <w:numPr>
                <w:ilvl w:val="0"/>
                <w:numId w:val="0"/>
              </w:numPr>
              <w:rPr>
                <w:rFonts w:hint="eastAsia" w:ascii="宋体" w:hAnsi="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7</w:t>
            </w:r>
            <w:r>
              <w:rPr>
                <w:rFonts w:hint="eastAsia" w:ascii="宋体" w:hAnsi="宋体" w:cs="宋体"/>
                <w:color w:val="auto"/>
                <w:szCs w:val="21"/>
                <w:lang w:eastAsia="zh-CN"/>
              </w:rPr>
              <w:t>）病虫害防治：定期巡查植物病虫害情况，发现病虫害及时采取措施。优先采用物理防治，如人工捉虫、设置防虫网；必要时合理选用生物或化学药剂防治，严格按照用量与安全间隔期操作。掌握常见病虫害的症状、发生规律及防治方法，能准确识别病虫害种类，选择合适的防治手段。​</w:t>
            </w:r>
          </w:p>
        </w:tc>
      </w:tr>
      <w:tr w14:paraId="50BA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87" w:type="dxa"/>
            <w:noWrap w:val="0"/>
            <w:vAlign w:val="top"/>
          </w:tcPr>
          <w:p w14:paraId="3D6AE291">
            <w:pPr>
              <w:numPr>
                <w:ilvl w:val="0"/>
                <w:numId w:val="0"/>
              </w:numPr>
              <w:rPr>
                <w:rFonts w:hint="eastAsia"/>
                <w:color w:val="auto"/>
                <w:vertAlign w:val="baseline"/>
                <w:lang w:val="en-US" w:eastAsia="zh-CN"/>
              </w:rPr>
            </w:pPr>
          </w:p>
        </w:tc>
        <w:tc>
          <w:tcPr>
            <w:tcW w:w="1765" w:type="dxa"/>
            <w:noWrap w:val="0"/>
            <w:vAlign w:val="top"/>
          </w:tcPr>
          <w:p w14:paraId="6FA23CB4">
            <w:pPr>
              <w:numPr>
                <w:ilvl w:val="0"/>
                <w:numId w:val="0"/>
              </w:numPr>
              <w:rPr>
                <w:rFonts w:hint="eastAsia"/>
                <w:color w:val="auto"/>
                <w:vertAlign w:val="baseline"/>
                <w:lang w:val="en-US" w:eastAsia="zh-CN"/>
              </w:rPr>
            </w:pPr>
          </w:p>
        </w:tc>
        <w:tc>
          <w:tcPr>
            <w:tcW w:w="6264" w:type="dxa"/>
            <w:noWrap w:val="0"/>
            <w:vAlign w:val="top"/>
          </w:tcPr>
          <w:p w14:paraId="02491512">
            <w:pPr>
              <w:numPr>
                <w:ilvl w:val="0"/>
                <w:numId w:val="0"/>
              </w:numPr>
              <w:rPr>
                <w:rFonts w:hint="eastAsia" w:ascii="宋体" w:hAnsi="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8</w:t>
            </w:r>
            <w:r>
              <w:rPr>
                <w:rFonts w:hint="eastAsia" w:ascii="宋体" w:hAnsi="宋体" w:cs="宋体"/>
                <w:color w:val="auto"/>
                <w:szCs w:val="21"/>
                <w:lang w:eastAsia="zh-CN"/>
              </w:rPr>
              <w:t>）定期对植物进行检查，及时发现并处理病虫害问题，确保植物健康生长。在病虫害高发季节，需加强监测和防治力度。​</w:t>
            </w:r>
          </w:p>
          <w:p w14:paraId="3C5E62E2">
            <w:pPr>
              <w:numPr>
                <w:ilvl w:val="0"/>
                <w:numId w:val="0"/>
              </w:numPr>
              <w:rPr>
                <w:rFonts w:hint="eastAsia" w:ascii="宋体" w:hAnsi="宋体" w:cs="宋体"/>
                <w:color w:val="auto"/>
                <w:szCs w:val="21"/>
                <w:lang w:eastAsia="zh-CN"/>
              </w:rPr>
            </w:pPr>
            <w:r>
              <w:rPr>
                <w:rFonts w:hint="eastAsia" w:ascii="宋体" w:hAnsi="宋体" w:cs="宋体"/>
                <w:color w:val="auto"/>
                <w:szCs w:val="21"/>
                <w:lang w:eastAsia="zh-CN"/>
              </w:rPr>
              <w:t>及时清除杂草，确保草坪纯度达到 98% 以上（含 98%）。​</w:t>
            </w:r>
          </w:p>
          <w:p w14:paraId="43943958">
            <w:pPr>
              <w:numPr>
                <w:ilvl w:val="0"/>
                <w:numId w:val="0"/>
              </w:numPr>
              <w:rPr>
                <w:rFonts w:hint="eastAsia" w:ascii="宋体" w:hAnsi="宋体" w:cs="宋体"/>
                <w:color w:val="auto"/>
                <w:szCs w:val="21"/>
                <w:lang w:eastAsia="zh-CN"/>
              </w:rPr>
            </w:pPr>
            <w:r>
              <w:rPr>
                <w:rFonts w:hint="eastAsia" w:ascii="宋体" w:hAnsi="宋体" w:cs="宋体"/>
                <w:color w:val="auto"/>
                <w:szCs w:val="21"/>
                <w:lang w:eastAsia="zh-CN"/>
              </w:rPr>
              <w:t>对园林小品及设施进行定期维护和保养，确保其正常使用和外观整洁。如发现损坏，应及时修复或更换。​</w:t>
            </w:r>
          </w:p>
        </w:tc>
      </w:tr>
      <w:tr w14:paraId="4EC7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87" w:type="dxa"/>
            <w:noWrap w:val="0"/>
            <w:vAlign w:val="top"/>
          </w:tcPr>
          <w:p w14:paraId="0486DECE">
            <w:pPr>
              <w:numPr>
                <w:ilvl w:val="0"/>
                <w:numId w:val="0"/>
              </w:numPr>
              <w:rPr>
                <w:rFonts w:hint="eastAsia"/>
                <w:color w:val="auto"/>
                <w:vertAlign w:val="baseline"/>
                <w:lang w:val="en-US" w:eastAsia="zh-CN"/>
              </w:rPr>
            </w:pPr>
          </w:p>
        </w:tc>
        <w:tc>
          <w:tcPr>
            <w:tcW w:w="1765" w:type="dxa"/>
            <w:noWrap w:val="0"/>
            <w:vAlign w:val="top"/>
          </w:tcPr>
          <w:p w14:paraId="417FD317">
            <w:pPr>
              <w:numPr>
                <w:ilvl w:val="0"/>
                <w:numId w:val="0"/>
              </w:numPr>
              <w:rPr>
                <w:rFonts w:hint="eastAsia"/>
                <w:color w:val="auto"/>
                <w:vertAlign w:val="baseline"/>
                <w:lang w:val="en-US" w:eastAsia="zh-CN"/>
              </w:rPr>
            </w:pPr>
          </w:p>
        </w:tc>
        <w:tc>
          <w:tcPr>
            <w:tcW w:w="6264" w:type="dxa"/>
            <w:noWrap w:val="0"/>
            <w:vAlign w:val="top"/>
          </w:tcPr>
          <w:p w14:paraId="2E0040C1">
            <w:pPr>
              <w:numPr>
                <w:ilvl w:val="0"/>
                <w:numId w:val="0"/>
              </w:numPr>
              <w:rPr>
                <w:rFonts w:hint="eastAsia" w:ascii="宋体" w:hAnsi="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9</w:t>
            </w:r>
            <w:r>
              <w:rPr>
                <w:rFonts w:hint="eastAsia" w:ascii="宋体" w:hAnsi="宋体" w:cs="宋体"/>
                <w:color w:val="auto"/>
                <w:szCs w:val="21"/>
                <w:lang w:eastAsia="zh-CN"/>
              </w:rPr>
              <w:t>）清洁与工具保养：每日清理工作产生的枯枝落叶、杂草等垃圾，运至指定地点处理。对使用过的工具，如修枝剪、割草机、喷雾器等进行清洁、检查与保养，确保工具完好，为次日工作做好准备。</w:t>
            </w:r>
          </w:p>
        </w:tc>
      </w:tr>
      <w:tr w14:paraId="0134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87" w:type="dxa"/>
            <w:noWrap w:val="0"/>
            <w:vAlign w:val="top"/>
          </w:tcPr>
          <w:p w14:paraId="0D775EEC">
            <w:pPr>
              <w:numPr>
                <w:ilvl w:val="0"/>
                <w:numId w:val="0"/>
              </w:numPr>
              <w:rPr>
                <w:rFonts w:hint="eastAsia"/>
                <w:color w:val="auto"/>
                <w:vertAlign w:val="baseline"/>
                <w:lang w:val="en-US" w:eastAsia="zh-CN"/>
              </w:rPr>
            </w:pPr>
          </w:p>
        </w:tc>
        <w:tc>
          <w:tcPr>
            <w:tcW w:w="1765" w:type="dxa"/>
            <w:noWrap w:val="0"/>
            <w:vAlign w:val="top"/>
          </w:tcPr>
          <w:p w14:paraId="33BB334A">
            <w:pPr>
              <w:numPr>
                <w:ilvl w:val="0"/>
                <w:numId w:val="0"/>
              </w:numPr>
              <w:rPr>
                <w:rFonts w:hint="eastAsia"/>
                <w:color w:val="auto"/>
                <w:vertAlign w:val="baseline"/>
                <w:lang w:val="en-US" w:eastAsia="zh-CN"/>
              </w:rPr>
            </w:pPr>
          </w:p>
        </w:tc>
        <w:tc>
          <w:tcPr>
            <w:tcW w:w="6264" w:type="dxa"/>
            <w:noWrap w:val="0"/>
            <w:vAlign w:val="top"/>
          </w:tcPr>
          <w:p w14:paraId="07D42736">
            <w:pPr>
              <w:numPr>
                <w:ilvl w:val="0"/>
                <w:numId w:val="0"/>
              </w:numPr>
              <w:rPr>
                <w:rFonts w:hint="eastAsia" w:ascii="宋体" w:hAnsi="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10</w:t>
            </w:r>
            <w:r>
              <w:rPr>
                <w:rFonts w:hint="eastAsia" w:ascii="宋体" w:hAnsi="宋体" w:cs="宋体"/>
                <w:color w:val="auto"/>
                <w:szCs w:val="21"/>
                <w:lang w:eastAsia="zh-CN"/>
              </w:rPr>
              <w:t>）沟通协调：与学校后勤部门保持密切沟通，及时反馈绿化养护需求，如工具采购、肥料药剂储备等；倾听师生对校园绿化的意见建议，不断优化绿化布局与养护工作，营造宜人校园环境。</w:t>
            </w:r>
          </w:p>
        </w:tc>
      </w:tr>
      <w:tr w14:paraId="1B04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1087" w:type="dxa"/>
            <w:vMerge w:val="restart"/>
            <w:noWrap w:val="0"/>
            <w:vAlign w:val="top"/>
          </w:tcPr>
          <w:p w14:paraId="755B0B26">
            <w:pPr>
              <w:numPr>
                <w:ilvl w:val="0"/>
                <w:numId w:val="0"/>
              </w:numPr>
              <w:rPr>
                <w:rFonts w:hint="eastAsia"/>
                <w:color w:val="auto"/>
                <w:vertAlign w:val="baseline"/>
                <w:lang w:val="en-US" w:eastAsia="zh-CN"/>
              </w:rPr>
            </w:pPr>
            <w:r>
              <w:rPr>
                <w:rFonts w:hint="eastAsia"/>
                <w:color w:val="auto"/>
                <w:vertAlign w:val="baseline"/>
                <w:lang w:val="en-US" w:eastAsia="zh-CN"/>
              </w:rPr>
              <w:t>2</w:t>
            </w:r>
          </w:p>
        </w:tc>
        <w:tc>
          <w:tcPr>
            <w:tcW w:w="1765" w:type="dxa"/>
            <w:vMerge w:val="restart"/>
            <w:noWrap w:val="0"/>
            <w:vAlign w:val="top"/>
          </w:tcPr>
          <w:p w14:paraId="7D3B4021">
            <w:pPr>
              <w:numPr>
                <w:ilvl w:val="0"/>
                <w:numId w:val="0"/>
              </w:numPr>
              <w:rPr>
                <w:rFonts w:hint="eastAsia"/>
                <w:color w:val="auto"/>
                <w:vertAlign w:val="baseline"/>
                <w:lang w:val="en-US" w:eastAsia="zh-CN"/>
              </w:rPr>
            </w:pPr>
            <w:r>
              <w:rPr>
                <w:rFonts w:hint="eastAsia"/>
                <w:color w:val="auto"/>
                <w:vertAlign w:val="baseline"/>
                <w:lang w:val="en-US" w:eastAsia="zh-CN"/>
              </w:rPr>
              <w:t>室外绿化养护</w:t>
            </w:r>
          </w:p>
        </w:tc>
        <w:tc>
          <w:tcPr>
            <w:tcW w:w="6264" w:type="dxa"/>
            <w:noWrap w:val="0"/>
            <w:vAlign w:val="top"/>
          </w:tcPr>
          <w:p w14:paraId="51F0FC06">
            <w:pPr>
              <w:numPr>
                <w:ilvl w:val="0"/>
                <w:numId w:val="0"/>
              </w:numPr>
              <w:rPr>
                <w:rFonts w:hint="eastAsia"/>
                <w:color w:val="auto"/>
                <w:vertAlign w:val="baseline"/>
                <w:lang w:val="en-US" w:eastAsia="zh-CN"/>
              </w:rPr>
            </w:pPr>
            <w:r>
              <w:rPr>
                <w:rFonts w:hint="eastAsia"/>
                <w:color w:val="auto"/>
                <w:vertAlign w:val="baseline"/>
                <w:lang w:val="en-US" w:eastAsia="zh-CN"/>
              </w:rPr>
              <w:t>（1）</w:t>
            </w:r>
            <w:r>
              <w:rPr>
                <w:rFonts w:hint="eastAsia" w:ascii="宋体" w:hAnsi="宋体" w:cs="宋体"/>
                <w:color w:val="auto"/>
                <w:szCs w:val="21"/>
                <w:lang w:val="en-US" w:eastAsia="zh-CN"/>
              </w:rPr>
              <w:t>供应商需提供一份可行的养护方案，确保采购人管理范围内原有绿化和绿植生长态势良好、造型优美、常新常绿</w:t>
            </w:r>
            <w:r>
              <w:rPr>
                <w:rFonts w:hint="eastAsia"/>
                <w:color w:val="auto"/>
                <w:vertAlign w:val="baseline"/>
                <w:lang w:val="en-US" w:eastAsia="zh-CN"/>
              </w:rPr>
              <w:t>。</w:t>
            </w:r>
          </w:p>
        </w:tc>
      </w:tr>
      <w:tr w14:paraId="4EBB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1087" w:type="dxa"/>
            <w:vMerge w:val="continue"/>
            <w:noWrap w:val="0"/>
            <w:vAlign w:val="top"/>
          </w:tcPr>
          <w:p w14:paraId="2B918406">
            <w:pPr>
              <w:numPr>
                <w:ilvl w:val="0"/>
                <w:numId w:val="0"/>
              </w:numPr>
              <w:rPr>
                <w:rFonts w:hint="eastAsia"/>
                <w:color w:val="auto"/>
                <w:vertAlign w:val="baseline"/>
                <w:lang w:val="en-US" w:eastAsia="zh-CN"/>
              </w:rPr>
            </w:pPr>
          </w:p>
        </w:tc>
        <w:tc>
          <w:tcPr>
            <w:tcW w:w="1765" w:type="dxa"/>
            <w:vMerge w:val="continue"/>
            <w:noWrap w:val="0"/>
            <w:vAlign w:val="top"/>
          </w:tcPr>
          <w:p w14:paraId="216D3596">
            <w:pPr>
              <w:numPr>
                <w:ilvl w:val="0"/>
                <w:numId w:val="0"/>
              </w:numPr>
              <w:rPr>
                <w:rFonts w:hint="eastAsia"/>
                <w:color w:val="auto"/>
                <w:vertAlign w:val="baseline"/>
                <w:lang w:val="en-US" w:eastAsia="zh-CN"/>
              </w:rPr>
            </w:pPr>
          </w:p>
        </w:tc>
        <w:tc>
          <w:tcPr>
            <w:tcW w:w="6264" w:type="dxa"/>
            <w:noWrap w:val="0"/>
            <w:vAlign w:val="top"/>
          </w:tcPr>
          <w:p w14:paraId="106A15AF">
            <w:pPr>
              <w:numPr>
                <w:ilvl w:val="0"/>
                <w:numId w:val="0"/>
              </w:numPr>
              <w:rPr>
                <w:rFonts w:hint="eastAsia"/>
                <w:color w:val="auto"/>
                <w:vertAlign w:val="baseline"/>
                <w:lang w:val="en-US" w:eastAsia="zh-CN"/>
              </w:rPr>
            </w:pPr>
            <w:r>
              <w:rPr>
                <w:rFonts w:hint="eastAsia"/>
                <w:color w:val="auto"/>
                <w:vertAlign w:val="baseline"/>
                <w:lang w:val="en-US" w:eastAsia="zh-CN"/>
              </w:rPr>
              <w:t>（2）根据生长情况修剪绿地，绿地内无枯草、无杂物，无干枯坏死和病虫侵害，基本无裸露土地。</w:t>
            </w:r>
          </w:p>
        </w:tc>
      </w:tr>
      <w:tr w14:paraId="2A67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1087" w:type="dxa"/>
            <w:vMerge w:val="continue"/>
            <w:noWrap w:val="0"/>
            <w:vAlign w:val="top"/>
          </w:tcPr>
          <w:p w14:paraId="1AF232C2">
            <w:pPr>
              <w:numPr>
                <w:ilvl w:val="0"/>
                <w:numId w:val="0"/>
              </w:numPr>
              <w:rPr>
                <w:rFonts w:hint="eastAsia"/>
                <w:color w:val="auto"/>
                <w:vertAlign w:val="baseline"/>
                <w:lang w:val="en-US" w:eastAsia="zh-CN"/>
              </w:rPr>
            </w:pPr>
          </w:p>
        </w:tc>
        <w:tc>
          <w:tcPr>
            <w:tcW w:w="1765" w:type="dxa"/>
            <w:vMerge w:val="continue"/>
            <w:noWrap w:val="0"/>
            <w:vAlign w:val="top"/>
          </w:tcPr>
          <w:p w14:paraId="03DEBCE7">
            <w:pPr>
              <w:numPr>
                <w:ilvl w:val="0"/>
                <w:numId w:val="0"/>
              </w:numPr>
              <w:rPr>
                <w:rFonts w:hint="eastAsia"/>
                <w:color w:val="auto"/>
                <w:vertAlign w:val="baseline"/>
                <w:lang w:val="en-US" w:eastAsia="zh-CN"/>
              </w:rPr>
            </w:pPr>
          </w:p>
        </w:tc>
        <w:tc>
          <w:tcPr>
            <w:tcW w:w="6264" w:type="dxa"/>
            <w:noWrap w:val="0"/>
            <w:vAlign w:val="top"/>
          </w:tcPr>
          <w:p w14:paraId="7D399258">
            <w:pPr>
              <w:numPr>
                <w:ilvl w:val="0"/>
                <w:numId w:val="0"/>
              </w:numPr>
              <w:ind w:left="0" w:leftChars="0" w:firstLine="0" w:firstLineChars="0"/>
              <w:rPr>
                <w:rFonts w:hint="eastAsia" w:ascii="Calibri" w:hAnsi="Calibri" w:eastAsia="宋体" w:cs="Times New Roman"/>
                <w:color w:val="auto"/>
                <w:kern w:val="2"/>
                <w:sz w:val="21"/>
                <w:szCs w:val="24"/>
                <w:vertAlign w:val="baseline"/>
                <w:lang w:val="en-US" w:eastAsia="zh-CN" w:bidi="ar-SA"/>
              </w:rPr>
            </w:pPr>
            <w:r>
              <w:rPr>
                <w:rFonts w:hint="eastAsia"/>
                <w:color w:val="auto"/>
                <w:vertAlign w:val="baseline"/>
                <w:lang w:val="en-US" w:eastAsia="zh-CN"/>
              </w:rPr>
              <w:t>（3）恶劣天气后，及时清除倒树断枝，疏通道路，尽快恢复原状。</w:t>
            </w:r>
          </w:p>
        </w:tc>
      </w:tr>
      <w:tr w14:paraId="3085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1087" w:type="dxa"/>
            <w:vMerge w:val="continue"/>
            <w:noWrap w:val="0"/>
            <w:vAlign w:val="top"/>
          </w:tcPr>
          <w:p w14:paraId="5FAA5DC9">
            <w:pPr>
              <w:numPr>
                <w:ilvl w:val="0"/>
                <w:numId w:val="0"/>
              </w:numPr>
              <w:rPr>
                <w:rFonts w:hint="eastAsia"/>
                <w:color w:val="auto"/>
                <w:vertAlign w:val="baseline"/>
                <w:lang w:val="en-US" w:eastAsia="zh-CN"/>
              </w:rPr>
            </w:pPr>
          </w:p>
        </w:tc>
        <w:tc>
          <w:tcPr>
            <w:tcW w:w="1765" w:type="dxa"/>
            <w:vMerge w:val="continue"/>
            <w:noWrap w:val="0"/>
            <w:vAlign w:val="top"/>
          </w:tcPr>
          <w:p w14:paraId="60144BC5">
            <w:pPr>
              <w:numPr>
                <w:ilvl w:val="0"/>
                <w:numId w:val="0"/>
              </w:numPr>
              <w:rPr>
                <w:rFonts w:hint="eastAsia"/>
                <w:color w:val="auto"/>
                <w:vertAlign w:val="baseline"/>
                <w:lang w:val="en-US" w:eastAsia="zh-CN"/>
              </w:rPr>
            </w:pPr>
          </w:p>
        </w:tc>
        <w:tc>
          <w:tcPr>
            <w:tcW w:w="6264" w:type="dxa"/>
            <w:noWrap w:val="0"/>
            <w:vAlign w:val="top"/>
          </w:tcPr>
          <w:p w14:paraId="0166749A">
            <w:pPr>
              <w:numPr>
                <w:ilvl w:val="0"/>
                <w:numId w:val="0"/>
              </w:numPr>
              <w:ind w:left="0" w:leftChars="0" w:firstLine="0" w:firstLineChars="0"/>
              <w:rPr>
                <w:rFonts w:hint="eastAsia"/>
                <w:color w:val="auto"/>
                <w:vertAlign w:val="baseline"/>
                <w:lang w:val="en-US" w:eastAsia="zh-CN"/>
              </w:rPr>
            </w:pPr>
            <w:r>
              <w:rPr>
                <w:rFonts w:hint="eastAsia"/>
                <w:color w:val="auto"/>
                <w:vertAlign w:val="baseline"/>
                <w:lang w:val="en-US" w:eastAsia="zh-CN"/>
              </w:rPr>
              <w:t>（4）除自然灾害和不可抗力因素外，如因供应商管护不当造成的绿化植物有损失，供应商需及时进行补充，保证能恢复原样。</w:t>
            </w:r>
          </w:p>
        </w:tc>
      </w:tr>
    </w:tbl>
    <w:p w14:paraId="1DD027DF">
      <w:pPr>
        <w:numPr>
          <w:ilvl w:val="0"/>
          <w:numId w:val="0"/>
        </w:numPr>
        <w:rPr>
          <w:rFonts w:hint="eastAsia" w:ascii="宋体" w:hAnsi="宋体" w:cs="宋体"/>
          <w:b/>
          <w:bCs/>
          <w:color w:val="auto"/>
          <w:sz w:val="24"/>
          <w:szCs w:val="24"/>
          <w:vertAlign w:val="baseline"/>
          <w:lang w:val="en-US" w:eastAsia="zh-CN"/>
        </w:rPr>
      </w:pPr>
    </w:p>
    <w:p w14:paraId="34E6B9AA">
      <w:pPr>
        <w:numPr>
          <w:ilvl w:val="0"/>
          <w:numId w:val="0"/>
        </w:numPr>
        <w:rPr>
          <w:rFonts w:hint="eastAsia"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3.2 人员要求</w:t>
      </w:r>
    </w:p>
    <w:tbl>
      <w:tblPr>
        <w:tblStyle w:val="21"/>
        <w:tblW w:w="9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280"/>
        <w:gridCol w:w="2677"/>
        <w:gridCol w:w="4813"/>
      </w:tblGrid>
      <w:tr w14:paraId="5F69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7" w:type="dxa"/>
            <w:noWrap w:val="0"/>
            <w:vAlign w:val="top"/>
          </w:tcPr>
          <w:p w14:paraId="272914AD">
            <w:pPr>
              <w:numPr>
                <w:ilvl w:val="0"/>
                <w:numId w:val="0"/>
              </w:numPr>
              <w:rPr>
                <w:rFonts w:hint="eastAsia"/>
                <w:color w:val="000000"/>
                <w:vertAlign w:val="baseline"/>
                <w:lang w:val="en-US" w:eastAsia="zh-CN"/>
              </w:rPr>
            </w:pPr>
            <w:r>
              <w:rPr>
                <w:rFonts w:hint="eastAsia"/>
                <w:color w:val="000000"/>
                <w:vertAlign w:val="baseline"/>
                <w:lang w:val="en-US" w:eastAsia="zh-CN"/>
              </w:rPr>
              <w:t>部门职能</w:t>
            </w:r>
          </w:p>
        </w:tc>
        <w:tc>
          <w:tcPr>
            <w:tcW w:w="1280" w:type="dxa"/>
            <w:noWrap w:val="0"/>
            <w:vAlign w:val="top"/>
          </w:tcPr>
          <w:p w14:paraId="6451E958">
            <w:pPr>
              <w:numPr>
                <w:ilvl w:val="0"/>
                <w:numId w:val="0"/>
              </w:numPr>
              <w:rPr>
                <w:rFonts w:hint="eastAsia"/>
                <w:color w:val="000000"/>
                <w:vertAlign w:val="baseline"/>
                <w:lang w:val="en-US" w:eastAsia="zh-CN"/>
              </w:rPr>
            </w:pPr>
            <w:r>
              <w:rPr>
                <w:rFonts w:hint="eastAsia"/>
                <w:color w:val="000000"/>
                <w:vertAlign w:val="baseline"/>
                <w:lang w:val="en-US" w:eastAsia="zh-CN"/>
              </w:rPr>
              <w:t>服务（岗位）</w:t>
            </w:r>
          </w:p>
        </w:tc>
        <w:tc>
          <w:tcPr>
            <w:tcW w:w="2677" w:type="dxa"/>
            <w:noWrap w:val="0"/>
            <w:vAlign w:val="top"/>
          </w:tcPr>
          <w:p w14:paraId="1E2235E3">
            <w:pPr>
              <w:numPr>
                <w:ilvl w:val="0"/>
                <w:numId w:val="0"/>
              </w:numPr>
              <w:rPr>
                <w:rFonts w:hint="eastAsia"/>
                <w:color w:val="000000"/>
                <w:vertAlign w:val="baseline"/>
                <w:lang w:val="en-US" w:eastAsia="zh-CN"/>
              </w:rPr>
            </w:pPr>
            <w:r>
              <w:rPr>
                <w:rFonts w:hint="eastAsia"/>
                <w:color w:val="000000"/>
                <w:vertAlign w:val="baseline"/>
                <w:lang w:val="en-US" w:eastAsia="zh-CN"/>
              </w:rPr>
              <w:t>（人数）</w:t>
            </w:r>
          </w:p>
        </w:tc>
        <w:tc>
          <w:tcPr>
            <w:tcW w:w="4813" w:type="dxa"/>
            <w:noWrap w:val="0"/>
            <w:vAlign w:val="top"/>
          </w:tcPr>
          <w:p w14:paraId="5611E246">
            <w:pPr>
              <w:numPr>
                <w:ilvl w:val="0"/>
                <w:numId w:val="0"/>
              </w:numPr>
              <w:rPr>
                <w:rFonts w:hint="eastAsia"/>
                <w:color w:val="000000"/>
                <w:vertAlign w:val="baseline"/>
                <w:lang w:val="en-US" w:eastAsia="zh-CN"/>
              </w:rPr>
            </w:pPr>
            <w:r>
              <w:rPr>
                <w:rFonts w:hint="eastAsia"/>
                <w:color w:val="000000"/>
                <w:vertAlign w:val="baseline"/>
                <w:lang w:val="en-US" w:eastAsia="zh-CN"/>
              </w:rPr>
              <w:t>人员要求及岗位要求</w:t>
            </w:r>
          </w:p>
        </w:tc>
      </w:tr>
      <w:tr w14:paraId="7DE5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117" w:type="dxa"/>
            <w:noWrap w:val="0"/>
            <w:vAlign w:val="top"/>
          </w:tcPr>
          <w:p w14:paraId="48D24ADE">
            <w:pPr>
              <w:rPr>
                <w:rFonts w:hint="eastAsia"/>
                <w:color w:val="000000"/>
                <w:vertAlign w:val="baseline"/>
                <w:lang w:val="en-US" w:eastAsia="zh-CN"/>
              </w:rPr>
            </w:pPr>
            <w:r>
              <w:rPr>
                <w:rFonts w:hint="eastAsia"/>
                <w:color w:val="000000"/>
                <w:vertAlign w:val="baseline"/>
                <w:lang w:val="en-US" w:eastAsia="zh-CN"/>
              </w:rPr>
              <w:t>绿化服务</w:t>
            </w:r>
          </w:p>
        </w:tc>
        <w:tc>
          <w:tcPr>
            <w:tcW w:w="1280" w:type="dxa"/>
            <w:noWrap w:val="0"/>
            <w:vAlign w:val="top"/>
          </w:tcPr>
          <w:p w14:paraId="247B3939">
            <w:pPr>
              <w:numPr>
                <w:ilvl w:val="0"/>
                <w:numId w:val="0"/>
              </w:numPr>
              <w:rPr>
                <w:rFonts w:hint="eastAsia"/>
                <w:color w:val="000000"/>
                <w:vertAlign w:val="baseline"/>
                <w:lang w:val="en-US" w:eastAsia="zh-CN"/>
              </w:rPr>
            </w:pPr>
            <w:r>
              <w:rPr>
                <w:rFonts w:hint="eastAsia"/>
                <w:color w:val="000000"/>
                <w:vertAlign w:val="baseline"/>
                <w:lang w:val="en-US" w:eastAsia="zh-CN"/>
              </w:rPr>
              <w:t>绿化主管</w:t>
            </w:r>
          </w:p>
        </w:tc>
        <w:tc>
          <w:tcPr>
            <w:tcW w:w="2677" w:type="dxa"/>
            <w:noWrap w:val="0"/>
            <w:vAlign w:val="top"/>
          </w:tcPr>
          <w:p w14:paraId="77226476">
            <w:pPr>
              <w:numPr>
                <w:ilvl w:val="0"/>
                <w:numId w:val="0"/>
              </w:numPr>
              <w:rPr>
                <w:rFonts w:hint="default"/>
                <w:color w:val="000000"/>
                <w:vertAlign w:val="baseline"/>
                <w:lang w:val="en-US" w:eastAsia="zh-CN"/>
              </w:rPr>
            </w:pPr>
            <w:r>
              <w:rPr>
                <w:rFonts w:hint="eastAsia"/>
                <w:color w:val="000000"/>
                <w:vertAlign w:val="baseline"/>
                <w:lang w:val="en-US" w:eastAsia="zh-CN"/>
              </w:rPr>
              <w:t>1</w:t>
            </w:r>
          </w:p>
        </w:tc>
        <w:tc>
          <w:tcPr>
            <w:tcW w:w="4813" w:type="dxa"/>
            <w:shd w:val="clear" w:color="auto" w:fill="auto"/>
            <w:noWrap w:val="0"/>
            <w:vAlign w:val="top"/>
          </w:tcPr>
          <w:p w14:paraId="009D789D">
            <w:pPr>
              <w:numPr>
                <w:ilvl w:val="0"/>
                <w:numId w:val="0"/>
              </w:numPr>
              <w:rPr>
                <w:rFonts w:hint="eastAsia" w:ascii="宋体" w:hAnsi="宋体" w:cs="宋体"/>
                <w:color w:val="000000"/>
                <w:szCs w:val="21"/>
              </w:rPr>
            </w:pPr>
            <w:r>
              <w:rPr>
                <w:rFonts w:hint="eastAsia" w:ascii="宋体" w:hAnsi="宋体" w:cs="宋体"/>
                <w:color w:val="000000"/>
                <w:szCs w:val="21"/>
                <w:lang w:val="en-US" w:eastAsia="zh-CN"/>
              </w:rPr>
              <w:t>该</w:t>
            </w:r>
            <w:r>
              <w:rPr>
                <w:rFonts w:hint="eastAsia" w:ascii="宋体" w:hAnsi="宋体" w:cs="宋体"/>
                <w:color w:val="000000"/>
                <w:szCs w:val="21"/>
              </w:rPr>
              <w:t>人员需具备相应的绿化养护知识和技能，熟知校园内各类植物的名称、习性、生长规律，了解其对光照、水分、土壤酸碱度的要求，以便精准养护。</w:t>
            </w:r>
          </w:p>
          <w:p w14:paraId="75D1DC46">
            <w:pPr>
              <w:numPr>
                <w:ilvl w:val="0"/>
                <w:numId w:val="0"/>
              </w:numPr>
              <w:ind w:left="0" w:leftChars="0" w:firstLine="0" w:firstLineChars="0"/>
              <w:rPr>
                <w:rFonts w:hint="eastAsia" w:ascii="Times New Roman" w:hAnsi="Times New Roman" w:eastAsia="宋体" w:cs="Times New Roman"/>
                <w:color w:val="000000"/>
                <w:kern w:val="2"/>
                <w:sz w:val="21"/>
                <w:szCs w:val="24"/>
                <w:vertAlign w:val="baseline"/>
                <w:lang w:val="en-US" w:eastAsia="zh-CN" w:bidi="ar-SA"/>
              </w:rPr>
            </w:pPr>
            <w:r>
              <w:rPr>
                <w:rFonts w:hint="eastAsia" w:ascii="宋体" w:hAnsi="宋体" w:cs="宋体"/>
                <w:color w:val="000000"/>
                <w:szCs w:val="21"/>
              </w:rPr>
              <w:t>有三年以上相关工作经验，年龄要求50岁（含）以下</w:t>
            </w:r>
            <w:r>
              <w:rPr>
                <w:rFonts w:hint="eastAsia" w:ascii="宋体" w:hAnsi="宋体" w:cs="宋体"/>
                <w:color w:val="000000"/>
                <w:szCs w:val="21"/>
                <w:lang w:eastAsia="zh-CN"/>
              </w:rPr>
              <w:t>，</w:t>
            </w:r>
            <w:r>
              <w:rPr>
                <w:rFonts w:hint="eastAsia" w:ascii="宋体" w:hAnsi="宋体" w:cs="宋体"/>
                <w:color w:val="000000"/>
                <w:szCs w:val="21"/>
                <w:lang w:val="en-US" w:eastAsia="zh-CN"/>
              </w:rPr>
              <w:t>身体健康。</w:t>
            </w:r>
          </w:p>
        </w:tc>
      </w:tr>
      <w:tr w14:paraId="669E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117" w:type="dxa"/>
            <w:noWrap w:val="0"/>
            <w:vAlign w:val="top"/>
          </w:tcPr>
          <w:p w14:paraId="71F2756B">
            <w:pPr>
              <w:rPr>
                <w:rFonts w:hint="eastAsia"/>
                <w:color w:val="000000"/>
                <w:vertAlign w:val="baseline"/>
                <w:lang w:val="en-US" w:eastAsia="zh-CN"/>
              </w:rPr>
            </w:pPr>
          </w:p>
        </w:tc>
        <w:tc>
          <w:tcPr>
            <w:tcW w:w="1280" w:type="dxa"/>
            <w:noWrap w:val="0"/>
            <w:vAlign w:val="top"/>
          </w:tcPr>
          <w:p w14:paraId="5FF52348">
            <w:pPr>
              <w:numPr>
                <w:ilvl w:val="0"/>
                <w:numId w:val="0"/>
              </w:numPr>
              <w:rPr>
                <w:rFonts w:hint="eastAsia" w:eastAsia="宋体"/>
                <w:color w:val="000000"/>
                <w:vertAlign w:val="baseline"/>
                <w:lang w:val="en-US" w:eastAsia="zh-CN"/>
              </w:rPr>
            </w:pPr>
            <w:r>
              <w:rPr>
                <w:rFonts w:hint="eastAsia"/>
                <w:color w:val="000000"/>
                <w:vertAlign w:val="baseline"/>
                <w:lang w:val="en-US" w:eastAsia="zh-CN"/>
              </w:rPr>
              <w:t>绿化服务人员</w:t>
            </w:r>
          </w:p>
        </w:tc>
        <w:tc>
          <w:tcPr>
            <w:tcW w:w="2677" w:type="dxa"/>
            <w:noWrap w:val="0"/>
            <w:vAlign w:val="top"/>
          </w:tcPr>
          <w:p w14:paraId="0F231634">
            <w:pPr>
              <w:numPr>
                <w:ilvl w:val="0"/>
                <w:numId w:val="0"/>
              </w:numPr>
              <w:rPr>
                <w:rFonts w:hint="default"/>
                <w:color w:val="000000"/>
                <w:vertAlign w:val="baseline"/>
                <w:lang w:val="en-US" w:eastAsia="zh-CN"/>
              </w:rPr>
            </w:pPr>
            <w:r>
              <w:rPr>
                <w:rFonts w:hint="eastAsia"/>
                <w:color w:val="000000"/>
                <w:vertAlign w:val="baseline"/>
                <w:lang w:val="en-US" w:eastAsia="zh-CN"/>
              </w:rPr>
              <w:t>2</w:t>
            </w:r>
          </w:p>
        </w:tc>
        <w:tc>
          <w:tcPr>
            <w:tcW w:w="4813" w:type="dxa"/>
            <w:noWrap w:val="0"/>
            <w:vAlign w:val="top"/>
          </w:tcPr>
          <w:p w14:paraId="3CFDC93D">
            <w:pPr>
              <w:numPr>
                <w:ilvl w:val="0"/>
                <w:numId w:val="0"/>
              </w:numPr>
              <w:rPr>
                <w:rFonts w:hint="eastAsia" w:ascii="宋体" w:hAnsi="宋体" w:cs="宋体"/>
                <w:color w:val="000000"/>
                <w:kern w:val="2"/>
                <w:sz w:val="21"/>
                <w:szCs w:val="21"/>
              </w:rPr>
            </w:pPr>
            <w:r>
              <w:rPr>
                <w:rFonts w:hint="eastAsia" w:ascii="宋体" w:hAnsi="宋体" w:cs="宋体"/>
                <w:color w:val="000000"/>
                <w:szCs w:val="21"/>
              </w:rPr>
              <w:t>绿化服务人员（男女不限），有一年以上相关工作经验，年龄要求50岁（含）以下</w:t>
            </w:r>
            <w:r>
              <w:rPr>
                <w:rFonts w:hint="eastAsia" w:ascii="宋体" w:hAnsi="宋体" w:cs="宋体"/>
                <w:color w:val="000000"/>
                <w:szCs w:val="21"/>
                <w:lang w:eastAsia="zh-CN"/>
              </w:rPr>
              <w:t>，</w:t>
            </w:r>
            <w:r>
              <w:rPr>
                <w:rFonts w:hint="eastAsia" w:ascii="宋体" w:hAnsi="宋体" w:cs="宋体"/>
                <w:color w:val="000000"/>
                <w:szCs w:val="21"/>
                <w:lang w:val="en-US" w:eastAsia="zh-CN"/>
              </w:rPr>
              <w:t>身体健康。</w:t>
            </w:r>
          </w:p>
        </w:tc>
      </w:tr>
      <w:tr w14:paraId="1D29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117" w:type="dxa"/>
            <w:noWrap w:val="0"/>
            <w:vAlign w:val="top"/>
          </w:tcPr>
          <w:p w14:paraId="6921AFC5">
            <w:pPr>
              <w:rPr>
                <w:rFonts w:hint="eastAsia"/>
                <w:color w:val="000000"/>
                <w:vertAlign w:val="baseline"/>
                <w:lang w:val="en-US" w:eastAsia="zh-CN"/>
              </w:rPr>
            </w:pPr>
            <w:r>
              <w:rPr>
                <w:rFonts w:hint="eastAsia"/>
                <w:color w:val="000000"/>
                <w:vertAlign w:val="baseline"/>
                <w:lang w:val="en-US" w:eastAsia="zh-CN"/>
              </w:rPr>
              <w:t>合计</w:t>
            </w:r>
          </w:p>
        </w:tc>
        <w:tc>
          <w:tcPr>
            <w:tcW w:w="1280" w:type="dxa"/>
            <w:noWrap w:val="0"/>
            <w:vAlign w:val="top"/>
          </w:tcPr>
          <w:p w14:paraId="233C39DA">
            <w:pPr>
              <w:numPr>
                <w:ilvl w:val="0"/>
                <w:numId w:val="0"/>
              </w:numPr>
              <w:rPr>
                <w:rFonts w:hint="eastAsia" w:ascii="宋体" w:hAnsi="宋体" w:cs="宋体"/>
                <w:color w:val="000000"/>
                <w:kern w:val="2"/>
                <w:sz w:val="21"/>
                <w:szCs w:val="21"/>
              </w:rPr>
            </w:pPr>
          </w:p>
        </w:tc>
        <w:tc>
          <w:tcPr>
            <w:tcW w:w="2677" w:type="dxa"/>
            <w:noWrap w:val="0"/>
            <w:vAlign w:val="top"/>
          </w:tcPr>
          <w:p w14:paraId="7AFE4E3A">
            <w:pPr>
              <w:numPr>
                <w:ilvl w:val="0"/>
                <w:numId w:val="0"/>
              </w:numPr>
              <w:rPr>
                <w:rFonts w:hint="default"/>
                <w:color w:val="000000"/>
                <w:vertAlign w:val="baseline"/>
                <w:lang w:val="en-US" w:eastAsia="zh-CN"/>
              </w:rPr>
            </w:pPr>
            <w:r>
              <w:rPr>
                <w:rFonts w:hint="eastAsia"/>
                <w:color w:val="000000"/>
                <w:vertAlign w:val="baseline"/>
                <w:lang w:val="en-US" w:eastAsia="zh-CN"/>
              </w:rPr>
              <w:t>3（人）</w:t>
            </w:r>
          </w:p>
        </w:tc>
        <w:tc>
          <w:tcPr>
            <w:tcW w:w="4813" w:type="dxa"/>
            <w:noWrap w:val="0"/>
            <w:vAlign w:val="top"/>
          </w:tcPr>
          <w:p w14:paraId="46C77C88">
            <w:pPr>
              <w:numPr>
                <w:ilvl w:val="0"/>
                <w:numId w:val="0"/>
              </w:numPr>
              <w:rPr>
                <w:rFonts w:hint="eastAsia"/>
                <w:color w:val="000000"/>
                <w:lang w:val="en-US" w:eastAsia="zh-CN"/>
              </w:rPr>
            </w:pPr>
          </w:p>
        </w:tc>
      </w:tr>
    </w:tbl>
    <w:p w14:paraId="588D8CB5">
      <w:pPr>
        <w:pStyle w:val="9"/>
        <w:ind w:firstLine="420" w:firstLineChars="200"/>
        <w:rPr>
          <w:rFonts w:hint="eastAsia" w:ascii="宋体" w:hAnsi="宋体" w:eastAsia="宋体" w:cs="宋体"/>
          <w:b/>
          <w:bCs/>
          <w:sz w:val="21"/>
          <w:szCs w:val="21"/>
        </w:rPr>
      </w:pPr>
      <w:r>
        <w:rPr>
          <w:rFonts w:hint="eastAsia" w:ascii="宋体" w:hAnsi="宋体" w:cs="宋体"/>
          <w:b/>
          <w:bCs/>
          <w:sz w:val="21"/>
          <w:szCs w:val="21"/>
          <w:lang w:val="en-US" w:eastAsia="zh-CN"/>
        </w:rPr>
        <w:t>4</w:t>
      </w:r>
      <w:r>
        <w:rPr>
          <w:rFonts w:hint="eastAsia" w:ascii="宋体" w:hAnsi="宋体" w:eastAsia="宋体" w:cs="宋体"/>
          <w:b/>
          <w:bCs/>
          <w:sz w:val="21"/>
          <w:szCs w:val="21"/>
        </w:rPr>
        <w:t>、商务</w:t>
      </w:r>
      <w:r>
        <w:rPr>
          <w:rFonts w:hint="eastAsia" w:ascii="宋体" w:hAnsi="宋体" w:eastAsia="宋体" w:cs="宋体"/>
          <w:b/>
          <w:bCs/>
          <w:sz w:val="21"/>
          <w:szCs w:val="21"/>
          <w:lang w:eastAsia="zh-CN"/>
        </w:rPr>
        <w:t>要求</w:t>
      </w:r>
    </w:p>
    <w:p w14:paraId="5B06EC39">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b/>
          <w:bCs/>
          <w:color w:val="auto"/>
          <w:lang w:eastAsia="zh-CN"/>
        </w:rPr>
      </w:pPr>
      <w:r>
        <w:rPr>
          <w:rFonts w:hint="eastAsia"/>
          <w:b/>
          <w:bCs/>
          <w:color w:val="auto"/>
          <w:lang w:eastAsia="zh-CN"/>
        </w:rPr>
        <w:t>（</w:t>
      </w:r>
      <w:r>
        <w:rPr>
          <w:rFonts w:hint="eastAsia"/>
          <w:b/>
          <w:bCs/>
          <w:color w:val="auto"/>
          <w:lang w:val="en-US" w:eastAsia="zh-CN"/>
        </w:rPr>
        <w:t>1</w:t>
      </w:r>
      <w:r>
        <w:rPr>
          <w:rFonts w:hint="eastAsia"/>
          <w:b/>
          <w:bCs/>
          <w:color w:val="auto"/>
          <w:lang w:eastAsia="zh-CN"/>
        </w:rPr>
        <w:t>）报价要求</w:t>
      </w:r>
    </w:p>
    <w:p w14:paraId="1EB103C3">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cs="宋体"/>
          <w:kern w:val="0"/>
          <w:szCs w:val="21"/>
        </w:rPr>
      </w:pPr>
      <w:r>
        <w:rPr>
          <w:rFonts w:hint="eastAsia" w:ascii="宋体" w:hAnsi="宋体" w:cs="宋体"/>
          <w:kern w:val="0"/>
          <w:szCs w:val="21"/>
        </w:rPr>
        <w:t>该项目报价费用为包干价，包含本项目所有服务内容、所涉及的员工工资、法定加班费、人员保险、培训、制服及工具、行政办公用品及资料印刷费、税金等及其它所有成本费用的总和。</w:t>
      </w:r>
      <w:r>
        <w:rPr>
          <w:rFonts w:hint="eastAsia" w:ascii="宋体" w:hAnsi="宋体" w:cs="宋体"/>
          <w:kern w:val="0"/>
          <w:szCs w:val="21"/>
          <w:lang w:val="en-US" w:eastAsia="zh-CN"/>
        </w:rPr>
        <w:t>供应商</w:t>
      </w:r>
      <w:r>
        <w:rPr>
          <w:rFonts w:hint="eastAsia" w:ascii="宋体" w:hAnsi="宋体" w:cs="宋体"/>
          <w:kern w:val="0"/>
          <w:szCs w:val="21"/>
        </w:rPr>
        <w:t>应对本项目的所有内容范围的服务进行总承包报价</w:t>
      </w:r>
      <w:r>
        <w:rPr>
          <w:rFonts w:hint="eastAsia" w:ascii="宋体" w:hAnsi="宋体" w:cs="宋体"/>
          <w:kern w:val="0"/>
          <w:szCs w:val="21"/>
          <w:lang w:eastAsia="zh-CN"/>
        </w:rPr>
        <w:t>，</w:t>
      </w:r>
      <w:r>
        <w:rPr>
          <w:rFonts w:hint="eastAsia" w:ascii="宋体" w:hAnsi="宋体" w:cs="宋体"/>
          <w:kern w:val="0"/>
          <w:szCs w:val="21"/>
        </w:rPr>
        <w:t>采购人不再支付任何费用。</w:t>
      </w:r>
    </w:p>
    <w:p w14:paraId="5AF26588">
      <w:pPr>
        <w:spacing w:line="360" w:lineRule="exact"/>
        <w:ind w:firstLine="420" w:firstLineChars="200"/>
        <w:rPr>
          <w:rFonts w:hint="eastAsia" w:ascii="宋体" w:hAnsi="宋体" w:eastAsia="宋体" w:cs="宋体"/>
          <w:b/>
          <w:bCs w:val="0"/>
          <w:color w:val="auto"/>
          <w:kern w:val="0"/>
          <w:sz w:val="21"/>
          <w:szCs w:val="21"/>
        </w:rPr>
      </w:pP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2</w:t>
      </w:r>
      <w:r>
        <w:rPr>
          <w:rFonts w:hint="eastAsia" w:ascii="宋体" w:hAnsi="宋体" w:cs="宋体"/>
          <w:b/>
          <w:bCs w:val="0"/>
          <w:color w:val="auto"/>
          <w:kern w:val="0"/>
          <w:sz w:val="21"/>
          <w:szCs w:val="21"/>
          <w:lang w:eastAsia="zh-CN"/>
        </w:rPr>
        <w:t>）</w:t>
      </w:r>
      <w:r>
        <w:rPr>
          <w:rFonts w:hint="eastAsia" w:ascii="宋体" w:hAnsi="宋体" w:eastAsia="宋体" w:cs="宋体"/>
          <w:b/>
          <w:bCs w:val="0"/>
          <w:color w:val="auto"/>
          <w:kern w:val="0"/>
          <w:sz w:val="21"/>
          <w:szCs w:val="21"/>
        </w:rPr>
        <w:t>本项目采购预算：</w:t>
      </w:r>
      <w:r>
        <w:rPr>
          <w:rFonts w:hint="eastAsia" w:ascii="宋体" w:hAnsi="宋体" w:eastAsia="宋体" w:cs="宋体"/>
          <w:b/>
          <w:bCs w:val="0"/>
          <w:color w:val="auto"/>
          <w:kern w:val="0"/>
          <w:sz w:val="21"/>
          <w:szCs w:val="21"/>
          <w:lang w:eastAsia="zh-CN"/>
        </w:rPr>
        <w:t>本项目预算金额为人民币</w:t>
      </w:r>
      <w:r>
        <w:rPr>
          <w:rFonts w:hint="eastAsia" w:ascii="宋体" w:hAnsi="宋体" w:cs="宋体"/>
          <w:b/>
          <w:bCs w:val="0"/>
          <w:color w:val="auto"/>
          <w:kern w:val="0"/>
          <w:sz w:val="21"/>
          <w:szCs w:val="21"/>
          <w:lang w:val="en-US" w:eastAsia="zh-CN"/>
        </w:rPr>
        <w:t>壹拾贰</w:t>
      </w:r>
      <w:r>
        <w:rPr>
          <w:rFonts w:hint="eastAsia" w:ascii="宋体" w:hAnsi="宋体" w:eastAsia="宋体" w:cs="宋体"/>
          <w:b/>
          <w:bCs w:val="0"/>
          <w:color w:val="auto"/>
          <w:kern w:val="0"/>
          <w:sz w:val="21"/>
          <w:szCs w:val="21"/>
          <w:lang w:eastAsia="zh-CN"/>
        </w:rPr>
        <w:t>万元整（¥</w:t>
      </w:r>
      <w:r>
        <w:rPr>
          <w:rFonts w:hint="eastAsia" w:ascii="宋体" w:hAnsi="宋体" w:cs="宋体"/>
          <w:b/>
          <w:bCs w:val="0"/>
          <w:color w:val="auto"/>
          <w:kern w:val="0"/>
          <w:sz w:val="21"/>
          <w:szCs w:val="21"/>
          <w:lang w:val="en-US" w:eastAsia="zh-CN"/>
        </w:rPr>
        <w:t>120000</w:t>
      </w:r>
      <w:r>
        <w:rPr>
          <w:rFonts w:hint="eastAsia" w:ascii="宋体" w:hAnsi="宋体" w:eastAsia="宋体" w:cs="宋体"/>
          <w:b/>
          <w:bCs w:val="0"/>
          <w:color w:val="auto"/>
          <w:kern w:val="0"/>
          <w:sz w:val="21"/>
          <w:szCs w:val="21"/>
          <w:lang w:eastAsia="zh-CN"/>
        </w:rPr>
        <w:t>.00元）。</w:t>
      </w:r>
      <w:r>
        <w:rPr>
          <w:rFonts w:hint="eastAsia" w:ascii="宋体" w:hAnsi="宋体" w:eastAsia="宋体" w:cs="宋体"/>
          <w:b/>
          <w:bCs w:val="0"/>
          <w:color w:val="auto"/>
          <w:kern w:val="0"/>
          <w:sz w:val="21"/>
          <w:szCs w:val="21"/>
        </w:rPr>
        <w:t>投标报价超过采购预算金额的，投标文件按无效处理</w:t>
      </w:r>
      <w:r>
        <w:rPr>
          <w:rFonts w:hint="eastAsia" w:ascii="宋体" w:hAnsi="宋体" w:eastAsia="宋体" w:cs="宋体"/>
          <w:b/>
          <w:bCs w:val="0"/>
          <w:color w:val="auto"/>
          <w:kern w:val="0"/>
          <w:sz w:val="21"/>
          <w:szCs w:val="21"/>
          <w:lang w:eastAsia="zh-CN"/>
        </w:rPr>
        <w:t>。</w:t>
      </w:r>
    </w:p>
    <w:p w14:paraId="48A771F2">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w:t>
      </w:r>
      <w:r>
        <w:rPr>
          <w:rFonts w:hint="eastAsia" w:ascii="宋体" w:hAnsi="宋体" w:eastAsia="宋体" w:cs="宋体"/>
          <w:b/>
          <w:bCs/>
          <w:kern w:val="0"/>
          <w:szCs w:val="21"/>
          <w:lang w:val="en-US" w:eastAsia="zh-CN"/>
        </w:rPr>
        <w:t>3</w:t>
      </w:r>
      <w:r>
        <w:rPr>
          <w:rFonts w:hint="eastAsia" w:ascii="宋体" w:hAnsi="宋体" w:eastAsia="宋体" w:cs="宋体"/>
          <w:b/>
          <w:bCs/>
          <w:kern w:val="0"/>
          <w:szCs w:val="21"/>
          <w:lang w:eastAsia="zh-CN"/>
        </w:rPr>
        <w:t>）付款方式</w:t>
      </w:r>
    </w:p>
    <w:p w14:paraId="7B444141">
      <w:pPr>
        <w:pStyle w:val="8"/>
        <w:rPr>
          <w:rFonts w:hint="eastAsia" w:ascii="宋体" w:hAnsi="宋体" w:eastAsia="宋体" w:cs="宋体"/>
          <w:kern w:val="0"/>
          <w:szCs w:val="21"/>
          <w:lang w:eastAsia="zh-CN"/>
        </w:rPr>
      </w:pPr>
      <w:r>
        <w:rPr>
          <w:rFonts w:hint="eastAsia" w:ascii="宋体" w:hAnsi="宋体" w:cs="宋体"/>
          <w:color w:val="auto"/>
          <w:szCs w:val="21"/>
          <w:highlight w:val="none"/>
        </w:rPr>
        <w:t>物业管理服务费按</w:t>
      </w:r>
      <w:r>
        <w:rPr>
          <w:rFonts w:hint="eastAsia" w:ascii="宋体" w:hAnsi="宋体" w:cs="宋体"/>
          <w:color w:val="auto"/>
          <w:szCs w:val="21"/>
          <w:highlight w:val="none"/>
          <w:lang w:val="en-US" w:eastAsia="zh-CN"/>
        </w:rPr>
        <w:t>季</w:t>
      </w:r>
      <w:r>
        <w:rPr>
          <w:rFonts w:hint="eastAsia" w:ascii="宋体" w:hAnsi="宋体" w:cs="宋体"/>
          <w:color w:val="auto"/>
          <w:szCs w:val="21"/>
          <w:highlight w:val="none"/>
        </w:rPr>
        <w:t>度支付（</w:t>
      </w:r>
      <w:r>
        <w:rPr>
          <w:rFonts w:hint="eastAsia" w:ascii="宋体" w:hAnsi="宋体" w:cs="宋体"/>
          <w:color w:val="auto"/>
          <w:szCs w:val="21"/>
          <w:highlight w:val="none"/>
          <w:lang w:eastAsia="zh-CN"/>
        </w:rPr>
        <w:t>中标</w:t>
      </w:r>
      <w:r>
        <w:rPr>
          <w:rFonts w:hint="eastAsia" w:ascii="宋体" w:hAnsi="宋体" w:cs="宋体"/>
          <w:color w:val="auto"/>
          <w:szCs w:val="21"/>
          <w:highlight w:val="none"/>
        </w:rPr>
        <w:t>金额1/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季</w:t>
      </w:r>
      <w:r>
        <w:rPr>
          <w:rFonts w:hint="eastAsia" w:ascii="宋体" w:hAnsi="宋体" w:cs="宋体"/>
          <w:color w:val="auto"/>
          <w:szCs w:val="21"/>
          <w:highlight w:val="none"/>
        </w:rPr>
        <w:t>末支付当</w:t>
      </w:r>
      <w:r>
        <w:rPr>
          <w:rFonts w:hint="eastAsia" w:ascii="宋体" w:hAnsi="宋体" w:cs="宋体"/>
          <w:color w:val="auto"/>
          <w:szCs w:val="21"/>
          <w:highlight w:val="none"/>
          <w:lang w:val="en-US" w:eastAsia="zh-CN"/>
        </w:rPr>
        <w:t>季</w:t>
      </w:r>
      <w:r>
        <w:rPr>
          <w:rFonts w:hint="eastAsia" w:ascii="宋体" w:hAnsi="宋体" w:cs="宋体"/>
          <w:color w:val="auto"/>
          <w:szCs w:val="21"/>
          <w:highlight w:val="none"/>
        </w:rPr>
        <w:t>物业管理服务费，采购人以转账方式足额转入</w:t>
      </w:r>
      <w:r>
        <w:rPr>
          <w:rFonts w:hint="eastAsia"/>
          <w:lang w:eastAsia="zh-CN"/>
        </w:rPr>
        <w:t>成交供应商</w:t>
      </w:r>
      <w:r>
        <w:rPr>
          <w:rFonts w:hint="eastAsia" w:ascii="宋体" w:hAnsi="宋体" w:cs="宋体"/>
          <w:color w:val="auto"/>
          <w:szCs w:val="21"/>
          <w:highlight w:val="none"/>
        </w:rPr>
        <w:t>指定账户；转账前</w:t>
      </w:r>
      <w:r>
        <w:rPr>
          <w:rFonts w:hint="eastAsia" w:ascii="宋体" w:hAnsi="宋体" w:cs="宋体"/>
          <w:color w:val="auto"/>
          <w:szCs w:val="21"/>
          <w:highlight w:val="none"/>
          <w:lang w:eastAsia="zh-CN"/>
        </w:rPr>
        <w:t>中标</w:t>
      </w:r>
      <w:r>
        <w:rPr>
          <w:rFonts w:hint="eastAsia" w:ascii="宋体" w:hAnsi="宋体" w:cs="宋体"/>
          <w:color w:val="auto"/>
          <w:szCs w:val="21"/>
          <w:highlight w:val="none"/>
        </w:rPr>
        <w:t>供应商将相应的足额服务发票交给采购人；否则，采购人有权拒绝付费且不承担任何责任</w:t>
      </w:r>
      <w:r>
        <w:rPr>
          <w:rFonts w:hint="eastAsia" w:ascii="宋体" w:hAnsi="宋体" w:eastAsia="宋体" w:cs="宋体"/>
          <w:color w:val="auto"/>
          <w:kern w:val="0"/>
          <w:szCs w:val="21"/>
          <w:lang w:eastAsia="zh-CN"/>
        </w:rPr>
        <w:t>。</w:t>
      </w:r>
    </w:p>
    <w:p w14:paraId="1E880285">
      <w:pPr>
        <w:keepNext w:val="0"/>
        <w:keepLines w:val="0"/>
        <w:pageBreakBefore w:val="0"/>
        <w:numPr>
          <w:ilvl w:val="0"/>
          <w:numId w:val="0"/>
        </w:numPr>
        <w:kinsoku/>
        <w:wordWrap/>
        <w:overflowPunct/>
        <w:topLinePunct w:val="0"/>
        <w:bidi w:val="0"/>
        <w:adjustRightInd w:val="0"/>
        <w:snapToGrid w:val="0"/>
        <w:spacing w:line="400" w:lineRule="exact"/>
        <w:ind w:left="420" w:leftChars="0"/>
        <w:textAlignment w:val="auto"/>
        <w:rPr>
          <w:rFonts w:hint="eastAsia" w:ascii="宋体" w:hAnsi="宋体" w:eastAsia="宋体" w:cs="宋体"/>
          <w:color w:val="auto"/>
          <w:kern w:val="0"/>
          <w:sz w:val="21"/>
          <w:szCs w:val="21"/>
        </w:rPr>
      </w:pPr>
      <w:r>
        <w:rPr>
          <w:rFonts w:hint="eastAsia" w:ascii="宋体" w:hAnsi="宋体" w:eastAsia="宋体" w:cs="宋体"/>
          <w:b/>
          <w:bCs w:val="0"/>
          <w:color w:val="auto"/>
          <w:kern w:val="0"/>
          <w:sz w:val="21"/>
          <w:szCs w:val="21"/>
          <w:lang w:eastAsia="zh-CN"/>
        </w:rPr>
        <w:t>（</w:t>
      </w:r>
      <w:r>
        <w:rPr>
          <w:rFonts w:hint="eastAsia" w:ascii="宋体" w:hAnsi="宋体" w:eastAsia="宋体" w:cs="宋体"/>
          <w:b/>
          <w:bCs w:val="0"/>
          <w:color w:val="auto"/>
          <w:kern w:val="0"/>
          <w:sz w:val="21"/>
          <w:szCs w:val="21"/>
          <w:lang w:val="en-US" w:eastAsia="zh-CN"/>
        </w:rPr>
        <w:t>4</w:t>
      </w:r>
      <w:r>
        <w:rPr>
          <w:rFonts w:hint="eastAsia" w:ascii="宋体" w:hAnsi="宋体" w:eastAsia="宋体" w:cs="宋体"/>
          <w:b/>
          <w:bCs w:val="0"/>
          <w:color w:val="auto"/>
          <w:kern w:val="0"/>
          <w:sz w:val="21"/>
          <w:szCs w:val="21"/>
          <w:lang w:eastAsia="zh-CN"/>
        </w:rPr>
        <w:t>）</w:t>
      </w:r>
      <w:r>
        <w:rPr>
          <w:rFonts w:hint="eastAsia" w:ascii="宋体" w:hAnsi="宋体" w:eastAsia="宋体" w:cs="宋体"/>
          <w:b/>
          <w:bCs w:val="0"/>
          <w:color w:val="auto"/>
          <w:kern w:val="0"/>
          <w:sz w:val="21"/>
          <w:szCs w:val="21"/>
        </w:rPr>
        <w:t>其他要求</w:t>
      </w:r>
    </w:p>
    <w:p w14:paraId="71806B1A">
      <w:pPr>
        <w:keepNext w:val="0"/>
        <w:keepLines w:val="0"/>
        <w:pageBreakBefore w:val="0"/>
        <w:kinsoku/>
        <w:wordWrap/>
        <w:overflowPunct/>
        <w:topLinePunct w:val="0"/>
        <w:bidi w:val="0"/>
        <w:adjustRightInd w:val="0"/>
        <w:snapToGrid w:val="0"/>
        <w:spacing w:line="400" w:lineRule="exact"/>
        <w:ind w:left="0" w:leftChars="0"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①</w:t>
      </w:r>
      <w:r>
        <w:rPr>
          <w:rFonts w:hint="eastAsia" w:ascii="宋体" w:hAnsi="宋体" w:eastAsia="宋体" w:cs="宋体"/>
          <w:color w:val="auto"/>
          <w:kern w:val="0"/>
          <w:sz w:val="21"/>
          <w:szCs w:val="21"/>
        </w:rPr>
        <w:t>涉及用工方面的劳务纠纷和劳动事故全部由</w:t>
      </w:r>
      <w:r>
        <w:rPr>
          <w:rFonts w:hint="eastAsia" w:ascii="宋体" w:hAnsi="宋体" w:cs="宋体"/>
          <w:color w:val="auto"/>
          <w:kern w:val="0"/>
          <w:sz w:val="21"/>
          <w:szCs w:val="21"/>
          <w:lang w:eastAsia="zh-CN"/>
        </w:rPr>
        <w:t>成交供应商</w:t>
      </w:r>
      <w:r>
        <w:rPr>
          <w:rFonts w:hint="eastAsia" w:ascii="宋体" w:hAnsi="宋体" w:eastAsia="宋体" w:cs="宋体"/>
          <w:color w:val="auto"/>
          <w:kern w:val="0"/>
          <w:sz w:val="21"/>
          <w:szCs w:val="21"/>
        </w:rPr>
        <w:t>承担责任。</w:t>
      </w:r>
    </w:p>
    <w:p w14:paraId="0339FFB7">
      <w:pPr>
        <w:keepNext w:val="0"/>
        <w:keepLines w:val="0"/>
        <w:pageBreakBefore w:val="0"/>
        <w:kinsoku/>
        <w:wordWrap/>
        <w:overflowPunct/>
        <w:topLinePunct w:val="0"/>
        <w:bidi w:val="0"/>
        <w:adjustRightInd w:val="0"/>
        <w:snapToGrid w:val="0"/>
        <w:spacing w:line="400" w:lineRule="exact"/>
        <w:ind w:left="0" w:leftChars="0"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②</w:t>
      </w:r>
      <w:r>
        <w:rPr>
          <w:rFonts w:hint="eastAsia" w:ascii="宋体" w:hAnsi="宋体" w:eastAsia="宋体" w:cs="宋体"/>
          <w:color w:val="auto"/>
          <w:kern w:val="0"/>
          <w:sz w:val="21"/>
          <w:szCs w:val="21"/>
        </w:rPr>
        <w:t>服务时间：自合同签订之日起</w:t>
      </w:r>
      <w:r>
        <w:rPr>
          <w:rFonts w:hint="eastAsia" w:ascii="宋体" w:hAnsi="宋体" w:eastAsia="宋体" w:cs="宋体"/>
          <w:color w:val="auto"/>
          <w:kern w:val="0"/>
          <w:sz w:val="21"/>
          <w:szCs w:val="21"/>
          <w:lang w:val="en-US" w:eastAsia="zh-CN"/>
        </w:rPr>
        <w:t>一年</w:t>
      </w:r>
      <w:r>
        <w:rPr>
          <w:rFonts w:hint="eastAsia" w:ascii="宋体" w:hAnsi="宋体" w:eastAsia="宋体" w:cs="宋体"/>
          <w:color w:val="auto"/>
          <w:kern w:val="0"/>
          <w:sz w:val="21"/>
          <w:szCs w:val="21"/>
        </w:rPr>
        <w:t>。</w:t>
      </w:r>
    </w:p>
    <w:p w14:paraId="544F4E6C">
      <w:pPr>
        <w:keepNext w:val="0"/>
        <w:keepLines w:val="0"/>
        <w:pageBreakBefore w:val="0"/>
        <w:kinsoku/>
        <w:wordWrap/>
        <w:overflowPunct/>
        <w:topLinePunct w:val="0"/>
        <w:bidi w:val="0"/>
        <w:adjustRightInd w:val="0"/>
        <w:snapToGrid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eastAsia="zh-CN"/>
        </w:rPr>
        <w:t>③</w:t>
      </w:r>
      <w:r>
        <w:rPr>
          <w:rFonts w:hint="eastAsia" w:ascii="宋体" w:hAnsi="宋体" w:eastAsia="宋体" w:cs="宋体"/>
          <w:color w:val="auto"/>
          <w:kern w:val="0"/>
          <w:sz w:val="21"/>
          <w:szCs w:val="21"/>
        </w:rPr>
        <w:t>合同签订期：</w:t>
      </w:r>
      <w:r>
        <w:rPr>
          <w:rFonts w:hint="eastAsia" w:ascii="宋体" w:hAnsi="宋体" w:cs="宋体"/>
          <w:color w:val="000000"/>
          <w:szCs w:val="21"/>
          <w:highlight w:val="none"/>
          <w:lang w:val="en-US" w:eastAsia="zh-CN"/>
        </w:rPr>
        <w:t>成交</w:t>
      </w:r>
      <w:r>
        <w:rPr>
          <w:rFonts w:hint="eastAsia" w:ascii="宋体" w:hAnsi="宋体" w:cs="宋体"/>
          <w:color w:val="000000"/>
          <w:szCs w:val="21"/>
          <w:highlight w:val="none"/>
          <w:lang w:eastAsia="zh-CN"/>
        </w:rPr>
        <w:t>通知书发出之日起八个工作日内</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成交供应商</w:t>
      </w:r>
      <w:r>
        <w:rPr>
          <w:rFonts w:hint="eastAsia" w:ascii="宋体" w:hAnsi="宋体" w:cs="宋体"/>
          <w:color w:val="000000"/>
          <w:szCs w:val="21"/>
          <w:highlight w:val="none"/>
          <w:lang w:eastAsia="zh-CN"/>
        </w:rPr>
        <w:t>收到</w:t>
      </w:r>
      <w:r>
        <w:rPr>
          <w:rFonts w:hint="eastAsia" w:ascii="宋体" w:hAnsi="宋体" w:cs="宋体"/>
          <w:color w:val="000000"/>
          <w:szCs w:val="21"/>
          <w:highlight w:val="none"/>
          <w:lang w:val="en-US" w:eastAsia="zh-CN"/>
        </w:rPr>
        <w:t>成交</w:t>
      </w:r>
      <w:r>
        <w:rPr>
          <w:rFonts w:hint="eastAsia" w:ascii="宋体" w:hAnsi="宋体" w:cs="宋体"/>
          <w:color w:val="000000"/>
          <w:szCs w:val="21"/>
          <w:highlight w:val="none"/>
          <w:lang w:eastAsia="zh-CN"/>
        </w:rPr>
        <w:t>通知书后，应按规定与采购人在“广西政府采购云平台”上在线签订电子合同</w:t>
      </w:r>
      <w:r>
        <w:rPr>
          <w:rFonts w:hint="eastAsia" w:ascii="宋体" w:hAnsi="宋体" w:eastAsia="宋体" w:cs="宋体"/>
          <w:color w:val="auto"/>
          <w:kern w:val="0"/>
          <w:sz w:val="21"/>
          <w:szCs w:val="21"/>
          <w:highlight w:val="none"/>
        </w:rPr>
        <w:t>。</w:t>
      </w:r>
    </w:p>
    <w:p w14:paraId="55002D79">
      <w:pPr>
        <w:pStyle w:val="29"/>
        <w:ind w:left="0" w:leftChars="0" w:firstLine="420"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⑤本项目专门面向小微企业，所属行业为物业管理。</w:t>
      </w:r>
    </w:p>
    <w:p w14:paraId="21ACD08D">
      <w:pPr>
        <w:spacing w:line="360" w:lineRule="auto"/>
        <w:ind w:firstLine="420" w:firstLineChars="200"/>
        <w:jc w:val="left"/>
        <w:rPr>
          <w:rStyle w:val="49"/>
          <w:rFonts w:hint="eastAsia" w:ascii="宋体" w:hAnsi="宋体" w:cs="宋体"/>
          <w:color w:val="000000"/>
          <w:sz w:val="32"/>
          <w:szCs w:val="32"/>
          <w:highlight w:val="none"/>
        </w:rPr>
      </w:pPr>
      <w:r>
        <w:rPr>
          <w:rFonts w:hint="eastAsia" w:ascii="宋体" w:hAnsi="宋体" w:eastAsia="宋体" w:cs="宋体"/>
          <w:color w:val="auto"/>
          <w:kern w:val="0"/>
          <w:sz w:val="21"/>
          <w:szCs w:val="21"/>
          <w:lang w:val="en-US" w:eastAsia="zh-CN" w:bidi="ar-SA"/>
        </w:rPr>
        <w:t>⑥本项目不得转包给第三者，也不能给第三者挂靠。</w:t>
      </w:r>
    </w:p>
    <w:p w14:paraId="55108B12">
      <w:pPr>
        <w:pStyle w:val="9"/>
        <w:rPr>
          <w:rFonts w:hint="eastAsia" w:ascii="宋体" w:hAnsi="宋体" w:cs="宋体"/>
          <w:color w:val="auto"/>
          <w:szCs w:val="21"/>
          <w:highlight w:val="none"/>
        </w:rPr>
      </w:pPr>
    </w:p>
    <w:p w14:paraId="3D46515C">
      <w:pPr>
        <w:rPr>
          <w:rFonts w:hint="eastAsia" w:ascii="宋体" w:hAnsi="宋体" w:cs="宋体"/>
          <w:color w:val="auto"/>
          <w:szCs w:val="21"/>
          <w:highlight w:val="none"/>
        </w:rPr>
      </w:pPr>
    </w:p>
    <w:p w14:paraId="47CF4328">
      <w:pPr>
        <w:pStyle w:val="9"/>
        <w:rPr>
          <w:rFonts w:hint="eastAsia" w:ascii="宋体" w:hAnsi="宋体" w:cs="宋体"/>
          <w:color w:val="auto"/>
          <w:szCs w:val="21"/>
          <w:highlight w:val="none"/>
        </w:rPr>
      </w:pPr>
    </w:p>
    <w:p w14:paraId="41B9FD93">
      <w:pPr>
        <w:pStyle w:val="9"/>
        <w:rPr>
          <w:rFonts w:hint="eastAsia" w:ascii="宋体" w:hAnsi="宋体" w:cs="宋体"/>
          <w:color w:val="auto"/>
          <w:szCs w:val="21"/>
          <w:highlight w:val="none"/>
        </w:rPr>
      </w:pPr>
    </w:p>
    <w:p w14:paraId="50B2556B">
      <w:pPr>
        <w:pStyle w:val="9"/>
        <w:rPr>
          <w:rFonts w:hint="eastAsia" w:ascii="宋体" w:hAnsi="宋体" w:cs="宋体"/>
          <w:color w:val="auto"/>
          <w:szCs w:val="21"/>
          <w:highlight w:val="none"/>
        </w:rPr>
      </w:pPr>
    </w:p>
    <w:p w14:paraId="043D4A0B">
      <w:pPr>
        <w:pStyle w:val="9"/>
        <w:rPr>
          <w:rFonts w:hint="eastAsia" w:ascii="宋体" w:hAnsi="宋体" w:cs="宋体"/>
          <w:color w:val="auto"/>
          <w:szCs w:val="21"/>
          <w:highlight w:val="none"/>
        </w:rPr>
      </w:pPr>
    </w:p>
    <w:p w14:paraId="2C19A759">
      <w:pPr>
        <w:pStyle w:val="9"/>
        <w:rPr>
          <w:rFonts w:hint="eastAsia" w:ascii="宋体" w:hAnsi="宋体" w:cs="宋体"/>
          <w:color w:val="auto"/>
          <w:szCs w:val="21"/>
          <w:highlight w:val="none"/>
        </w:rPr>
      </w:pPr>
    </w:p>
    <w:p w14:paraId="3EC4833B">
      <w:pPr>
        <w:pStyle w:val="9"/>
        <w:rPr>
          <w:rFonts w:hint="eastAsia" w:ascii="宋体" w:hAnsi="宋体" w:cs="宋体"/>
          <w:color w:val="auto"/>
          <w:szCs w:val="21"/>
          <w:highlight w:val="none"/>
        </w:rPr>
      </w:pPr>
    </w:p>
    <w:p w14:paraId="75127462">
      <w:pPr>
        <w:pStyle w:val="9"/>
        <w:rPr>
          <w:rFonts w:hint="eastAsia" w:ascii="宋体" w:hAnsi="宋体" w:cs="宋体"/>
          <w:color w:val="auto"/>
          <w:szCs w:val="21"/>
          <w:highlight w:val="none"/>
        </w:rPr>
      </w:pPr>
    </w:p>
    <w:p w14:paraId="76DF56A2">
      <w:pPr>
        <w:pStyle w:val="9"/>
        <w:rPr>
          <w:rFonts w:hint="eastAsia" w:ascii="宋体" w:hAnsi="宋体" w:cs="宋体"/>
          <w:color w:val="auto"/>
          <w:szCs w:val="21"/>
          <w:highlight w:val="none"/>
        </w:rPr>
      </w:pPr>
    </w:p>
    <w:p w14:paraId="6067ABE9">
      <w:pPr>
        <w:pStyle w:val="9"/>
        <w:rPr>
          <w:rFonts w:hint="eastAsia" w:ascii="宋体" w:hAnsi="宋体" w:cs="宋体"/>
          <w:color w:val="auto"/>
          <w:szCs w:val="21"/>
          <w:highlight w:val="none"/>
        </w:rPr>
      </w:pPr>
    </w:p>
    <w:p w14:paraId="6C83018A">
      <w:pPr>
        <w:pStyle w:val="9"/>
        <w:rPr>
          <w:rFonts w:hint="eastAsia" w:ascii="宋体" w:hAnsi="宋体" w:cs="宋体"/>
          <w:color w:val="auto"/>
          <w:szCs w:val="21"/>
          <w:highlight w:val="none"/>
        </w:rPr>
      </w:pPr>
    </w:p>
    <w:p w14:paraId="09E7DBEF">
      <w:pPr>
        <w:pStyle w:val="9"/>
        <w:rPr>
          <w:rFonts w:hint="eastAsia" w:ascii="宋体" w:hAnsi="宋体" w:cs="宋体"/>
          <w:color w:val="auto"/>
          <w:szCs w:val="21"/>
          <w:highlight w:val="none"/>
        </w:rPr>
      </w:pPr>
    </w:p>
    <w:p w14:paraId="6E740665">
      <w:pPr>
        <w:pStyle w:val="9"/>
        <w:rPr>
          <w:rFonts w:hint="eastAsia" w:ascii="宋体" w:hAnsi="宋体" w:cs="宋体"/>
          <w:color w:val="auto"/>
          <w:szCs w:val="21"/>
          <w:highlight w:val="none"/>
        </w:rPr>
      </w:pPr>
    </w:p>
    <w:p w14:paraId="0BB72D6A">
      <w:pPr>
        <w:pStyle w:val="9"/>
        <w:rPr>
          <w:rFonts w:hint="eastAsia" w:ascii="宋体" w:hAnsi="宋体" w:cs="宋体"/>
          <w:color w:val="auto"/>
          <w:szCs w:val="21"/>
          <w:highlight w:val="none"/>
        </w:rPr>
      </w:pPr>
    </w:p>
    <w:p w14:paraId="4DBBD127">
      <w:pPr>
        <w:pStyle w:val="9"/>
        <w:rPr>
          <w:rFonts w:hint="eastAsia" w:ascii="宋体" w:hAnsi="宋体" w:cs="宋体"/>
          <w:color w:val="auto"/>
          <w:szCs w:val="21"/>
          <w:highlight w:val="none"/>
        </w:rPr>
      </w:pPr>
    </w:p>
    <w:p w14:paraId="149982EE">
      <w:pPr>
        <w:pStyle w:val="9"/>
        <w:rPr>
          <w:rFonts w:hint="eastAsia" w:ascii="宋体" w:hAnsi="宋体" w:cs="宋体"/>
          <w:color w:val="auto"/>
          <w:szCs w:val="21"/>
          <w:highlight w:val="none"/>
        </w:rPr>
      </w:pPr>
    </w:p>
    <w:p w14:paraId="7EE0E386">
      <w:pPr>
        <w:pStyle w:val="9"/>
        <w:rPr>
          <w:rFonts w:hint="eastAsia" w:ascii="宋体" w:hAnsi="宋体" w:cs="宋体"/>
          <w:color w:val="auto"/>
          <w:szCs w:val="21"/>
          <w:highlight w:val="none"/>
        </w:rPr>
      </w:pPr>
    </w:p>
    <w:p w14:paraId="68315894">
      <w:pPr>
        <w:pStyle w:val="9"/>
        <w:rPr>
          <w:rFonts w:hint="eastAsia" w:ascii="宋体" w:hAnsi="宋体" w:cs="宋体"/>
          <w:color w:val="auto"/>
          <w:szCs w:val="21"/>
          <w:highlight w:val="none"/>
        </w:rPr>
      </w:pPr>
    </w:p>
    <w:p w14:paraId="73DB146A">
      <w:pPr>
        <w:pStyle w:val="9"/>
        <w:rPr>
          <w:rFonts w:hint="eastAsia" w:ascii="宋体" w:hAnsi="宋体" w:cs="宋体"/>
          <w:color w:val="auto"/>
          <w:szCs w:val="21"/>
          <w:highlight w:val="none"/>
        </w:rPr>
      </w:pPr>
    </w:p>
    <w:p w14:paraId="52EAB7BA">
      <w:pPr>
        <w:pStyle w:val="9"/>
        <w:rPr>
          <w:rFonts w:hint="eastAsia" w:ascii="宋体" w:hAnsi="宋体" w:cs="宋体"/>
          <w:color w:val="auto"/>
          <w:szCs w:val="21"/>
          <w:highlight w:val="none"/>
        </w:rPr>
      </w:pPr>
    </w:p>
    <w:p w14:paraId="5F38C816">
      <w:pPr>
        <w:pStyle w:val="9"/>
        <w:rPr>
          <w:rFonts w:hint="eastAsia" w:ascii="宋体" w:hAnsi="宋体" w:cs="宋体"/>
          <w:color w:val="auto"/>
          <w:szCs w:val="21"/>
          <w:highlight w:val="none"/>
        </w:rPr>
      </w:pPr>
    </w:p>
    <w:p w14:paraId="7508B2A9">
      <w:pPr>
        <w:pStyle w:val="9"/>
        <w:rPr>
          <w:rFonts w:hint="eastAsia" w:ascii="宋体" w:hAnsi="宋体" w:cs="宋体"/>
          <w:color w:val="auto"/>
          <w:szCs w:val="21"/>
          <w:highlight w:val="none"/>
        </w:rPr>
      </w:pPr>
    </w:p>
    <w:p w14:paraId="1E199DED">
      <w:pPr>
        <w:pStyle w:val="9"/>
        <w:rPr>
          <w:rFonts w:hint="eastAsia" w:ascii="宋体" w:hAnsi="宋体" w:cs="宋体"/>
          <w:color w:val="auto"/>
          <w:szCs w:val="21"/>
          <w:highlight w:val="none"/>
        </w:rPr>
      </w:pPr>
    </w:p>
    <w:p w14:paraId="108CCD03">
      <w:pPr>
        <w:pStyle w:val="9"/>
        <w:rPr>
          <w:rFonts w:hint="eastAsia" w:ascii="宋体" w:hAnsi="宋体" w:cs="宋体"/>
          <w:color w:val="auto"/>
          <w:szCs w:val="21"/>
          <w:highlight w:val="none"/>
        </w:rPr>
      </w:pPr>
    </w:p>
    <w:p w14:paraId="520745A1">
      <w:pPr>
        <w:pStyle w:val="9"/>
        <w:rPr>
          <w:rFonts w:hint="eastAsia" w:ascii="宋体" w:hAnsi="宋体" w:cs="宋体"/>
          <w:color w:val="auto"/>
          <w:szCs w:val="21"/>
          <w:highlight w:val="none"/>
        </w:rPr>
      </w:pPr>
    </w:p>
    <w:p w14:paraId="50C7F7EC">
      <w:pPr>
        <w:pStyle w:val="9"/>
        <w:rPr>
          <w:rFonts w:hint="eastAsia" w:ascii="宋体" w:hAnsi="宋体" w:cs="宋体"/>
          <w:color w:val="auto"/>
          <w:szCs w:val="21"/>
          <w:highlight w:val="none"/>
        </w:rPr>
      </w:pPr>
    </w:p>
    <w:p w14:paraId="4C56C2D7">
      <w:pPr>
        <w:pStyle w:val="9"/>
        <w:rPr>
          <w:rFonts w:hint="eastAsia" w:ascii="宋体" w:hAnsi="宋体" w:cs="宋体"/>
          <w:color w:val="auto"/>
          <w:szCs w:val="21"/>
          <w:highlight w:val="none"/>
        </w:rPr>
      </w:pPr>
    </w:p>
    <w:bookmarkEnd w:id="265"/>
    <w:p w14:paraId="429666E7">
      <w:pPr>
        <w:pStyle w:val="9"/>
        <w:ind w:firstLine="420" w:firstLineChars="200"/>
        <w:rPr>
          <w:b/>
          <w:bCs/>
          <w:color w:val="auto"/>
        </w:rPr>
      </w:pPr>
    </w:p>
    <w:p w14:paraId="12F233A6">
      <w:pPr>
        <w:pStyle w:val="29"/>
        <w:rPr>
          <w:rFonts w:hint="eastAsia"/>
          <w:color w:val="auto"/>
          <w:highlight w:val="none"/>
          <w:lang w:eastAsia="zh-CN"/>
        </w:rPr>
      </w:pPr>
    </w:p>
    <w:p w14:paraId="7970007C">
      <w:pPr>
        <w:pStyle w:val="29"/>
        <w:rPr>
          <w:rFonts w:hint="eastAsia"/>
          <w:color w:val="auto"/>
          <w:highlight w:val="none"/>
          <w:lang w:eastAsia="zh-CN"/>
        </w:rPr>
      </w:pPr>
    </w:p>
    <w:p w14:paraId="514BC5B9">
      <w:pPr>
        <w:pStyle w:val="2"/>
        <w:numPr>
          <w:ilvl w:val="0"/>
          <w:numId w:val="0"/>
        </w:numPr>
        <w:tabs>
          <w:tab w:val="left" w:pos="0"/>
        </w:tabs>
        <w:autoSpaceDE w:val="0"/>
        <w:autoSpaceDN w:val="0"/>
        <w:adjustRightInd w:val="0"/>
        <w:spacing w:before="0" w:after="0" w:line="360" w:lineRule="auto"/>
        <w:jc w:val="center"/>
        <w:rPr>
          <w:rFonts w:hint="eastAsia" w:asciiTheme="majorEastAsia" w:hAnsiTheme="majorEastAsia" w:eastAsiaTheme="majorEastAsia" w:cstheme="majorEastAsia"/>
          <w:color w:val="auto"/>
          <w:sz w:val="32"/>
          <w:szCs w:val="32"/>
          <w:highlight w:val="none"/>
        </w:rPr>
      </w:pPr>
      <w:r>
        <w:rPr>
          <w:rFonts w:hint="eastAsia" w:asciiTheme="majorEastAsia" w:hAnsiTheme="majorEastAsia" w:eastAsiaTheme="majorEastAsia" w:cstheme="majorEastAsia"/>
          <w:color w:val="auto"/>
          <w:sz w:val="32"/>
          <w:szCs w:val="32"/>
          <w:highlight w:val="none"/>
          <w:lang w:eastAsia="zh-CN"/>
        </w:rPr>
        <w:t>第四章</w:t>
      </w:r>
      <w:r>
        <w:rPr>
          <w:rFonts w:hint="eastAsia" w:asciiTheme="majorEastAsia" w:hAnsiTheme="majorEastAsia" w:eastAsiaTheme="majorEastAsia" w:cstheme="majorEastAsia"/>
          <w:color w:val="auto"/>
          <w:sz w:val="32"/>
          <w:szCs w:val="32"/>
          <w:highlight w:val="none"/>
          <w:lang w:val="en-US" w:eastAsia="zh-CN"/>
        </w:rPr>
        <w:t xml:space="preserve"> </w:t>
      </w:r>
      <w:r>
        <w:rPr>
          <w:rFonts w:hint="eastAsia" w:asciiTheme="majorEastAsia" w:hAnsiTheme="majorEastAsia" w:eastAsiaTheme="majorEastAsia" w:cstheme="majorEastAsia"/>
          <w:color w:val="auto"/>
          <w:sz w:val="32"/>
          <w:szCs w:val="32"/>
          <w:highlight w:val="none"/>
        </w:rPr>
        <w:t>评审办法</w:t>
      </w:r>
      <w:bookmarkEnd w:id="266"/>
      <w:bookmarkEnd w:id="267"/>
      <w:bookmarkEnd w:id="268"/>
      <w:bookmarkEnd w:id="269"/>
      <w:bookmarkEnd w:id="270"/>
    </w:p>
    <w:p w14:paraId="6F03687F">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一、评审依据</w:t>
      </w:r>
    </w:p>
    <w:p w14:paraId="4C2EEDAE">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评审依据：磋商小组以磋商文件和响应文件为评审依据，对供应商的响应文件进行评审。</w:t>
      </w:r>
    </w:p>
    <w:p w14:paraId="53F26656">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评审方式：以封闭方式进行评审。</w:t>
      </w:r>
    </w:p>
    <w:p w14:paraId="2625C8F2">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3.采购人和采购代理机构、竞争性磋商小组成员要严格遵守政府采购相关法律制度，依法履行各自职责，公正、客观、审慎地组织和参与评审工作。</w:t>
      </w:r>
    </w:p>
    <w:p w14:paraId="33BD7BC4">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二、评审办法</w:t>
      </w:r>
    </w:p>
    <w:p w14:paraId="528A4F44">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（一）对进入详评的，采用</w:t>
      </w:r>
      <w:r>
        <w:rPr>
          <w:rFonts w:hint="eastAsia" w:ascii="宋体" w:hAnsi="宋体" w:eastAsia="宋体" w:cs="宋体"/>
          <w:b/>
          <w:bCs/>
          <w:color w:val="auto"/>
          <w:sz w:val="21"/>
          <w:szCs w:val="21"/>
          <w:highlight w:val="none"/>
        </w:rPr>
        <w:t>综合评分法</w:t>
      </w:r>
      <w:r>
        <w:rPr>
          <w:rFonts w:hint="eastAsia" w:ascii="宋体" w:hAnsi="宋体" w:eastAsia="宋体" w:cs="宋体"/>
          <w:color w:val="auto"/>
          <w:sz w:val="21"/>
          <w:szCs w:val="21"/>
          <w:highlight w:val="none"/>
        </w:rPr>
        <w:t>。</w:t>
      </w:r>
    </w:p>
    <w:p w14:paraId="56C4B6B0">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（二）计分办法（</w:t>
      </w:r>
      <w:r>
        <w:rPr>
          <w:rFonts w:hint="eastAsia" w:hAnsi="宋体" w:cs="宋体"/>
          <w:bCs/>
          <w:color w:val="auto"/>
          <w:szCs w:val="21"/>
          <w:highlight w:val="none"/>
        </w:rPr>
        <w:t>按四舍五入取至百分位</w:t>
      </w:r>
      <w:r>
        <w:rPr>
          <w:rFonts w:hint="eastAsia" w:ascii="宋体" w:hAnsi="宋体" w:eastAsia="宋体" w:cs="宋体"/>
          <w:color w:val="auto"/>
          <w:sz w:val="21"/>
          <w:szCs w:val="21"/>
          <w:highlight w:val="none"/>
        </w:rPr>
        <w:t>）</w:t>
      </w:r>
    </w:p>
    <w:p w14:paraId="6627D652">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1、价格分…………………………………………………………………………………………………………</w:t>
      </w:r>
      <w:r>
        <w:rPr>
          <w:rFonts w:hint="eastAsia" w:ascii="宋体" w:hAnsi="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lang w:val="en-US" w:eastAsia="zh-CN"/>
        </w:rPr>
        <w:t>分</w:t>
      </w:r>
    </w:p>
    <w:p w14:paraId="0F01DCD4">
      <w:pPr>
        <w:numPr>
          <w:ilvl w:val="0"/>
          <w:numId w:val="0"/>
        </w:numPr>
        <w:spacing w:line="400" w:lineRule="exact"/>
        <w:ind w:firstLine="420" w:firstLineChars="200"/>
        <w:rPr>
          <w:rFonts w:hint="eastAsia" w:ascii="宋体" w:hAnsi="宋体" w:cs="宋体"/>
          <w:color w:val="auto"/>
          <w:highlight w:val="none"/>
        </w:rPr>
      </w:pPr>
      <w:bookmarkStart w:id="271" w:name="OLE_LINK19"/>
      <w:bookmarkStart w:id="272" w:name="_Toc14379"/>
      <w:r>
        <w:rPr>
          <w:rFonts w:hint="eastAsia" w:ascii="宋体" w:hAnsi="宋体" w:cs="宋体"/>
          <w:color w:val="auto"/>
          <w:highlight w:val="none"/>
        </w:rPr>
        <w:t>（</w:t>
      </w:r>
      <w:r>
        <w:rPr>
          <w:rFonts w:hint="eastAsia" w:ascii="宋体" w:hAnsi="宋体" w:cs="宋体"/>
          <w:color w:val="auto"/>
          <w:highlight w:val="none"/>
          <w:lang w:val="en-US" w:eastAsia="zh-CN"/>
        </w:rPr>
        <w:t>1</w:t>
      </w:r>
      <w:r>
        <w:rPr>
          <w:rFonts w:hint="eastAsia" w:ascii="宋体" w:hAnsi="宋体" w:cs="宋体"/>
          <w:color w:val="auto"/>
          <w:highlight w:val="none"/>
        </w:rPr>
        <w:t>）以进入综合评分环节的最低的评审报价为基准价，基准价报价得分为</w:t>
      </w:r>
      <w:r>
        <w:rPr>
          <w:rFonts w:hint="eastAsia" w:ascii="宋体" w:hAnsi="宋体" w:cs="宋体"/>
          <w:color w:val="auto"/>
          <w:highlight w:val="none"/>
          <w:lang w:val="en-US" w:eastAsia="zh-CN"/>
        </w:rPr>
        <w:t>30</w:t>
      </w:r>
      <w:r>
        <w:rPr>
          <w:rFonts w:hint="eastAsia" w:ascii="宋体" w:hAnsi="宋体" w:cs="宋体"/>
          <w:color w:val="auto"/>
          <w:highlight w:val="none"/>
        </w:rPr>
        <w:t>分。</w:t>
      </w:r>
    </w:p>
    <w:p w14:paraId="27F5621F">
      <w:pPr>
        <w:numPr>
          <w:ilvl w:val="0"/>
          <w:numId w:val="0"/>
        </w:num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）供应商磋商报价得分=（磋商基准价/供应商的评审报价）×</w:t>
      </w:r>
      <w:r>
        <w:rPr>
          <w:rFonts w:hint="eastAsia" w:ascii="宋体" w:hAnsi="宋体" w:cs="宋体"/>
          <w:color w:val="auto"/>
          <w:highlight w:val="none"/>
          <w:lang w:val="en-US" w:eastAsia="zh-CN"/>
        </w:rPr>
        <w:t>30</w:t>
      </w:r>
      <w:r>
        <w:rPr>
          <w:rFonts w:hint="eastAsia" w:ascii="宋体" w:hAnsi="宋体" w:cs="宋体"/>
          <w:color w:val="auto"/>
          <w:highlight w:val="none"/>
        </w:rPr>
        <w:t>分。</w:t>
      </w:r>
    </w:p>
    <w:bookmarkEnd w:id="271"/>
    <w:p w14:paraId="1D4053D0">
      <w:pPr>
        <w:pStyle w:val="13"/>
        <w:spacing w:line="360" w:lineRule="exact"/>
        <w:rPr>
          <w:rFonts w:hint="eastAsia"/>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eastAsia="zh-CN"/>
        </w:rPr>
        <w:t>服务质量分</w:t>
      </w:r>
      <w:r>
        <w:rPr>
          <w:rFonts w:hint="eastAsia" w:ascii="宋体" w:hAnsi="宋体" w:eastAsia="宋体" w:cs="宋体"/>
          <w:b/>
          <w:bCs/>
          <w:color w:val="auto"/>
          <w:szCs w:val="21"/>
          <w:highlight w:val="none"/>
        </w:rPr>
        <w:t>……………………………………………………………………………………………</w:t>
      </w:r>
      <w:r>
        <w:rPr>
          <w:rFonts w:hint="eastAsia" w:hAnsi="宋体" w:cs="宋体"/>
          <w:bCs/>
          <w:color w:val="auto"/>
        </w:rPr>
        <w:t>…</w:t>
      </w:r>
      <w:r>
        <w:rPr>
          <w:rFonts w:hint="eastAsia" w:ascii="宋体" w:hAnsi="宋体" w:eastAsia="宋体" w:cs="宋体"/>
          <w:b/>
          <w:bCs/>
          <w:color w:val="auto"/>
          <w:szCs w:val="21"/>
          <w:highlight w:val="none"/>
          <w:lang w:val="en-US" w:eastAsia="zh-CN"/>
        </w:rPr>
        <w:t>满分</w:t>
      </w:r>
      <w:r>
        <w:rPr>
          <w:rFonts w:hint="eastAsia" w:hAnsi="宋体" w:cs="宋体"/>
          <w:b/>
          <w:bCs/>
          <w:color w:val="auto"/>
          <w:szCs w:val="21"/>
          <w:highlight w:val="none"/>
          <w:lang w:val="en-US" w:eastAsia="zh-CN"/>
        </w:rPr>
        <w:t>56</w:t>
      </w:r>
      <w:r>
        <w:rPr>
          <w:rFonts w:hint="eastAsia" w:ascii="宋体" w:hAnsi="宋体" w:eastAsia="宋体" w:cs="宋体"/>
          <w:b/>
          <w:bCs/>
          <w:color w:val="auto"/>
          <w:szCs w:val="21"/>
          <w:highlight w:val="none"/>
        </w:rPr>
        <w:t>分</w:t>
      </w:r>
    </w:p>
    <w:p w14:paraId="5AB82C02">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（1）建立的管理规章制度（满分 12 分）​</w:t>
      </w:r>
    </w:p>
    <w:p w14:paraId="12B2D2D9">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一档（3 分）：提供的管理规章制度含有着装、考勤制度，操作规程包含人员管理整体运作、人员日常绿化养护工作流程，且满足采购人需求。​</w:t>
      </w:r>
    </w:p>
    <w:p w14:paraId="5CDBAE79">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二档（7 分）：提供的管理规章制度含有着装、考勤制度、仪容仪表及个人卫生等制度，操作规程包含人员管理整体运作、人员日常绿化养护工作流程，且满足采购人需求。​</w:t>
      </w:r>
    </w:p>
    <w:p w14:paraId="7ED1DE2E">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三档（12 分）：提供的管理规章制度含有着装、考勤制度、日常管理、仪容仪表及个人卫生、月考核、奖惩、人员管理、岗位分工等制度，操作规程包含人员管理整体运作、绿化问题信息反馈处理机制、人员日常绿化养护工作流程，且满足采购人需求。​</w:t>
      </w:r>
    </w:p>
    <w:p w14:paraId="32D8E9C3">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（2）绿化养护管理服务方案分（满分 12 分）​</w:t>
      </w:r>
    </w:p>
    <w:p w14:paraId="5B687F50">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一档（3 分）：建立有相关的绿化养护管理方案，涵盖浇水、施肥、修剪等基本内容，方案满足项目服务需求。​</w:t>
      </w:r>
    </w:p>
    <w:p w14:paraId="3196DE02">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二档（7 分）：相关的绿化养护管理方案能契合本项目 20 亩校园的实际情况，针对不同植物品种、季节特点制定差异化养护措施，较好地满足项目服务需求。​</w:t>
      </w:r>
    </w:p>
    <w:p w14:paraId="53E30194">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三档（12 分）：在二档基础上，针对植物病虫害高发期、极端天气等方面制订有专项养护方案，且方案考虑问题周全、切合实际情况，养护工具配备齐全。​</w:t>
      </w:r>
    </w:p>
    <w:p w14:paraId="7EF9C1B4">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（3）节日景观管理服务方案分（满分 </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分）​</w:t>
      </w:r>
    </w:p>
    <w:p w14:paraId="07940C41">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分）：方案</w:t>
      </w:r>
      <w:r>
        <w:rPr>
          <w:rFonts w:hint="eastAsia" w:ascii="宋体" w:hAnsi="宋体" w:cs="宋体"/>
          <w:color w:val="auto"/>
          <w:sz w:val="21"/>
          <w:szCs w:val="21"/>
          <w:highlight w:val="none"/>
          <w:lang w:val="en-US" w:eastAsia="zh-CN"/>
        </w:rPr>
        <w:t>可行，</w:t>
      </w:r>
      <w:r>
        <w:rPr>
          <w:rFonts w:hint="eastAsia" w:ascii="宋体" w:hAnsi="宋体" w:eastAsia="宋体" w:cs="宋体"/>
          <w:color w:val="auto"/>
          <w:sz w:val="21"/>
          <w:szCs w:val="21"/>
          <w:highlight w:val="none"/>
        </w:rPr>
        <w:t>对节日景观布置、维护、拆除等描述不清晰，针对性不强，与校园整体风格契合度低。​</w:t>
      </w:r>
    </w:p>
    <w:p w14:paraId="4C0C517D">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分）：方案较完善、可行，节日景观管理服务思路较清晰，对不同节日的景观设计、布置时间节点、维护措施等有较详细描述，与校园整体风格较契合。​</w:t>
      </w:r>
    </w:p>
    <w:p w14:paraId="2F102E78">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分）：体系化的节日景观管理方案，针对不同节日特点设计的景观主题鲜明，岗位设置合理、从布置到拆除的流程规范、管理制度完善、职责明确、考核机制清晰，与校园整体风格高度契合，具有可行性、实用性。​</w:t>
      </w:r>
    </w:p>
    <w:p w14:paraId="4290F3FE">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Cs w:val="21"/>
          <w:highlight w:val="none"/>
        </w:rPr>
        <w:t>应急处置方案</w:t>
      </w:r>
      <w:r>
        <w:rPr>
          <w:rFonts w:hint="eastAsia"/>
          <w:lang w:val="en-US" w:eastAsia="zh-CN"/>
        </w:rPr>
        <w:t>分</w:t>
      </w:r>
      <w:r>
        <w:rPr>
          <w:rFonts w:hint="eastAsia" w:ascii="宋体" w:hAnsi="宋体" w:eastAsia="宋体" w:cs="宋体"/>
          <w:color w:val="auto"/>
          <w:sz w:val="21"/>
          <w:szCs w:val="21"/>
          <w:highlight w:val="none"/>
        </w:rPr>
        <w:t xml:space="preserve">（满分 </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 xml:space="preserve"> 分）​</w:t>
      </w:r>
    </w:p>
    <w:p w14:paraId="299FAFF5">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一档（3 分）：提供的应急处置方案预案包括植物倒伏、暴雨对绿化影响等突发事件的处理方法等内容，基本满足采购需求。​</w:t>
      </w:r>
    </w:p>
    <w:p w14:paraId="2541D945">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分）：提供的应急处置方案预案包括植物倒伏、暴雨对绿化影响、病虫害突发蔓延、节日景观损坏等应急情况的处理方法等内容，满足采购需求。​</w:t>
      </w:r>
    </w:p>
    <w:p w14:paraId="0FD56012">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 xml:space="preserve"> 分）：提供的应急处置方案预案包括植物倒伏、暴雨对绿化影响、病虫害突发蔓延、节日景观损坏、极端天气（如台风、暴雪）对绿化破坏、人为损坏绿化设施等应急情况的处理方法等内容，优于采购需求，能有效保护校园绿化景观和设施安全。​</w:t>
      </w:r>
    </w:p>
    <w:p w14:paraId="03419902">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Cs w:val="21"/>
          <w:highlight w:val="none"/>
        </w:rPr>
        <w:t>人员培训方案</w:t>
      </w:r>
      <w:r>
        <w:rPr>
          <w:rFonts w:hint="eastAsia" w:ascii="宋体" w:hAnsi="宋体" w:cs="宋体"/>
          <w:color w:val="auto"/>
          <w:sz w:val="21"/>
          <w:szCs w:val="21"/>
          <w:highlight w:val="none"/>
          <w:lang w:val="en-US" w:eastAsia="zh-CN"/>
        </w:rPr>
        <w:t>分</w:t>
      </w:r>
      <w:r>
        <w:rPr>
          <w:rFonts w:hint="eastAsia" w:ascii="宋体" w:hAnsi="宋体" w:eastAsia="宋体" w:cs="宋体"/>
          <w:color w:val="auto"/>
          <w:sz w:val="21"/>
          <w:szCs w:val="21"/>
          <w:highlight w:val="none"/>
        </w:rPr>
        <w:t xml:space="preserve">（满分 </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 xml:space="preserve"> 分）​</w:t>
      </w:r>
    </w:p>
    <w:p w14:paraId="106E25FF">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一档（3 分）：人员培训方案包括对绿化人员的培训计划、考核方式等内容，且满足采购需求。​</w:t>
      </w:r>
    </w:p>
    <w:p w14:paraId="7AA7864C">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分）：人员培训方案包括对绿化人员的培训计划、考核方式、目标及言行规范、仪表仪容，且满足采购需求。​</w:t>
      </w:r>
    </w:p>
    <w:p w14:paraId="1B8698C5">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 xml:space="preserve"> 分）：人员培训方案包括对绿化人员的培训计划、考核方式、目标及言行规范、仪表仪容、公众形象、植物识别与养护基本技能、节日景观布置技能等内容，且满足采购需求。</w:t>
      </w:r>
    </w:p>
    <w:p w14:paraId="7C0436A5">
      <w:pPr>
        <w:pStyle w:val="1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hAnsi="宋体" w:cs="宋体"/>
          <w:b/>
          <w:bCs/>
          <w:color w:val="auto"/>
        </w:rPr>
      </w:pPr>
      <w:r>
        <w:rPr>
          <w:rFonts w:hint="eastAsia" w:ascii="宋体" w:hAnsi="宋体" w:eastAsia="宋体" w:cs="宋体"/>
          <w:b/>
          <w:bCs/>
          <w:color w:val="auto"/>
          <w:kern w:val="2"/>
          <w:sz w:val="21"/>
          <w:szCs w:val="20"/>
          <w:lang w:val="en-US" w:eastAsia="zh-CN" w:bidi="ar-SA"/>
        </w:rPr>
        <w:t>3、</w:t>
      </w:r>
      <w:r>
        <w:rPr>
          <w:rFonts w:hint="eastAsia" w:hAnsi="宋体" w:cs="宋体"/>
          <w:b/>
          <w:bCs/>
          <w:color w:val="auto"/>
          <w:szCs w:val="21"/>
          <w:lang w:val="zh-TW"/>
        </w:rPr>
        <w:t>服务承诺分</w:t>
      </w:r>
      <w:r>
        <w:rPr>
          <w:rFonts w:hint="eastAsia" w:ascii="宋体" w:hAnsi="宋体" w:eastAsia="宋体" w:cs="宋体"/>
          <w:b/>
          <w:bCs/>
          <w:color w:val="auto"/>
          <w:kern w:val="2"/>
          <w:sz w:val="21"/>
          <w:szCs w:val="24"/>
          <w:lang w:val="en-US" w:eastAsia="zh-CN" w:bidi="ar-SA"/>
        </w:rPr>
        <w:t>…………………………………………………………………………………………</w:t>
      </w:r>
      <w:r>
        <w:rPr>
          <w:rFonts w:hint="eastAsia" w:hAnsi="宋体" w:cs="宋体"/>
          <w:b/>
          <w:bCs/>
          <w:color w:val="auto"/>
        </w:rPr>
        <w:t>满分</w:t>
      </w:r>
      <w:r>
        <w:rPr>
          <w:rFonts w:hint="eastAsia" w:hAnsi="宋体" w:cs="宋体"/>
          <w:b/>
          <w:bCs/>
          <w:color w:val="auto"/>
          <w:lang w:val="en-US" w:eastAsia="zh-CN"/>
        </w:rPr>
        <w:t xml:space="preserve"> 10</w:t>
      </w:r>
      <w:r>
        <w:rPr>
          <w:rFonts w:hint="eastAsia" w:hAnsi="宋体" w:cs="宋体"/>
          <w:b/>
          <w:bCs/>
          <w:color w:val="auto"/>
        </w:rPr>
        <w:t>分</w:t>
      </w:r>
    </w:p>
    <w:p w14:paraId="069CCB70">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分）：承诺做到队伍稳定并提供有力保障措施。</w:t>
      </w:r>
    </w:p>
    <w:p w14:paraId="627308C6">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分）：承诺做到队伍稳定并提供有力保障措施、退场服务交接方案、交接方案涵盖退场次序合法合规。  </w:t>
      </w:r>
    </w:p>
    <w:p w14:paraId="26B1F29B">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分）：承诺做到队伍稳定并提供有力保障措施、退场服务交接方案、交接方案涵盖退场次序合法合规、各项服务承诺完成时限，同时承诺对可能出现的劳务纠纷提出解决办法且内容完整、细致、具体、保障措施有力，方案措施合理。    </w:t>
      </w:r>
    </w:p>
    <w:p w14:paraId="5A6377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4"/>
          <w:lang w:val="en-US" w:eastAsia="zh-CN" w:bidi="ar-SA"/>
        </w:rPr>
        <w:t>4、</w:t>
      </w:r>
      <w:r>
        <w:rPr>
          <w:rFonts w:hint="eastAsia" w:ascii="宋体" w:hAnsi="宋体" w:cs="宋体"/>
          <w:b/>
          <w:bCs/>
          <w:color w:val="auto"/>
          <w:szCs w:val="21"/>
        </w:rPr>
        <w:t>履约能力分</w:t>
      </w:r>
      <w:r>
        <w:rPr>
          <w:rFonts w:hint="eastAsia" w:ascii="宋体" w:hAnsi="宋体" w:cs="宋体"/>
          <w:b/>
          <w:bCs/>
          <w:color w:val="auto"/>
        </w:rPr>
        <w:t>……………………………………………………………………………………………满分</w:t>
      </w:r>
      <w:r>
        <w:rPr>
          <w:rFonts w:hint="eastAsia" w:ascii="宋体" w:hAnsi="宋体" w:cs="宋体"/>
          <w:b/>
          <w:bCs/>
          <w:color w:val="auto"/>
          <w:lang w:val="en-US" w:eastAsia="zh-CN"/>
        </w:rPr>
        <w:t>4</w:t>
      </w:r>
      <w:r>
        <w:rPr>
          <w:rFonts w:hint="eastAsia" w:ascii="宋体" w:hAnsi="宋体" w:cs="宋体"/>
          <w:b/>
          <w:bCs/>
          <w:color w:val="auto"/>
        </w:rPr>
        <w:t>分</w:t>
      </w:r>
    </w:p>
    <w:p w14:paraId="30F57606">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）业绩分（满分4分）</w:t>
      </w:r>
    </w:p>
    <w:p w14:paraId="0086AD34">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自2023年1月1日以来同类服务业绩的相关证明材料[以中标（成交）通知书或签订的采购合同扫描件为准，并能清晰反映所提供的服务类型、种类、金额，否则将不予计分；同一个编号的项目有两个或两个以上的分标中标的只算一次]，每提供一个得2分，满分4分。</w:t>
      </w:r>
    </w:p>
    <w:bookmarkEnd w:id="272"/>
    <w:p w14:paraId="6E0650F2">
      <w:pPr>
        <w:spacing w:before="0" w:after="0" w:line="400" w:lineRule="auto"/>
        <w:ind w:left="0" w:right="0" w:firstLine="420" w:firstLineChars="200"/>
        <w:jc w:val="left"/>
        <w:outlineLvl w:val="3"/>
        <w:rPr>
          <w:rFonts w:ascii="宋体" w:hAnsi="宋体" w:eastAsia="宋体" w:cs="宋体"/>
          <w:b/>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5、综合得分＝1+2+3+4</w:t>
      </w:r>
    </w:p>
    <w:p w14:paraId="2174BE13">
      <w:pPr>
        <w:pStyle w:val="13"/>
        <w:tabs>
          <w:tab w:val="left" w:pos="4214"/>
        </w:tabs>
        <w:spacing w:line="440" w:lineRule="exact"/>
        <w:ind w:firstLine="420" w:firstLineChars="200"/>
        <w:rPr>
          <w:rFonts w:hint="eastAsia" w:hAnsi="宋体" w:cs="宋体"/>
          <w:b/>
          <w:color w:val="auto"/>
          <w:highlight w:val="none"/>
        </w:rPr>
      </w:pPr>
      <w:r>
        <w:rPr>
          <w:rFonts w:hint="eastAsia" w:hAnsi="宋体" w:cs="宋体"/>
          <w:b/>
          <w:color w:val="auto"/>
          <w:highlight w:val="none"/>
        </w:rPr>
        <w:t>三、推荐及确定成交候选供应商原则</w:t>
      </w:r>
    </w:p>
    <w:p w14:paraId="044BB9B8">
      <w:pPr>
        <w:pStyle w:val="13"/>
        <w:keepNext w:val="0"/>
        <w:keepLines w:val="0"/>
        <w:pageBreakBefore w:val="0"/>
        <w:widowControl w:val="0"/>
        <w:tabs>
          <w:tab w:val="left" w:pos="4214"/>
        </w:tabs>
        <w:kinsoku/>
        <w:wordWrap/>
        <w:overflowPunct/>
        <w:topLinePunct w:val="0"/>
        <w:autoSpaceDE/>
        <w:autoSpaceDN/>
        <w:bidi w:val="0"/>
        <w:adjustRightInd/>
        <w:snapToGrid/>
        <w:spacing w:line="288" w:lineRule="auto"/>
        <w:ind w:firstLine="420" w:firstLineChars="200"/>
        <w:textAlignment w:val="auto"/>
        <w:rPr>
          <w:rFonts w:hint="eastAsia" w:hAnsi="宋体" w:cs="宋体"/>
          <w:color w:val="auto"/>
          <w:szCs w:val="21"/>
          <w:highlight w:val="none"/>
        </w:rPr>
      </w:pPr>
      <w:r>
        <w:rPr>
          <w:rFonts w:hint="eastAsia" w:hAnsi="宋体" w:cs="宋体"/>
          <w:color w:val="auto"/>
          <w:szCs w:val="21"/>
          <w:highlight w:val="none"/>
        </w:rPr>
        <w:t>（1）磋商小组应当根据综合评分情况，按照综合得分由高到低顺序推荐成交候选磋商供应商，并编写评审报告。磋商小组根据综合得分由高到低排列次序，若得分相同时，按实物样品分由高到低顺序排列并推荐成交候选磋商供应商。</w:t>
      </w:r>
    </w:p>
    <w:p w14:paraId="516BD3CF">
      <w:pPr>
        <w:pStyle w:val="13"/>
        <w:keepNext w:val="0"/>
        <w:keepLines w:val="0"/>
        <w:pageBreakBefore w:val="0"/>
        <w:widowControl w:val="0"/>
        <w:tabs>
          <w:tab w:val="left" w:pos="4214"/>
        </w:tabs>
        <w:kinsoku/>
        <w:wordWrap/>
        <w:overflowPunct/>
        <w:topLinePunct w:val="0"/>
        <w:autoSpaceDE/>
        <w:autoSpaceDN/>
        <w:bidi w:val="0"/>
        <w:adjustRightInd/>
        <w:snapToGrid/>
        <w:spacing w:line="288" w:lineRule="auto"/>
        <w:ind w:firstLine="420" w:firstLineChars="200"/>
        <w:textAlignment w:val="auto"/>
        <w:rPr>
          <w:rFonts w:hint="eastAsia" w:hAnsi="宋体" w:cs="宋体"/>
          <w:color w:val="auto"/>
          <w:szCs w:val="21"/>
          <w:highlight w:val="none"/>
        </w:rPr>
      </w:pPr>
      <w:r>
        <w:rPr>
          <w:rFonts w:hint="eastAsia" w:hAnsi="宋体" w:cs="宋体"/>
          <w:color w:val="auto"/>
          <w:szCs w:val="21"/>
          <w:highlight w:val="none"/>
        </w:rPr>
        <w:t>（2）磋商小组可推荐前三名为成交候选人，采购人应当确定磋商小组推荐排名第一的成交候选人为成交供应商。</w:t>
      </w:r>
    </w:p>
    <w:p w14:paraId="3BEAB99C">
      <w:pPr>
        <w:pStyle w:val="13"/>
        <w:keepNext w:val="0"/>
        <w:keepLines w:val="0"/>
        <w:pageBreakBefore w:val="0"/>
        <w:widowControl w:val="0"/>
        <w:tabs>
          <w:tab w:val="left" w:pos="4214"/>
        </w:tabs>
        <w:kinsoku/>
        <w:wordWrap/>
        <w:overflowPunct/>
        <w:topLinePunct w:val="0"/>
        <w:autoSpaceDE/>
        <w:autoSpaceDN/>
        <w:bidi w:val="0"/>
        <w:adjustRightInd/>
        <w:snapToGrid/>
        <w:spacing w:line="288" w:lineRule="auto"/>
        <w:ind w:firstLine="420" w:firstLineChars="200"/>
        <w:textAlignment w:val="auto"/>
        <w:rPr>
          <w:color w:val="auto"/>
          <w:highlight w:val="none"/>
        </w:rPr>
      </w:pPr>
      <w:r>
        <w:rPr>
          <w:rFonts w:hint="eastAsia" w:hAnsi="宋体" w:cs="宋体"/>
          <w:color w:val="auto"/>
          <w:szCs w:val="21"/>
          <w:highlight w:val="none"/>
        </w:rPr>
        <w:t>（3）排名第一的成交候选人放弃成交、因不可抗力提出不能履行合同或未按规定提交履约保证金的，采购人可以按照评审报告推荐的成交候选人名单排序，依法确定下一候选人为成交供应商，也可以重新开展采购活动。</w:t>
      </w:r>
    </w:p>
    <w:p w14:paraId="680D34D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为了避免价格的恶性竞争，保证整体项目的质量和确保服务质量,如果磋商小组认为供应商的报价明显低于其他通过符合性审查供应商的报价,明显不合理并有可能影响产品（服务）质量或者不能诚信履约的，将要求其提供响应文件中供应商自身出具的产品（服务）详细价格构成说明函原件同时提供相关证明材料，如在规定时间内提供不全或不提供或者磋商小组认定其材料不能详尽合理说明其成本的，或者相关资料真实性及合理性不被磋商小组完全接受的，磋商小组有权将该报价视为“低于成本”或者“明显不合理并有可能影响商品（服务）质量或不能诚信履约”，将作无效投标处理。供应商可提前做好相关材料准备工作。</w:t>
      </w:r>
    </w:p>
    <w:p w14:paraId="2B689789">
      <w:pPr>
        <w:spacing w:line="360" w:lineRule="auto"/>
        <w:ind w:firstLine="424" w:firstLineChars="202"/>
        <w:jc w:val="left"/>
        <w:rPr>
          <w:rFonts w:ascii="宋体" w:hAnsi="宋体" w:cs="宋体"/>
          <w:b/>
          <w:color w:val="auto"/>
          <w:szCs w:val="21"/>
          <w:highlight w:val="none"/>
        </w:rPr>
      </w:pPr>
      <w:r>
        <w:rPr>
          <w:rFonts w:hint="eastAsia" w:ascii="宋体" w:hAnsi="宋体" w:cs="宋体"/>
          <w:b/>
          <w:color w:val="auto"/>
          <w:szCs w:val="21"/>
          <w:highlight w:val="none"/>
          <w:lang w:eastAsia="zh-CN"/>
        </w:rPr>
        <w:t>三</w:t>
      </w:r>
      <w:r>
        <w:rPr>
          <w:rFonts w:hint="eastAsia" w:ascii="宋体" w:hAnsi="宋体" w:cs="宋体"/>
          <w:b/>
          <w:color w:val="auto"/>
          <w:szCs w:val="21"/>
          <w:highlight w:val="none"/>
        </w:rPr>
        <w:t>、特别说明</w:t>
      </w:r>
    </w:p>
    <w:p w14:paraId="3AD4DF22">
      <w:pPr>
        <w:spacing w:line="340" w:lineRule="exact"/>
        <w:ind w:firstLine="420" w:firstLineChars="200"/>
        <w:rPr>
          <w:rFonts w:hint="eastAsia" w:ascii="宋体" w:hAnsi="宋体" w:eastAsia="宋体" w:cs="宋体"/>
          <w:b/>
          <w:color w:val="auto"/>
          <w:sz w:val="28"/>
          <w:szCs w:val="28"/>
          <w:highlight w:val="none"/>
        </w:rPr>
      </w:pPr>
      <w:r>
        <w:rPr>
          <w:rFonts w:hint="eastAsia" w:ascii="宋体" w:hAnsi="宋体" w:cs="宋体"/>
          <w:b/>
          <w:bCs/>
          <w:color w:val="auto"/>
          <w:szCs w:val="21"/>
          <w:u w:val="double"/>
          <w:lang w:eastAsia="zh-CN"/>
        </w:rPr>
        <w:t>磋商</w:t>
      </w:r>
      <w:r>
        <w:rPr>
          <w:rFonts w:hint="eastAsia" w:ascii="宋体" w:hAnsi="宋体" w:cs="宋体"/>
          <w:b/>
          <w:bCs/>
          <w:color w:val="auto"/>
          <w:szCs w:val="21"/>
          <w:u w:val="double"/>
        </w:rPr>
        <w:t>时，</w:t>
      </w:r>
      <w:r>
        <w:rPr>
          <w:rFonts w:hint="eastAsia" w:ascii="宋体" w:hAnsi="宋体" w:cs="宋体"/>
          <w:b/>
          <w:bCs/>
          <w:color w:val="auto"/>
          <w:szCs w:val="21"/>
          <w:u w:val="double"/>
          <w:lang w:eastAsia="zh-CN"/>
        </w:rPr>
        <w:t>磋商小组</w:t>
      </w:r>
      <w:r>
        <w:rPr>
          <w:rFonts w:hint="eastAsia" w:ascii="宋体" w:hAnsi="宋体" w:cs="宋体"/>
          <w:b/>
          <w:bCs/>
          <w:color w:val="auto"/>
          <w:szCs w:val="21"/>
          <w:u w:val="double"/>
        </w:rPr>
        <w:t>认为</w:t>
      </w:r>
      <w:r>
        <w:rPr>
          <w:rFonts w:hint="eastAsia" w:ascii="宋体" w:hAnsi="宋体" w:cs="宋体"/>
          <w:b/>
          <w:bCs/>
          <w:color w:val="auto"/>
          <w:szCs w:val="21"/>
          <w:u w:val="double"/>
          <w:lang w:eastAsia="zh-CN"/>
        </w:rPr>
        <w:t>供应商</w:t>
      </w:r>
      <w:r>
        <w:rPr>
          <w:rFonts w:hint="eastAsia" w:ascii="宋体" w:hAnsi="宋体" w:cs="宋体"/>
          <w:b/>
          <w:bCs/>
          <w:color w:val="auto"/>
          <w:szCs w:val="21"/>
          <w:u w:val="double"/>
        </w:rPr>
        <w:t>的报价明显低于其他通过符合性审查</w:t>
      </w:r>
      <w:r>
        <w:rPr>
          <w:rFonts w:hint="eastAsia" w:ascii="宋体" w:hAnsi="宋体" w:cs="宋体"/>
          <w:b/>
          <w:bCs/>
          <w:color w:val="auto"/>
          <w:szCs w:val="21"/>
          <w:u w:val="double"/>
          <w:lang w:eastAsia="zh-CN"/>
        </w:rPr>
        <w:t>供应商</w:t>
      </w:r>
      <w:r>
        <w:rPr>
          <w:rFonts w:hint="eastAsia" w:ascii="宋体" w:hAnsi="宋体" w:cs="宋体"/>
          <w:b/>
          <w:bCs/>
          <w:color w:val="auto"/>
          <w:szCs w:val="21"/>
          <w:u w:val="double"/>
        </w:rPr>
        <w:t>的报价，有可能影响产品质量或者不能诚信履约的，应当在</w:t>
      </w:r>
      <w:r>
        <w:rPr>
          <w:rFonts w:hint="eastAsia" w:ascii="宋体" w:hAnsi="宋体" w:cs="宋体"/>
          <w:b/>
          <w:bCs/>
          <w:color w:val="auto"/>
          <w:szCs w:val="21"/>
          <w:u w:val="double"/>
          <w:lang w:val="en-US" w:eastAsia="zh-CN"/>
        </w:rPr>
        <w:t>磋商小组</w:t>
      </w:r>
      <w:r>
        <w:rPr>
          <w:rFonts w:hint="eastAsia" w:ascii="宋体" w:hAnsi="宋体" w:cs="宋体"/>
          <w:b/>
          <w:bCs/>
          <w:color w:val="auto"/>
          <w:szCs w:val="21"/>
          <w:u w:val="double"/>
          <w:lang w:eastAsia="zh-CN"/>
        </w:rPr>
        <w:t>要求的时间内按其要求提供书面说明，必要时提交相关证明材料；供应商</w:t>
      </w:r>
      <w:r>
        <w:rPr>
          <w:rFonts w:hint="eastAsia" w:ascii="宋体" w:hAnsi="宋体" w:cs="宋体"/>
          <w:b/>
          <w:bCs/>
          <w:color w:val="auto"/>
          <w:szCs w:val="21"/>
          <w:u w:val="double"/>
        </w:rPr>
        <w:t>不能证明其报价合理性的，</w:t>
      </w:r>
      <w:r>
        <w:rPr>
          <w:rFonts w:hint="eastAsia" w:ascii="宋体" w:hAnsi="宋体" w:cs="宋体"/>
          <w:b/>
          <w:bCs/>
          <w:color w:val="auto"/>
          <w:szCs w:val="21"/>
          <w:u w:val="double"/>
          <w:lang w:eastAsia="zh-CN"/>
        </w:rPr>
        <w:t>磋商小组</w:t>
      </w:r>
      <w:r>
        <w:rPr>
          <w:rFonts w:hint="eastAsia" w:ascii="宋体" w:hAnsi="宋体" w:cs="宋体"/>
          <w:b/>
          <w:bCs/>
          <w:color w:val="auto"/>
          <w:szCs w:val="21"/>
          <w:u w:val="double"/>
        </w:rPr>
        <w:t>应当将其作为无效投标处理。</w:t>
      </w:r>
    </w:p>
    <w:p w14:paraId="64EA0855">
      <w:pPr>
        <w:bidi w:val="0"/>
        <w:rPr>
          <w:rFonts w:hint="eastAsia"/>
          <w:color w:val="auto"/>
          <w:highlight w:val="none"/>
        </w:rPr>
      </w:pPr>
    </w:p>
    <w:p w14:paraId="707A27B5">
      <w:pPr>
        <w:rPr>
          <w:rFonts w:hint="eastAsia"/>
          <w:color w:val="auto"/>
          <w:highlight w:val="none"/>
        </w:rPr>
      </w:pPr>
    </w:p>
    <w:p w14:paraId="0F8018AC">
      <w:pPr>
        <w:rPr>
          <w:rFonts w:hint="eastAsia"/>
          <w:color w:val="auto"/>
          <w:highlight w:val="none"/>
        </w:rPr>
      </w:pPr>
    </w:p>
    <w:p w14:paraId="38A1A695">
      <w:pPr>
        <w:rPr>
          <w:rFonts w:hint="eastAsia"/>
          <w:color w:val="auto"/>
          <w:highlight w:val="none"/>
        </w:rPr>
      </w:pPr>
    </w:p>
    <w:p w14:paraId="3AA83FB0">
      <w:pPr>
        <w:rPr>
          <w:rFonts w:hint="eastAsia"/>
          <w:color w:val="auto"/>
          <w:highlight w:val="none"/>
        </w:rPr>
      </w:pPr>
    </w:p>
    <w:p w14:paraId="7F2DC992">
      <w:pPr>
        <w:rPr>
          <w:rFonts w:hint="eastAsia"/>
          <w:color w:val="auto"/>
          <w:highlight w:val="none"/>
        </w:rPr>
      </w:pPr>
    </w:p>
    <w:p w14:paraId="4C3BBBFD">
      <w:pPr>
        <w:rPr>
          <w:rFonts w:hint="eastAsia"/>
          <w:color w:val="auto"/>
          <w:highlight w:val="none"/>
        </w:rPr>
      </w:pPr>
    </w:p>
    <w:p w14:paraId="508950FE">
      <w:pPr>
        <w:rPr>
          <w:rFonts w:hint="eastAsia"/>
          <w:color w:val="auto"/>
          <w:highlight w:val="none"/>
        </w:rPr>
      </w:pPr>
    </w:p>
    <w:p w14:paraId="2681727C">
      <w:pPr>
        <w:rPr>
          <w:rFonts w:hint="eastAsia"/>
          <w:color w:val="auto"/>
          <w:highlight w:val="none"/>
        </w:rPr>
      </w:pPr>
    </w:p>
    <w:p w14:paraId="690CFFD4">
      <w:pPr>
        <w:rPr>
          <w:rFonts w:hint="eastAsia"/>
          <w:color w:val="auto"/>
          <w:highlight w:val="none"/>
        </w:rPr>
      </w:pPr>
    </w:p>
    <w:p w14:paraId="2F64EFC0">
      <w:pPr>
        <w:rPr>
          <w:rFonts w:hint="eastAsia"/>
          <w:color w:val="auto"/>
          <w:highlight w:val="none"/>
        </w:rPr>
      </w:pPr>
    </w:p>
    <w:p w14:paraId="6FE8DB82">
      <w:pPr>
        <w:rPr>
          <w:rFonts w:hint="eastAsia"/>
          <w:color w:val="auto"/>
          <w:highlight w:val="none"/>
        </w:rPr>
      </w:pPr>
    </w:p>
    <w:p w14:paraId="111ECCB1">
      <w:pPr>
        <w:rPr>
          <w:rFonts w:hint="eastAsia"/>
          <w:color w:val="auto"/>
          <w:highlight w:val="none"/>
        </w:rPr>
      </w:pPr>
    </w:p>
    <w:p w14:paraId="34778963">
      <w:pPr>
        <w:rPr>
          <w:rFonts w:hint="eastAsia"/>
          <w:color w:val="auto"/>
          <w:highlight w:val="none"/>
        </w:rPr>
      </w:pPr>
    </w:p>
    <w:p w14:paraId="5231B455">
      <w:pPr>
        <w:rPr>
          <w:rFonts w:hint="eastAsia"/>
          <w:color w:val="auto"/>
          <w:highlight w:val="none"/>
        </w:rPr>
      </w:pPr>
    </w:p>
    <w:p w14:paraId="1F0C7DA1">
      <w:pPr>
        <w:rPr>
          <w:rFonts w:hint="eastAsia"/>
          <w:color w:val="auto"/>
          <w:highlight w:val="none"/>
        </w:rPr>
      </w:pPr>
    </w:p>
    <w:p w14:paraId="50E5B181">
      <w:pPr>
        <w:rPr>
          <w:rFonts w:hint="eastAsia"/>
          <w:color w:val="auto"/>
          <w:highlight w:val="none"/>
        </w:rPr>
      </w:pPr>
    </w:p>
    <w:p w14:paraId="6E890606">
      <w:pPr>
        <w:rPr>
          <w:rFonts w:hint="eastAsia"/>
          <w:color w:val="auto"/>
          <w:highlight w:val="none"/>
        </w:rPr>
      </w:pPr>
    </w:p>
    <w:p w14:paraId="6C6201C5">
      <w:pPr>
        <w:rPr>
          <w:rFonts w:hint="eastAsia"/>
          <w:color w:val="auto"/>
          <w:highlight w:val="none"/>
        </w:rPr>
      </w:pPr>
    </w:p>
    <w:p w14:paraId="0357CA25">
      <w:pPr>
        <w:rPr>
          <w:rFonts w:hint="eastAsia"/>
          <w:color w:val="auto"/>
          <w:highlight w:val="none"/>
        </w:rPr>
      </w:pPr>
    </w:p>
    <w:p w14:paraId="384E1FB0">
      <w:pPr>
        <w:rPr>
          <w:rFonts w:hint="eastAsia"/>
          <w:color w:val="auto"/>
          <w:highlight w:val="none"/>
        </w:rPr>
      </w:pPr>
    </w:p>
    <w:p w14:paraId="55B2193E">
      <w:pPr>
        <w:rPr>
          <w:rFonts w:hint="eastAsia"/>
          <w:color w:val="auto"/>
          <w:highlight w:val="none"/>
        </w:rPr>
      </w:pPr>
    </w:p>
    <w:p w14:paraId="77A38A22">
      <w:pPr>
        <w:rPr>
          <w:rFonts w:hint="eastAsia"/>
          <w:color w:val="auto"/>
          <w:highlight w:val="none"/>
        </w:rPr>
      </w:pPr>
    </w:p>
    <w:p w14:paraId="114A9671">
      <w:pPr>
        <w:rPr>
          <w:rFonts w:hint="eastAsia"/>
          <w:color w:val="auto"/>
          <w:highlight w:val="none"/>
        </w:rPr>
      </w:pPr>
    </w:p>
    <w:p w14:paraId="3A9001D2">
      <w:pPr>
        <w:rPr>
          <w:rFonts w:hint="eastAsia"/>
          <w:color w:val="auto"/>
          <w:highlight w:val="none"/>
        </w:rPr>
      </w:pPr>
    </w:p>
    <w:p w14:paraId="7721A529">
      <w:pPr>
        <w:rPr>
          <w:rFonts w:hint="eastAsia"/>
          <w:color w:val="auto"/>
          <w:highlight w:val="none"/>
        </w:rPr>
      </w:pPr>
    </w:p>
    <w:p w14:paraId="63F87CCD">
      <w:pPr>
        <w:rPr>
          <w:rFonts w:hint="eastAsia"/>
          <w:color w:val="auto"/>
          <w:highlight w:val="none"/>
        </w:rPr>
      </w:pPr>
    </w:p>
    <w:p w14:paraId="73843146">
      <w:pPr>
        <w:rPr>
          <w:rFonts w:hint="eastAsia"/>
          <w:color w:val="auto"/>
          <w:highlight w:val="none"/>
        </w:rPr>
      </w:pPr>
    </w:p>
    <w:p w14:paraId="1F3494DD">
      <w:pPr>
        <w:rPr>
          <w:rFonts w:hint="eastAsia"/>
          <w:color w:val="auto"/>
          <w:highlight w:val="none"/>
        </w:rPr>
      </w:pPr>
    </w:p>
    <w:p w14:paraId="36D72F23">
      <w:pPr>
        <w:rPr>
          <w:rFonts w:hint="eastAsia"/>
          <w:color w:val="auto"/>
          <w:highlight w:val="none"/>
        </w:rPr>
      </w:pPr>
    </w:p>
    <w:p w14:paraId="1E988149">
      <w:pPr>
        <w:rPr>
          <w:rFonts w:hint="eastAsia"/>
          <w:color w:val="auto"/>
          <w:highlight w:val="none"/>
        </w:rPr>
      </w:pPr>
    </w:p>
    <w:p w14:paraId="46C92A98">
      <w:pPr>
        <w:rPr>
          <w:rFonts w:hint="eastAsia"/>
          <w:color w:val="auto"/>
          <w:highlight w:val="none"/>
        </w:rPr>
      </w:pPr>
    </w:p>
    <w:p w14:paraId="63EE3B0E">
      <w:pPr>
        <w:rPr>
          <w:rFonts w:hint="eastAsia"/>
          <w:color w:val="auto"/>
          <w:highlight w:val="none"/>
        </w:rPr>
      </w:pPr>
    </w:p>
    <w:p w14:paraId="322DE7FE">
      <w:pPr>
        <w:rPr>
          <w:rFonts w:hint="eastAsia"/>
          <w:color w:val="auto"/>
          <w:highlight w:val="none"/>
        </w:rPr>
      </w:pPr>
    </w:p>
    <w:p w14:paraId="64C035F5">
      <w:pPr>
        <w:rPr>
          <w:rFonts w:hint="eastAsia"/>
          <w:color w:val="auto"/>
          <w:highlight w:val="none"/>
        </w:rPr>
      </w:pPr>
    </w:p>
    <w:p w14:paraId="6DADFE28">
      <w:pPr>
        <w:keepNext w:val="0"/>
        <w:keepLines w:val="0"/>
        <w:pageBreakBefore w:val="0"/>
        <w:kinsoku/>
        <w:wordWrap/>
        <w:overflowPunct/>
        <w:topLinePunct w:val="0"/>
        <w:autoSpaceDE/>
        <w:autoSpaceDN/>
        <w:bidi w:val="0"/>
        <w:snapToGrid/>
        <w:spacing w:line="280" w:lineRule="exact"/>
        <w:ind w:right="0" w:rightChars="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w:t>
      </w:r>
    </w:p>
    <w:p w14:paraId="25992A8F">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auto"/>
          <w:kern w:val="0"/>
          <w:sz w:val="30"/>
          <w:szCs w:val="30"/>
          <w:highlight w:val="none"/>
        </w:rPr>
      </w:pPr>
      <w:bookmarkStart w:id="273" w:name="_Toc28361_WPSOffice_Level2"/>
      <w:r>
        <w:rPr>
          <w:rFonts w:hint="eastAsia" w:ascii="宋体" w:hAnsi="宋体" w:eastAsia="宋体" w:cs="宋体"/>
          <w:b/>
          <w:bCs/>
          <w:color w:val="auto"/>
          <w:kern w:val="0"/>
          <w:sz w:val="30"/>
          <w:szCs w:val="30"/>
          <w:highlight w:val="none"/>
        </w:rPr>
        <w:t>统计上大中小微型企业划分标准</w:t>
      </w:r>
      <w:bookmarkEnd w:id="273"/>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7E94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noWrap w:val="0"/>
            <w:vAlign w:val="center"/>
          </w:tcPr>
          <w:p w14:paraId="44C9D0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FFFFFF"/>
            <w:noWrap w:val="0"/>
            <w:vAlign w:val="center"/>
          </w:tcPr>
          <w:p w14:paraId="5C1AD1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FFFFFF"/>
            <w:noWrap w:val="0"/>
            <w:vAlign w:val="center"/>
          </w:tcPr>
          <w:p w14:paraId="4A1297C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2B2BD27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FFFFFF"/>
            <w:noWrap w:val="0"/>
            <w:vAlign w:val="center"/>
          </w:tcPr>
          <w:p w14:paraId="1AC4EC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FFFFFF"/>
            <w:noWrap w:val="0"/>
            <w:vAlign w:val="center"/>
          </w:tcPr>
          <w:p w14:paraId="7E8A34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FFFFFF"/>
            <w:noWrap w:val="0"/>
            <w:vAlign w:val="center"/>
          </w:tcPr>
          <w:p w14:paraId="2C596E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FFFFFF"/>
            <w:noWrap w:val="0"/>
            <w:vAlign w:val="center"/>
          </w:tcPr>
          <w:p w14:paraId="1AB3366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5CE5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CB332F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1B9D4E2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2D6F2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01A76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40EAC1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864309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73A795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956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224378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w:t>
            </w:r>
          </w:p>
        </w:tc>
        <w:tc>
          <w:tcPr>
            <w:tcW w:w="1369" w:type="dxa"/>
            <w:noWrap w:val="0"/>
            <w:vAlign w:val="center"/>
          </w:tcPr>
          <w:p w14:paraId="277F422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29123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11CDEF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5EF5B0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515E1E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24170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BC1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189159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099CF3E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B8212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37492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299B2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714039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5152966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074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294B12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3851429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2A154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24EE5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216A72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1D27A21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5E9E460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3CC9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3D25FC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9CD276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6ADC86E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1FDFC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6179203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435B48F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6CA130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21BA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94C410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1408A8E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F2A3E1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78A3D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055EB9B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05CC021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4843B3E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31F8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B1A432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C6256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441D60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3D0DF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419585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6164EB54">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61F93F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063B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35B7FA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198A42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2ED9E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7029D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C383C8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53D8675F">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4727FA9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A36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4E6A7F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DB2EC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493152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5D858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4B5585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713BD1A7">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5B24C0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7BD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1CB62A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w:t>
            </w:r>
          </w:p>
        </w:tc>
        <w:tc>
          <w:tcPr>
            <w:tcW w:w="1369" w:type="dxa"/>
            <w:noWrap w:val="0"/>
            <w:vAlign w:val="center"/>
          </w:tcPr>
          <w:p w14:paraId="3FD2832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16C34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5305D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3431AE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4D0C58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16EB1D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D80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A89F4E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06E91A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47160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3F6D5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00E8DD0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40AD33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0CCAB3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415E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3DFACA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0C904D0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FEA65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438943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62BDFB0E">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7BFC09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0E34349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38B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6ED200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5FF569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D114D6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DF4C2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4A308B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04D3B10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54F167A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6B2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5EF642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73C76DB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1CD2B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9F49D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24639B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4D4A625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2530DE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045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B81BC8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A35D31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9CBE9F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64D44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487D58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09D2F1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7DE81C1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124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582636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5BEDE23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5A37E15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C0549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B1EF50F">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090D5F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6496D3C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E9E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297782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1A885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613A6F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B5BD7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3A2C5B3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748930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40E9A3C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078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AFA1A4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16983E6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3E67F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C6CB0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4EAF2D7">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1D8D65E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2223536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416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F42F92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F9173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20DCB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F1311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7D51D0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4F39237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604BAA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4B9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8C126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w:t>
            </w:r>
          </w:p>
        </w:tc>
        <w:tc>
          <w:tcPr>
            <w:tcW w:w="1369" w:type="dxa"/>
            <w:noWrap w:val="0"/>
            <w:vAlign w:val="center"/>
          </w:tcPr>
          <w:p w14:paraId="0A2DE27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C12A2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7BB963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22FD36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680DA8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3337970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E8B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07DA0B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E921B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AADB55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B27BE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1FD4C33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01DE31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61C1E3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6C1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69AC80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79D80F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0414F2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2B952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0FBB9358">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2B45799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C5D947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18B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64D461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p>
        </w:tc>
        <w:tc>
          <w:tcPr>
            <w:tcW w:w="1369" w:type="dxa"/>
            <w:noWrap w:val="0"/>
            <w:vAlign w:val="center"/>
          </w:tcPr>
          <w:p w14:paraId="47E47A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2906C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A27B54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13F9D76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58707E9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64206D3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DE2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7DE152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252772D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CD7B4D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D0D1C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2505C0C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40D0AC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795E9D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CBA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9E6B10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2D7EEF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43CAE7E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90A8E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73E9080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67470FA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31804EF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47D2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3BE5D8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55E625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0B21EA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688F62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0EC42F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6E82276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433DC5F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1487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793F5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92F66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FB46F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DD1D41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57883B6E">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7C66CA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7741DC6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2AD8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FCCB73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077D3E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767069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DAAEA5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4D8ACCD">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0A3F0FD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16B40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D3E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7125A7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5CEF4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6415630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57D126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4104097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4B2C8E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127406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4A11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6549C03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w:t>
            </w:r>
          </w:p>
        </w:tc>
        <w:tc>
          <w:tcPr>
            <w:tcW w:w="1369" w:type="dxa"/>
            <w:noWrap w:val="0"/>
            <w:vAlign w:val="center"/>
          </w:tcPr>
          <w:p w14:paraId="122802B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DF5BD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C2F91B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236A89A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5424A6E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75E1D4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3241075">
      <w:pPr>
        <w:keepNext w:val="0"/>
        <w:keepLines w:val="0"/>
        <w:pageBreakBefore w:val="0"/>
        <w:widowControl/>
        <w:kinsoku/>
        <w:wordWrap/>
        <w:overflowPunct/>
        <w:topLinePunct w:val="0"/>
        <w:autoSpaceDE/>
        <w:autoSpaceDN/>
        <w:bidi w:val="0"/>
        <w:snapToGrid/>
        <w:spacing w:beforeLines="0" w:afterLines="0" w:line="280" w:lineRule="exact"/>
        <w:ind w:right="0" w:rightChars="0"/>
        <w:textAlignment w:val="auto"/>
        <w:outlineLvl w:val="9"/>
        <w:rPr>
          <w:rFonts w:hint="eastAsia" w:ascii="宋体" w:hAnsi="宋体" w:eastAsia="宋体" w:cs="宋体"/>
          <w:color w:val="auto"/>
          <w:spacing w:val="8"/>
          <w:kern w:val="0"/>
          <w:sz w:val="24"/>
          <w:highlight w:val="none"/>
        </w:rPr>
      </w:pPr>
    </w:p>
    <w:p w14:paraId="4961B07F">
      <w:pPr>
        <w:pStyle w:val="9"/>
        <w:rPr>
          <w:rFonts w:hint="eastAsia"/>
          <w:color w:val="auto"/>
          <w:highlight w:val="none"/>
        </w:rPr>
      </w:pPr>
    </w:p>
    <w:p w14:paraId="5DE00E01">
      <w:pPr>
        <w:rPr>
          <w:rFonts w:hint="eastAsia"/>
          <w:color w:val="auto"/>
          <w:highlight w:val="none"/>
        </w:rPr>
      </w:pPr>
    </w:p>
    <w:p w14:paraId="2498D1FF">
      <w:pPr>
        <w:keepNext w:val="0"/>
        <w:keepLines w:val="0"/>
        <w:pageBreakBefore w:val="0"/>
        <w:widowControl/>
        <w:kinsoku/>
        <w:wordWrap/>
        <w:overflowPunct/>
        <w:topLinePunct w:val="0"/>
        <w:autoSpaceDE/>
        <w:autoSpaceDN/>
        <w:bidi w:val="0"/>
        <w:snapToGrid/>
        <w:spacing w:beforeLines="0" w:afterLines="0" w:line="280" w:lineRule="exact"/>
        <w:ind w:right="0" w:rightChars="0"/>
        <w:textAlignment w:val="auto"/>
        <w:outlineLvl w:val="9"/>
        <w:rPr>
          <w:rFonts w:hint="eastAsia" w:ascii="宋体" w:hAnsi="宋体" w:eastAsia="宋体" w:cs="宋体"/>
          <w:color w:val="auto"/>
          <w:spacing w:val="8"/>
          <w:kern w:val="0"/>
          <w:sz w:val="24"/>
          <w:highlight w:val="none"/>
        </w:rPr>
      </w:pPr>
      <w:r>
        <w:rPr>
          <w:rFonts w:hint="eastAsia" w:ascii="宋体" w:hAnsi="宋体" w:eastAsia="宋体" w:cs="宋体"/>
          <w:color w:val="auto"/>
          <w:spacing w:val="8"/>
          <w:kern w:val="0"/>
          <w:sz w:val="24"/>
          <w:highlight w:val="none"/>
        </w:rPr>
        <w:t>说明：</w:t>
      </w:r>
    </w:p>
    <w:p w14:paraId="2791910C">
      <w:pPr>
        <w:pStyle w:val="13"/>
        <w:keepNext w:val="0"/>
        <w:keepLines w:val="0"/>
        <w:pageBreakBefore w:val="0"/>
        <w:kinsoku/>
        <w:wordWrap/>
        <w:overflowPunct/>
        <w:topLinePunct w:val="0"/>
        <w:autoSpaceDE/>
        <w:autoSpaceDN/>
        <w:bidi w:val="0"/>
        <w:adjustRightInd w:val="0"/>
        <w:snapToGrid/>
        <w:spacing w:beforeLines="0" w:afterLines="0" w:line="280" w:lineRule="exact"/>
        <w:ind w:right="0" w:rightChars="0" w:firstLine="512" w:firstLineChars="200"/>
        <w:contextualSpacing/>
        <w:textAlignment w:val="auto"/>
        <w:outlineLvl w:val="9"/>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1.大型、中型和小型企业须同时满足所列指标的下限，否则下划一档；微型企业只须满足所列指标中的一项即可。</w:t>
      </w:r>
    </w:p>
    <w:p w14:paraId="51DC9383">
      <w:pPr>
        <w:pStyle w:val="13"/>
        <w:keepNext w:val="0"/>
        <w:keepLines w:val="0"/>
        <w:pageBreakBefore w:val="0"/>
        <w:kinsoku/>
        <w:wordWrap/>
        <w:overflowPunct/>
        <w:topLinePunct w:val="0"/>
        <w:autoSpaceDE/>
        <w:autoSpaceDN/>
        <w:bidi w:val="0"/>
        <w:adjustRightInd w:val="0"/>
        <w:snapToGrid/>
        <w:spacing w:beforeLines="0" w:afterLines="0" w:line="280" w:lineRule="exact"/>
        <w:ind w:right="0" w:rightChars="0" w:firstLine="512" w:firstLineChars="200"/>
        <w:contextualSpacing/>
        <w:textAlignment w:val="auto"/>
        <w:outlineLvl w:val="9"/>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C89D1FC">
      <w:pPr>
        <w:pStyle w:val="13"/>
        <w:keepNext w:val="0"/>
        <w:keepLines w:val="0"/>
        <w:pageBreakBefore w:val="0"/>
        <w:kinsoku/>
        <w:wordWrap/>
        <w:overflowPunct/>
        <w:topLinePunct w:val="0"/>
        <w:autoSpaceDE/>
        <w:autoSpaceDN/>
        <w:bidi w:val="0"/>
        <w:snapToGrid/>
        <w:spacing w:beforeLines="0" w:afterLines="0" w:line="280" w:lineRule="exact"/>
        <w:ind w:right="0" w:rightChars="0" w:firstLine="512" w:firstLineChars="200"/>
        <w:textAlignment w:val="auto"/>
        <w:outlineLvl w:val="9"/>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274" w:name="_Toc8466"/>
      <w:bookmarkStart w:id="275" w:name="_Toc4774"/>
    </w:p>
    <w:p w14:paraId="7D6A2D81">
      <w:pPr>
        <w:pStyle w:val="6"/>
        <w:rPr>
          <w:rFonts w:hint="eastAsia" w:ascii="宋体" w:hAnsi="宋体" w:eastAsia="宋体" w:cs="宋体"/>
          <w:color w:val="auto"/>
          <w:spacing w:val="8"/>
          <w:kern w:val="0"/>
          <w:sz w:val="24"/>
          <w:szCs w:val="24"/>
          <w:highlight w:val="none"/>
        </w:rPr>
      </w:pPr>
    </w:p>
    <w:p w14:paraId="52421D9D">
      <w:pPr>
        <w:rPr>
          <w:rFonts w:hint="eastAsia" w:ascii="宋体" w:hAnsi="宋体" w:eastAsia="宋体" w:cs="宋体"/>
          <w:color w:val="auto"/>
          <w:spacing w:val="8"/>
          <w:kern w:val="0"/>
          <w:sz w:val="24"/>
          <w:szCs w:val="24"/>
          <w:highlight w:val="none"/>
        </w:rPr>
      </w:pPr>
    </w:p>
    <w:p w14:paraId="31174A1B">
      <w:pPr>
        <w:pStyle w:val="9"/>
        <w:rPr>
          <w:rFonts w:hint="eastAsia" w:ascii="宋体" w:hAnsi="宋体" w:eastAsia="宋体" w:cs="宋体"/>
          <w:color w:val="auto"/>
          <w:spacing w:val="8"/>
          <w:kern w:val="0"/>
          <w:sz w:val="24"/>
          <w:szCs w:val="24"/>
          <w:highlight w:val="none"/>
        </w:rPr>
      </w:pPr>
    </w:p>
    <w:p w14:paraId="7D7C86D4">
      <w:pPr>
        <w:rPr>
          <w:rFonts w:hint="eastAsia"/>
          <w:color w:val="auto"/>
          <w:highlight w:val="none"/>
        </w:rPr>
      </w:pPr>
    </w:p>
    <w:p w14:paraId="18576D4A">
      <w:pPr>
        <w:pStyle w:val="29"/>
        <w:rPr>
          <w:rFonts w:hint="eastAsia" w:ascii="宋体" w:hAnsi="宋体" w:eastAsia="宋体" w:cs="宋体"/>
          <w:color w:val="auto"/>
          <w:highlight w:val="none"/>
        </w:rPr>
      </w:pPr>
    </w:p>
    <w:p w14:paraId="5A429762">
      <w:pPr>
        <w:pStyle w:val="29"/>
        <w:rPr>
          <w:rFonts w:hint="eastAsia" w:ascii="宋体" w:hAnsi="宋体" w:eastAsia="宋体" w:cs="宋体"/>
          <w:color w:val="auto"/>
          <w:highlight w:val="none"/>
        </w:rPr>
      </w:pPr>
    </w:p>
    <w:p w14:paraId="002912D9">
      <w:pPr>
        <w:pStyle w:val="29"/>
        <w:rPr>
          <w:rFonts w:hint="eastAsia" w:ascii="宋体" w:hAnsi="宋体" w:eastAsia="宋体" w:cs="宋体"/>
          <w:color w:val="auto"/>
          <w:highlight w:val="none"/>
        </w:rPr>
      </w:pPr>
    </w:p>
    <w:p w14:paraId="664DBA9D">
      <w:pPr>
        <w:pStyle w:val="29"/>
        <w:rPr>
          <w:rFonts w:hint="eastAsia" w:ascii="宋体" w:hAnsi="宋体" w:eastAsia="宋体" w:cs="宋体"/>
          <w:color w:val="auto"/>
          <w:highlight w:val="none"/>
        </w:rPr>
      </w:pPr>
    </w:p>
    <w:p w14:paraId="7E8AADC4">
      <w:pPr>
        <w:pStyle w:val="29"/>
        <w:rPr>
          <w:rFonts w:hint="eastAsia" w:ascii="宋体" w:hAnsi="宋体" w:eastAsia="宋体" w:cs="宋体"/>
          <w:color w:val="auto"/>
          <w:highlight w:val="none"/>
        </w:rPr>
      </w:pPr>
    </w:p>
    <w:p w14:paraId="62F529F3">
      <w:pPr>
        <w:pStyle w:val="29"/>
        <w:rPr>
          <w:rFonts w:hint="eastAsia" w:ascii="宋体" w:hAnsi="宋体" w:eastAsia="宋体" w:cs="宋体"/>
          <w:color w:val="auto"/>
          <w:highlight w:val="none"/>
        </w:rPr>
      </w:pPr>
    </w:p>
    <w:p w14:paraId="772F95AC">
      <w:pPr>
        <w:pStyle w:val="29"/>
        <w:rPr>
          <w:rFonts w:hint="eastAsia" w:ascii="宋体" w:hAnsi="宋体" w:eastAsia="宋体" w:cs="宋体"/>
          <w:color w:val="auto"/>
          <w:highlight w:val="none"/>
        </w:rPr>
      </w:pPr>
    </w:p>
    <w:p w14:paraId="0D2B7FD4">
      <w:pPr>
        <w:pStyle w:val="29"/>
        <w:rPr>
          <w:rFonts w:hint="eastAsia" w:ascii="宋体" w:hAnsi="宋体" w:eastAsia="宋体" w:cs="宋体"/>
          <w:color w:val="auto"/>
          <w:highlight w:val="none"/>
        </w:rPr>
      </w:pPr>
    </w:p>
    <w:p w14:paraId="2DCD3E22">
      <w:pPr>
        <w:pStyle w:val="29"/>
        <w:rPr>
          <w:rFonts w:hint="eastAsia" w:ascii="宋体" w:hAnsi="宋体" w:eastAsia="宋体" w:cs="宋体"/>
          <w:color w:val="auto"/>
          <w:highlight w:val="none"/>
        </w:rPr>
      </w:pPr>
    </w:p>
    <w:p w14:paraId="0D41F90A">
      <w:pPr>
        <w:pStyle w:val="29"/>
        <w:rPr>
          <w:rFonts w:hint="eastAsia" w:ascii="宋体" w:hAnsi="宋体" w:eastAsia="宋体" w:cs="宋体"/>
          <w:color w:val="auto"/>
          <w:highlight w:val="none"/>
        </w:rPr>
      </w:pPr>
    </w:p>
    <w:p w14:paraId="510F63A9">
      <w:pPr>
        <w:pStyle w:val="29"/>
        <w:rPr>
          <w:rFonts w:hint="eastAsia" w:ascii="宋体" w:hAnsi="宋体" w:eastAsia="宋体" w:cs="宋体"/>
          <w:color w:val="auto"/>
          <w:highlight w:val="none"/>
        </w:rPr>
      </w:pPr>
    </w:p>
    <w:p w14:paraId="1E8A6C0C">
      <w:pPr>
        <w:pStyle w:val="29"/>
        <w:rPr>
          <w:rFonts w:hint="eastAsia" w:ascii="宋体" w:hAnsi="宋体" w:eastAsia="宋体" w:cs="宋体"/>
          <w:color w:val="auto"/>
          <w:highlight w:val="none"/>
        </w:rPr>
      </w:pPr>
    </w:p>
    <w:p w14:paraId="2A818C23">
      <w:pPr>
        <w:pStyle w:val="29"/>
        <w:rPr>
          <w:rFonts w:hint="eastAsia" w:ascii="宋体" w:hAnsi="宋体" w:eastAsia="宋体" w:cs="宋体"/>
          <w:color w:val="auto"/>
          <w:highlight w:val="none"/>
        </w:rPr>
      </w:pPr>
    </w:p>
    <w:p w14:paraId="1AFF342D">
      <w:pPr>
        <w:pStyle w:val="29"/>
        <w:rPr>
          <w:rFonts w:hint="eastAsia" w:ascii="宋体" w:hAnsi="宋体" w:eastAsia="宋体" w:cs="宋体"/>
          <w:color w:val="auto"/>
          <w:highlight w:val="none"/>
        </w:rPr>
      </w:pPr>
    </w:p>
    <w:p w14:paraId="63B080F0">
      <w:pPr>
        <w:pStyle w:val="29"/>
        <w:rPr>
          <w:rFonts w:hint="eastAsia" w:ascii="宋体" w:hAnsi="宋体" w:eastAsia="宋体" w:cs="宋体"/>
          <w:color w:val="auto"/>
          <w:highlight w:val="none"/>
        </w:rPr>
      </w:pPr>
    </w:p>
    <w:p w14:paraId="5897BD4D">
      <w:pPr>
        <w:pStyle w:val="29"/>
        <w:rPr>
          <w:rFonts w:hint="eastAsia" w:ascii="宋体" w:hAnsi="宋体" w:eastAsia="宋体" w:cs="宋体"/>
          <w:color w:val="auto"/>
          <w:highlight w:val="none"/>
        </w:rPr>
      </w:pPr>
    </w:p>
    <w:p w14:paraId="5C69D44B">
      <w:pPr>
        <w:pStyle w:val="29"/>
        <w:rPr>
          <w:rFonts w:hint="eastAsia" w:ascii="宋体" w:hAnsi="宋体" w:eastAsia="宋体" w:cs="宋体"/>
          <w:color w:val="auto"/>
          <w:highlight w:val="none"/>
        </w:rPr>
      </w:pPr>
    </w:p>
    <w:p w14:paraId="59B556A3">
      <w:pPr>
        <w:pStyle w:val="29"/>
        <w:rPr>
          <w:rFonts w:hint="eastAsia" w:ascii="宋体" w:hAnsi="宋体" w:eastAsia="宋体" w:cs="宋体"/>
          <w:color w:val="auto"/>
          <w:highlight w:val="none"/>
        </w:rPr>
      </w:pPr>
    </w:p>
    <w:p w14:paraId="68DFAF7A">
      <w:pPr>
        <w:pStyle w:val="29"/>
        <w:rPr>
          <w:rFonts w:hint="eastAsia" w:ascii="宋体" w:hAnsi="宋体" w:eastAsia="宋体" w:cs="宋体"/>
          <w:color w:val="auto"/>
          <w:highlight w:val="none"/>
        </w:rPr>
      </w:pPr>
    </w:p>
    <w:p w14:paraId="4241AF9A">
      <w:pPr>
        <w:pStyle w:val="29"/>
        <w:rPr>
          <w:rFonts w:hint="eastAsia" w:ascii="宋体" w:hAnsi="宋体" w:eastAsia="宋体" w:cs="宋体"/>
          <w:color w:val="auto"/>
          <w:highlight w:val="none"/>
        </w:rPr>
      </w:pPr>
    </w:p>
    <w:p w14:paraId="69CB82DE">
      <w:pPr>
        <w:pStyle w:val="29"/>
        <w:rPr>
          <w:rFonts w:hint="eastAsia" w:ascii="宋体" w:hAnsi="宋体" w:eastAsia="宋体" w:cs="宋体"/>
          <w:color w:val="auto"/>
          <w:highlight w:val="none"/>
        </w:rPr>
      </w:pPr>
    </w:p>
    <w:p w14:paraId="5095B93D">
      <w:pPr>
        <w:pStyle w:val="29"/>
        <w:rPr>
          <w:rFonts w:hint="eastAsia" w:ascii="宋体" w:hAnsi="宋体" w:eastAsia="宋体" w:cs="宋体"/>
          <w:color w:val="auto"/>
          <w:highlight w:val="none"/>
        </w:rPr>
      </w:pPr>
    </w:p>
    <w:p w14:paraId="6FB417B3">
      <w:pPr>
        <w:pStyle w:val="29"/>
        <w:rPr>
          <w:rFonts w:hint="eastAsia" w:ascii="宋体" w:hAnsi="宋体" w:eastAsia="宋体" w:cs="宋体"/>
          <w:color w:val="auto"/>
          <w:highlight w:val="none"/>
        </w:rPr>
      </w:pPr>
    </w:p>
    <w:p w14:paraId="67E7EE02">
      <w:pPr>
        <w:pStyle w:val="29"/>
        <w:rPr>
          <w:rFonts w:hint="eastAsia" w:ascii="宋体" w:hAnsi="宋体" w:eastAsia="宋体" w:cs="宋体"/>
          <w:color w:val="auto"/>
          <w:highlight w:val="none"/>
        </w:rPr>
      </w:pPr>
    </w:p>
    <w:p w14:paraId="0B3BAA1E">
      <w:pPr>
        <w:pStyle w:val="2"/>
        <w:numPr>
          <w:ilvl w:val="0"/>
          <w:numId w:val="0"/>
        </w:numPr>
        <w:tabs>
          <w:tab w:val="left" w:pos="0"/>
        </w:tabs>
        <w:autoSpaceDE w:val="0"/>
        <w:autoSpaceDN w:val="0"/>
        <w:adjustRightInd w:val="0"/>
        <w:spacing w:before="0" w:after="0" w:line="360" w:lineRule="auto"/>
        <w:jc w:val="center"/>
        <w:rPr>
          <w:rFonts w:hint="eastAsia" w:ascii="宋体" w:hAnsi="宋体" w:eastAsia="宋体" w:cs="宋体"/>
          <w:color w:val="auto"/>
          <w:sz w:val="32"/>
          <w:szCs w:val="32"/>
          <w:highlight w:val="none"/>
        </w:rPr>
      </w:pPr>
      <w:bookmarkStart w:id="276" w:name="_Toc5351"/>
      <w:bookmarkStart w:id="277" w:name="_Toc9015"/>
      <w:bookmarkStart w:id="278" w:name="_Toc816"/>
      <w:bookmarkStart w:id="279" w:name="_Toc21175"/>
      <w:r>
        <w:rPr>
          <w:rFonts w:hint="eastAsia" w:ascii="宋体" w:hAnsi="宋体" w:eastAsia="宋体" w:cs="宋体"/>
          <w:color w:val="auto"/>
          <w:sz w:val="32"/>
          <w:szCs w:val="32"/>
          <w:highlight w:val="none"/>
          <w:lang w:eastAsia="zh-CN"/>
        </w:rPr>
        <w:t>第五章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采购合同（合同主要条款及格式）</w:t>
      </w:r>
      <w:bookmarkEnd w:id="274"/>
      <w:bookmarkEnd w:id="275"/>
      <w:bookmarkEnd w:id="276"/>
      <w:bookmarkEnd w:id="277"/>
      <w:bookmarkEnd w:id="278"/>
      <w:bookmarkEnd w:id="279"/>
    </w:p>
    <w:p w14:paraId="45C7C15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项目名称：</w:t>
      </w:r>
      <w:r>
        <w:rPr>
          <w:rFonts w:hint="eastAsia" w:ascii="宋体" w:hAnsi="宋体" w:cs="宋体"/>
          <w:color w:val="auto"/>
          <w:sz w:val="21"/>
          <w:szCs w:val="24"/>
          <w:highlight w:val="none"/>
          <w:lang w:val="en-US" w:eastAsia="zh-CN"/>
        </w:rPr>
        <w:t>桂林市复兴学校园林绿化服务采购项目</w:t>
      </w:r>
      <w:r>
        <w:rPr>
          <w:rFonts w:hint="eastAsia" w:ascii="宋体" w:hAnsi="宋体" w:eastAsia="宋体" w:cs="宋体"/>
          <w:color w:val="auto"/>
          <w:sz w:val="21"/>
          <w:szCs w:val="24"/>
          <w:highlight w:val="none"/>
          <w:lang w:val="en-US" w:eastAsia="zh-CN"/>
        </w:rPr>
        <w:t xml:space="preserve"> </w:t>
      </w:r>
    </w:p>
    <w:p w14:paraId="64B27D5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项目编号：</w:t>
      </w:r>
      <w:r>
        <w:rPr>
          <w:rFonts w:hint="eastAsia" w:ascii="宋体" w:hAnsi="宋体" w:cs="宋体"/>
          <w:color w:val="auto"/>
          <w:sz w:val="21"/>
          <w:szCs w:val="24"/>
          <w:highlight w:val="none"/>
          <w:lang w:val="en-US" w:eastAsia="zh-CN"/>
        </w:rPr>
        <w:t>GLZC2025-C3-990531-GLSZ</w:t>
      </w:r>
    </w:p>
    <w:p w14:paraId="4EA1B72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w:t>
      </w:r>
    </w:p>
    <w:p w14:paraId="4D3ED17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（成交供应商）</w:t>
      </w:r>
    </w:p>
    <w:p w14:paraId="7D3E2AC0">
      <w:pPr>
        <w:keepNext w:val="0"/>
        <w:keepLines w:val="0"/>
        <w:widowControl/>
        <w:suppressLineNumbers w:val="0"/>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根据《中华人民共和国政府采购法》</w:t>
      </w:r>
      <w:r>
        <w:rPr>
          <w:rFonts w:hint="eastAsia" w:ascii="宋体" w:hAnsi="宋体" w:eastAsia="宋体" w:cs="宋体"/>
          <w:color w:val="auto"/>
          <w:highlight w:val="none"/>
          <w:lang w:val="en-US" w:eastAsia="zh-CN"/>
        </w:rPr>
        <w:t>《中华人民共和国政府采购法实施条例》</w:t>
      </w:r>
      <w:r>
        <w:rPr>
          <w:rFonts w:hint="eastAsia" w:ascii="宋体" w:hAnsi="宋体" w:eastAsia="宋体" w:cs="宋体"/>
          <w:color w:val="auto"/>
          <w:highlight w:val="none"/>
        </w:rPr>
        <w:t>《中华人民共和国</w:t>
      </w:r>
      <w:r>
        <w:rPr>
          <w:rFonts w:hint="eastAsia" w:ascii="宋体" w:hAnsi="宋体" w:eastAsia="宋体" w:cs="宋体"/>
          <w:color w:val="auto"/>
          <w:highlight w:val="none"/>
          <w:lang w:val="en-US" w:eastAsia="zh-CN"/>
        </w:rPr>
        <w:t>民法典</w:t>
      </w:r>
      <w:r>
        <w:rPr>
          <w:rFonts w:hint="eastAsia" w:ascii="宋体" w:hAnsi="宋体" w:eastAsia="宋体" w:cs="宋体"/>
          <w:color w:val="auto"/>
          <w:highlight w:val="none"/>
        </w:rPr>
        <w:t>》等法律、法规规定，按照竞争性磋商文件（以下简称磋商文件）、竞争性磋商响应文件（以下简称响应文件）规定条款和成交供应商的承诺、甲乙双方签订本合同。</w:t>
      </w:r>
    </w:p>
    <w:p w14:paraId="45B27344">
      <w:pPr>
        <w:pStyle w:val="3"/>
        <w:bidi w:val="0"/>
        <w:ind w:left="567" w:leftChars="200" w:hanging="147" w:hangingChars="70"/>
        <w:rPr>
          <w:rFonts w:hint="eastAsia" w:ascii="宋体" w:hAnsi="宋体" w:eastAsia="宋体" w:cs="宋体"/>
          <w:b/>
          <w:bCs w:val="0"/>
          <w:color w:val="auto"/>
          <w:sz w:val="21"/>
          <w:szCs w:val="21"/>
          <w:highlight w:val="none"/>
        </w:rPr>
      </w:pPr>
      <w:bookmarkStart w:id="280" w:name="_Toc16752"/>
      <w:bookmarkStart w:id="281" w:name="_Toc8094"/>
      <w:bookmarkStart w:id="282" w:name="_Toc19914"/>
      <w:bookmarkStart w:id="283" w:name="_Toc30275"/>
      <w:bookmarkStart w:id="284" w:name="_Toc845"/>
      <w:bookmarkStart w:id="285" w:name="_Toc20217"/>
      <w:r>
        <w:rPr>
          <w:rFonts w:hint="eastAsia" w:ascii="宋体" w:hAnsi="宋体" w:eastAsia="宋体" w:cs="宋体"/>
          <w:b/>
          <w:bCs w:val="0"/>
          <w:color w:val="auto"/>
          <w:sz w:val="21"/>
          <w:szCs w:val="21"/>
          <w:highlight w:val="none"/>
        </w:rPr>
        <w:t>第一条 合同文件</w:t>
      </w:r>
      <w:bookmarkEnd w:id="280"/>
      <w:bookmarkEnd w:id="281"/>
      <w:bookmarkEnd w:id="282"/>
      <w:bookmarkEnd w:id="283"/>
      <w:bookmarkEnd w:id="284"/>
      <w:bookmarkEnd w:id="285"/>
    </w:p>
    <w:p w14:paraId="420ED99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1、本合同所附下列文件是构成本合同不可分割的部分：</w:t>
      </w:r>
    </w:p>
    <w:p w14:paraId="5E344499">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（1）成交供应商提交的</w:t>
      </w:r>
      <w:r>
        <w:rPr>
          <w:rFonts w:hint="eastAsia" w:ascii="宋体" w:hAnsi="宋体" w:eastAsia="宋体" w:cs="宋体"/>
          <w:color w:val="auto"/>
          <w:szCs w:val="21"/>
          <w:highlight w:val="none"/>
        </w:rPr>
        <w:t>磋商</w:t>
      </w:r>
      <w:r>
        <w:rPr>
          <w:rFonts w:hint="eastAsia" w:ascii="宋体" w:hAnsi="宋体" w:eastAsia="宋体" w:cs="宋体"/>
          <w:color w:val="auto"/>
          <w:highlight w:val="none"/>
        </w:rPr>
        <w:t>报价表、</w:t>
      </w:r>
      <w:r>
        <w:rPr>
          <w:rFonts w:hint="eastAsia" w:ascii="宋体" w:hAnsi="宋体" w:eastAsia="宋体" w:cs="宋体"/>
          <w:color w:val="auto"/>
          <w:szCs w:val="21"/>
          <w:highlight w:val="none"/>
        </w:rPr>
        <w:t>针对本项目的服务</w:t>
      </w:r>
      <w:r>
        <w:rPr>
          <w:rFonts w:hint="eastAsia" w:ascii="宋体" w:hAnsi="宋体" w:eastAsia="宋体" w:cs="宋体"/>
          <w:color w:val="auto"/>
          <w:szCs w:val="21"/>
          <w:highlight w:val="none"/>
          <w:lang w:eastAsia="zh-CN"/>
        </w:rPr>
        <w:t>承诺书</w:t>
      </w:r>
      <w:r>
        <w:rPr>
          <w:rFonts w:hint="eastAsia" w:ascii="宋体" w:hAnsi="宋体" w:eastAsia="宋体" w:cs="宋体"/>
          <w:color w:val="auto"/>
          <w:highlight w:val="none"/>
        </w:rPr>
        <w:t>；</w:t>
      </w:r>
    </w:p>
    <w:p w14:paraId="0289CB1E">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（2）成交通知书；</w:t>
      </w:r>
    </w:p>
    <w:p w14:paraId="266FB720">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（3）本合同协议书及有关补充资料；</w:t>
      </w:r>
    </w:p>
    <w:p w14:paraId="59FF03D2">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（4）磋商文件的条款要求。</w:t>
      </w:r>
    </w:p>
    <w:p w14:paraId="22B1EF51">
      <w:pPr>
        <w:tabs>
          <w:tab w:val="left" w:pos="130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2、合同价金额包括：服务过程中相关的一切费用。</w:t>
      </w:r>
    </w:p>
    <w:p w14:paraId="2D7D1C17">
      <w:pPr>
        <w:pStyle w:val="3"/>
        <w:bidi w:val="0"/>
        <w:ind w:left="567" w:leftChars="200" w:hanging="147" w:hangingChars="70"/>
        <w:rPr>
          <w:rFonts w:hint="eastAsia" w:ascii="宋体" w:hAnsi="宋体" w:eastAsia="宋体" w:cs="宋体"/>
          <w:b/>
          <w:bCs w:val="0"/>
          <w:color w:val="auto"/>
          <w:sz w:val="21"/>
          <w:szCs w:val="21"/>
          <w:highlight w:val="none"/>
        </w:rPr>
      </w:pPr>
      <w:bookmarkStart w:id="286" w:name="_Toc2848"/>
      <w:bookmarkStart w:id="287" w:name="_Toc6972"/>
      <w:bookmarkStart w:id="288" w:name="_Toc25572"/>
      <w:bookmarkStart w:id="289" w:name="_Toc3918"/>
      <w:bookmarkStart w:id="290" w:name="_Toc1849"/>
      <w:bookmarkStart w:id="291" w:name="_Toc28710"/>
      <w:r>
        <w:rPr>
          <w:rFonts w:hint="eastAsia" w:ascii="宋体" w:hAnsi="宋体" w:eastAsia="宋体" w:cs="宋体"/>
          <w:b/>
          <w:bCs w:val="0"/>
          <w:color w:val="auto"/>
          <w:sz w:val="21"/>
          <w:szCs w:val="21"/>
          <w:highlight w:val="none"/>
        </w:rPr>
        <w:t>第二条　合同金额</w:t>
      </w:r>
      <w:bookmarkEnd w:id="286"/>
      <w:bookmarkEnd w:id="287"/>
      <w:bookmarkEnd w:id="288"/>
      <w:bookmarkEnd w:id="289"/>
      <w:bookmarkEnd w:id="290"/>
      <w:bookmarkEnd w:id="291"/>
    </w:p>
    <w:p w14:paraId="237AA856">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根据《成交通知书》的成交内容，合同的总金额为：（大写）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668A1F37">
      <w:pPr>
        <w:pStyle w:val="3"/>
        <w:bidi w:val="0"/>
        <w:ind w:left="567" w:leftChars="200" w:hanging="147" w:hangingChars="70"/>
        <w:rPr>
          <w:rFonts w:hint="eastAsia" w:ascii="宋体" w:hAnsi="宋体" w:eastAsia="宋体" w:cs="宋体"/>
          <w:b/>
          <w:bCs w:val="0"/>
          <w:color w:val="auto"/>
          <w:sz w:val="21"/>
          <w:szCs w:val="21"/>
          <w:highlight w:val="none"/>
        </w:rPr>
      </w:pPr>
      <w:bookmarkStart w:id="292" w:name="_Toc9581"/>
      <w:bookmarkStart w:id="293" w:name="_Toc5557"/>
      <w:bookmarkStart w:id="294" w:name="_Toc4662"/>
      <w:bookmarkStart w:id="295" w:name="_Toc29481"/>
      <w:bookmarkStart w:id="296" w:name="_Toc16138"/>
      <w:bookmarkStart w:id="297" w:name="_Toc1972"/>
      <w:r>
        <w:rPr>
          <w:rFonts w:hint="eastAsia" w:ascii="宋体" w:hAnsi="宋体" w:eastAsia="宋体" w:cs="宋体"/>
          <w:b/>
          <w:bCs w:val="0"/>
          <w:color w:val="auto"/>
          <w:sz w:val="21"/>
          <w:szCs w:val="21"/>
          <w:highlight w:val="none"/>
        </w:rPr>
        <w:t>第三条  服务保证</w:t>
      </w:r>
      <w:bookmarkEnd w:id="292"/>
      <w:bookmarkEnd w:id="293"/>
      <w:bookmarkEnd w:id="294"/>
      <w:bookmarkEnd w:id="295"/>
      <w:bookmarkEnd w:id="296"/>
      <w:bookmarkEnd w:id="297"/>
    </w:p>
    <w:p w14:paraId="14C5A2D6">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成交供应商应按</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eastAsia="zh-CN"/>
        </w:rPr>
        <w:t>和承诺</w:t>
      </w:r>
      <w:r>
        <w:rPr>
          <w:rFonts w:hint="eastAsia" w:ascii="宋体" w:hAnsi="宋体" w:eastAsia="宋体" w:cs="宋体"/>
          <w:color w:val="auto"/>
          <w:szCs w:val="21"/>
          <w:highlight w:val="none"/>
        </w:rPr>
        <w:t>规定的服务</w:t>
      </w:r>
      <w:r>
        <w:rPr>
          <w:rFonts w:hint="eastAsia" w:ascii="宋体" w:hAnsi="宋体" w:eastAsia="宋体" w:cs="宋体"/>
          <w:color w:val="auto"/>
          <w:szCs w:val="21"/>
          <w:highlight w:val="none"/>
          <w:lang w:eastAsia="zh-CN"/>
        </w:rPr>
        <w:t>内容</w:t>
      </w:r>
      <w:r>
        <w:rPr>
          <w:rFonts w:hint="eastAsia" w:ascii="宋体" w:hAnsi="宋体" w:eastAsia="宋体" w:cs="宋体"/>
          <w:color w:val="auto"/>
          <w:szCs w:val="21"/>
          <w:highlight w:val="none"/>
        </w:rPr>
        <w:t>向采购人提供相应服务。</w:t>
      </w:r>
    </w:p>
    <w:p w14:paraId="1356D7EB">
      <w:pPr>
        <w:pStyle w:val="3"/>
        <w:bidi w:val="0"/>
        <w:ind w:left="567" w:leftChars="200" w:hanging="147" w:hangingChars="70"/>
        <w:rPr>
          <w:rFonts w:hint="eastAsia" w:ascii="宋体" w:hAnsi="宋体" w:eastAsia="宋体" w:cs="宋体"/>
          <w:b/>
          <w:bCs w:val="0"/>
          <w:color w:val="auto"/>
          <w:sz w:val="21"/>
          <w:szCs w:val="21"/>
          <w:highlight w:val="none"/>
        </w:rPr>
      </w:pPr>
      <w:bookmarkStart w:id="298" w:name="_Toc6104"/>
      <w:bookmarkStart w:id="299" w:name="_Toc16565"/>
      <w:bookmarkStart w:id="300" w:name="_Toc25056"/>
      <w:bookmarkStart w:id="301" w:name="_Toc28884"/>
      <w:bookmarkStart w:id="302" w:name="_Toc14127"/>
      <w:bookmarkStart w:id="303" w:name="_Toc8669"/>
      <w:r>
        <w:rPr>
          <w:rFonts w:hint="eastAsia" w:ascii="宋体" w:hAnsi="宋体" w:eastAsia="宋体" w:cs="宋体"/>
          <w:b/>
          <w:bCs w:val="0"/>
          <w:color w:val="auto"/>
          <w:sz w:val="21"/>
          <w:szCs w:val="21"/>
          <w:highlight w:val="none"/>
        </w:rPr>
        <w:t>第四条  服务期限</w:t>
      </w:r>
      <w:bookmarkEnd w:id="298"/>
      <w:bookmarkEnd w:id="299"/>
      <w:bookmarkEnd w:id="300"/>
      <w:bookmarkEnd w:id="301"/>
      <w:bookmarkEnd w:id="302"/>
      <w:bookmarkEnd w:id="303"/>
    </w:p>
    <w:p w14:paraId="4B7FCFF7">
      <w:pPr>
        <w:spacing w:line="360" w:lineRule="auto"/>
        <w:ind w:firstLine="411" w:firstLineChars="196"/>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 xml:space="preserve">服务期限: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p>
    <w:p w14:paraId="61DD6B7B">
      <w:pPr>
        <w:pStyle w:val="3"/>
        <w:bidi w:val="0"/>
        <w:ind w:left="567" w:leftChars="200" w:hanging="147" w:hangingChars="70"/>
        <w:rPr>
          <w:rFonts w:hint="eastAsia" w:ascii="宋体" w:hAnsi="宋体" w:eastAsia="宋体" w:cs="宋体"/>
          <w:b/>
          <w:bCs w:val="0"/>
          <w:color w:val="auto"/>
          <w:sz w:val="21"/>
          <w:szCs w:val="21"/>
          <w:highlight w:val="none"/>
        </w:rPr>
      </w:pPr>
      <w:bookmarkStart w:id="304" w:name="_Toc25521"/>
      <w:bookmarkStart w:id="305" w:name="_Toc15896"/>
      <w:bookmarkStart w:id="306" w:name="_Toc9706"/>
      <w:bookmarkStart w:id="307" w:name="_Toc3169"/>
      <w:bookmarkStart w:id="308" w:name="_Toc15179"/>
      <w:bookmarkStart w:id="309" w:name="_Toc3282"/>
      <w:r>
        <w:rPr>
          <w:rFonts w:hint="eastAsia" w:ascii="宋体" w:hAnsi="宋体" w:eastAsia="宋体" w:cs="宋体"/>
          <w:b/>
          <w:bCs w:val="0"/>
          <w:color w:val="auto"/>
          <w:sz w:val="21"/>
          <w:szCs w:val="21"/>
          <w:highlight w:val="none"/>
        </w:rPr>
        <w:t>第五条  交付</w:t>
      </w:r>
      <w:bookmarkEnd w:id="304"/>
      <w:bookmarkEnd w:id="305"/>
      <w:bookmarkEnd w:id="306"/>
      <w:bookmarkEnd w:id="307"/>
      <w:bookmarkEnd w:id="308"/>
      <w:bookmarkEnd w:id="309"/>
    </w:p>
    <w:p w14:paraId="7D4006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5A938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2、成交供应商提供不符合磋商文件、响应文件和本合同规定的服务，采购人有权拒绝接受。</w:t>
      </w:r>
    </w:p>
    <w:p w14:paraId="765670D4">
      <w:pPr>
        <w:pStyle w:val="3"/>
        <w:bidi w:val="0"/>
        <w:ind w:left="567" w:leftChars="200" w:hanging="147" w:hangingChars="70"/>
        <w:rPr>
          <w:rFonts w:hint="eastAsia" w:ascii="宋体" w:hAnsi="宋体" w:eastAsia="宋体" w:cs="宋体"/>
          <w:b/>
          <w:bCs w:val="0"/>
          <w:color w:val="auto"/>
          <w:sz w:val="21"/>
          <w:szCs w:val="21"/>
          <w:highlight w:val="none"/>
        </w:rPr>
      </w:pPr>
      <w:bookmarkStart w:id="310" w:name="_Toc8253"/>
      <w:bookmarkStart w:id="311" w:name="_Toc20060"/>
      <w:bookmarkStart w:id="312" w:name="_Toc21969"/>
      <w:bookmarkStart w:id="313" w:name="_Toc16134"/>
      <w:bookmarkStart w:id="314" w:name="_Toc15606"/>
      <w:bookmarkStart w:id="315" w:name="_Toc22519"/>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六</w:t>
      </w:r>
      <w:r>
        <w:rPr>
          <w:rFonts w:hint="eastAsia" w:ascii="宋体" w:hAnsi="宋体" w:eastAsia="宋体" w:cs="宋体"/>
          <w:b/>
          <w:bCs w:val="0"/>
          <w:color w:val="auto"/>
          <w:sz w:val="21"/>
          <w:szCs w:val="21"/>
          <w:highlight w:val="none"/>
        </w:rPr>
        <w:t>条  税费</w:t>
      </w:r>
      <w:bookmarkEnd w:id="310"/>
      <w:bookmarkEnd w:id="311"/>
      <w:bookmarkEnd w:id="312"/>
      <w:bookmarkEnd w:id="313"/>
      <w:bookmarkEnd w:id="314"/>
      <w:bookmarkEnd w:id="315"/>
    </w:p>
    <w:p w14:paraId="64324CBA">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本合同执行中相关的一切税费均由成交供应商负担。</w:t>
      </w:r>
      <w:bookmarkStart w:id="316" w:name="_Toc11829"/>
      <w:bookmarkStart w:id="317" w:name="_Toc31516"/>
      <w:bookmarkStart w:id="318" w:name="_Toc2313"/>
      <w:bookmarkStart w:id="319" w:name="_Toc19317"/>
      <w:bookmarkStart w:id="320" w:name="_Toc29885"/>
      <w:bookmarkStart w:id="321" w:name="_Toc5305"/>
    </w:p>
    <w:p w14:paraId="303BEF48">
      <w:pPr>
        <w:numPr>
          <w:ilvl w:val="0"/>
          <w:numId w:val="8"/>
        </w:numPr>
        <w:spacing w:line="360" w:lineRule="auto"/>
        <w:ind w:firstLine="420"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付款方式</w:t>
      </w:r>
      <w:bookmarkEnd w:id="316"/>
      <w:bookmarkEnd w:id="317"/>
      <w:bookmarkEnd w:id="318"/>
      <w:bookmarkEnd w:id="319"/>
      <w:bookmarkEnd w:id="320"/>
      <w:bookmarkEnd w:id="321"/>
    </w:p>
    <w:p w14:paraId="348C4A18">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kern w:val="0"/>
          <w:szCs w:val="21"/>
          <w:lang w:eastAsia="zh-CN"/>
        </w:rPr>
      </w:pPr>
      <w:r>
        <w:rPr>
          <w:rFonts w:hint="eastAsia" w:ascii="宋体" w:hAnsi="宋体" w:cs="宋体"/>
          <w:color w:val="auto"/>
          <w:szCs w:val="21"/>
          <w:highlight w:val="none"/>
        </w:rPr>
        <w:t>物业管理服务费按月度支付（</w:t>
      </w:r>
      <w:r>
        <w:rPr>
          <w:rFonts w:hint="eastAsia" w:ascii="宋体" w:hAnsi="宋体" w:cs="宋体"/>
          <w:color w:val="auto"/>
          <w:szCs w:val="21"/>
          <w:highlight w:val="none"/>
          <w:lang w:eastAsia="zh-CN"/>
        </w:rPr>
        <w:t>中标</w:t>
      </w:r>
      <w:r>
        <w:rPr>
          <w:rFonts w:hint="eastAsia" w:ascii="宋体" w:hAnsi="宋体" w:cs="宋体"/>
          <w:color w:val="auto"/>
          <w:szCs w:val="21"/>
          <w:highlight w:val="none"/>
        </w:rPr>
        <w:t>金额1/</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，月末支付当月物业管理服务费，采购人以转账方式足额转入</w:t>
      </w:r>
      <w:r>
        <w:rPr>
          <w:rFonts w:hint="eastAsia" w:ascii="宋体" w:hAnsi="宋体" w:cs="宋体"/>
          <w:color w:val="auto"/>
          <w:szCs w:val="21"/>
          <w:highlight w:val="none"/>
          <w:lang w:eastAsia="zh-CN"/>
        </w:rPr>
        <w:t>中标</w:t>
      </w:r>
      <w:r>
        <w:rPr>
          <w:rFonts w:hint="eastAsia" w:ascii="宋体" w:hAnsi="宋体" w:cs="宋体"/>
          <w:color w:val="auto"/>
          <w:szCs w:val="21"/>
          <w:highlight w:val="none"/>
        </w:rPr>
        <w:t>供应商指定账户；转账前</w:t>
      </w:r>
      <w:r>
        <w:rPr>
          <w:rFonts w:hint="eastAsia" w:ascii="宋体" w:hAnsi="宋体" w:cs="宋体"/>
          <w:color w:val="auto"/>
          <w:szCs w:val="21"/>
          <w:highlight w:val="none"/>
          <w:lang w:eastAsia="zh-CN"/>
        </w:rPr>
        <w:t>中标</w:t>
      </w:r>
      <w:r>
        <w:rPr>
          <w:rFonts w:hint="eastAsia" w:ascii="宋体" w:hAnsi="宋体" w:cs="宋体"/>
          <w:color w:val="auto"/>
          <w:szCs w:val="21"/>
          <w:highlight w:val="none"/>
        </w:rPr>
        <w:t>供应商将相应的足额服务发票交给采购人；否则，采购人有权拒绝付费且不承担任何责任</w:t>
      </w:r>
      <w:r>
        <w:rPr>
          <w:rFonts w:hint="eastAsia" w:ascii="宋体" w:hAnsi="宋体" w:eastAsia="宋体" w:cs="宋体"/>
          <w:color w:val="auto"/>
          <w:kern w:val="0"/>
          <w:szCs w:val="21"/>
          <w:lang w:eastAsia="zh-CN"/>
        </w:rPr>
        <w:t>。</w:t>
      </w:r>
    </w:p>
    <w:p w14:paraId="78B52847">
      <w:pPr>
        <w:widowControl/>
        <w:spacing w:line="400" w:lineRule="exact"/>
        <w:ind w:firstLine="422" w:firstLineChars="201"/>
        <w:jc w:val="left"/>
        <w:rPr>
          <w:rFonts w:ascii="宋体" w:hAnsi="宋体" w:cs="宋体"/>
          <w:color w:val="auto"/>
          <w:kern w:val="0"/>
          <w:szCs w:val="21"/>
          <w:highlight w:val="none"/>
        </w:rPr>
      </w:pPr>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八</w:t>
      </w:r>
      <w:r>
        <w:rPr>
          <w:rFonts w:hint="eastAsia" w:ascii="宋体" w:hAnsi="宋体" w:eastAsia="宋体" w:cs="宋体"/>
          <w:b/>
          <w:bCs w:val="0"/>
          <w:color w:val="auto"/>
          <w:sz w:val="21"/>
          <w:szCs w:val="21"/>
          <w:highlight w:val="none"/>
        </w:rPr>
        <w:t xml:space="preserve">条 </w:t>
      </w:r>
      <w:r>
        <w:rPr>
          <w:rFonts w:hint="eastAsia" w:ascii="宋体" w:hAnsi="宋体" w:cs="宋体"/>
          <w:color w:val="auto"/>
          <w:kern w:val="0"/>
          <w:szCs w:val="21"/>
          <w:highlight w:val="none"/>
        </w:rPr>
        <w:t xml:space="preserve"> </w:t>
      </w:r>
      <w:r>
        <w:rPr>
          <w:rFonts w:hint="eastAsia" w:ascii="宋体" w:hAnsi="宋体" w:eastAsia="宋体" w:cs="宋体"/>
          <w:b/>
          <w:bCs w:val="0"/>
          <w:color w:val="auto"/>
          <w:sz w:val="21"/>
          <w:szCs w:val="21"/>
          <w:highlight w:val="none"/>
          <w:lang w:eastAsia="zh-CN"/>
        </w:rPr>
        <w:t>履约保证金</w:t>
      </w:r>
    </w:p>
    <w:p w14:paraId="793493A3">
      <w:pPr>
        <w:pStyle w:val="3"/>
        <w:bidi w:val="0"/>
        <w:ind w:left="567" w:leftChars="200" w:hanging="147" w:hangingChars="70"/>
        <w:rPr>
          <w:rFonts w:hint="eastAsia" w:ascii="宋体" w:hAnsi="宋体" w:eastAsia="宋体" w:cs="宋体"/>
          <w:color w:val="auto"/>
          <w:spacing w:val="0"/>
          <w:position w:val="0"/>
          <w:sz w:val="21"/>
          <w:highlight w:val="none"/>
          <w:shd w:val="clear" w:fill="auto"/>
          <w:lang w:val="en-US" w:eastAsia="zh-CN"/>
        </w:rPr>
      </w:pPr>
      <w:bookmarkStart w:id="322" w:name="_Toc17966"/>
      <w:r>
        <w:rPr>
          <w:rFonts w:hint="eastAsia" w:ascii="宋体" w:hAnsi="宋体" w:eastAsia="宋体" w:cs="宋体"/>
          <w:color w:val="auto"/>
          <w:spacing w:val="0"/>
          <w:position w:val="0"/>
          <w:sz w:val="21"/>
          <w:highlight w:val="none"/>
          <w:shd w:val="clear" w:fill="auto"/>
          <w:lang w:val="en-US" w:eastAsia="zh-CN"/>
        </w:rPr>
        <w:t>无。</w:t>
      </w:r>
    </w:p>
    <w:p w14:paraId="3AF4BE33">
      <w:pPr>
        <w:pStyle w:val="3"/>
        <w:bidi w:val="0"/>
        <w:ind w:left="567" w:leftChars="200" w:hanging="147" w:hangingChars="7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w:t>
      </w:r>
      <w:r>
        <w:rPr>
          <w:rFonts w:hint="eastAsia" w:ascii="宋体" w:hAnsi="宋体" w:cs="宋体"/>
          <w:b/>
          <w:bCs w:val="0"/>
          <w:color w:val="auto"/>
          <w:sz w:val="21"/>
          <w:szCs w:val="21"/>
          <w:highlight w:val="none"/>
          <w:lang w:eastAsia="zh-CN"/>
        </w:rPr>
        <w:t>九</w:t>
      </w:r>
      <w:r>
        <w:rPr>
          <w:rFonts w:hint="eastAsia" w:ascii="宋体" w:hAnsi="宋体" w:eastAsia="宋体" w:cs="宋体"/>
          <w:b/>
          <w:bCs w:val="0"/>
          <w:color w:val="auto"/>
          <w:sz w:val="21"/>
          <w:szCs w:val="21"/>
          <w:highlight w:val="none"/>
        </w:rPr>
        <w:t>条  违约责任</w:t>
      </w:r>
      <w:bookmarkEnd w:id="322"/>
    </w:p>
    <w:p w14:paraId="0DE6A337">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rPr>
        <w:t>乙方所提供的服务质量不合格的，应及时</w:t>
      </w:r>
      <w:r>
        <w:rPr>
          <w:rFonts w:hint="eastAsia" w:ascii="宋体" w:hAnsi="宋体" w:cs="宋体"/>
          <w:color w:val="auto"/>
          <w:szCs w:val="21"/>
          <w:highlight w:val="none"/>
          <w:lang w:eastAsia="zh-CN"/>
        </w:rPr>
        <w:t>调整</w:t>
      </w:r>
      <w:r>
        <w:rPr>
          <w:rFonts w:hint="eastAsia" w:ascii="宋体" w:hAnsi="宋体" w:cs="宋体"/>
          <w:color w:val="auto"/>
          <w:szCs w:val="21"/>
          <w:highlight w:val="none"/>
        </w:rPr>
        <w:t>，</w:t>
      </w:r>
      <w:r>
        <w:rPr>
          <w:rFonts w:hint="eastAsia" w:ascii="宋体" w:hAnsi="宋体" w:cs="宋体"/>
          <w:color w:val="auto"/>
          <w:szCs w:val="21"/>
          <w:highlight w:val="none"/>
          <w:lang w:eastAsia="zh-CN"/>
        </w:rPr>
        <w:t>调整</w:t>
      </w:r>
      <w:r>
        <w:rPr>
          <w:rFonts w:hint="eastAsia" w:ascii="宋体" w:hAnsi="宋体" w:cs="宋体"/>
          <w:color w:val="auto"/>
          <w:szCs w:val="21"/>
          <w:highlight w:val="none"/>
        </w:rPr>
        <w:t>不及时的按逾期处罚，乙方应向甲方支付合同金额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违约金并赔偿甲方经济损失。</w:t>
      </w:r>
    </w:p>
    <w:p w14:paraId="1E310FE4">
      <w:pPr>
        <w:spacing w:line="38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rPr>
        <w:t>乙方提供的服务如果侵犯了第三方合法权益而引发的任何纠纷或诉讼，均由乙方负责交涉并承担全部责任。</w:t>
      </w:r>
    </w:p>
    <w:p w14:paraId="68A9F1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rPr>
        <w:t>乙方无故延期服务交付的，每天向甲方偿付违约合同金额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违约金，但违约金累计不得超过合同金额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，超过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天甲方有权解除合同，违约方承担因此给对方造成经济损失；甲方不能按期付款的，每天向乙方偿付延合同金额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滞纳金，但滞纳金累计不得超过合同金额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1835252A">
      <w:pPr>
        <w:spacing w:line="38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cs="宋体"/>
          <w:color w:val="auto"/>
          <w:szCs w:val="21"/>
          <w:highlight w:val="none"/>
        </w:rPr>
        <w:t>乙方未按本合同和投标文件中规定的服务承诺提供服务的，乙方应按本合同合同金额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向甲方支付违约金。</w:t>
      </w:r>
    </w:p>
    <w:p w14:paraId="72C1ED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cs="宋体"/>
          <w:color w:val="auto"/>
          <w:szCs w:val="21"/>
          <w:highlight w:val="none"/>
        </w:rPr>
        <w:t>其他违约行为按照合同金额额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收取违约金并赔偿经济损失。</w:t>
      </w:r>
    </w:p>
    <w:p w14:paraId="19A27BD7">
      <w:pPr>
        <w:pStyle w:val="3"/>
        <w:bidi w:val="0"/>
        <w:ind w:left="567" w:leftChars="200" w:hanging="147" w:hangingChars="70"/>
        <w:rPr>
          <w:rFonts w:hint="eastAsia" w:ascii="宋体" w:hAnsi="宋体" w:eastAsia="宋体" w:cs="宋体"/>
          <w:b/>
          <w:bCs w:val="0"/>
          <w:color w:val="auto"/>
          <w:sz w:val="21"/>
          <w:szCs w:val="21"/>
          <w:highlight w:val="none"/>
        </w:rPr>
      </w:pPr>
      <w:bookmarkStart w:id="323" w:name="_Toc11857"/>
      <w:bookmarkStart w:id="324" w:name="_Toc1538"/>
      <w:bookmarkStart w:id="325" w:name="_Toc8363"/>
      <w:r>
        <w:rPr>
          <w:rFonts w:hint="eastAsia" w:ascii="宋体" w:hAnsi="宋体" w:eastAsia="宋体" w:cs="宋体"/>
          <w:b/>
          <w:bCs w:val="0"/>
          <w:color w:val="auto"/>
          <w:sz w:val="21"/>
          <w:szCs w:val="21"/>
          <w:highlight w:val="none"/>
        </w:rPr>
        <w:t>第</w:t>
      </w:r>
      <w:r>
        <w:rPr>
          <w:rFonts w:hint="eastAsia" w:ascii="宋体" w:hAnsi="宋体" w:cs="宋体"/>
          <w:b/>
          <w:bCs w:val="0"/>
          <w:color w:val="auto"/>
          <w:sz w:val="21"/>
          <w:szCs w:val="21"/>
          <w:highlight w:val="none"/>
          <w:lang w:eastAsia="zh-CN"/>
        </w:rPr>
        <w:t>十</w:t>
      </w:r>
      <w:r>
        <w:rPr>
          <w:rFonts w:hint="eastAsia" w:ascii="宋体" w:hAnsi="宋体" w:eastAsia="宋体" w:cs="宋体"/>
          <w:b/>
          <w:bCs w:val="0"/>
          <w:color w:val="auto"/>
          <w:sz w:val="21"/>
          <w:szCs w:val="21"/>
          <w:highlight w:val="none"/>
        </w:rPr>
        <w:t>条  不可抗力事件处理</w:t>
      </w:r>
      <w:bookmarkEnd w:id="323"/>
      <w:bookmarkEnd w:id="324"/>
      <w:bookmarkEnd w:id="325"/>
    </w:p>
    <w:p w14:paraId="7D40AE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1、在合同有效期内，成交供应商因不可抗力事件导致不能履行合同，则合同履行期可延长，其延长期与不可抗力影响期相同。</w:t>
      </w:r>
    </w:p>
    <w:p w14:paraId="280EBF7C">
      <w:pPr>
        <w:numPr>
          <w:ilvl w:val="0"/>
          <w:numId w:val="9"/>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不可抗力事件发生后，应立即通知对方，并寄送有关权威机构出具的证明。</w:t>
      </w:r>
    </w:p>
    <w:p w14:paraId="51B444CB">
      <w:pPr>
        <w:numPr>
          <w:ilvl w:val="0"/>
          <w:numId w:val="9"/>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不可抗力事件延续一百二十天以上，双方应通过友好协商，确定是否继续履行合同。</w:t>
      </w:r>
    </w:p>
    <w:p w14:paraId="09080462">
      <w:pPr>
        <w:pStyle w:val="3"/>
        <w:bidi w:val="0"/>
        <w:ind w:left="567" w:leftChars="200" w:hanging="147" w:hangingChars="70"/>
        <w:rPr>
          <w:rFonts w:hint="eastAsia" w:ascii="宋体" w:hAnsi="宋体" w:eastAsia="宋体" w:cs="宋体"/>
          <w:b/>
          <w:bCs w:val="0"/>
          <w:color w:val="auto"/>
          <w:sz w:val="21"/>
          <w:szCs w:val="21"/>
          <w:highlight w:val="none"/>
        </w:rPr>
      </w:pPr>
      <w:bookmarkStart w:id="326" w:name="_Toc17639"/>
      <w:bookmarkStart w:id="327" w:name="_Toc8638"/>
      <w:bookmarkStart w:id="328" w:name="_Toc7311"/>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十</w:t>
      </w:r>
      <w:r>
        <w:rPr>
          <w:rFonts w:hint="eastAsia" w:ascii="宋体" w:hAnsi="宋体" w:cs="宋体"/>
          <w:b/>
          <w:bCs w:val="0"/>
          <w:color w:val="auto"/>
          <w:sz w:val="21"/>
          <w:szCs w:val="21"/>
          <w:highlight w:val="none"/>
          <w:lang w:eastAsia="zh-CN"/>
        </w:rPr>
        <w:t>一</w:t>
      </w:r>
      <w:r>
        <w:rPr>
          <w:rFonts w:hint="eastAsia" w:ascii="宋体" w:hAnsi="宋体" w:eastAsia="宋体" w:cs="宋体"/>
          <w:b/>
          <w:bCs w:val="0"/>
          <w:color w:val="auto"/>
          <w:sz w:val="21"/>
          <w:szCs w:val="21"/>
          <w:highlight w:val="none"/>
        </w:rPr>
        <w:t>条  合同争议解决</w:t>
      </w:r>
      <w:bookmarkEnd w:id="326"/>
      <w:bookmarkEnd w:id="327"/>
      <w:bookmarkEnd w:id="328"/>
    </w:p>
    <w:p w14:paraId="20FFFE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1、因服务问题发生争议的，应邀请国家认可的相关机构进行鉴定。服务符合要求的，鉴定费由采购人承担；服务不符合要求的，鉴定费由成交供应商承担。</w:t>
      </w:r>
    </w:p>
    <w:p w14:paraId="14DA52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2、因履行本合同引起的或与本合同有关的争议，甲乙双方应首先通过友好协商解决，如果协商不能解决，可向向</w:t>
      </w:r>
      <w:r>
        <w:rPr>
          <w:rFonts w:hint="eastAsia" w:ascii="宋体" w:hAnsi="宋体" w:eastAsia="宋体" w:cs="宋体"/>
          <w:color w:val="auto"/>
          <w:highlight w:val="none"/>
        </w:rPr>
        <w:t>桂林市</w:t>
      </w:r>
      <w:r>
        <w:rPr>
          <w:rFonts w:hint="eastAsia" w:ascii="宋体" w:hAnsi="宋体" w:eastAsia="宋体" w:cs="宋体"/>
          <w:color w:val="auto"/>
          <w:szCs w:val="21"/>
          <w:highlight w:val="none"/>
        </w:rPr>
        <w:t>人民法院提起诉讼。</w:t>
      </w:r>
    </w:p>
    <w:p w14:paraId="5CAE67D5">
      <w:pPr>
        <w:spacing w:line="360" w:lineRule="auto"/>
        <w:ind w:left="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14:paraId="195BCD78">
      <w:pPr>
        <w:pStyle w:val="3"/>
        <w:bidi w:val="0"/>
        <w:ind w:left="567" w:leftChars="200" w:hanging="147" w:hangingChars="70"/>
        <w:rPr>
          <w:rFonts w:hint="eastAsia" w:ascii="宋体" w:hAnsi="宋体" w:eastAsia="宋体" w:cs="宋体"/>
          <w:b/>
          <w:bCs w:val="0"/>
          <w:color w:val="auto"/>
          <w:sz w:val="21"/>
          <w:szCs w:val="21"/>
          <w:highlight w:val="none"/>
        </w:rPr>
      </w:pPr>
      <w:bookmarkStart w:id="329" w:name="_Toc12502"/>
      <w:bookmarkStart w:id="330" w:name="_Toc17823"/>
      <w:bookmarkStart w:id="331" w:name="_Toc27483"/>
      <w:r>
        <w:rPr>
          <w:rFonts w:hint="eastAsia" w:ascii="宋体" w:hAnsi="宋体" w:eastAsia="宋体" w:cs="宋体"/>
          <w:b/>
          <w:bCs w:val="0"/>
          <w:color w:val="auto"/>
          <w:sz w:val="21"/>
          <w:szCs w:val="21"/>
          <w:highlight w:val="none"/>
        </w:rPr>
        <w:t>第十</w:t>
      </w:r>
      <w:r>
        <w:rPr>
          <w:rFonts w:hint="eastAsia" w:ascii="宋体" w:hAnsi="宋体" w:cs="宋体"/>
          <w:b/>
          <w:bCs w:val="0"/>
          <w:color w:val="auto"/>
          <w:sz w:val="21"/>
          <w:szCs w:val="21"/>
          <w:highlight w:val="none"/>
          <w:lang w:eastAsia="zh-CN"/>
        </w:rPr>
        <w:t>二</w:t>
      </w:r>
      <w:r>
        <w:rPr>
          <w:rFonts w:hint="eastAsia" w:ascii="宋体" w:hAnsi="宋体" w:eastAsia="宋体" w:cs="宋体"/>
          <w:b/>
          <w:bCs w:val="0"/>
          <w:color w:val="auto"/>
          <w:sz w:val="21"/>
          <w:szCs w:val="21"/>
          <w:highlight w:val="none"/>
        </w:rPr>
        <w:t>条  合同生效及其它</w:t>
      </w:r>
      <w:bookmarkEnd w:id="329"/>
      <w:bookmarkEnd w:id="330"/>
      <w:bookmarkEnd w:id="331"/>
    </w:p>
    <w:p w14:paraId="237275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1、合同经甲乙双方法定代表人或授权代表签字并加盖单位公章后生效。</w:t>
      </w:r>
    </w:p>
    <w:p w14:paraId="26F9AF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2、合同执行中涉及采购资金和采购内容修改或补充的，需</w:t>
      </w:r>
      <w:r>
        <w:rPr>
          <w:rFonts w:hint="eastAsia" w:ascii="宋体" w:hAnsi="宋体" w:cs="宋体"/>
          <w:color w:val="auto"/>
          <w:szCs w:val="21"/>
          <w:highlight w:val="none"/>
          <w:lang w:eastAsia="zh-CN"/>
        </w:rPr>
        <w:t>本级</w:t>
      </w:r>
      <w:r>
        <w:rPr>
          <w:rFonts w:hint="eastAsia" w:ascii="宋体" w:hAnsi="宋体" w:eastAsia="宋体" w:cs="宋体"/>
          <w:color w:val="auto"/>
          <w:szCs w:val="21"/>
          <w:highlight w:val="none"/>
        </w:rPr>
        <w:t>财政部门审批，并签订书面补充协议报</w:t>
      </w:r>
      <w:r>
        <w:rPr>
          <w:rFonts w:hint="eastAsia" w:ascii="宋体" w:hAnsi="宋体" w:eastAsia="宋体" w:cs="宋体"/>
          <w:color w:val="auto"/>
          <w:highlight w:val="none"/>
          <w:lang w:val="en-US" w:eastAsia="zh-CN"/>
        </w:rPr>
        <w:t>本级财政部门</w:t>
      </w:r>
      <w:r>
        <w:rPr>
          <w:rFonts w:hint="eastAsia" w:ascii="宋体" w:hAnsi="宋体" w:eastAsia="宋体" w:cs="宋体"/>
          <w:color w:val="auto"/>
          <w:szCs w:val="21"/>
          <w:highlight w:val="none"/>
        </w:rPr>
        <w:t>备案，方可作为主合同不可分割的一部分。</w:t>
      </w:r>
    </w:p>
    <w:p w14:paraId="031358E1">
      <w:pPr>
        <w:spacing w:line="360" w:lineRule="auto"/>
        <w:ind w:left="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3、本合同未尽事宜，遵照《</w:t>
      </w:r>
      <w:r>
        <w:rPr>
          <w:rFonts w:hint="eastAsia" w:ascii="宋体" w:hAnsi="宋体" w:eastAsia="宋体" w:cs="宋体"/>
          <w:color w:val="auto"/>
          <w:szCs w:val="21"/>
          <w:highlight w:val="none"/>
          <w:lang w:val="en-US" w:eastAsia="zh-CN"/>
        </w:rPr>
        <w:t>中华人民共和国民法典</w:t>
      </w:r>
      <w:r>
        <w:rPr>
          <w:rFonts w:hint="eastAsia" w:ascii="宋体" w:hAnsi="宋体" w:eastAsia="宋体" w:cs="宋体"/>
          <w:color w:val="auto"/>
          <w:szCs w:val="21"/>
          <w:highlight w:val="none"/>
        </w:rPr>
        <w:t>》有关条文执行。</w:t>
      </w:r>
    </w:p>
    <w:p w14:paraId="260755DA">
      <w:pPr>
        <w:pStyle w:val="3"/>
        <w:bidi w:val="0"/>
        <w:ind w:left="567" w:leftChars="200" w:hanging="147" w:hangingChars="70"/>
        <w:rPr>
          <w:rFonts w:hint="eastAsia" w:ascii="宋体" w:hAnsi="宋体" w:eastAsia="宋体" w:cs="宋体"/>
          <w:b/>
          <w:bCs w:val="0"/>
          <w:color w:val="auto"/>
          <w:sz w:val="21"/>
          <w:szCs w:val="21"/>
          <w:highlight w:val="none"/>
        </w:rPr>
      </w:pPr>
      <w:bookmarkStart w:id="332" w:name="_Toc31438"/>
      <w:bookmarkStart w:id="333" w:name="_Toc12956"/>
      <w:bookmarkStart w:id="334" w:name="_Toc18405"/>
      <w:r>
        <w:rPr>
          <w:rFonts w:hint="eastAsia" w:ascii="宋体" w:hAnsi="宋体" w:eastAsia="宋体" w:cs="宋体"/>
          <w:b/>
          <w:bCs w:val="0"/>
          <w:color w:val="auto"/>
          <w:sz w:val="21"/>
          <w:szCs w:val="21"/>
          <w:highlight w:val="none"/>
        </w:rPr>
        <w:t>第十</w:t>
      </w:r>
      <w:r>
        <w:rPr>
          <w:rFonts w:hint="eastAsia" w:ascii="宋体" w:hAnsi="宋体" w:cs="宋体"/>
          <w:b/>
          <w:bCs w:val="0"/>
          <w:color w:val="auto"/>
          <w:sz w:val="21"/>
          <w:szCs w:val="21"/>
          <w:highlight w:val="none"/>
          <w:lang w:eastAsia="zh-CN"/>
        </w:rPr>
        <w:t>三</w:t>
      </w:r>
      <w:r>
        <w:rPr>
          <w:rFonts w:hint="eastAsia" w:ascii="宋体" w:hAnsi="宋体" w:eastAsia="宋体" w:cs="宋体"/>
          <w:b/>
          <w:bCs w:val="0"/>
          <w:color w:val="auto"/>
          <w:sz w:val="21"/>
          <w:szCs w:val="21"/>
          <w:highlight w:val="none"/>
        </w:rPr>
        <w:t>条  合同的变更、终止与转让</w:t>
      </w:r>
      <w:bookmarkEnd w:id="332"/>
      <w:bookmarkEnd w:id="333"/>
      <w:bookmarkEnd w:id="334"/>
    </w:p>
    <w:p w14:paraId="0166C8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1、除《中华人民共和国政府采购法》第五十条规定的情形外，本合同一经签订，甲乙双方不得擅自变更，中止或终止。</w:t>
      </w:r>
    </w:p>
    <w:p w14:paraId="49D8D3B5">
      <w:pPr>
        <w:numPr>
          <w:ilvl w:val="0"/>
          <w:numId w:val="1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成交供应商不得擅自转让其应履行的合同义务。</w:t>
      </w:r>
    </w:p>
    <w:p w14:paraId="6B39A903">
      <w:pPr>
        <w:pStyle w:val="3"/>
        <w:bidi w:val="0"/>
        <w:ind w:left="567" w:leftChars="200" w:hanging="147" w:hangingChars="70"/>
        <w:rPr>
          <w:rFonts w:hint="eastAsia" w:ascii="宋体" w:hAnsi="宋体" w:eastAsia="宋体" w:cs="宋体"/>
          <w:b/>
          <w:bCs w:val="0"/>
          <w:color w:val="auto"/>
          <w:sz w:val="21"/>
          <w:szCs w:val="21"/>
          <w:highlight w:val="none"/>
        </w:rPr>
      </w:pPr>
      <w:bookmarkStart w:id="335" w:name="_Toc32608"/>
      <w:bookmarkStart w:id="336" w:name="_Toc29783"/>
      <w:bookmarkStart w:id="337" w:name="_Toc14327"/>
      <w:r>
        <w:rPr>
          <w:rFonts w:hint="eastAsia" w:ascii="宋体" w:hAnsi="宋体" w:eastAsia="宋体" w:cs="宋体"/>
          <w:b/>
          <w:bCs w:val="0"/>
          <w:color w:val="auto"/>
          <w:sz w:val="21"/>
          <w:szCs w:val="21"/>
          <w:highlight w:val="none"/>
        </w:rPr>
        <w:t>第十</w:t>
      </w:r>
      <w:r>
        <w:rPr>
          <w:rFonts w:hint="eastAsia" w:ascii="宋体" w:hAnsi="宋体" w:cs="宋体"/>
          <w:b/>
          <w:bCs w:val="0"/>
          <w:color w:val="auto"/>
          <w:sz w:val="21"/>
          <w:szCs w:val="21"/>
          <w:highlight w:val="none"/>
          <w:lang w:eastAsia="zh-CN"/>
        </w:rPr>
        <w:t>四</w:t>
      </w:r>
      <w:r>
        <w:rPr>
          <w:rFonts w:hint="eastAsia" w:ascii="宋体" w:hAnsi="宋体" w:eastAsia="宋体" w:cs="宋体"/>
          <w:b/>
          <w:bCs w:val="0"/>
          <w:color w:val="auto"/>
          <w:sz w:val="21"/>
          <w:szCs w:val="21"/>
          <w:highlight w:val="none"/>
        </w:rPr>
        <w:t>条  签订本合同依据</w:t>
      </w:r>
      <w:bookmarkEnd w:id="335"/>
      <w:bookmarkEnd w:id="336"/>
      <w:bookmarkEnd w:id="337"/>
    </w:p>
    <w:p w14:paraId="2593DB71">
      <w:pPr>
        <w:spacing w:line="360" w:lineRule="auto"/>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w:t>
      </w:r>
    </w:p>
    <w:p w14:paraId="171EFB4F">
      <w:pPr>
        <w:spacing w:line="360" w:lineRule="auto"/>
        <w:ind w:left="224" w:leftChars="107" w:firstLine="210" w:firstLineChars="1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2、成交供应商</w:t>
      </w:r>
      <w:r>
        <w:rPr>
          <w:rFonts w:hint="eastAsia" w:ascii="宋体" w:hAnsi="宋体" w:eastAsia="宋体" w:cs="宋体"/>
          <w:color w:val="auto"/>
          <w:szCs w:val="21"/>
          <w:highlight w:val="none"/>
          <w:lang w:eastAsia="zh-CN"/>
        </w:rPr>
        <w:t>的响应（或应答）文件；</w:t>
      </w:r>
    </w:p>
    <w:p w14:paraId="63FEAFFE">
      <w:pPr>
        <w:spacing w:line="360" w:lineRule="auto"/>
        <w:ind w:left="224" w:leftChars="107"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承诺书；</w:t>
      </w:r>
    </w:p>
    <w:p w14:paraId="54C67C50">
      <w:pPr>
        <w:spacing w:line="360" w:lineRule="auto"/>
        <w:ind w:left="224" w:leftChars="107" w:firstLine="210" w:firstLineChars="1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磋商中的磋商记录；</w:t>
      </w:r>
    </w:p>
    <w:p w14:paraId="530E9D55">
      <w:pPr>
        <w:spacing w:line="360" w:lineRule="auto"/>
        <w:ind w:left="224" w:leftChars="107"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、成交通知书。</w:t>
      </w:r>
    </w:p>
    <w:p w14:paraId="7DCD03FB">
      <w:pPr>
        <w:spacing w:line="360" w:lineRule="auto"/>
        <w:ind w:firstLine="420" w:firstLineChars="200"/>
        <w:rPr>
          <w:rFonts w:hint="eastAsia" w:ascii="宋体" w:hAnsi="宋体" w:eastAsia="宋体" w:cs="宋体"/>
          <w:color w:val="auto"/>
          <w:szCs w:val="21"/>
          <w:highlight w:val="none"/>
          <w:lang w:eastAsia="zh-CN"/>
        </w:rPr>
      </w:pPr>
    </w:p>
    <w:p w14:paraId="6E34F21A">
      <w:pPr>
        <w:spacing w:line="400" w:lineRule="exact"/>
        <w:ind w:firstLine="420" w:firstLineChars="200"/>
        <w:rPr>
          <w:color w:val="auto"/>
          <w:highlight w:val="none"/>
        </w:rPr>
      </w:pPr>
      <w:r>
        <w:rPr>
          <w:rFonts w:hint="eastAsia" w:ascii="宋体" w:hAnsi="宋体" w:cs="宋体"/>
          <w:color w:val="auto"/>
          <w:szCs w:val="21"/>
          <w:highlight w:val="none"/>
        </w:rPr>
        <w:t>政府采购合同双方自签订之日起将自动存档于“</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”平台上，采购人于合同签订之日起七个工作日内将一份合同原件送本级财政部门备案。</w:t>
      </w:r>
    </w:p>
    <w:p w14:paraId="4A7706C4">
      <w:pPr>
        <w:pBdr>
          <w:top w:val="none" w:color="auto" w:sz="0" w:space="1"/>
          <w:left w:val="none" w:color="auto" w:sz="0" w:space="4"/>
          <w:bottom w:val="none" w:color="auto" w:sz="0" w:space="1"/>
          <w:right w:val="none" w:color="auto" w:sz="0" w:space="4"/>
        </w:pBdr>
        <w:tabs>
          <w:tab w:val="left" w:pos="5040"/>
        </w:tabs>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开户名称：</w:t>
      </w:r>
      <w:r>
        <w:rPr>
          <w:rFonts w:hint="eastAsia" w:ascii="宋体" w:hAnsi="宋体" w:eastAsia="宋体" w:cs="宋体"/>
          <w:color w:val="auto"/>
          <w:szCs w:val="21"/>
          <w:highlight w:val="none"/>
          <w:u w:val="single"/>
        </w:rPr>
        <w:t xml:space="preserve">                                   </w:t>
      </w:r>
    </w:p>
    <w:p w14:paraId="399353F6">
      <w:pPr>
        <w:pBdr>
          <w:top w:val="none" w:color="auto" w:sz="0" w:space="1"/>
          <w:left w:val="none" w:color="auto" w:sz="0" w:space="4"/>
          <w:bottom w:val="none" w:color="auto" w:sz="0" w:space="1"/>
          <w:right w:val="none" w:color="auto" w:sz="0" w:space="4"/>
        </w:pBdr>
        <w:tabs>
          <w:tab w:val="left" w:pos="5040"/>
        </w:tabs>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开户银行：</w:t>
      </w:r>
      <w:r>
        <w:rPr>
          <w:rFonts w:hint="eastAsia" w:ascii="宋体" w:hAnsi="宋体" w:eastAsia="宋体" w:cs="宋体"/>
          <w:color w:val="auto"/>
          <w:szCs w:val="21"/>
          <w:highlight w:val="none"/>
          <w:u w:val="single"/>
        </w:rPr>
        <w:t xml:space="preserve">                                   </w:t>
      </w:r>
    </w:p>
    <w:p w14:paraId="7D4F15D6">
      <w:pPr>
        <w:pBdr>
          <w:top w:val="none" w:color="auto" w:sz="0" w:space="1"/>
          <w:left w:val="none" w:color="auto" w:sz="0" w:space="4"/>
          <w:bottom w:val="none" w:color="auto" w:sz="0" w:space="1"/>
          <w:right w:val="none" w:color="auto" w:sz="0" w:space="4"/>
        </w:pBdr>
        <w:tabs>
          <w:tab w:val="left" w:pos="5040"/>
        </w:tabs>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银行账号：</w:t>
      </w:r>
      <w:r>
        <w:rPr>
          <w:rFonts w:hint="eastAsia" w:ascii="宋体" w:hAnsi="宋体" w:eastAsia="宋体" w:cs="宋体"/>
          <w:color w:val="auto"/>
          <w:szCs w:val="21"/>
          <w:highlight w:val="none"/>
          <w:u w:val="single"/>
        </w:rPr>
        <w:t xml:space="preserve">                                   </w:t>
      </w:r>
    </w:p>
    <w:p w14:paraId="34E20D9A">
      <w:pPr>
        <w:tabs>
          <w:tab w:val="left" w:pos="5040"/>
        </w:tabs>
        <w:spacing w:line="360" w:lineRule="auto"/>
        <w:ind w:firstLine="630" w:firstLineChars="30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D67F6DD">
      <w:pPr>
        <w:pStyle w:val="9"/>
        <w:rPr>
          <w:rFonts w:hint="eastAsia" w:ascii="宋体" w:hAnsi="宋体" w:eastAsia="宋体" w:cs="宋体"/>
          <w:color w:val="auto"/>
          <w:highlight w:val="none"/>
        </w:rPr>
      </w:pPr>
    </w:p>
    <w:p w14:paraId="69686626">
      <w:pPr>
        <w:rPr>
          <w:rFonts w:hint="eastAsia" w:ascii="宋体" w:hAnsi="宋体" w:eastAsia="宋体" w:cs="宋体"/>
          <w:color w:val="auto"/>
          <w:highlight w:val="none"/>
        </w:rPr>
      </w:pPr>
    </w:p>
    <w:p w14:paraId="4E4EE106">
      <w:pPr>
        <w:pStyle w:val="3"/>
        <w:jc w:val="center"/>
        <w:rPr>
          <w:rFonts w:hint="eastAsia" w:ascii="宋体" w:hAnsi="宋体" w:eastAsia="宋体" w:cs="宋体"/>
          <w:b/>
          <w:bCs/>
          <w:color w:val="auto"/>
          <w:kern w:val="44"/>
          <w:sz w:val="32"/>
          <w:szCs w:val="32"/>
          <w:highlight w:val="none"/>
        </w:rPr>
      </w:pPr>
      <w:bookmarkStart w:id="338" w:name="_Toc24269"/>
      <w:bookmarkStart w:id="339" w:name="_Toc5077"/>
      <w:bookmarkStart w:id="340" w:name="_Toc10014"/>
    </w:p>
    <w:p w14:paraId="6C7E5984">
      <w:pPr>
        <w:rPr>
          <w:rFonts w:hint="eastAsia" w:ascii="宋体" w:hAnsi="宋体" w:eastAsia="宋体" w:cs="宋体"/>
          <w:b/>
          <w:bCs/>
          <w:color w:val="auto"/>
          <w:kern w:val="44"/>
          <w:sz w:val="32"/>
          <w:szCs w:val="32"/>
          <w:highlight w:val="none"/>
        </w:rPr>
      </w:pPr>
    </w:p>
    <w:p w14:paraId="468FF4A2">
      <w:pPr>
        <w:rPr>
          <w:rFonts w:hint="eastAsia" w:ascii="宋体" w:hAnsi="宋体" w:eastAsia="宋体" w:cs="宋体"/>
          <w:b/>
          <w:bCs/>
          <w:color w:val="auto"/>
          <w:kern w:val="44"/>
          <w:sz w:val="32"/>
          <w:szCs w:val="32"/>
          <w:highlight w:val="none"/>
        </w:rPr>
      </w:pPr>
    </w:p>
    <w:p w14:paraId="2AD483E4">
      <w:pPr>
        <w:rPr>
          <w:rFonts w:hint="eastAsia" w:ascii="宋体" w:hAnsi="宋体" w:eastAsia="宋体" w:cs="宋体"/>
          <w:b/>
          <w:bCs/>
          <w:color w:val="auto"/>
          <w:kern w:val="44"/>
          <w:sz w:val="32"/>
          <w:szCs w:val="32"/>
          <w:highlight w:val="none"/>
        </w:rPr>
      </w:pPr>
    </w:p>
    <w:p w14:paraId="7B9D1EA6">
      <w:pPr>
        <w:rPr>
          <w:rFonts w:hint="eastAsia" w:ascii="宋体" w:hAnsi="宋体" w:eastAsia="宋体" w:cs="宋体"/>
          <w:b/>
          <w:bCs/>
          <w:color w:val="auto"/>
          <w:kern w:val="44"/>
          <w:sz w:val="32"/>
          <w:szCs w:val="32"/>
          <w:highlight w:val="none"/>
        </w:rPr>
      </w:pPr>
    </w:p>
    <w:p w14:paraId="4ADAD168">
      <w:pPr>
        <w:rPr>
          <w:rFonts w:hint="eastAsia" w:ascii="宋体" w:hAnsi="宋体" w:eastAsia="宋体" w:cs="宋体"/>
          <w:b/>
          <w:bCs/>
          <w:color w:val="auto"/>
          <w:kern w:val="44"/>
          <w:sz w:val="32"/>
          <w:szCs w:val="32"/>
          <w:highlight w:val="none"/>
        </w:rPr>
      </w:pPr>
    </w:p>
    <w:p w14:paraId="1DA77668">
      <w:pPr>
        <w:rPr>
          <w:rFonts w:hint="eastAsia" w:ascii="宋体" w:hAnsi="宋体" w:eastAsia="宋体" w:cs="宋体"/>
          <w:b/>
          <w:bCs/>
          <w:color w:val="auto"/>
          <w:kern w:val="44"/>
          <w:sz w:val="32"/>
          <w:szCs w:val="32"/>
          <w:highlight w:val="none"/>
        </w:rPr>
      </w:pPr>
    </w:p>
    <w:p w14:paraId="3169651A">
      <w:pPr>
        <w:rPr>
          <w:rFonts w:hint="eastAsia" w:ascii="宋体" w:hAnsi="宋体" w:eastAsia="宋体" w:cs="宋体"/>
          <w:b/>
          <w:bCs/>
          <w:color w:val="auto"/>
          <w:kern w:val="44"/>
          <w:sz w:val="32"/>
          <w:szCs w:val="32"/>
          <w:highlight w:val="none"/>
        </w:rPr>
      </w:pPr>
    </w:p>
    <w:p w14:paraId="2EAC5AFB">
      <w:pPr>
        <w:rPr>
          <w:rFonts w:hint="eastAsia" w:ascii="宋体" w:hAnsi="宋体" w:eastAsia="宋体" w:cs="宋体"/>
          <w:b/>
          <w:bCs/>
          <w:color w:val="auto"/>
          <w:kern w:val="44"/>
          <w:sz w:val="32"/>
          <w:szCs w:val="32"/>
          <w:highlight w:val="none"/>
        </w:rPr>
      </w:pPr>
    </w:p>
    <w:bookmarkEnd w:id="338"/>
    <w:bookmarkEnd w:id="339"/>
    <w:bookmarkEnd w:id="340"/>
    <w:p w14:paraId="7B03D9F6">
      <w:pPr>
        <w:pStyle w:val="29"/>
        <w:rPr>
          <w:rFonts w:hint="eastAsia"/>
          <w:color w:val="auto"/>
          <w:highlight w:val="none"/>
        </w:rPr>
      </w:pPr>
    </w:p>
    <w:p w14:paraId="123072B4">
      <w:pPr>
        <w:pStyle w:val="3"/>
        <w:ind w:firstLine="3200" w:firstLineChars="1000"/>
        <w:rPr>
          <w:rFonts w:hint="eastAsia" w:ascii="宋体" w:hAnsi="宋体" w:eastAsia="宋体" w:cs="宋体"/>
          <w:b/>
          <w:color w:val="auto"/>
          <w:sz w:val="32"/>
          <w:highlight w:val="none"/>
          <w:lang w:eastAsia="zh-CN"/>
        </w:rPr>
      </w:pPr>
      <w:bookmarkStart w:id="341" w:name="_Toc21552"/>
      <w:bookmarkStart w:id="342" w:name="_Toc6270"/>
      <w:bookmarkStart w:id="343" w:name="_Toc4018"/>
      <w:bookmarkStart w:id="344" w:name="_Toc21496"/>
      <w:bookmarkStart w:id="345" w:name="_Toc18351"/>
      <w:bookmarkStart w:id="346" w:name="_Toc497927069"/>
      <w:r>
        <w:rPr>
          <w:rFonts w:hint="eastAsia" w:ascii="宋体" w:hAnsi="宋体" w:eastAsia="宋体" w:cs="宋体"/>
          <w:b/>
          <w:bCs/>
          <w:color w:val="auto"/>
          <w:kern w:val="44"/>
          <w:sz w:val="32"/>
          <w:szCs w:val="32"/>
          <w:highlight w:val="none"/>
        </w:rPr>
        <w:t xml:space="preserve">第六章  </w:t>
      </w:r>
      <w:r>
        <w:rPr>
          <w:rFonts w:hint="eastAsia" w:ascii="宋体" w:hAnsi="宋体" w:eastAsia="宋体" w:cs="宋体"/>
          <w:b/>
          <w:bCs/>
          <w:color w:val="auto"/>
          <w:sz w:val="32"/>
          <w:szCs w:val="32"/>
          <w:highlight w:val="none"/>
        </w:rPr>
        <w:t>响应文件（格式）</w:t>
      </w:r>
      <w:bookmarkEnd w:id="341"/>
      <w:bookmarkEnd w:id="342"/>
      <w:bookmarkEnd w:id="343"/>
    </w:p>
    <w:p w14:paraId="0A910840">
      <w:pPr>
        <w:pStyle w:val="13"/>
        <w:jc w:val="both"/>
        <w:rPr>
          <w:rFonts w:hint="eastAsia" w:ascii="宋体" w:hAnsi="宋体" w:eastAsia="宋体" w:cs="宋体"/>
          <w:b/>
          <w:color w:val="auto"/>
          <w:sz w:val="32"/>
          <w:highlight w:val="none"/>
          <w:lang w:eastAsia="zh-CN"/>
        </w:rPr>
      </w:pPr>
    </w:p>
    <w:p w14:paraId="39AA8E08">
      <w:pPr>
        <w:pStyle w:val="13"/>
        <w:jc w:val="both"/>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lang w:eastAsia="zh-CN"/>
        </w:rPr>
        <w:t>一、响应文件袋（盒、箱）标记</w:t>
      </w:r>
      <w:bookmarkEnd w:id="344"/>
      <w:bookmarkEnd w:id="345"/>
      <w:bookmarkEnd w:id="346"/>
    </w:p>
    <w:p w14:paraId="2020F54D">
      <w:pPr>
        <w:adjustRightInd w:val="0"/>
        <w:snapToGrid w:val="0"/>
        <w:rPr>
          <w:rFonts w:hint="eastAsia" w:ascii="宋体" w:hAnsi="宋体" w:eastAsia="宋体" w:cs="宋体"/>
          <w:b/>
          <w:color w:val="auto"/>
          <w:sz w:val="44"/>
          <w:szCs w:val="44"/>
          <w:highlight w:val="none"/>
        </w:rPr>
      </w:pPr>
    </w:p>
    <w:p w14:paraId="38A3EAA9">
      <w:pPr>
        <w:pStyle w:val="29"/>
        <w:rPr>
          <w:rFonts w:hint="eastAsia" w:ascii="宋体" w:hAnsi="宋体" w:eastAsia="宋体" w:cs="宋体"/>
          <w:color w:val="auto"/>
          <w:highlight w:val="none"/>
        </w:rPr>
      </w:pPr>
    </w:p>
    <w:p w14:paraId="6BAD2B0C">
      <w:pPr>
        <w:snapToGrid w:val="0"/>
        <w:spacing w:before="156" w:beforeLines="50" w:after="5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 应 文 件</w:t>
      </w:r>
    </w:p>
    <w:p w14:paraId="752E433D">
      <w:pPr>
        <w:snapToGrid w:val="0"/>
        <w:spacing w:before="156" w:beforeLines="50" w:after="50"/>
        <w:ind w:firstLine="480" w:firstLineChars="150"/>
        <w:jc w:val="both"/>
        <w:rPr>
          <w:rFonts w:hint="eastAsia" w:ascii="宋体" w:hAnsi="宋体" w:eastAsia="宋体" w:cs="宋体"/>
          <w:b/>
          <w:color w:val="auto"/>
          <w:sz w:val="28"/>
          <w:szCs w:val="28"/>
          <w:highlight w:val="none"/>
        </w:rPr>
      </w:pPr>
      <w:r>
        <w:rPr>
          <w:rFonts w:hint="eastAsia" w:ascii="宋体" w:hAnsi="宋体" w:eastAsia="宋体" w:cs="宋体"/>
          <w:color w:val="auto"/>
          <w:sz w:val="32"/>
          <w:szCs w:val="32"/>
          <w:highlight w:val="none"/>
          <w:lang w:val="en-US" w:eastAsia="zh-CN"/>
        </w:rPr>
        <w:t xml:space="preserve">                       </w:t>
      </w:r>
    </w:p>
    <w:p w14:paraId="67B6276F">
      <w:pPr>
        <w:snapToGrid w:val="0"/>
        <w:spacing w:before="156" w:beforeLines="50" w:after="50"/>
        <w:ind w:firstLine="420" w:firstLineChars="150"/>
        <w:rPr>
          <w:rFonts w:hint="eastAsia" w:ascii="宋体" w:hAnsi="宋体" w:eastAsia="宋体" w:cs="宋体"/>
          <w:b/>
          <w:color w:val="auto"/>
          <w:sz w:val="28"/>
          <w:szCs w:val="28"/>
          <w:highlight w:val="none"/>
        </w:rPr>
      </w:pPr>
    </w:p>
    <w:p w14:paraId="60F37D87">
      <w:pPr>
        <w:snapToGrid w:val="0"/>
        <w:spacing w:before="156" w:beforeLines="50" w:after="50"/>
        <w:ind w:firstLine="420" w:firstLineChars="150"/>
        <w:rPr>
          <w:rFonts w:hint="eastAsia" w:ascii="宋体" w:hAnsi="宋体" w:eastAsia="宋体" w:cs="宋体"/>
          <w:b/>
          <w:color w:val="auto"/>
          <w:sz w:val="28"/>
          <w:szCs w:val="28"/>
          <w:highlight w:val="none"/>
        </w:rPr>
      </w:pPr>
    </w:p>
    <w:p w14:paraId="2D7C226B">
      <w:pPr>
        <w:ind w:left="3913" w:leftChars="1197" w:hanging="1400" w:hangingChars="500"/>
        <w:rPr>
          <w:rStyle w:val="35"/>
          <w:rFonts w:hint="eastAsia" w:ascii="宋体"/>
          <w:color w:val="auto"/>
          <w:szCs w:val="21"/>
          <w:highlight w:val="none"/>
          <w:lang w:val="en-US" w:eastAsia="zh-CN"/>
        </w:rPr>
      </w:pPr>
      <w:r>
        <w:rPr>
          <w:rFonts w:hint="eastAsia" w:ascii="宋体" w:hAnsi="宋体" w:eastAsia="宋体" w:cs="宋体"/>
          <w:b/>
          <w:bCs w:val="0"/>
          <w:color w:val="auto"/>
          <w:sz w:val="28"/>
          <w:szCs w:val="28"/>
          <w:highlight w:val="none"/>
        </w:rPr>
        <w:t>项目名称：</w:t>
      </w:r>
      <w:r>
        <w:rPr>
          <w:rFonts w:hint="eastAsia" w:ascii="宋体" w:hAnsi="宋体" w:cs="宋体"/>
          <w:b/>
          <w:bCs w:val="0"/>
          <w:color w:val="auto"/>
          <w:sz w:val="28"/>
          <w:szCs w:val="28"/>
          <w:highlight w:val="none"/>
          <w:u w:val="single"/>
          <w:lang w:val="en-US" w:eastAsia="zh-CN"/>
        </w:rPr>
        <w:t>桂林市复兴学校园林绿化服务采购项目</w:t>
      </w:r>
    </w:p>
    <w:p w14:paraId="559FF02C">
      <w:pPr>
        <w:snapToGrid w:val="0"/>
        <w:spacing w:before="156" w:beforeLines="50" w:after="50"/>
        <w:ind w:left="4310" w:leftChars="1330" w:hanging="1517" w:hangingChars="542"/>
        <w:rPr>
          <w:rFonts w:hint="eastAsia" w:ascii="宋体" w:hAnsi="宋体" w:eastAsia="宋体" w:cs="宋体"/>
          <w:b/>
          <w:bCs w:val="0"/>
          <w:color w:val="auto"/>
          <w:sz w:val="28"/>
          <w:szCs w:val="28"/>
          <w:highlight w:val="none"/>
          <w:u w:val="single"/>
          <w:lang w:eastAsia="zh-CN"/>
        </w:rPr>
      </w:pPr>
    </w:p>
    <w:p w14:paraId="6F4267CD">
      <w:pPr>
        <w:snapToGrid w:val="0"/>
        <w:spacing w:before="156" w:beforeLines="50" w:after="50"/>
        <w:ind w:firstLine="2693" w:firstLineChars="962"/>
        <w:rPr>
          <w:rFonts w:hint="eastAsia" w:ascii="宋体" w:hAnsi="宋体" w:eastAsia="宋体" w:cs="宋体"/>
          <w:b/>
          <w:bCs w:val="0"/>
          <w:color w:val="auto"/>
          <w:sz w:val="28"/>
          <w:szCs w:val="28"/>
          <w:highlight w:val="none"/>
        </w:rPr>
      </w:pPr>
    </w:p>
    <w:p w14:paraId="7A262CC3">
      <w:pPr>
        <w:snapToGrid w:val="0"/>
        <w:spacing w:before="156" w:beforeLines="50" w:after="50"/>
        <w:ind w:firstLine="2693" w:firstLineChars="962"/>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rPr>
        <w:t>项目编号：</w:t>
      </w:r>
      <w:r>
        <w:rPr>
          <w:rFonts w:hint="eastAsia" w:ascii="宋体" w:hAnsi="宋体" w:cs="宋体"/>
          <w:b/>
          <w:bCs w:val="0"/>
          <w:color w:val="auto"/>
          <w:sz w:val="28"/>
          <w:szCs w:val="28"/>
          <w:highlight w:val="none"/>
          <w:u w:val="single"/>
          <w:lang w:val="en-US" w:eastAsia="zh-CN"/>
        </w:rPr>
        <w:t>GLZC2025-C3-990531-GLSZ</w:t>
      </w:r>
    </w:p>
    <w:p w14:paraId="2D0533FA">
      <w:pPr>
        <w:rPr>
          <w:rFonts w:hint="eastAsia" w:ascii="宋体" w:hAnsi="宋体" w:eastAsia="宋体" w:cs="宋体"/>
          <w:b/>
          <w:color w:val="auto"/>
          <w:highlight w:val="none"/>
        </w:rPr>
      </w:pPr>
    </w:p>
    <w:p w14:paraId="5A1C498A">
      <w:pPr>
        <w:pStyle w:val="29"/>
        <w:rPr>
          <w:rFonts w:hint="eastAsia" w:ascii="宋体" w:hAnsi="宋体" w:eastAsia="宋体" w:cs="宋体"/>
          <w:b/>
          <w:color w:val="auto"/>
          <w:sz w:val="28"/>
          <w:szCs w:val="28"/>
          <w:highlight w:val="none"/>
        </w:rPr>
      </w:pPr>
    </w:p>
    <w:p w14:paraId="5FF7C7BA">
      <w:pPr>
        <w:pStyle w:val="29"/>
        <w:rPr>
          <w:rFonts w:hint="eastAsia" w:ascii="宋体" w:hAnsi="宋体" w:eastAsia="宋体" w:cs="宋体"/>
          <w:b/>
          <w:color w:val="auto"/>
          <w:sz w:val="28"/>
          <w:szCs w:val="28"/>
          <w:highlight w:val="none"/>
        </w:rPr>
      </w:pPr>
    </w:p>
    <w:p w14:paraId="5959D34C">
      <w:pPr>
        <w:snapToGrid w:val="0"/>
        <w:spacing w:before="156" w:beforeLines="50" w:after="50"/>
        <w:ind w:firstLine="2693" w:firstLineChars="962"/>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u w:val="single"/>
        </w:rPr>
        <w:t xml:space="preserve"> 桂林市政府集中采购中心   </w:t>
      </w:r>
    </w:p>
    <w:p w14:paraId="45E16EA7">
      <w:pPr>
        <w:pStyle w:val="10"/>
        <w:ind w:left="980" w:hanging="560" w:hangingChars="200"/>
        <w:rPr>
          <w:rFonts w:hint="eastAsia" w:ascii="宋体" w:hAnsi="宋体" w:eastAsia="宋体" w:cs="宋体"/>
          <w:bCs/>
          <w:color w:val="auto"/>
          <w:sz w:val="28"/>
          <w:szCs w:val="28"/>
          <w:highlight w:val="none"/>
        </w:rPr>
      </w:pPr>
      <w:bookmarkStart w:id="347" w:name="_Toc20319_WPSOffice_Level2"/>
      <w:bookmarkStart w:id="348" w:name="_Toc4932_WPSOffice_Level2"/>
      <w:r>
        <w:rPr>
          <w:rFonts w:hint="eastAsia" w:ascii="宋体" w:hAnsi="宋体" w:eastAsia="宋体" w:cs="宋体"/>
          <w:bCs/>
          <w:color w:val="auto"/>
          <w:sz w:val="28"/>
          <w:szCs w:val="28"/>
          <w:highlight w:val="none"/>
          <w:lang w:eastAsia="zh-CN"/>
        </w:rPr>
        <w:t>磋商供应商</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公章</w:t>
      </w:r>
      <w:r>
        <w:rPr>
          <w:rFonts w:hint="eastAsia" w:ascii="宋体" w:hAnsi="宋体" w:eastAsia="宋体" w:cs="宋体"/>
          <w:bCs/>
          <w:color w:val="auto"/>
          <w:sz w:val="28"/>
          <w:szCs w:val="28"/>
          <w:highlight w:val="none"/>
          <w:lang w:val="en-US" w:eastAsia="zh-CN"/>
        </w:rPr>
        <w:t>(CA签章)</w:t>
      </w:r>
      <w:r>
        <w:rPr>
          <w:rFonts w:hint="eastAsia" w:ascii="宋体" w:hAnsi="宋体" w:eastAsia="宋体" w:cs="宋体"/>
          <w:bCs/>
          <w:color w:val="auto"/>
          <w:sz w:val="28"/>
          <w:szCs w:val="28"/>
          <w:highlight w:val="none"/>
        </w:rPr>
        <w:t>、自然人除外</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 xml:space="preserve">                       </w:t>
      </w:r>
      <w:bookmarkEnd w:id="347"/>
      <w:bookmarkEnd w:id="348"/>
      <w:r>
        <w:rPr>
          <w:rFonts w:hint="eastAsia" w:ascii="宋体" w:hAnsi="宋体" w:eastAsia="宋体" w:cs="宋体"/>
          <w:bCs/>
          <w:color w:val="auto"/>
          <w:sz w:val="28"/>
          <w:szCs w:val="28"/>
          <w:highlight w:val="none"/>
          <w:u w:val="single"/>
        </w:rPr>
        <w:t xml:space="preserve">       </w:t>
      </w:r>
    </w:p>
    <w:p w14:paraId="1BAC9880">
      <w:pPr>
        <w:pStyle w:val="13"/>
        <w:spacing w:line="320" w:lineRule="exact"/>
        <w:ind w:firstLine="420"/>
        <w:rPr>
          <w:rFonts w:hint="eastAsia" w:ascii="宋体" w:hAnsi="宋体" w:eastAsia="宋体" w:cs="宋体"/>
          <w:color w:val="auto"/>
          <w:sz w:val="28"/>
          <w:szCs w:val="28"/>
          <w:highlight w:val="none"/>
          <w:lang w:val="en-US" w:eastAsia="zh-CN"/>
        </w:rPr>
      </w:pPr>
      <w:bookmarkStart w:id="349" w:name="_Toc9622_WPSOffice_Level2"/>
      <w:bookmarkStart w:id="350" w:name="_Toc32056_WPSOffice_Level2"/>
      <w:r>
        <w:rPr>
          <w:rFonts w:hint="eastAsia" w:ascii="宋体" w:hAnsi="宋体" w:eastAsia="宋体" w:cs="宋体"/>
          <w:color w:val="auto"/>
          <w:sz w:val="28"/>
          <w:szCs w:val="28"/>
          <w:highlight w:val="none"/>
        </w:rPr>
        <w:t>法定代表人、负责人、自然人或相应的委托代理人签字</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或盖章</w:t>
      </w:r>
      <w:r>
        <w:rPr>
          <w:rFonts w:hint="eastAsia" w:ascii="宋体" w:hAnsi="宋体" w:eastAsia="宋体" w:cs="宋体"/>
          <w:color w:val="auto"/>
          <w:sz w:val="28"/>
          <w:szCs w:val="28"/>
          <w:highlight w:val="none"/>
          <w:lang w:val="en-US" w:eastAsia="zh-CN"/>
        </w:rPr>
        <w:t>(CA签章)]</w:t>
      </w:r>
    </w:p>
    <w:p w14:paraId="20097873">
      <w:pPr>
        <w:pStyle w:val="10"/>
        <w:ind w:left="980" w:hanging="560" w:hanging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（属自然人的应在签名处加盖大拇指指印</w:t>
      </w:r>
      <w:r>
        <w:rPr>
          <w:rFonts w:hint="eastAsia" w:ascii="宋体" w:hAnsi="宋体" w:eastAsia="宋体" w:cs="宋体"/>
          <w:color w:val="auto"/>
          <w:sz w:val="28"/>
          <w:szCs w:val="28"/>
          <w:highlight w:val="none"/>
          <w:lang w:eastAsia="zh-CN"/>
        </w:rPr>
        <w:t>或</w:t>
      </w:r>
      <w:r>
        <w:rPr>
          <w:rFonts w:hint="eastAsia" w:ascii="宋体" w:hAnsi="宋体" w:eastAsia="宋体" w:cs="宋体"/>
          <w:color w:val="auto"/>
          <w:sz w:val="28"/>
          <w:szCs w:val="28"/>
          <w:highlight w:val="none"/>
          <w:lang w:val="en-US" w:eastAsia="zh-CN"/>
        </w:rPr>
        <w:t>个人CA签章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14:paraId="6412F0AC">
      <w:pPr>
        <w:pStyle w:val="10"/>
        <w:ind w:left="980" w:hanging="560" w:hangingChars="200"/>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rPr>
        <w:t>联系电话：</w:t>
      </w:r>
      <w:bookmarkEnd w:id="349"/>
      <w:bookmarkEnd w:id="350"/>
      <w:r>
        <w:rPr>
          <w:rFonts w:hint="eastAsia" w:ascii="宋体" w:hAnsi="宋体" w:eastAsia="宋体" w:cs="宋体"/>
          <w:bCs/>
          <w:color w:val="auto"/>
          <w:sz w:val="28"/>
          <w:szCs w:val="28"/>
          <w:highlight w:val="none"/>
          <w:u w:val="single"/>
        </w:rPr>
        <w:t xml:space="preserve">                                                </w:t>
      </w:r>
    </w:p>
    <w:p w14:paraId="26BC2974">
      <w:pPr>
        <w:pStyle w:val="10"/>
        <w:ind w:left="980" w:hanging="560" w:hangingChars="200"/>
        <w:rPr>
          <w:rFonts w:hint="eastAsia" w:ascii="宋体" w:hAnsi="宋体" w:eastAsia="宋体" w:cs="宋体"/>
          <w:bCs/>
          <w:color w:val="auto"/>
          <w:sz w:val="28"/>
          <w:szCs w:val="28"/>
          <w:highlight w:val="none"/>
        </w:rPr>
      </w:pPr>
      <w:bookmarkStart w:id="351" w:name="_Toc26465_WPSOffice_Level2"/>
      <w:bookmarkStart w:id="352" w:name="_Toc15933_WPSOffice_Level2"/>
      <w:r>
        <w:rPr>
          <w:rFonts w:hint="eastAsia" w:ascii="宋体" w:hAnsi="宋体" w:eastAsia="宋体" w:cs="宋体"/>
          <w:bCs/>
          <w:color w:val="auto"/>
          <w:sz w:val="28"/>
          <w:szCs w:val="28"/>
          <w:highlight w:val="none"/>
        </w:rPr>
        <w:t>日期：</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bookmarkEnd w:id="351"/>
      <w:bookmarkEnd w:id="352"/>
      <w:bookmarkStart w:id="353" w:name="_Toc497927070"/>
      <w:bookmarkStart w:id="354" w:name="_Toc19430"/>
      <w:bookmarkStart w:id="355" w:name="_Toc21615"/>
    </w:p>
    <w:p w14:paraId="1BE5E088">
      <w:pPr>
        <w:pStyle w:val="10"/>
        <w:ind w:left="0" w:leftChars="0" w:firstLine="0" w:firstLineChars="0"/>
        <w:rPr>
          <w:rFonts w:hint="eastAsia" w:ascii="宋体" w:hAnsi="宋体" w:eastAsia="宋体" w:cs="宋体"/>
          <w:bCs/>
          <w:color w:val="auto"/>
          <w:sz w:val="28"/>
          <w:szCs w:val="28"/>
          <w:highlight w:val="none"/>
        </w:rPr>
      </w:pPr>
    </w:p>
    <w:p w14:paraId="19740392">
      <w:pPr>
        <w:pStyle w:val="11"/>
        <w:rPr>
          <w:rFonts w:hint="eastAsia"/>
          <w:color w:val="auto"/>
        </w:rPr>
      </w:pPr>
    </w:p>
    <w:p w14:paraId="07418B61">
      <w:pPr>
        <w:numPr>
          <w:ilvl w:val="0"/>
          <w:numId w:val="11"/>
        </w:num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响应文件组成</w:t>
      </w:r>
      <w:bookmarkEnd w:id="353"/>
      <w:bookmarkEnd w:id="354"/>
      <w:bookmarkEnd w:id="355"/>
    </w:p>
    <w:p w14:paraId="69518AB4">
      <w:pPr>
        <w:pStyle w:val="9"/>
        <w:numPr>
          <w:ilvl w:val="0"/>
          <w:numId w:val="0"/>
        </w:numPr>
        <w:rPr>
          <w:rFonts w:hint="eastAsia" w:ascii="宋体" w:hAnsi="宋体" w:eastAsia="宋体" w:cs="宋体"/>
          <w:color w:val="auto"/>
          <w:highlight w:val="none"/>
        </w:rPr>
      </w:pPr>
    </w:p>
    <w:p w14:paraId="21781E48">
      <w:pPr>
        <w:pStyle w:val="9"/>
        <w:numPr>
          <w:ilvl w:val="0"/>
          <w:numId w:val="0"/>
        </w:numPr>
        <w:rPr>
          <w:rFonts w:hint="eastAsia" w:ascii="宋体" w:hAnsi="宋体" w:eastAsia="宋体" w:cs="宋体"/>
          <w:color w:val="auto"/>
          <w:highlight w:val="none"/>
        </w:rPr>
      </w:pPr>
    </w:p>
    <w:p w14:paraId="678CD6FF">
      <w:pPr>
        <w:numPr>
          <w:ilvl w:val="0"/>
          <w:numId w:val="0"/>
        </w:numPr>
        <w:spacing w:line="400" w:lineRule="exact"/>
        <w:rPr>
          <w:rFonts w:hint="eastAsia" w:ascii="宋体" w:hAnsi="宋体" w:eastAsia="宋体" w:cs="宋体"/>
          <w:b/>
          <w:bCs/>
          <w:color w:val="auto"/>
          <w:sz w:val="28"/>
          <w:szCs w:val="28"/>
          <w:highlight w:val="none"/>
        </w:rPr>
      </w:pPr>
    </w:p>
    <w:p w14:paraId="4E4976D6">
      <w:pPr>
        <w:pStyle w:val="9"/>
        <w:rPr>
          <w:rFonts w:hint="eastAsia" w:ascii="宋体" w:hAnsi="宋体" w:eastAsia="宋体" w:cs="宋体"/>
          <w:b/>
          <w:bCs/>
          <w:color w:val="auto"/>
          <w:sz w:val="28"/>
          <w:szCs w:val="28"/>
          <w:highlight w:val="none"/>
          <w:lang w:eastAsia="zh-CN"/>
        </w:rPr>
      </w:pPr>
    </w:p>
    <w:p w14:paraId="51DEB33F">
      <w:pPr>
        <w:numPr>
          <w:ilvl w:val="0"/>
          <w:numId w:val="12"/>
        </w:numPr>
        <w:spacing w:line="400" w:lineRule="exact"/>
        <w:ind w:firstLine="565"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7DF2E1BC">
      <w:pPr>
        <w:pStyle w:val="9"/>
        <w:rPr>
          <w:rFonts w:hint="eastAsia" w:ascii="宋体" w:hAnsi="宋体" w:eastAsia="宋体" w:cs="宋体"/>
          <w:b/>
          <w:bCs/>
          <w:color w:val="auto"/>
          <w:sz w:val="28"/>
          <w:szCs w:val="28"/>
          <w:highlight w:val="none"/>
        </w:rPr>
      </w:pPr>
    </w:p>
    <w:p w14:paraId="20D83C34">
      <w:pPr>
        <w:pStyle w:val="9"/>
        <w:rPr>
          <w:rFonts w:hint="eastAsia" w:ascii="宋体" w:hAnsi="宋体" w:eastAsia="宋体" w:cs="宋体"/>
          <w:b/>
          <w:bCs/>
          <w:color w:val="auto"/>
          <w:sz w:val="28"/>
          <w:szCs w:val="28"/>
          <w:highlight w:val="none"/>
        </w:rPr>
      </w:pPr>
    </w:p>
    <w:p w14:paraId="5B9A63E6">
      <w:pPr>
        <w:numPr>
          <w:ilvl w:val="0"/>
          <w:numId w:val="12"/>
        </w:numPr>
        <w:spacing w:line="400" w:lineRule="exact"/>
        <w:ind w:firstLine="565"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26A49DFE">
      <w:pPr>
        <w:pStyle w:val="9"/>
        <w:rPr>
          <w:rFonts w:hint="eastAsia" w:ascii="宋体" w:hAnsi="宋体" w:eastAsia="宋体" w:cs="宋体"/>
          <w:b/>
          <w:bCs/>
          <w:color w:val="auto"/>
          <w:sz w:val="28"/>
          <w:szCs w:val="28"/>
          <w:highlight w:val="none"/>
        </w:rPr>
      </w:pPr>
    </w:p>
    <w:p w14:paraId="7D7AD5B8">
      <w:pPr>
        <w:pStyle w:val="9"/>
        <w:rPr>
          <w:rFonts w:hint="eastAsia" w:ascii="宋体" w:hAnsi="宋体" w:eastAsia="宋体" w:cs="宋体"/>
          <w:b/>
          <w:bCs/>
          <w:color w:val="auto"/>
          <w:sz w:val="28"/>
          <w:szCs w:val="28"/>
          <w:highlight w:val="none"/>
        </w:rPr>
      </w:pPr>
    </w:p>
    <w:p w14:paraId="03B9615B">
      <w:pPr>
        <w:numPr>
          <w:ilvl w:val="0"/>
          <w:numId w:val="12"/>
        </w:numPr>
        <w:spacing w:line="400" w:lineRule="exact"/>
        <w:ind w:firstLine="565"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04DE9CB3">
      <w:pPr>
        <w:pStyle w:val="29"/>
        <w:rPr>
          <w:rFonts w:hint="eastAsia" w:ascii="宋体" w:hAnsi="宋体" w:eastAsia="宋体" w:cs="宋体"/>
          <w:color w:val="auto"/>
          <w:highlight w:val="none"/>
        </w:rPr>
      </w:pPr>
    </w:p>
    <w:p w14:paraId="2EDE533A">
      <w:pPr>
        <w:tabs>
          <w:tab w:val="left" w:pos="5040"/>
        </w:tabs>
        <w:spacing w:line="400" w:lineRule="exact"/>
        <w:rPr>
          <w:rFonts w:hint="eastAsia" w:ascii="宋体" w:hAnsi="宋体" w:eastAsia="宋体" w:cs="宋体"/>
          <w:color w:val="auto"/>
          <w:szCs w:val="21"/>
          <w:highlight w:val="none"/>
        </w:rPr>
      </w:pPr>
    </w:p>
    <w:p w14:paraId="0246698B">
      <w:pPr>
        <w:pStyle w:val="9"/>
        <w:rPr>
          <w:rFonts w:hint="eastAsia" w:ascii="宋体" w:hAnsi="宋体" w:eastAsia="宋体" w:cs="宋体"/>
          <w:color w:val="auto"/>
          <w:szCs w:val="21"/>
          <w:highlight w:val="none"/>
        </w:rPr>
      </w:pPr>
    </w:p>
    <w:p w14:paraId="5AE5F225">
      <w:pPr>
        <w:pStyle w:val="9"/>
        <w:rPr>
          <w:rFonts w:hint="eastAsia" w:ascii="宋体" w:hAnsi="宋体" w:eastAsia="宋体" w:cs="宋体"/>
          <w:color w:val="auto"/>
          <w:szCs w:val="21"/>
          <w:highlight w:val="none"/>
        </w:rPr>
      </w:pPr>
    </w:p>
    <w:p w14:paraId="6E5B3199">
      <w:pPr>
        <w:pStyle w:val="9"/>
        <w:rPr>
          <w:rFonts w:hint="eastAsia" w:ascii="宋体" w:hAnsi="宋体" w:eastAsia="宋体" w:cs="宋体"/>
          <w:color w:val="auto"/>
          <w:szCs w:val="21"/>
          <w:highlight w:val="none"/>
        </w:rPr>
      </w:pPr>
    </w:p>
    <w:p w14:paraId="0DBBDB10">
      <w:pPr>
        <w:pStyle w:val="9"/>
        <w:rPr>
          <w:rFonts w:hint="eastAsia" w:ascii="宋体" w:hAnsi="宋体" w:eastAsia="宋体" w:cs="宋体"/>
          <w:color w:val="auto"/>
          <w:szCs w:val="21"/>
          <w:highlight w:val="none"/>
        </w:rPr>
      </w:pPr>
    </w:p>
    <w:p w14:paraId="2C992E0D">
      <w:pPr>
        <w:rPr>
          <w:rFonts w:hint="eastAsia" w:ascii="宋体" w:hAnsi="宋体" w:eastAsia="宋体" w:cs="宋体"/>
          <w:color w:val="auto"/>
          <w:highlight w:val="none"/>
          <w:lang w:eastAsia="zh-CN"/>
        </w:rPr>
      </w:pPr>
      <w:bookmarkStart w:id="356" w:name="_Toc497927071"/>
      <w:bookmarkStart w:id="357" w:name="_Toc11067"/>
      <w:bookmarkStart w:id="358" w:name="_Toc7185"/>
    </w:p>
    <w:p w14:paraId="02CB8678">
      <w:pPr>
        <w:rPr>
          <w:rFonts w:hint="eastAsia" w:ascii="宋体" w:hAnsi="宋体" w:eastAsia="宋体" w:cs="宋体"/>
          <w:color w:val="auto"/>
          <w:highlight w:val="none"/>
          <w:lang w:eastAsia="zh-CN"/>
        </w:rPr>
      </w:pPr>
    </w:p>
    <w:p w14:paraId="085C75FC">
      <w:pPr>
        <w:rPr>
          <w:rFonts w:hint="eastAsia" w:ascii="宋体" w:hAnsi="宋体" w:eastAsia="宋体" w:cs="宋体"/>
          <w:color w:val="auto"/>
          <w:highlight w:val="none"/>
          <w:lang w:eastAsia="zh-CN"/>
        </w:rPr>
      </w:pPr>
    </w:p>
    <w:p w14:paraId="5BF51858">
      <w:pPr>
        <w:rPr>
          <w:rFonts w:hint="eastAsia" w:ascii="宋体" w:hAnsi="宋体" w:eastAsia="宋体" w:cs="宋体"/>
          <w:color w:val="auto"/>
          <w:highlight w:val="none"/>
          <w:lang w:eastAsia="zh-CN"/>
        </w:rPr>
      </w:pPr>
    </w:p>
    <w:p w14:paraId="315F4023">
      <w:pPr>
        <w:rPr>
          <w:rFonts w:hint="eastAsia" w:ascii="宋体" w:hAnsi="宋体" w:eastAsia="宋体" w:cs="宋体"/>
          <w:color w:val="auto"/>
          <w:highlight w:val="none"/>
          <w:lang w:eastAsia="zh-CN"/>
        </w:rPr>
      </w:pPr>
    </w:p>
    <w:p w14:paraId="1F924CBB">
      <w:pPr>
        <w:rPr>
          <w:rFonts w:hint="eastAsia" w:ascii="宋体" w:hAnsi="宋体" w:eastAsia="宋体" w:cs="宋体"/>
          <w:color w:val="auto"/>
          <w:highlight w:val="none"/>
          <w:lang w:eastAsia="zh-CN"/>
        </w:rPr>
      </w:pPr>
    </w:p>
    <w:p w14:paraId="25008C12">
      <w:pPr>
        <w:rPr>
          <w:rFonts w:hint="eastAsia" w:ascii="宋体" w:hAnsi="宋体" w:eastAsia="宋体" w:cs="宋体"/>
          <w:color w:val="auto"/>
          <w:highlight w:val="none"/>
          <w:lang w:eastAsia="zh-CN"/>
        </w:rPr>
      </w:pPr>
    </w:p>
    <w:p w14:paraId="2E3CE752">
      <w:pPr>
        <w:rPr>
          <w:rFonts w:hint="eastAsia" w:ascii="宋体" w:hAnsi="宋体" w:eastAsia="宋体" w:cs="宋体"/>
          <w:color w:val="auto"/>
          <w:highlight w:val="none"/>
          <w:lang w:eastAsia="zh-CN"/>
        </w:rPr>
      </w:pPr>
    </w:p>
    <w:p w14:paraId="0688CD5F">
      <w:pPr>
        <w:rPr>
          <w:rFonts w:hint="eastAsia" w:ascii="宋体" w:hAnsi="宋体" w:eastAsia="宋体" w:cs="宋体"/>
          <w:color w:val="auto"/>
          <w:highlight w:val="none"/>
          <w:lang w:eastAsia="zh-CN"/>
        </w:rPr>
      </w:pPr>
    </w:p>
    <w:p w14:paraId="7C1A7D0E">
      <w:pPr>
        <w:rPr>
          <w:rFonts w:hint="eastAsia" w:ascii="宋体" w:hAnsi="宋体" w:eastAsia="宋体" w:cs="宋体"/>
          <w:color w:val="auto"/>
          <w:highlight w:val="none"/>
          <w:lang w:eastAsia="zh-CN"/>
        </w:rPr>
      </w:pPr>
    </w:p>
    <w:p w14:paraId="475A822B">
      <w:pPr>
        <w:rPr>
          <w:rFonts w:hint="eastAsia" w:ascii="宋体" w:hAnsi="宋体" w:eastAsia="宋体" w:cs="宋体"/>
          <w:color w:val="auto"/>
          <w:highlight w:val="none"/>
          <w:lang w:eastAsia="zh-CN"/>
        </w:rPr>
      </w:pPr>
    </w:p>
    <w:p w14:paraId="0FC8BAA3">
      <w:pPr>
        <w:rPr>
          <w:rFonts w:hint="eastAsia" w:ascii="宋体" w:hAnsi="宋体" w:eastAsia="宋体" w:cs="宋体"/>
          <w:color w:val="auto"/>
          <w:highlight w:val="none"/>
          <w:lang w:eastAsia="zh-CN"/>
        </w:rPr>
      </w:pPr>
    </w:p>
    <w:p w14:paraId="7EFD68D8">
      <w:pPr>
        <w:rPr>
          <w:rFonts w:hint="eastAsia" w:ascii="宋体" w:hAnsi="宋体" w:eastAsia="宋体" w:cs="宋体"/>
          <w:color w:val="auto"/>
          <w:highlight w:val="none"/>
          <w:lang w:eastAsia="zh-CN"/>
        </w:rPr>
      </w:pPr>
    </w:p>
    <w:p w14:paraId="61EF2164">
      <w:pPr>
        <w:rPr>
          <w:rFonts w:hint="eastAsia" w:ascii="宋体" w:hAnsi="宋体" w:eastAsia="宋体" w:cs="宋体"/>
          <w:color w:val="auto"/>
          <w:highlight w:val="none"/>
          <w:lang w:eastAsia="zh-CN"/>
        </w:rPr>
      </w:pPr>
    </w:p>
    <w:p w14:paraId="28F5E1AA">
      <w:pPr>
        <w:rPr>
          <w:rFonts w:hint="eastAsia" w:ascii="宋体" w:hAnsi="宋体" w:eastAsia="宋体" w:cs="宋体"/>
          <w:color w:val="auto"/>
          <w:highlight w:val="none"/>
          <w:lang w:eastAsia="zh-CN"/>
        </w:rPr>
      </w:pPr>
    </w:p>
    <w:p w14:paraId="088B00CD">
      <w:pPr>
        <w:rPr>
          <w:rFonts w:hint="eastAsia" w:ascii="宋体" w:hAnsi="宋体" w:eastAsia="宋体" w:cs="宋体"/>
          <w:color w:val="auto"/>
          <w:highlight w:val="none"/>
          <w:lang w:eastAsia="zh-CN"/>
        </w:rPr>
      </w:pPr>
    </w:p>
    <w:p w14:paraId="02721089">
      <w:pPr>
        <w:pStyle w:val="5"/>
        <w:numPr>
          <w:ilvl w:val="0"/>
          <w:numId w:val="0"/>
        </w:num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eastAsia="zh-CN"/>
        </w:rPr>
        <w:t>一</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资格性响应证明材料目录</w:t>
      </w:r>
      <w:bookmarkEnd w:id="356"/>
      <w:bookmarkEnd w:id="357"/>
      <w:bookmarkEnd w:id="358"/>
    </w:p>
    <w:p w14:paraId="5D1A5D72">
      <w:pPr>
        <w:rPr>
          <w:rFonts w:hint="eastAsia" w:ascii="宋体" w:hAnsi="宋体" w:eastAsia="宋体" w:cs="宋体"/>
          <w:color w:val="auto"/>
          <w:highlight w:val="none"/>
        </w:rPr>
      </w:pPr>
    </w:p>
    <w:p w14:paraId="278335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.供应商相应的法定代表人、负责人、自然人身份证正反两面</w:t>
      </w:r>
      <w:r>
        <w:rPr>
          <w:rFonts w:hint="eastAsia" w:ascii="宋体" w:hAnsi="宋体" w:cs="宋体"/>
          <w:color w:val="auto"/>
          <w:sz w:val="24"/>
          <w:highlight w:val="none"/>
          <w:lang w:eastAsia="zh-CN"/>
        </w:rPr>
        <w:t>扫描件</w:t>
      </w:r>
      <w:r>
        <w:rPr>
          <w:rFonts w:hint="eastAsia" w:ascii="宋体" w:hAnsi="宋体" w:eastAsia="宋体" w:cs="宋体"/>
          <w:b/>
          <w:bCs/>
          <w:color w:val="auto"/>
          <w:sz w:val="24"/>
          <w:highlight w:val="none"/>
        </w:rPr>
        <w:t>（必须提供）</w:t>
      </w:r>
      <w:r>
        <w:rPr>
          <w:rFonts w:hint="eastAsia" w:ascii="宋体" w:hAnsi="宋体" w:eastAsia="宋体" w:cs="宋体"/>
          <w:color w:val="auto"/>
          <w:sz w:val="24"/>
          <w:highlight w:val="none"/>
        </w:rPr>
        <w:t>；</w:t>
      </w:r>
    </w:p>
    <w:p w14:paraId="04CCFD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.供应商的授权委托书原件、委托代理人身份证正反面</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以及由县级以上（含县级）社会养老保险经办机构出具的供应商为委托代理人交纳的响应文件递交截止时间前</w:t>
      </w:r>
      <w:r>
        <w:rPr>
          <w:rFonts w:hint="eastAsia" w:ascii="宋体" w:hAnsi="宋体" w:cs="宋体"/>
          <w:color w:val="auto"/>
          <w:sz w:val="24"/>
          <w:highlight w:val="none"/>
          <w:lang w:eastAsia="zh-CN"/>
        </w:rPr>
        <w:t>三个月内任意一个月养老保险证明扫描件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除供应商为以下</w:t>
      </w:r>
      <w:r>
        <w:rPr>
          <w:rFonts w:hint="eastAsia" w:ascii="宋体" w:hAnsi="宋体" w:cs="宋体"/>
          <w:color w:val="auto"/>
          <w:sz w:val="24"/>
          <w:highlight w:val="none"/>
          <w:lang w:val="en-US" w:eastAsia="zh-CN"/>
        </w:rPr>
        <w:t>四</w:t>
      </w:r>
      <w:r>
        <w:rPr>
          <w:rFonts w:hint="eastAsia" w:ascii="宋体" w:hAnsi="宋体" w:eastAsia="宋体" w:cs="宋体"/>
          <w:color w:val="auto"/>
          <w:sz w:val="24"/>
          <w:highlight w:val="none"/>
        </w:rPr>
        <w:t>种情形的：</w:t>
      </w:r>
    </w:p>
    <w:p w14:paraId="45D40F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如供应商为截标时间前60日以内成立的公司，可以提供供应商与委托代理人签订的劳动合同</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代替</w:t>
      </w:r>
      <w:r>
        <w:rPr>
          <w:rFonts w:hint="eastAsia" w:ascii="宋体" w:hAnsi="宋体" w:cs="宋体"/>
          <w:color w:val="auto"/>
          <w:sz w:val="24"/>
          <w:highlight w:val="none"/>
          <w:lang w:eastAsia="zh-CN"/>
        </w:rPr>
        <w:t>养老保险证明扫描件</w:t>
      </w:r>
      <w:r>
        <w:rPr>
          <w:rFonts w:hint="eastAsia" w:ascii="宋体" w:hAnsi="宋体" w:eastAsia="宋体" w:cs="宋体"/>
          <w:color w:val="auto"/>
          <w:sz w:val="24"/>
          <w:highlight w:val="none"/>
        </w:rPr>
        <w:t>；</w:t>
      </w:r>
    </w:p>
    <w:p w14:paraId="1ED045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（2）如供应商为事业单位，可以提供事业单位机构编制管理证</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或事业单位机构为其发放工资的工资条</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代替</w:t>
      </w:r>
      <w:r>
        <w:rPr>
          <w:rFonts w:hint="eastAsia" w:ascii="宋体" w:hAnsi="宋体" w:cs="宋体"/>
          <w:color w:val="auto"/>
          <w:sz w:val="24"/>
          <w:highlight w:val="none"/>
          <w:lang w:eastAsia="zh-CN"/>
        </w:rPr>
        <w:t>养老保险证明扫描件</w:t>
      </w:r>
      <w:r>
        <w:rPr>
          <w:rFonts w:hint="eastAsia" w:ascii="宋体" w:hAnsi="宋体" w:eastAsia="宋体" w:cs="宋体"/>
          <w:color w:val="auto"/>
          <w:sz w:val="24"/>
          <w:highlight w:val="none"/>
        </w:rPr>
        <w:t>；</w:t>
      </w:r>
    </w:p>
    <w:p w14:paraId="3CB05FBB">
      <w:pPr>
        <w:spacing w:line="360" w:lineRule="auto"/>
        <w:ind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highlight w:val="none"/>
        </w:rPr>
        <w:t>（3）如委托代理人为免缴纳</w:t>
      </w:r>
      <w:r>
        <w:rPr>
          <w:rFonts w:hint="eastAsia" w:ascii="宋体" w:hAnsi="宋体" w:cs="宋体"/>
          <w:color w:val="auto"/>
          <w:sz w:val="24"/>
          <w:highlight w:val="none"/>
          <w:lang w:eastAsia="zh-CN"/>
        </w:rPr>
        <w:t>养老保险</w:t>
      </w:r>
      <w:r>
        <w:rPr>
          <w:rFonts w:hint="eastAsia" w:ascii="宋体" w:hAnsi="宋体" w:eastAsia="宋体" w:cs="宋体"/>
          <w:color w:val="auto"/>
          <w:sz w:val="24"/>
          <w:highlight w:val="none"/>
        </w:rPr>
        <w:t>人员，提供免缴纳</w:t>
      </w:r>
      <w:r>
        <w:rPr>
          <w:rFonts w:hint="eastAsia" w:ascii="宋体" w:hAnsi="宋体" w:cs="宋体"/>
          <w:color w:val="auto"/>
          <w:sz w:val="24"/>
          <w:highlight w:val="none"/>
          <w:lang w:eastAsia="zh-CN"/>
        </w:rPr>
        <w:t>养老保险</w:t>
      </w:r>
      <w:r>
        <w:rPr>
          <w:rFonts w:hint="eastAsia" w:ascii="宋体" w:hAnsi="宋体" w:eastAsia="宋体" w:cs="宋体"/>
          <w:color w:val="auto"/>
          <w:sz w:val="24"/>
          <w:highlight w:val="none"/>
        </w:rPr>
        <w:t>的证明材料</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及供应商与委托代理人签订的劳动合同</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代替</w:t>
      </w:r>
      <w:r>
        <w:rPr>
          <w:rFonts w:hint="eastAsia" w:ascii="宋体" w:hAnsi="宋体" w:cs="宋体"/>
          <w:color w:val="auto"/>
          <w:sz w:val="24"/>
          <w:highlight w:val="none"/>
          <w:lang w:eastAsia="zh-CN"/>
        </w:rPr>
        <w:t>养老保险证明扫描件；</w:t>
      </w:r>
    </w:p>
    <w:p w14:paraId="7C5EAE3C">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481CE558">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属</w:t>
      </w:r>
      <w:r>
        <w:rPr>
          <w:rFonts w:hint="eastAsia" w:ascii="宋体" w:hAnsi="宋体" w:eastAsia="宋体" w:cs="宋体"/>
          <w:b/>
          <w:bCs/>
          <w:color w:val="auto"/>
          <w:sz w:val="24"/>
          <w:highlight w:val="none"/>
        </w:rPr>
        <w:t>自然人的应提供由县级以上（含县级）社会养老保险经办机构出具的自然人本人及委托代理人所交纳的响应文件递交截止时间前</w:t>
      </w:r>
      <w:r>
        <w:rPr>
          <w:rFonts w:hint="eastAsia" w:ascii="宋体" w:hAnsi="宋体" w:cs="宋体"/>
          <w:b/>
          <w:bCs/>
          <w:color w:val="auto"/>
          <w:sz w:val="24"/>
          <w:highlight w:val="none"/>
          <w:lang w:eastAsia="zh-CN"/>
        </w:rPr>
        <w:t>三个月内任意一个月养老保险证明扫描件</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（委托代理时必须提供）</w:t>
      </w:r>
      <w:r>
        <w:rPr>
          <w:rFonts w:hint="eastAsia" w:ascii="宋体" w:hAnsi="宋体" w:eastAsia="宋体" w:cs="宋体"/>
          <w:b/>
          <w:bCs/>
          <w:color w:val="auto"/>
          <w:sz w:val="24"/>
          <w:highlight w:val="none"/>
          <w:lang w:eastAsia="zh-CN"/>
        </w:rPr>
        <w:t>；</w:t>
      </w:r>
    </w:p>
    <w:p w14:paraId="711C69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eastAsia="zh-CN"/>
        </w:rPr>
        <w:t>参加政府采购活动前3年内在经营活动中没有重大违法记录及有关信用信息的书面声明或专项信用报告</w:t>
      </w:r>
      <w:r>
        <w:rPr>
          <w:rFonts w:hint="eastAsia" w:ascii="宋体" w:hAnsi="宋体" w:eastAsia="宋体" w:cs="宋体"/>
          <w:b/>
          <w:bCs/>
          <w:color w:val="auto"/>
          <w:sz w:val="24"/>
          <w:highlight w:val="none"/>
        </w:rPr>
        <w:t>（必须提供）；</w:t>
      </w:r>
    </w:p>
    <w:p w14:paraId="47F9FB54">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供应商根据注册地信用中国网站的要求获取。</w:t>
      </w:r>
    </w:p>
    <w:p w14:paraId="0B2F472B">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.供应商的法人或者其他组织营业执照等证明文件</w:t>
      </w:r>
      <w:r>
        <w:rPr>
          <w:rFonts w:hint="eastAsia" w:ascii="宋体" w:hAnsi="宋体" w:cs="宋体"/>
          <w:color w:val="auto"/>
          <w:sz w:val="24"/>
          <w:highlight w:val="none"/>
          <w:lang w:eastAsia="zh-CN"/>
        </w:rPr>
        <w:t>扫描件</w:t>
      </w:r>
      <w:r>
        <w:rPr>
          <w:rFonts w:hint="eastAsia" w:ascii="宋体" w:hAnsi="宋体" w:eastAsia="宋体" w:cs="宋体"/>
          <w:b/>
          <w:bCs/>
          <w:color w:val="auto"/>
          <w:sz w:val="24"/>
          <w:highlight w:val="none"/>
        </w:rPr>
        <w:t>（必须提供，自然人除外）；</w:t>
      </w:r>
    </w:p>
    <w:p w14:paraId="64073C06">
      <w:pPr>
        <w:tabs>
          <w:tab w:val="left" w:pos="1305"/>
        </w:tabs>
        <w:spacing w:line="400" w:lineRule="exact"/>
        <w:ind w:firstLine="420" w:firstLineChars="200"/>
        <w:rPr>
          <w:rFonts w:hint="eastAsia" w:ascii="宋体" w:hAnsi="宋体" w:eastAsia="宋体" w:cs="宋体"/>
          <w:color w:val="auto"/>
          <w:sz w:val="24"/>
          <w:highlight w:val="none"/>
          <w:u w:val="none"/>
          <w:lang w:val="en-US" w:eastAsia="zh-CN"/>
        </w:rPr>
      </w:pPr>
      <w:r>
        <w:rPr>
          <w:rFonts w:hint="eastAsia" w:ascii="宋体" w:hAnsi="宋体" w:cs="宋体"/>
          <w:b/>
          <w:color w:val="auto"/>
          <w:szCs w:val="21"/>
          <w:u w:val="none"/>
        </w:rPr>
        <w:t>注：供应商为企业（包括合伙企业），应提供</w:t>
      </w:r>
      <w:r>
        <w:rPr>
          <w:rFonts w:hint="eastAsia" w:ascii="宋体" w:hAnsi="宋体" w:cs="宋体"/>
          <w:b/>
          <w:color w:val="auto"/>
          <w:szCs w:val="21"/>
          <w:u w:val="none"/>
          <w:lang w:eastAsia="zh-CN"/>
        </w:rPr>
        <w:t>市场监管部门（登记机关）</w:t>
      </w:r>
      <w:r>
        <w:rPr>
          <w:rFonts w:hint="eastAsia" w:ascii="宋体" w:hAnsi="宋体" w:cs="宋体"/>
          <w:b/>
          <w:color w:val="auto"/>
          <w:szCs w:val="21"/>
          <w:u w:val="non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5154F3C2">
      <w:pPr>
        <w:spacing w:line="360" w:lineRule="auto"/>
        <w:ind w:firstLine="480" w:firstLineChars="200"/>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5.财务状况报告</w:t>
      </w:r>
      <w:r>
        <w:rPr>
          <w:rFonts w:hint="eastAsia" w:ascii="宋体" w:hAnsi="宋体" w:eastAsia="宋体" w:cs="宋体"/>
          <w:b/>
          <w:bCs/>
          <w:color w:val="auto"/>
          <w:sz w:val="24"/>
          <w:highlight w:val="none"/>
          <w:lang w:val="en-US" w:eastAsia="zh-CN"/>
        </w:rPr>
        <w:t>（</w:t>
      </w:r>
      <w:r>
        <w:rPr>
          <w:rFonts w:hint="eastAsia" w:ascii="宋体" w:hAnsi="宋体" w:cs="宋体"/>
          <w:b/>
          <w:bCs/>
          <w:color w:val="auto"/>
          <w:sz w:val="24"/>
          <w:highlight w:val="none"/>
          <w:lang w:val="en-US" w:eastAsia="zh-CN"/>
        </w:rPr>
        <w:t>格式自拟，</w:t>
      </w:r>
      <w:r>
        <w:rPr>
          <w:rFonts w:hint="eastAsia" w:ascii="宋体" w:hAnsi="宋体" w:eastAsia="宋体" w:cs="宋体"/>
          <w:b/>
          <w:bCs/>
          <w:color w:val="auto"/>
          <w:sz w:val="24"/>
          <w:highlight w:val="none"/>
          <w:lang w:val="en-US" w:eastAsia="zh-CN"/>
        </w:rPr>
        <w:t>必须提供）；</w:t>
      </w:r>
    </w:p>
    <w:p w14:paraId="2551148B">
      <w:pPr>
        <w:spacing w:line="360" w:lineRule="auto"/>
        <w:ind w:firstLine="480" w:firstLineChars="200"/>
        <w:rPr>
          <w:rFonts w:hint="eastAsia" w:ascii="宋体" w:hAnsi="宋体" w:cs="宋体"/>
          <w:b/>
          <w:bCs/>
          <w:color w:val="auto"/>
          <w:sz w:val="24"/>
          <w:highlight w:val="none"/>
          <w:lang w:val="en-US" w:eastAsia="zh-CN"/>
        </w:rPr>
      </w:pPr>
      <w:r>
        <w:rPr>
          <w:rFonts w:hint="eastAsia" w:ascii="宋体" w:hAnsi="宋体" w:eastAsia="宋体" w:cs="宋体"/>
          <w:color w:val="auto"/>
          <w:sz w:val="24"/>
          <w:highlight w:val="none"/>
          <w:lang w:val="en-US" w:eastAsia="zh-CN"/>
        </w:rPr>
        <w:t>6.供应商在磋商当天前近半年内任意一个月或任一季度依法缴纳税收的证明材料（增值税发票(税收完税证明)或企业所得税完税证明或税务部门出具的免税证明或税务部门出具的无欠税证明）</w:t>
      </w:r>
      <w:r>
        <w:rPr>
          <w:rFonts w:hint="eastAsia" w:ascii="宋体" w:hAnsi="宋体" w:cs="宋体"/>
          <w:color w:val="auto"/>
          <w:sz w:val="24"/>
          <w:highlight w:val="none"/>
          <w:lang w:val="en-US" w:eastAsia="zh-CN"/>
        </w:rPr>
        <w:t>扫描件</w:t>
      </w:r>
      <w:r>
        <w:rPr>
          <w:rFonts w:hint="eastAsia" w:ascii="宋体" w:hAnsi="宋体" w:eastAsia="宋体" w:cs="宋体"/>
          <w:b/>
          <w:bCs/>
          <w:color w:val="auto"/>
          <w:sz w:val="24"/>
          <w:highlight w:val="none"/>
          <w:lang w:val="en-US" w:eastAsia="zh-CN"/>
        </w:rPr>
        <w:t>（必须提供）</w:t>
      </w:r>
      <w:r>
        <w:rPr>
          <w:rFonts w:hint="eastAsia" w:ascii="宋体" w:hAnsi="宋体" w:cs="宋体"/>
          <w:b/>
          <w:bCs/>
          <w:color w:val="auto"/>
          <w:sz w:val="24"/>
          <w:highlight w:val="none"/>
          <w:lang w:val="en-US" w:eastAsia="zh-CN"/>
        </w:rPr>
        <w:t>；</w:t>
      </w:r>
    </w:p>
    <w:p w14:paraId="39D2947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7.《中小企业声明函》（见附件）</w:t>
      </w:r>
      <w:r>
        <w:rPr>
          <w:rFonts w:hint="eastAsia" w:ascii="宋体" w:hAnsi="宋体" w:eastAsia="宋体" w:cs="宋体"/>
          <w:b/>
          <w:bCs w:val="0"/>
          <w:color w:val="auto"/>
          <w:sz w:val="24"/>
          <w:highlight w:val="none"/>
        </w:rPr>
        <w:t>（除监狱企业及残疾人福利性单位外，必须提供）</w:t>
      </w:r>
      <w:r>
        <w:rPr>
          <w:rFonts w:hint="eastAsia" w:ascii="宋体" w:hAnsi="宋体" w:eastAsia="宋体" w:cs="宋体"/>
          <w:color w:val="auto"/>
          <w:sz w:val="24"/>
          <w:highlight w:val="none"/>
        </w:rPr>
        <w:t>；</w:t>
      </w:r>
    </w:p>
    <w:p w14:paraId="543F6F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8.如提供服务的供应商属于监狱企业的，应当提供由省级以上监狱管理局、戒毒管理局等（含</w:t>
      </w:r>
    </w:p>
    <w:p w14:paraId="24CE27A5">
      <w:pPr>
        <w:pStyle w:val="3"/>
        <w:ind w:left="0" w:leftChars="0" w:firstLine="0" w:firstLineChars="0"/>
        <w:rPr>
          <w:rFonts w:hint="eastAsia" w:ascii="宋体" w:hAnsi="宋体" w:eastAsia="宋体" w:cs="宋体"/>
          <w:color w:val="auto"/>
          <w:sz w:val="24"/>
          <w:highlight w:val="none"/>
        </w:rPr>
      </w:pPr>
      <w:bookmarkStart w:id="359" w:name="_Toc11380"/>
      <w:bookmarkStart w:id="360" w:name="_Toc7131"/>
      <w:r>
        <w:rPr>
          <w:rFonts w:hint="eastAsia" w:ascii="宋体" w:hAnsi="宋体" w:eastAsia="宋体" w:cs="宋体"/>
          <w:color w:val="auto"/>
          <w:sz w:val="24"/>
          <w:highlight w:val="none"/>
        </w:rPr>
        <w:t>新疆生产建设兵团）出具的属于监狱企业的证明文件, 否则不予享受优惠政策</w:t>
      </w:r>
      <w:r>
        <w:rPr>
          <w:rFonts w:hint="eastAsia" w:ascii="宋体" w:hAnsi="宋体" w:eastAsia="宋体" w:cs="宋体"/>
          <w:b/>
          <w:bCs w:val="0"/>
          <w:color w:val="auto"/>
          <w:sz w:val="24"/>
          <w:highlight w:val="none"/>
        </w:rPr>
        <w:t>（如供应商属于监狱企业的，则必须提供）；</w:t>
      </w:r>
      <w:bookmarkEnd w:id="359"/>
      <w:bookmarkEnd w:id="360"/>
    </w:p>
    <w:p w14:paraId="2B2209C9">
      <w:pPr>
        <w:pStyle w:val="3"/>
        <w:numPr>
          <w:ilvl w:val="0"/>
          <w:numId w:val="0"/>
        </w:numPr>
        <w:ind w:left="420" w:leftChars="0"/>
        <w:rPr>
          <w:rFonts w:hint="eastAsia" w:ascii="宋体" w:hAnsi="宋体" w:eastAsia="宋体" w:cs="宋体"/>
          <w:color w:val="auto"/>
          <w:sz w:val="24"/>
          <w:highlight w:val="none"/>
        </w:rPr>
      </w:pPr>
      <w:bookmarkStart w:id="361" w:name="_Toc5628"/>
      <w:bookmarkStart w:id="362" w:name="_Toc417"/>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符合条件的残疾人福利性单位在参加政府采购活动时，应当提供《残疾人福利性单位声明</w:t>
      </w:r>
      <w:bookmarkEnd w:id="361"/>
      <w:bookmarkEnd w:id="362"/>
    </w:p>
    <w:p w14:paraId="0DADAE25">
      <w:pPr>
        <w:pStyle w:val="3"/>
        <w:numPr>
          <w:ilvl w:val="0"/>
          <w:numId w:val="0"/>
        </w:numPr>
        <w:rPr>
          <w:rFonts w:hint="eastAsia" w:ascii="宋体" w:hAnsi="宋体" w:eastAsia="宋体" w:cs="宋体"/>
          <w:color w:val="auto"/>
          <w:sz w:val="24"/>
          <w:highlight w:val="none"/>
          <w:lang w:eastAsia="zh-CN"/>
        </w:rPr>
      </w:pPr>
      <w:bookmarkStart w:id="363" w:name="_Toc24538"/>
      <w:bookmarkStart w:id="364" w:name="_Toc32592"/>
      <w:r>
        <w:rPr>
          <w:rFonts w:hint="eastAsia" w:ascii="宋体" w:hAnsi="宋体" w:eastAsia="宋体" w:cs="宋体"/>
          <w:color w:val="auto"/>
          <w:sz w:val="24"/>
          <w:highlight w:val="none"/>
        </w:rPr>
        <w:t>函》（见附件），并对声明的真实性负责</w:t>
      </w:r>
      <w:r>
        <w:rPr>
          <w:rFonts w:hint="eastAsia" w:ascii="宋体" w:hAnsi="宋体" w:eastAsia="宋体" w:cs="宋体"/>
          <w:b/>
          <w:bCs w:val="0"/>
          <w:color w:val="auto"/>
          <w:sz w:val="24"/>
          <w:highlight w:val="none"/>
        </w:rPr>
        <w:t>（如供应商属于残疾人福利性单位的，则必须提供）</w:t>
      </w:r>
      <w:r>
        <w:rPr>
          <w:rFonts w:hint="eastAsia" w:ascii="宋体" w:hAnsi="宋体" w:cs="宋体"/>
          <w:b/>
          <w:bCs w:val="0"/>
          <w:color w:val="auto"/>
          <w:sz w:val="24"/>
          <w:highlight w:val="none"/>
          <w:lang w:eastAsia="zh-CN"/>
        </w:rPr>
        <w:t>；</w:t>
      </w:r>
      <w:bookmarkEnd w:id="363"/>
      <w:bookmarkEnd w:id="364"/>
    </w:p>
    <w:p w14:paraId="6A21FCD1">
      <w:pPr>
        <w:spacing w:line="360" w:lineRule="auto"/>
        <w:ind w:firstLine="0" w:firstLineChars="0"/>
        <w:rPr>
          <w:rFonts w:hint="eastAsia" w:ascii="宋体" w:hAnsi="宋体" w:eastAsia="宋体" w:cs="宋体"/>
          <w:b/>
          <w:bCs/>
          <w:color w:val="auto"/>
          <w:sz w:val="24"/>
          <w:highlight w:val="none"/>
          <w:lang w:val="en-US" w:eastAsia="zh-CN"/>
        </w:rPr>
      </w:pPr>
    </w:p>
    <w:p w14:paraId="20341F67">
      <w:pPr>
        <w:rPr>
          <w:rFonts w:hint="default" w:ascii="宋体" w:hAnsi="宋体" w:eastAsia="宋体" w:cs="宋体"/>
          <w:color w:val="auto"/>
          <w:sz w:val="24"/>
          <w:highlight w:val="none"/>
          <w:lang w:val="en-US" w:eastAsia="zh-CN"/>
        </w:rPr>
      </w:pPr>
    </w:p>
    <w:p w14:paraId="261AD5B5">
      <w:pPr>
        <w:rPr>
          <w:rFonts w:hint="default" w:ascii="宋体" w:hAnsi="宋体" w:eastAsia="宋体" w:cs="宋体"/>
          <w:color w:val="auto"/>
          <w:sz w:val="24"/>
          <w:highlight w:val="none"/>
          <w:lang w:val="en-US" w:eastAsia="zh-CN"/>
        </w:rPr>
      </w:pPr>
    </w:p>
    <w:p w14:paraId="35361133">
      <w:pPr>
        <w:rPr>
          <w:rFonts w:hint="default" w:ascii="宋体" w:hAnsi="宋体" w:eastAsia="宋体" w:cs="宋体"/>
          <w:color w:val="auto"/>
          <w:sz w:val="24"/>
          <w:highlight w:val="none"/>
          <w:lang w:val="en-US" w:eastAsia="zh-CN"/>
        </w:rPr>
      </w:pPr>
    </w:p>
    <w:p w14:paraId="48510358">
      <w:pPr>
        <w:rPr>
          <w:rFonts w:hint="default" w:ascii="宋体" w:hAnsi="宋体" w:eastAsia="宋体" w:cs="宋体"/>
          <w:color w:val="auto"/>
          <w:sz w:val="24"/>
          <w:highlight w:val="none"/>
          <w:lang w:val="en-US" w:eastAsia="zh-CN"/>
        </w:rPr>
      </w:pPr>
    </w:p>
    <w:p w14:paraId="61603739">
      <w:pPr>
        <w:rPr>
          <w:rFonts w:hint="default" w:ascii="宋体" w:hAnsi="宋体" w:eastAsia="宋体" w:cs="宋体"/>
          <w:color w:val="auto"/>
          <w:sz w:val="24"/>
          <w:highlight w:val="none"/>
          <w:lang w:val="en-US" w:eastAsia="zh-CN"/>
        </w:rPr>
      </w:pPr>
    </w:p>
    <w:p w14:paraId="723CB850">
      <w:pPr>
        <w:rPr>
          <w:rFonts w:hint="default" w:ascii="宋体" w:hAnsi="宋体" w:eastAsia="宋体" w:cs="宋体"/>
          <w:color w:val="auto"/>
          <w:sz w:val="24"/>
          <w:highlight w:val="none"/>
          <w:lang w:val="en-US" w:eastAsia="zh-CN"/>
        </w:rPr>
      </w:pPr>
    </w:p>
    <w:p w14:paraId="1DE79EC3">
      <w:pPr>
        <w:rPr>
          <w:rFonts w:hint="default" w:ascii="宋体" w:hAnsi="宋体" w:eastAsia="宋体" w:cs="宋体"/>
          <w:color w:val="auto"/>
          <w:sz w:val="24"/>
          <w:highlight w:val="none"/>
          <w:lang w:val="en-US" w:eastAsia="zh-CN"/>
        </w:rPr>
      </w:pPr>
    </w:p>
    <w:p w14:paraId="21D70210">
      <w:pPr>
        <w:rPr>
          <w:rFonts w:hint="default" w:ascii="宋体" w:hAnsi="宋体" w:eastAsia="宋体" w:cs="宋体"/>
          <w:color w:val="auto"/>
          <w:sz w:val="24"/>
          <w:highlight w:val="none"/>
          <w:lang w:val="en-US" w:eastAsia="zh-CN"/>
        </w:rPr>
      </w:pPr>
    </w:p>
    <w:p w14:paraId="5933BC51">
      <w:pPr>
        <w:rPr>
          <w:rFonts w:hint="default" w:ascii="宋体" w:hAnsi="宋体" w:eastAsia="宋体" w:cs="宋体"/>
          <w:color w:val="auto"/>
          <w:sz w:val="24"/>
          <w:highlight w:val="none"/>
          <w:lang w:val="en-US" w:eastAsia="zh-CN"/>
        </w:rPr>
      </w:pPr>
    </w:p>
    <w:p w14:paraId="7202E2F9">
      <w:pPr>
        <w:rPr>
          <w:rFonts w:hint="default" w:ascii="宋体" w:hAnsi="宋体" w:eastAsia="宋体" w:cs="宋体"/>
          <w:color w:val="auto"/>
          <w:sz w:val="24"/>
          <w:highlight w:val="none"/>
          <w:lang w:val="en-US" w:eastAsia="zh-CN"/>
        </w:rPr>
      </w:pPr>
    </w:p>
    <w:p w14:paraId="3FC69386">
      <w:pPr>
        <w:rPr>
          <w:rFonts w:hint="default" w:ascii="宋体" w:hAnsi="宋体" w:eastAsia="宋体" w:cs="宋体"/>
          <w:color w:val="auto"/>
          <w:sz w:val="24"/>
          <w:highlight w:val="none"/>
          <w:lang w:val="en-US" w:eastAsia="zh-CN"/>
        </w:rPr>
      </w:pPr>
    </w:p>
    <w:p w14:paraId="4466D8D2">
      <w:pPr>
        <w:rPr>
          <w:rFonts w:hint="default" w:ascii="宋体" w:hAnsi="宋体" w:eastAsia="宋体" w:cs="宋体"/>
          <w:color w:val="auto"/>
          <w:sz w:val="24"/>
          <w:highlight w:val="none"/>
          <w:lang w:val="en-US" w:eastAsia="zh-CN"/>
        </w:rPr>
      </w:pPr>
    </w:p>
    <w:p w14:paraId="7A29B93F">
      <w:pPr>
        <w:rPr>
          <w:rFonts w:hint="default" w:ascii="宋体" w:hAnsi="宋体" w:eastAsia="宋体" w:cs="宋体"/>
          <w:color w:val="auto"/>
          <w:sz w:val="24"/>
          <w:highlight w:val="none"/>
          <w:lang w:val="en-US" w:eastAsia="zh-CN"/>
        </w:rPr>
      </w:pPr>
    </w:p>
    <w:p w14:paraId="1197E9B7">
      <w:pPr>
        <w:rPr>
          <w:rFonts w:hint="default" w:ascii="宋体" w:hAnsi="宋体" w:eastAsia="宋体" w:cs="宋体"/>
          <w:color w:val="auto"/>
          <w:sz w:val="24"/>
          <w:highlight w:val="none"/>
          <w:lang w:val="en-US" w:eastAsia="zh-CN"/>
        </w:rPr>
      </w:pPr>
    </w:p>
    <w:p w14:paraId="31FE4FC1">
      <w:pPr>
        <w:rPr>
          <w:rFonts w:hint="default" w:ascii="宋体" w:hAnsi="宋体" w:eastAsia="宋体" w:cs="宋体"/>
          <w:color w:val="auto"/>
          <w:sz w:val="24"/>
          <w:highlight w:val="none"/>
          <w:lang w:val="en-US" w:eastAsia="zh-CN"/>
        </w:rPr>
      </w:pPr>
    </w:p>
    <w:p w14:paraId="34CF4699">
      <w:pPr>
        <w:rPr>
          <w:rFonts w:hint="default" w:ascii="宋体" w:hAnsi="宋体" w:eastAsia="宋体" w:cs="宋体"/>
          <w:color w:val="auto"/>
          <w:sz w:val="24"/>
          <w:highlight w:val="none"/>
          <w:lang w:val="en-US" w:eastAsia="zh-CN"/>
        </w:rPr>
      </w:pPr>
    </w:p>
    <w:p w14:paraId="275CFDC1">
      <w:pPr>
        <w:rPr>
          <w:rFonts w:hint="default" w:ascii="宋体" w:hAnsi="宋体" w:eastAsia="宋体" w:cs="宋体"/>
          <w:color w:val="auto"/>
          <w:sz w:val="24"/>
          <w:highlight w:val="none"/>
          <w:lang w:val="en-US" w:eastAsia="zh-CN"/>
        </w:rPr>
      </w:pPr>
    </w:p>
    <w:p w14:paraId="0194E238">
      <w:pPr>
        <w:rPr>
          <w:rFonts w:hint="default" w:ascii="宋体" w:hAnsi="宋体" w:eastAsia="宋体" w:cs="宋体"/>
          <w:color w:val="auto"/>
          <w:sz w:val="24"/>
          <w:highlight w:val="none"/>
          <w:lang w:val="en-US" w:eastAsia="zh-CN"/>
        </w:rPr>
      </w:pPr>
    </w:p>
    <w:p w14:paraId="6C78C514">
      <w:pPr>
        <w:rPr>
          <w:rFonts w:hint="default" w:ascii="宋体" w:hAnsi="宋体" w:eastAsia="宋体" w:cs="宋体"/>
          <w:color w:val="auto"/>
          <w:sz w:val="24"/>
          <w:highlight w:val="none"/>
          <w:lang w:val="en-US" w:eastAsia="zh-CN"/>
        </w:rPr>
      </w:pPr>
    </w:p>
    <w:p w14:paraId="6D5A074D">
      <w:pPr>
        <w:rPr>
          <w:rFonts w:hint="default" w:ascii="宋体" w:hAnsi="宋体" w:eastAsia="宋体" w:cs="宋体"/>
          <w:color w:val="auto"/>
          <w:sz w:val="24"/>
          <w:highlight w:val="none"/>
          <w:lang w:val="en-US" w:eastAsia="zh-CN"/>
        </w:rPr>
      </w:pPr>
    </w:p>
    <w:p w14:paraId="26AE9D4A">
      <w:pPr>
        <w:rPr>
          <w:rFonts w:hint="default" w:ascii="宋体" w:hAnsi="宋体" w:eastAsia="宋体" w:cs="宋体"/>
          <w:color w:val="auto"/>
          <w:sz w:val="24"/>
          <w:highlight w:val="none"/>
          <w:lang w:val="en-US" w:eastAsia="zh-CN"/>
        </w:rPr>
      </w:pPr>
    </w:p>
    <w:p w14:paraId="1CC5F8CC">
      <w:pPr>
        <w:rPr>
          <w:rFonts w:hint="default" w:ascii="宋体" w:hAnsi="宋体" w:eastAsia="宋体" w:cs="宋体"/>
          <w:color w:val="auto"/>
          <w:sz w:val="24"/>
          <w:highlight w:val="none"/>
          <w:lang w:val="en-US" w:eastAsia="zh-CN"/>
        </w:rPr>
      </w:pPr>
    </w:p>
    <w:p w14:paraId="02A08688">
      <w:pPr>
        <w:rPr>
          <w:rFonts w:hint="default" w:ascii="宋体" w:hAnsi="宋体" w:eastAsia="宋体" w:cs="宋体"/>
          <w:color w:val="auto"/>
          <w:sz w:val="24"/>
          <w:highlight w:val="none"/>
          <w:lang w:val="en-US" w:eastAsia="zh-CN"/>
        </w:rPr>
      </w:pPr>
    </w:p>
    <w:p w14:paraId="691E7331">
      <w:pPr>
        <w:rPr>
          <w:rFonts w:hint="default" w:ascii="宋体" w:hAnsi="宋体" w:eastAsia="宋体" w:cs="宋体"/>
          <w:color w:val="auto"/>
          <w:sz w:val="24"/>
          <w:highlight w:val="none"/>
          <w:lang w:val="en-US" w:eastAsia="zh-CN"/>
        </w:rPr>
      </w:pPr>
    </w:p>
    <w:p w14:paraId="71603034">
      <w:pPr>
        <w:rPr>
          <w:rFonts w:hint="default" w:ascii="宋体" w:hAnsi="宋体" w:eastAsia="宋体" w:cs="宋体"/>
          <w:color w:val="auto"/>
          <w:sz w:val="24"/>
          <w:highlight w:val="none"/>
          <w:lang w:val="en-US" w:eastAsia="zh-CN"/>
        </w:rPr>
      </w:pPr>
    </w:p>
    <w:p w14:paraId="5B93D48B">
      <w:pPr>
        <w:rPr>
          <w:rFonts w:hint="default" w:ascii="宋体" w:hAnsi="宋体" w:eastAsia="宋体" w:cs="宋体"/>
          <w:color w:val="auto"/>
          <w:sz w:val="24"/>
          <w:highlight w:val="none"/>
          <w:lang w:val="en-US" w:eastAsia="zh-CN"/>
        </w:rPr>
      </w:pPr>
    </w:p>
    <w:p w14:paraId="62D440C2">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.供应商相应的法定代表人、负责人、自然人身份证正反两面</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（必须提供）；</w:t>
      </w:r>
    </w:p>
    <w:p w14:paraId="27750F92">
      <w:pPr>
        <w:spacing w:line="440" w:lineRule="atLeast"/>
        <w:rPr>
          <w:rFonts w:hint="eastAsia" w:ascii="宋体" w:hAnsi="宋体" w:eastAsia="宋体" w:cs="宋体"/>
          <w:b/>
          <w:color w:val="auto"/>
          <w:sz w:val="28"/>
          <w:szCs w:val="28"/>
          <w:highlight w:val="none"/>
        </w:rPr>
      </w:pPr>
    </w:p>
    <w:p w14:paraId="56708337">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.供应商的授权委托书原件、委托代理人身份证正反面</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以及由县级以上（含县级）社会养老保险经办机构出具的供应商为委托代理人交纳的响应文件递交截止时间前</w:t>
      </w:r>
      <w:r>
        <w:rPr>
          <w:rFonts w:hint="eastAsia" w:ascii="宋体" w:hAnsi="宋体" w:cs="宋体"/>
          <w:b/>
          <w:color w:val="auto"/>
          <w:sz w:val="28"/>
          <w:szCs w:val="28"/>
          <w:highlight w:val="none"/>
          <w:lang w:eastAsia="zh-CN"/>
        </w:rPr>
        <w:t>三个月内任意一个月养老保险证明扫描件</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除供应商为以下</w:t>
      </w:r>
      <w:r>
        <w:rPr>
          <w:rFonts w:hint="eastAsia" w:ascii="宋体" w:hAnsi="宋体" w:cs="宋体"/>
          <w:b/>
          <w:color w:val="auto"/>
          <w:sz w:val="28"/>
          <w:szCs w:val="28"/>
          <w:highlight w:val="none"/>
          <w:lang w:val="en-US" w:eastAsia="zh-CN"/>
        </w:rPr>
        <w:t>四</w:t>
      </w:r>
      <w:r>
        <w:rPr>
          <w:rFonts w:hint="eastAsia" w:ascii="宋体" w:hAnsi="宋体" w:eastAsia="宋体" w:cs="宋体"/>
          <w:b/>
          <w:color w:val="auto"/>
          <w:sz w:val="28"/>
          <w:szCs w:val="28"/>
          <w:highlight w:val="none"/>
        </w:rPr>
        <w:t>种情形的：</w:t>
      </w:r>
    </w:p>
    <w:p w14:paraId="09D90912">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 如供应商为截标时间前60日以内成立的公司，可以提供供应商与委托代理人签订的劳动合同</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代替</w:t>
      </w:r>
      <w:r>
        <w:rPr>
          <w:rFonts w:hint="eastAsia" w:ascii="宋体" w:hAnsi="宋体" w:cs="宋体"/>
          <w:b/>
          <w:color w:val="auto"/>
          <w:sz w:val="28"/>
          <w:szCs w:val="28"/>
          <w:highlight w:val="none"/>
          <w:lang w:eastAsia="zh-CN"/>
        </w:rPr>
        <w:t>养老保险证明扫描件</w:t>
      </w:r>
      <w:r>
        <w:rPr>
          <w:rFonts w:hint="eastAsia" w:ascii="宋体" w:hAnsi="宋体" w:eastAsia="宋体" w:cs="宋体"/>
          <w:b/>
          <w:color w:val="auto"/>
          <w:sz w:val="28"/>
          <w:szCs w:val="28"/>
          <w:highlight w:val="none"/>
        </w:rPr>
        <w:t>；</w:t>
      </w:r>
    </w:p>
    <w:p w14:paraId="1C99F544">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（2）如供应商为事业单位，可以提供事业单位机构编制管理证</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或事业单位机构为其发放工资的工资条</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代替</w:t>
      </w:r>
      <w:r>
        <w:rPr>
          <w:rFonts w:hint="eastAsia" w:ascii="宋体" w:hAnsi="宋体" w:cs="宋体"/>
          <w:b/>
          <w:color w:val="auto"/>
          <w:sz w:val="28"/>
          <w:szCs w:val="28"/>
          <w:highlight w:val="none"/>
          <w:lang w:eastAsia="zh-CN"/>
        </w:rPr>
        <w:t>养老保险证明扫描件</w:t>
      </w:r>
      <w:r>
        <w:rPr>
          <w:rFonts w:hint="eastAsia" w:ascii="宋体" w:hAnsi="宋体" w:eastAsia="宋体" w:cs="宋体"/>
          <w:b/>
          <w:color w:val="auto"/>
          <w:sz w:val="28"/>
          <w:szCs w:val="28"/>
          <w:highlight w:val="none"/>
        </w:rPr>
        <w:t>；</w:t>
      </w:r>
    </w:p>
    <w:p w14:paraId="73B9A68B">
      <w:pPr>
        <w:spacing w:line="440" w:lineRule="atLeast"/>
        <w:rPr>
          <w:rFonts w:hint="eastAsia" w:ascii="宋体" w:hAnsi="宋体" w:cs="宋体"/>
          <w:b/>
          <w:color w:val="auto"/>
          <w:sz w:val="28"/>
          <w:szCs w:val="28"/>
          <w:highlight w:val="none"/>
          <w:lang w:eastAsia="zh-CN"/>
        </w:rPr>
      </w:pPr>
      <w:r>
        <w:rPr>
          <w:rFonts w:hint="eastAsia" w:ascii="宋体" w:hAnsi="宋体" w:eastAsia="宋体" w:cs="宋体"/>
          <w:b/>
          <w:color w:val="auto"/>
          <w:sz w:val="28"/>
          <w:szCs w:val="28"/>
          <w:highlight w:val="none"/>
        </w:rPr>
        <w:t>（3）如委托代理人为免缴纳</w:t>
      </w:r>
      <w:r>
        <w:rPr>
          <w:rFonts w:hint="eastAsia" w:ascii="宋体" w:hAnsi="宋体" w:cs="宋体"/>
          <w:b/>
          <w:color w:val="auto"/>
          <w:sz w:val="28"/>
          <w:szCs w:val="28"/>
          <w:highlight w:val="none"/>
          <w:lang w:eastAsia="zh-CN"/>
        </w:rPr>
        <w:t>养老保险</w:t>
      </w:r>
      <w:r>
        <w:rPr>
          <w:rFonts w:hint="eastAsia" w:ascii="宋体" w:hAnsi="宋体" w:eastAsia="宋体" w:cs="宋体"/>
          <w:b/>
          <w:color w:val="auto"/>
          <w:sz w:val="28"/>
          <w:szCs w:val="28"/>
          <w:highlight w:val="none"/>
        </w:rPr>
        <w:t>人员，提供免缴纳</w:t>
      </w:r>
      <w:r>
        <w:rPr>
          <w:rFonts w:hint="eastAsia" w:ascii="宋体" w:hAnsi="宋体" w:cs="宋体"/>
          <w:b/>
          <w:color w:val="auto"/>
          <w:sz w:val="28"/>
          <w:szCs w:val="28"/>
          <w:highlight w:val="none"/>
          <w:lang w:eastAsia="zh-CN"/>
        </w:rPr>
        <w:t>养老保险</w:t>
      </w:r>
      <w:r>
        <w:rPr>
          <w:rFonts w:hint="eastAsia" w:ascii="宋体" w:hAnsi="宋体" w:eastAsia="宋体" w:cs="宋体"/>
          <w:b/>
          <w:color w:val="auto"/>
          <w:sz w:val="28"/>
          <w:szCs w:val="28"/>
          <w:highlight w:val="none"/>
        </w:rPr>
        <w:t>的证明材料</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及供应商与委托代理人签订的劳动合同</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代替</w:t>
      </w:r>
      <w:r>
        <w:rPr>
          <w:rFonts w:hint="eastAsia" w:ascii="宋体" w:hAnsi="宋体" w:cs="宋体"/>
          <w:b/>
          <w:color w:val="auto"/>
          <w:sz w:val="28"/>
          <w:szCs w:val="28"/>
          <w:highlight w:val="none"/>
          <w:lang w:eastAsia="zh-CN"/>
        </w:rPr>
        <w:t>养老保险证明扫描件；</w:t>
      </w:r>
    </w:p>
    <w:p w14:paraId="049ECCB1">
      <w:pPr>
        <w:pStyle w:val="9"/>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lang w:val="en-US" w:eastAsia="zh-CN"/>
        </w:rPr>
        <w:t>（4）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2237C0AA">
      <w:pPr>
        <w:pStyle w:val="9"/>
        <w:rPr>
          <w:rFonts w:hint="eastAsia"/>
          <w:color w:val="auto"/>
          <w:highlight w:val="none"/>
          <w:lang w:eastAsia="zh-CN"/>
        </w:rPr>
      </w:pPr>
    </w:p>
    <w:p w14:paraId="7C428A08">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属</w:t>
      </w:r>
      <w:r>
        <w:rPr>
          <w:rFonts w:hint="eastAsia" w:ascii="宋体" w:hAnsi="宋体" w:eastAsia="宋体" w:cs="宋体"/>
          <w:b/>
          <w:color w:val="auto"/>
          <w:sz w:val="28"/>
          <w:szCs w:val="28"/>
          <w:highlight w:val="none"/>
        </w:rPr>
        <w:t>自然人的应提供由县级以上（含县级）社会养老保险经办机构出具的自然人本人及委托代理人所交纳的响应文件递交截止时间前</w:t>
      </w:r>
      <w:r>
        <w:rPr>
          <w:rFonts w:hint="eastAsia" w:ascii="宋体" w:hAnsi="宋体" w:cs="宋体"/>
          <w:b/>
          <w:color w:val="auto"/>
          <w:sz w:val="28"/>
          <w:szCs w:val="28"/>
          <w:highlight w:val="none"/>
          <w:lang w:eastAsia="zh-CN"/>
        </w:rPr>
        <w:t>三个月内任意一个月养老保险证明扫描件</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8"/>
          <w:szCs w:val="28"/>
          <w:highlight w:val="none"/>
        </w:rPr>
        <w:t>】（委托代理时必须提供；如为联合体的，授权委托书原件须由牵头人出具）</w:t>
      </w:r>
    </w:p>
    <w:p w14:paraId="3FF1ED77">
      <w:pPr>
        <w:pStyle w:val="13"/>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20E052C1">
      <w:pPr>
        <w:pStyle w:val="13"/>
        <w:ind w:firstLine="627" w:firstLineChars="196"/>
        <w:jc w:val="center"/>
        <w:rPr>
          <w:rFonts w:hint="eastAsia" w:ascii="宋体" w:hAnsi="宋体" w:eastAsia="宋体" w:cs="宋体"/>
          <w:b/>
          <w:color w:val="auto"/>
          <w:sz w:val="32"/>
          <w:highlight w:val="none"/>
        </w:rPr>
      </w:pPr>
      <w:bookmarkStart w:id="365" w:name="_Toc964_WPSOffice_Level1"/>
      <w:bookmarkStart w:id="366" w:name="_Toc5420_WPSOffice_Level1"/>
      <w:r>
        <w:rPr>
          <w:rFonts w:hint="eastAsia" w:ascii="宋体" w:hAnsi="宋体" w:eastAsia="宋体" w:cs="宋体"/>
          <w:b/>
          <w:color w:val="auto"/>
          <w:sz w:val="32"/>
          <w:highlight w:val="none"/>
        </w:rPr>
        <w:t>授权委托书（格式一）</w:t>
      </w:r>
      <w:bookmarkEnd w:id="365"/>
      <w:bookmarkEnd w:id="366"/>
    </w:p>
    <w:p w14:paraId="2ED24EF1">
      <w:pPr>
        <w:pStyle w:val="13"/>
        <w:rPr>
          <w:rFonts w:hint="eastAsia" w:ascii="宋体" w:hAnsi="宋体" w:eastAsia="宋体" w:cs="宋体"/>
          <w:color w:val="auto"/>
          <w:highlight w:val="none"/>
        </w:rPr>
      </w:pPr>
    </w:p>
    <w:p w14:paraId="7AD5832F">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桂林市政府集中采购中心 </w:t>
      </w:r>
    </w:p>
    <w:p w14:paraId="7A1E7ED9">
      <w:pPr>
        <w:spacing w:line="400" w:lineRule="exact"/>
        <w:rPr>
          <w:rFonts w:hint="eastAsia" w:ascii="宋体" w:hAnsi="宋体" w:eastAsia="宋体" w:cs="宋体"/>
          <w:color w:val="auto"/>
          <w:szCs w:val="21"/>
          <w:highlight w:val="none"/>
        </w:rPr>
      </w:pPr>
    </w:p>
    <w:p w14:paraId="74F65BC5">
      <w:pPr>
        <w:pStyle w:val="13"/>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712CED3B">
      <w:pPr>
        <w:pStyle w:val="13"/>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2865E0CB">
      <w:pPr>
        <w:pStyle w:val="13"/>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4378C902">
      <w:pPr>
        <w:pStyle w:val="13"/>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0F9578E2">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0B34ABFD">
      <w:pPr>
        <w:spacing w:line="400" w:lineRule="exact"/>
        <w:ind w:firstLine="420" w:firstLineChars="200"/>
        <w:rPr>
          <w:rFonts w:hint="eastAsia" w:ascii="宋体" w:hAnsi="宋体" w:eastAsia="宋体" w:cs="宋体"/>
          <w:color w:val="auto"/>
          <w:kern w:val="0"/>
          <w:highlight w:val="none"/>
        </w:rPr>
      </w:pPr>
    </w:p>
    <w:p w14:paraId="5E2FBC5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01219BD5">
      <w:pPr>
        <w:spacing w:line="400" w:lineRule="exact"/>
        <w:ind w:firstLine="420" w:firstLineChars="200"/>
        <w:rPr>
          <w:rFonts w:hint="eastAsia" w:ascii="宋体" w:hAnsi="宋体" w:eastAsia="宋体" w:cs="宋体"/>
          <w:color w:val="auto"/>
          <w:szCs w:val="21"/>
          <w:highlight w:val="none"/>
        </w:rPr>
      </w:pPr>
    </w:p>
    <w:p w14:paraId="74BF2154">
      <w:pPr>
        <w:spacing w:line="400" w:lineRule="exact"/>
        <w:ind w:firstLine="420" w:firstLineChars="200"/>
        <w:rPr>
          <w:rFonts w:hint="eastAsia" w:ascii="宋体" w:hAnsi="宋体" w:eastAsia="宋体" w:cs="宋体"/>
          <w:color w:val="auto"/>
          <w:szCs w:val="21"/>
          <w:highlight w:val="none"/>
        </w:rPr>
      </w:pPr>
    </w:p>
    <w:p w14:paraId="738435B0">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93E78A2">
      <w:pPr>
        <w:snapToGrid w:val="0"/>
        <w:spacing w:line="400" w:lineRule="exact"/>
        <w:ind w:firstLine="420"/>
        <w:rPr>
          <w:rFonts w:hint="eastAsia" w:ascii="宋体" w:hAnsi="宋体" w:eastAsia="宋体" w:cs="宋体"/>
          <w:color w:val="auto"/>
          <w:szCs w:val="21"/>
          <w:highlight w:val="none"/>
        </w:rPr>
      </w:pPr>
    </w:p>
    <w:p w14:paraId="03F8920D">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4CC9BBC">
      <w:pPr>
        <w:snapToGrid w:val="0"/>
        <w:spacing w:line="400" w:lineRule="exact"/>
        <w:ind w:firstLine="420"/>
        <w:rPr>
          <w:rFonts w:hint="eastAsia" w:ascii="宋体" w:hAnsi="宋体" w:eastAsia="宋体" w:cs="宋体"/>
          <w:color w:val="auto"/>
          <w:szCs w:val="21"/>
          <w:highlight w:val="none"/>
        </w:rPr>
      </w:pPr>
    </w:p>
    <w:p w14:paraId="218104ED">
      <w:pPr>
        <w:pStyle w:val="9"/>
        <w:rPr>
          <w:rFonts w:hint="eastAsia" w:ascii="宋体" w:hAnsi="宋体" w:eastAsia="宋体" w:cs="宋体"/>
          <w:color w:val="auto"/>
          <w:highlight w:val="none"/>
        </w:rPr>
      </w:pPr>
    </w:p>
    <w:p w14:paraId="4B9847F4">
      <w:pPr>
        <w:pStyle w:val="13"/>
        <w:spacing w:line="340" w:lineRule="exact"/>
        <w:ind w:firstLine="480" w:firstLineChars="20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注：</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的授权委托书原件、委托代理人身份证正反面</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以及由县级以上（含县级）社会养老保险经办机构出具的</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为委托代理人交纳的开标截止时间前</w:t>
      </w:r>
      <w:r>
        <w:rPr>
          <w:rFonts w:hint="eastAsia" w:hAnsi="宋体" w:cs="宋体"/>
          <w:b/>
          <w:color w:val="auto"/>
          <w:sz w:val="24"/>
          <w:highlight w:val="none"/>
          <w:lang w:val="en-US" w:eastAsia="zh-CN"/>
        </w:rPr>
        <w:t>三个月内任意一个月养老保险证明扫描件</w:t>
      </w:r>
      <w:r>
        <w:rPr>
          <w:rFonts w:hint="eastAsia" w:ascii="宋体" w:hAnsi="宋体" w:eastAsia="宋体" w:cs="宋体"/>
          <w:b/>
          <w:color w:val="auto"/>
          <w:sz w:val="24"/>
          <w:highlight w:val="none"/>
          <w:lang w:val="en-US" w:eastAsia="zh-CN"/>
        </w:rPr>
        <w:t>（如</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为截标时间前60日以内成立的公司，可以提供</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与委托代理人签订的劳动合同</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代替</w:t>
      </w:r>
      <w:r>
        <w:rPr>
          <w:rFonts w:hint="eastAsia" w:hAnsi="宋体" w:cs="宋体"/>
          <w:b/>
          <w:color w:val="auto"/>
          <w:sz w:val="24"/>
          <w:highlight w:val="none"/>
          <w:lang w:val="en-US" w:eastAsia="zh-CN"/>
        </w:rPr>
        <w:t>养老保险证明扫描件</w:t>
      </w:r>
      <w:r>
        <w:rPr>
          <w:rFonts w:hint="eastAsia" w:ascii="宋体" w:hAnsi="宋体" w:eastAsia="宋体" w:cs="宋体"/>
          <w:b/>
          <w:color w:val="auto"/>
          <w:sz w:val="24"/>
          <w:highlight w:val="none"/>
          <w:lang w:val="en-US" w:eastAsia="zh-CN"/>
        </w:rPr>
        <w:t>；如</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为事业单位，可以提供事业单位机构编制管理证</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或事业单位机构为其发放工资的工资条</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代替</w:t>
      </w:r>
      <w:r>
        <w:rPr>
          <w:rFonts w:hint="eastAsia" w:hAnsi="宋体" w:cs="宋体"/>
          <w:b/>
          <w:color w:val="auto"/>
          <w:sz w:val="24"/>
          <w:highlight w:val="none"/>
          <w:lang w:val="en-US" w:eastAsia="zh-CN"/>
        </w:rPr>
        <w:t>养老保险证明扫描件</w:t>
      </w:r>
      <w:r>
        <w:rPr>
          <w:rFonts w:hint="eastAsia" w:ascii="宋体" w:hAnsi="宋体" w:eastAsia="宋体" w:cs="宋体"/>
          <w:b/>
          <w:color w:val="auto"/>
          <w:sz w:val="24"/>
          <w:highlight w:val="none"/>
          <w:lang w:val="en-US" w:eastAsia="zh-CN"/>
        </w:rPr>
        <w:t>；如委托代理人为免缴纳</w:t>
      </w:r>
      <w:r>
        <w:rPr>
          <w:rFonts w:hint="eastAsia" w:hAnsi="宋体" w:cs="宋体"/>
          <w:b/>
          <w:color w:val="auto"/>
          <w:sz w:val="24"/>
          <w:highlight w:val="none"/>
          <w:lang w:val="en-US" w:eastAsia="zh-CN"/>
        </w:rPr>
        <w:t>养老保险</w:t>
      </w:r>
      <w:r>
        <w:rPr>
          <w:rFonts w:hint="eastAsia" w:ascii="宋体" w:hAnsi="宋体" w:eastAsia="宋体" w:cs="宋体"/>
          <w:b/>
          <w:color w:val="auto"/>
          <w:sz w:val="24"/>
          <w:highlight w:val="none"/>
          <w:lang w:val="en-US" w:eastAsia="zh-CN"/>
        </w:rPr>
        <w:t>人员，提供免缴纳</w:t>
      </w:r>
      <w:r>
        <w:rPr>
          <w:rFonts w:hint="eastAsia" w:hAnsi="宋体" w:cs="宋体"/>
          <w:b/>
          <w:color w:val="auto"/>
          <w:sz w:val="24"/>
          <w:highlight w:val="none"/>
          <w:lang w:val="en-US" w:eastAsia="zh-CN"/>
        </w:rPr>
        <w:t>养老保险</w:t>
      </w:r>
      <w:r>
        <w:rPr>
          <w:rFonts w:hint="eastAsia" w:ascii="宋体" w:hAnsi="宋体" w:eastAsia="宋体" w:cs="宋体"/>
          <w:b/>
          <w:color w:val="auto"/>
          <w:sz w:val="24"/>
          <w:highlight w:val="none"/>
          <w:lang w:val="en-US" w:eastAsia="zh-CN"/>
        </w:rPr>
        <w:t>的证明材料</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及</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与委托代理人签订的劳动合同</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代替</w:t>
      </w:r>
      <w:r>
        <w:rPr>
          <w:rFonts w:hint="eastAsia" w:hAnsi="宋体" w:cs="宋体"/>
          <w:b/>
          <w:color w:val="auto"/>
          <w:sz w:val="24"/>
          <w:highlight w:val="none"/>
          <w:lang w:val="en-US" w:eastAsia="zh-CN"/>
        </w:rPr>
        <w:t>养老保险证明扫描件</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4"/>
          <w:highlight w:val="none"/>
          <w:lang w:val="en-US" w:eastAsia="zh-CN"/>
        </w:rPr>
        <w:t>）委托代理时必须提供。</w:t>
      </w:r>
    </w:p>
    <w:p w14:paraId="62A816AE">
      <w:pPr>
        <w:pStyle w:val="6"/>
        <w:rPr>
          <w:rFonts w:hint="eastAsia" w:ascii="宋体" w:hAnsi="宋体" w:eastAsia="宋体" w:cs="宋体"/>
          <w:b/>
          <w:color w:val="auto"/>
          <w:sz w:val="24"/>
          <w:highlight w:val="none"/>
          <w:lang w:val="en-US" w:eastAsia="zh-CN"/>
        </w:rPr>
      </w:pPr>
    </w:p>
    <w:p w14:paraId="26593D79">
      <w:pPr>
        <w:rPr>
          <w:rFonts w:hint="eastAsia" w:ascii="宋体" w:hAnsi="宋体" w:eastAsia="宋体" w:cs="宋体"/>
          <w:b/>
          <w:color w:val="auto"/>
          <w:sz w:val="24"/>
          <w:highlight w:val="none"/>
          <w:lang w:val="en-US" w:eastAsia="zh-CN"/>
        </w:rPr>
      </w:pPr>
    </w:p>
    <w:p w14:paraId="4ED4271C">
      <w:pPr>
        <w:pStyle w:val="13"/>
        <w:spacing w:line="340" w:lineRule="exact"/>
        <w:ind w:firstLine="420" w:firstLineChars="200"/>
        <w:rPr>
          <w:rFonts w:hint="eastAsia"/>
          <w:color w:val="auto"/>
          <w:highlight w:val="none"/>
        </w:rPr>
      </w:pPr>
    </w:p>
    <w:p w14:paraId="0B193283">
      <w:pPr>
        <w:pStyle w:val="6"/>
        <w:rPr>
          <w:rFonts w:hint="eastAsia"/>
          <w:color w:val="auto"/>
          <w:highlight w:val="none"/>
        </w:rPr>
      </w:pPr>
    </w:p>
    <w:p w14:paraId="548E5B51">
      <w:pPr>
        <w:rPr>
          <w:rFonts w:hint="eastAsia"/>
          <w:color w:val="auto"/>
          <w:highlight w:val="none"/>
        </w:rPr>
      </w:pPr>
    </w:p>
    <w:p w14:paraId="0303BB2B">
      <w:pPr>
        <w:pStyle w:val="13"/>
        <w:jc w:val="center"/>
        <w:rPr>
          <w:rFonts w:hint="eastAsia" w:ascii="宋体" w:hAnsi="宋体" w:eastAsia="宋体" w:cs="宋体"/>
          <w:b/>
          <w:color w:val="auto"/>
          <w:sz w:val="32"/>
          <w:highlight w:val="none"/>
        </w:rPr>
      </w:pPr>
      <w:bookmarkStart w:id="367" w:name="_Toc6975_WPSOffice_Level1"/>
      <w:bookmarkStart w:id="368" w:name="_Toc21370_WPSOffice_Level1"/>
      <w:r>
        <w:rPr>
          <w:rFonts w:hint="eastAsia" w:ascii="宋体" w:hAnsi="宋体" w:eastAsia="宋体" w:cs="宋体"/>
          <w:b/>
          <w:color w:val="auto"/>
          <w:sz w:val="32"/>
          <w:highlight w:val="none"/>
        </w:rPr>
        <w:t>授权委托书（格式二）</w:t>
      </w:r>
      <w:bookmarkEnd w:id="367"/>
      <w:bookmarkEnd w:id="368"/>
    </w:p>
    <w:p w14:paraId="6B1D6598">
      <w:pPr>
        <w:pStyle w:val="13"/>
        <w:jc w:val="both"/>
        <w:rPr>
          <w:rFonts w:hint="eastAsia" w:ascii="宋体" w:hAnsi="宋体" w:eastAsia="宋体" w:cs="宋体"/>
          <w:b/>
          <w:color w:val="auto"/>
          <w:sz w:val="32"/>
          <w:highlight w:val="none"/>
        </w:rPr>
      </w:pPr>
    </w:p>
    <w:p w14:paraId="67E5A139">
      <w:pPr>
        <w:pStyle w:val="13"/>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桂林市政府集中采购中心 </w:t>
      </w:r>
    </w:p>
    <w:p w14:paraId="61895E1D">
      <w:pPr>
        <w:rPr>
          <w:rFonts w:hint="eastAsia" w:ascii="宋体" w:hAnsi="宋体" w:eastAsia="宋体" w:cs="宋体"/>
          <w:color w:val="auto"/>
          <w:highlight w:val="none"/>
        </w:rPr>
      </w:pPr>
    </w:p>
    <w:p w14:paraId="5DB46097">
      <w:pPr>
        <w:pStyle w:val="13"/>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249257D1">
      <w:pPr>
        <w:pStyle w:val="13"/>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0C961623">
      <w:pPr>
        <w:pStyle w:val="13"/>
        <w:spacing w:line="3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07F9C880">
      <w:pPr>
        <w:pStyle w:val="13"/>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428969BE">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15AEE2DB">
      <w:pPr>
        <w:spacing w:line="340" w:lineRule="exact"/>
        <w:ind w:firstLine="420" w:firstLineChars="200"/>
        <w:rPr>
          <w:rFonts w:hint="eastAsia" w:ascii="宋体" w:hAnsi="宋体" w:eastAsia="宋体" w:cs="宋体"/>
          <w:color w:val="auto"/>
          <w:kern w:val="0"/>
          <w:highlight w:val="none"/>
        </w:rPr>
      </w:pPr>
    </w:p>
    <w:p w14:paraId="2E825010">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7C6DF54E">
      <w:pPr>
        <w:spacing w:line="340" w:lineRule="exact"/>
        <w:ind w:firstLine="420" w:firstLineChars="200"/>
        <w:rPr>
          <w:rFonts w:hint="eastAsia" w:ascii="宋体" w:hAnsi="宋体" w:eastAsia="宋体" w:cs="宋体"/>
          <w:color w:val="auto"/>
          <w:szCs w:val="21"/>
          <w:highlight w:val="none"/>
        </w:rPr>
      </w:pPr>
    </w:p>
    <w:p w14:paraId="0D10D5D6">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C42CBA9">
      <w:pPr>
        <w:pStyle w:val="13"/>
        <w:spacing w:line="400" w:lineRule="exact"/>
        <w:ind w:left="420" w:leftChars="200"/>
        <w:rPr>
          <w:rFonts w:hint="eastAsia" w:ascii="宋体" w:hAnsi="宋体" w:eastAsia="宋体" w:cs="宋体"/>
          <w:color w:val="auto"/>
          <w:szCs w:val="21"/>
          <w:highlight w:val="none"/>
        </w:rPr>
      </w:pPr>
    </w:p>
    <w:p w14:paraId="1CEC0DD5">
      <w:pPr>
        <w:pStyle w:val="13"/>
        <w:spacing w:line="400" w:lineRule="exac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附：委托代理人身份证正反面</w:t>
      </w:r>
      <w:r>
        <w:rPr>
          <w:rFonts w:hint="eastAsia" w:hAnsi="宋体" w:cs="宋体"/>
          <w:b/>
          <w:color w:val="auto"/>
          <w:szCs w:val="21"/>
          <w:highlight w:val="none"/>
          <w:lang w:eastAsia="zh-CN"/>
        </w:rPr>
        <w:t>扫描件</w:t>
      </w:r>
    </w:p>
    <w:p w14:paraId="7E42F24B">
      <w:pPr>
        <w:rPr>
          <w:rFonts w:hint="eastAsia" w:ascii="宋体" w:hAnsi="宋体" w:eastAsia="宋体" w:cs="宋体"/>
          <w:b/>
          <w:color w:val="auto"/>
          <w:szCs w:val="21"/>
          <w:highlight w:val="none"/>
        </w:rPr>
      </w:pPr>
    </w:p>
    <w:p w14:paraId="78EC9978">
      <w:pPr>
        <w:pStyle w:val="9"/>
        <w:rPr>
          <w:rFonts w:hint="eastAsia" w:ascii="宋体" w:hAnsi="宋体" w:eastAsia="宋体" w:cs="宋体"/>
          <w:b/>
          <w:color w:val="auto"/>
          <w:szCs w:val="21"/>
          <w:highlight w:val="none"/>
        </w:rPr>
      </w:pPr>
    </w:p>
    <w:p w14:paraId="706DF790">
      <w:pPr>
        <w:pStyle w:val="9"/>
        <w:rPr>
          <w:rFonts w:hint="eastAsia" w:ascii="宋体" w:hAnsi="宋体" w:eastAsia="宋体" w:cs="宋体"/>
          <w:b/>
          <w:color w:val="auto"/>
          <w:szCs w:val="21"/>
          <w:highlight w:val="none"/>
        </w:rPr>
      </w:pPr>
    </w:p>
    <w:p w14:paraId="2B3A9BCE">
      <w:pPr>
        <w:pStyle w:val="9"/>
        <w:rPr>
          <w:rFonts w:hint="eastAsia" w:ascii="宋体" w:hAnsi="宋体" w:eastAsia="宋体" w:cs="宋体"/>
          <w:b/>
          <w:color w:val="auto"/>
          <w:szCs w:val="21"/>
          <w:highlight w:val="none"/>
        </w:rPr>
      </w:pPr>
    </w:p>
    <w:p w14:paraId="03355E86">
      <w:pPr>
        <w:pStyle w:val="9"/>
        <w:rPr>
          <w:rFonts w:hint="eastAsia" w:ascii="宋体" w:hAnsi="宋体" w:eastAsia="宋体" w:cs="宋体"/>
          <w:b/>
          <w:color w:val="auto"/>
          <w:szCs w:val="21"/>
          <w:highlight w:val="none"/>
        </w:rPr>
      </w:pPr>
    </w:p>
    <w:p w14:paraId="38B340A3">
      <w:pPr>
        <w:pStyle w:val="9"/>
        <w:rPr>
          <w:rFonts w:hint="eastAsia" w:ascii="宋体" w:hAnsi="宋体" w:eastAsia="宋体" w:cs="宋体"/>
          <w:b/>
          <w:color w:val="auto"/>
          <w:szCs w:val="21"/>
          <w:highlight w:val="none"/>
        </w:rPr>
      </w:pPr>
    </w:p>
    <w:p w14:paraId="5B6C40B5">
      <w:pPr>
        <w:pStyle w:val="9"/>
        <w:rPr>
          <w:rFonts w:hint="eastAsia" w:ascii="宋体" w:hAnsi="宋体" w:eastAsia="宋体" w:cs="宋体"/>
          <w:b/>
          <w:color w:val="auto"/>
          <w:szCs w:val="21"/>
          <w:highlight w:val="none"/>
        </w:rPr>
      </w:pPr>
    </w:p>
    <w:p w14:paraId="73B4382A">
      <w:pPr>
        <w:pStyle w:val="9"/>
        <w:rPr>
          <w:rFonts w:hint="eastAsia" w:ascii="宋体" w:hAnsi="宋体" w:eastAsia="宋体" w:cs="宋体"/>
          <w:b/>
          <w:color w:val="auto"/>
          <w:szCs w:val="21"/>
          <w:highlight w:val="none"/>
        </w:rPr>
      </w:pPr>
    </w:p>
    <w:p w14:paraId="6C1E4681">
      <w:pPr>
        <w:pStyle w:val="9"/>
        <w:rPr>
          <w:rFonts w:hint="eastAsia" w:ascii="宋体" w:hAnsi="宋体" w:eastAsia="宋体" w:cs="宋体"/>
          <w:b/>
          <w:color w:val="auto"/>
          <w:szCs w:val="21"/>
          <w:highlight w:val="none"/>
        </w:rPr>
      </w:pPr>
    </w:p>
    <w:p w14:paraId="664B840E">
      <w:pPr>
        <w:pStyle w:val="9"/>
        <w:rPr>
          <w:rFonts w:hint="eastAsia" w:ascii="宋体" w:hAnsi="宋体" w:eastAsia="宋体" w:cs="宋体"/>
          <w:b/>
          <w:color w:val="auto"/>
          <w:szCs w:val="21"/>
          <w:highlight w:val="none"/>
        </w:rPr>
      </w:pPr>
    </w:p>
    <w:p w14:paraId="7879EA8B">
      <w:pPr>
        <w:pStyle w:val="9"/>
        <w:rPr>
          <w:rFonts w:hint="eastAsia" w:ascii="宋体" w:hAnsi="宋体" w:eastAsia="宋体" w:cs="宋体"/>
          <w:b/>
          <w:color w:val="auto"/>
          <w:szCs w:val="21"/>
          <w:highlight w:val="none"/>
        </w:rPr>
      </w:pPr>
    </w:p>
    <w:p w14:paraId="29799FB0">
      <w:pPr>
        <w:pStyle w:val="9"/>
        <w:rPr>
          <w:rFonts w:hint="eastAsia" w:ascii="宋体" w:hAnsi="宋体" w:eastAsia="宋体" w:cs="宋体"/>
          <w:b/>
          <w:color w:val="auto"/>
          <w:szCs w:val="21"/>
          <w:highlight w:val="none"/>
        </w:rPr>
      </w:pPr>
    </w:p>
    <w:p w14:paraId="57328337">
      <w:pPr>
        <w:pStyle w:val="9"/>
        <w:rPr>
          <w:rFonts w:hint="eastAsia" w:ascii="宋体" w:hAnsi="宋体" w:eastAsia="宋体" w:cs="宋体"/>
          <w:b/>
          <w:color w:val="auto"/>
          <w:szCs w:val="21"/>
          <w:highlight w:val="none"/>
        </w:rPr>
      </w:pPr>
    </w:p>
    <w:p w14:paraId="7995C20A">
      <w:pPr>
        <w:pStyle w:val="9"/>
        <w:rPr>
          <w:rFonts w:hint="eastAsia" w:ascii="宋体" w:hAnsi="宋体" w:eastAsia="宋体" w:cs="宋体"/>
          <w:b/>
          <w:color w:val="auto"/>
          <w:szCs w:val="21"/>
          <w:highlight w:val="none"/>
        </w:rPr>
      </w:pPr>
    </w:p>
    <w:p w14:paraId="0C294F4C">
      <w:pPr>
        <w:rPr>
          <w:rFonts w:hint="eastAsia"/>
          <w:color w:val="auto"/>
          <w:highlight w:val="none"/>
        </w:rPr>
      </w:pPr>
    </w:p>
    <w:p w14:paraId="3222978D">
      <w:pPr>
        <w:pStyle w:val="9"/>
        <w:rPr>
          <w:rFonts w:hint="eastAsia" w:ascii="宋体" w:hAnsi="宋体" w:eastAsia="宋体" w:cs="宋体"/>
          <w:b/>
          <w:color w:val="auto"/>
          <w:szCs w:val="21"/>
          <w:highlight w:val="none"/>
        </w:rPr>
      </w:pPr>
    </w:p>
    <w:p w14:paraId="2E1BFAA1">
      <w:pPr>
        <w:numPr>
          <w:ilvl w:val="-1"/>
          <w:numId w:val="0"/>
        </w:numPr>
        <w:spacing w:line="360" w:lineRule="auto"/>
        <w:ind w:firstLine="0" w:firstLineChars="0"/>
        <w:rPr>
          <w:rFonts w:hint="eastAsia" w:ascii="宋体" w:hAnsi="宋体" w:eastAsia="宋体" w:cs="宋体"/>
          <w:b/>
          <w:color w:val="auto"/>
          <w:sz w:val="28"/>
          <w:szCs w:val="28"/>
          <w:highlight w:val="none"/>
          <w:lang w:val="en-US" w:eastAsia="zh-CN"/>
        </w:rPr>
      </w:pPr>
    </w:p>
    <w:p w14:paraId="1E9F2667">
      <w:pPr>
        <w:numPr>
          <w:ilvl w:val="-1"/>
          <w:numId w:val="0"/>
        </w:numPr>
        <w:spacing w:line="360" w:lineRule="auto"/>
        <w:ind w:firstLine="0" w:firstLineChars="0"/>
        <w:rPr>
          <w:rFonts w:hint="eastAsia" w:ascii="宋体" w:hAnsi="宋体" w:eastAsia="宋体" w:cs="宋体"/>
          <w:b/>
          <w:color w:val="auto"/>
          <w:sz w:val="28"/>
          <w:szCs w:val="28"/>
          <w:highlight w:val="none"/>
          <w:lang w:val="en-US" w:eastAsia="zh-CN"/>
        </w:rPr>
      </w:pPr>
    </w:p>
    <w:p w14:paraId="65C4110C">
      <w:pPr>
        <w:numPr>
          <w:ilvl w:val="-1"/>
          <w:numId w:val="0"/>
        </w:numPr>
        <w:spacing w:line="360" w:lineRule="auto"/>
        <w:ind w:firstLine="0" w:firstLineChars="0"/>
        <w:rPr>
          <w:rFonts w:hint="eastAsia" w:ascii="宋体" w:hAnsi="宋体" w:eastAsia="宋体" w:cs="宋体"/>
          <w:b/>
          <w:color w:val="auto"/>
          <w:sz w:val="28"/>
          <w:szCs w:val="28"/>
          <w:highlight w:val="none"/>
          <w:lang w:val="en-US" w:eastAsia="zh-CN"/>
        </w:rPr>
      </w:pPr>
    </w:p>
    <w:p w14:paraId="0D32E12F">
      <w:pPr>
        <w:numPr>
          <w:ilvl w:val="-1"/>
          <w:numId w:val="0"/>
        </w:numPr>
        <w:spacing w:line="360" w:lineRule="auto"/>
        <w:ind w:firstLine="0" w:firstLineChars="0"/>
        <w:rPr>
          <w:rFonts w:hint="eastAsia" w:ascii="宋体" w:hAnsi="宋体" w:eastAsia="宋体" w:cs="宋体"/>
          <w:b/>
          <w:color w:val="auto"/>
          <w:sz w:val="28"/>
          <w:szCs w:val="28"/>
          <w:highlight w:val="none"/>
          <w:lang w:val="en-US" w:eastAsia="zh-CN"/>
        </w:rPr>
      </w:pPr>
    </w:p>
    <w:p w14:paraId="39740561">
      <w:pPr>
        <w:numPr>
          <w:ilvl w:val="-1"/>
          <w:numId w:val="0"/>
        </w:numPr>
        <w:spacing w:line="360" w:lineRule="auto"/>
        <w:ind w:firstLine="0" w:firstLineChars="0"/>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lang w:val="en-US" w:eastAsia="zh-CN"/>
        </w:rPr>
        <w:t>供应商</w:t>
      </w:r>
      <w:r>
        <w:rPr>
          <w:rFonts w:hint="eastAsia" w:ascii="宋体" w:hAnsi="宋体" w:eastAsia="宋体" w:cs="宋体"/>
          <w:b/>
          <w:bCs/>
          <w:color w:val="auto"/>
          <w:sz w:val="28"/>
          <w:szCs w:val="28"/>
          <w:highlight w:val="none"/>
          <w:lang w:eastAsia="zh-CN"/>
        </w:rPr>
        <w:t>参加政府采购活动前3年内在经营活动中没有重大违法记录及有关信用信息的书面声明或专项信用报告</w:t>
      </w:r>
      <w:r>
        <w:rPr>
          <w:rFonts w:hint="eastAsia" w:ascii="宋体" w:hAnsi="宋体" w:eastAsia="宋体" w:cs="宋体"/>
          <w:b/>
          <w:bCs/>
          <w:color w:val="auto"/>
          <w:sz w:val="28"/>
          <w:szCs w:val="28"/>
          <w:highlight w:val="none"/>
        </w:rPr>
        <w:t>（必须提供）；</w:t>
      </w:r>
    </w:p>
    <w:p w14:paraId="1BCB6DE5">
      <w:pPr>
        <w:pStyle w:val="13"/>
        <w:spacing w:line="340" w:lineRule="exact"/>
        <w:ind w:firstLine="480" w:firstLineChars="200"/>
        <w:rPr>
          <w:rFonts w:hint="eastAsia" w:ascii="宋体" w:hAnsi="宋体" w:eastAsia="宋体" w:cs="宋体"/>
          <w:b/>
          <w:color w:val="auto"/>
          <w:sz w:val="24"/>
          <w:szCs w:val="20"/>
          <w:highlight w:val="none"/>
        </w:rPr>
      </w:pPr>
      <w:r>
        <w:rPr>
          <w:rFonts w:hint="eastAsia" w:ascii="宋体" w:hAnsi="宋体" w:eastAsia="宋体" w:cs="宋体"/>
          <w:b/>
          <w:bCs w:val="0"/>
          <w:color w:val="auto"/>
          <w:sz w:val="24"/>
          <w:highlight w:val="none"/>
          <w:lang w:eastAsia="zh-CN"/>
        </w:rPr>
        <w:t>注：</w:t>
      </w:r>
      <w:r>
        <w:rPr>
          <w:rFonts w:hint="eastAsia" w:ascii="宋体" w:hAnsi="宋体" w:eastAsia="宋体" w:cs="宋体"/>
          <w:b/>
          <w:bCs w:val="0"/>
          <w:color w:val="auto"/>
          <w:sz w:val="24"/>
          <w:highlight w:val="none"/>
          <w:lang w:val="en-US" w:eastAsia="zh-CN"/>
        </w:rPr>
        <w:t>供应商</w:t>
      </w:r>
      <w:r>
        <w:rPr>
          <w:rFonts w:hint="eastAsia" w:ascii="宋体" w:hAnsi="宋体" w:eastAsia="宋体" w:cs="宋体"/>
          <w:b/>
          <w:bCs w:val="0"/>
          <w:color w:val="auto"/>
          <w:sz w:val="24"/>
          <w:highlight w:val="none"/>
          <w:lang w:eastAsia="zh-CN"/>
        </w:rPr>
        <w:t>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w:t>
      </w:r>
      <w:r>
        <w:rPr>
          <w:rFonts w:hint="eastAsia" w:ascii="宋体" w:hAnsi="宋体" w:eastAsia="宋体" w:cs="宋体"/>
          <w:b/>
          <w:bCs w:val="0"/>
          <w:color w:val="auto"/>
          <w:sz w:val="24"/>
          <w:highlight w:val="none"/>
          <w:lang w:val="en-US" w:eastAsia="zh-CN"/>
        </w:rPr>
        <w:t>供应商</w:t>
      </w:r>
      <w:r>
        <w:rPr>
          <w:rFonts w:hint="eastAsia" w:ascii="宋体" w:hAnsi="宋体" w:eastAsia="宋体" w:cs="宋体"/>
          <w:b/>
          <w:bCs w:val="0"/>
          <w:color w:val="auto"/>
          <w:sz w:val="24"/>
          <w:highlight w:val="none"/>
          <w:lang w:eastAsia="zh-CN"/>
        </w:rPr>
        <w:t>根据注册地信用中国网站的要求获取。</w:t>
      </w:r>
    </w:p>
    <w:p w14:paraId="74B2055E">
      <w:pPr>
        <w:pStyle w:val="13"/>
        <w:spacing w:line="400" w:lineRule="exact"/>
        <w:ind w:left="420" w:leftChars="200" w:firstLine="156"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756321E8">
      <w:pPr>
        <w:pStyle w:val="13"/>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2AA3CE3F">
      <w:pPr>
        <w:pStyle w:val="13"/>
        <w:spacing w:line="400" w:lineRule="exact"/>
        <w:jc w:val="center"/>
        <w:rPr>
          <w:rFonts w:hint="eastAsia" w:ascii="宋体" w:hAnsi="宋体" w:eastAsia="宋体" w:cs="宋体"/>
          <w:b/>
          <w:color w:val="auto"/>
          <w:sz w:val="32"/>
          <w:szCs w:val="32"/>
          <w:highlight w:val="none"/>
        </w:rPr>
      </w:pPr>
      <w:bookmarkStart w:id="369" w:name="_Toc30890_WPSOffice_Level1"/>
      <w:bookmarkStart w:id="370" w:name="_Toc30304_WPSOffice_Level1"/>
      <w:r>
        <w:rPr>
          <w:rFonts w:hint="eastAsia" w:ascii="宋体" w:hAnsi="宋体" w:eastAsia="宋体" w:cs="宋体"/>
          <w:b/>
          <w:color w:val="auto"/>
          <w:sz w:val="32"/>
          <w:szCs w:val="32"/>
          <w:highlight w:val="none"/>
        </w:rPr>
        <w:t>声   明</w:t>
      </w:r>
      <w:bookmarkEnd w:id="369"/>
      <w:bookmarkEnd w:id="370"/>
    </w:p>
    <w:p w14:paraId="79A36899">
      <w:pPr>
        <w:pStyle w:val="13"/>
        <w:spacing w:line="400" w:lineRule="exact"/>
        <w:jc w:val="both"/>
        <w:rPr>
          <w:rFonts w:hint="eastAsia" w:ascii="宋体" w:hAnsi="宋体" w:eastAsia="宋体" w:cs="宋体"/>
          <w:b/>
          <w:color w:val="auto"/>
          <w:sz w:val="32"/>
          <w:szCs w:val="32"/>
          <w:highlight w:val="none"/>
        </w:rPr>
      </w:pPr>
    </w:p>
    <w:p w14:paraId="59A09E3E">
      <w:pPr>
        <w:pStyle w:val="6"/>
        <w:rPr>
          <w:rFonts w:hint="eastAsia"/>
          <w:color w:val="auto"/>
        </w:rPr>
      </w:pPr>
    </w:p>
    <w:p w14:paraId="35B18CEE">
      <w:pPr>
        <w:pStyle w:val="13"/>
        <w:spacing w:line="400" w:lineRule="exact"/>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桂林市政府集中采购中心 </w:t>
      </w:r>
    </w:p>
    <w:p w14:paraId="4A6F5555">
      <w:pPr>
        <w:rPr>
          <w:rFonts w:hint="eastAsia" w:ascii="宋体" w:hAnsi="宋体" w:eastAsia="宋体" w:cs="宋体"/>
          <w:color w:val="auto"/>
          <w:szCs w:val="21"/>
          <w:highlight w:val="none"/>
          <w:u w:val="single"/>
        </w:rPr>
      </w:pPr>
    </w:p>
    <w:p w14:paraId="03586E58">
      <w:pPr>
        <w:pStyle w:val="9"/>
        <w:rPr>
          <w:rFonts w:hint="eastAsia" w:ascii="宋体" w:hAnsi="宋体" w:eastAsia="宋体" w:cs="宋体"/>
          <w:color w:val="auto"/>
          <w:highlight w:val="none"/>
        </w:rPr>
      </w:pPr>
    </w:p>
    <w:p w14:paraId="235DBA7A">
      <w:pPr>
        <w:pStyle w:val="13"/>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7405883">
      <w:pPr>
        <w:rPr>
          <w:rFonts w:hint="eastAsia" w:ascii="宋体" w:hAnsi="宋体" w:eastAsia="宋体" w:cs="宋体"/>
          <w:color w:val="auto"/>
          <w:highlight w:val="none"/>
        </w:rPr>
      </w:pPr>
    </w:p>
    <w:p w14:paraId="0D7F95D7">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9514F7E">
      <w:pPr>
        <w:pStyle w:val="13"/>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7E8C8370">
      <w:pPr>
        <w:pStyle w:val="13"/>
        <w:spacing w:line="340" w:lineRule="exact"/>
        <w:rPr>
          <w:rFonts w:hint="eastAsia" w:ascii="宋体" w:hAnsi="宋体" w:eastAsia="宋体" w:cs="宋体"/>
          <w:b/>
          <w:color w:val="auto"/>
          <w:sz w:val="28"/>
          <w:szCs w:val="28"/>
          <w:highlight w:val="none"/>
        </w:rPr>
      </w:pPr>
    </w:p>
    <w:p w14:paraId="168B051C">
      <w:pPr>
        <w:pStyle w:val="13"/>
        <w:spacing w:line="340" w:lineRule="exact"/>
        <w:rPr>
          <w:rFonts w:hint="eastAsia" w:ascii="宋体" w:hAnsi="宋体" w:eastAsia="宋体" w:cs="宋体"/>
          <w:b/>
          <w:color w:val="auto"/>
          <w:sz w:val="28"/>
          <w:szCs w:val="28"/>
          <w:highlight w:val="none"/>
          <w:lang w:val="en-US" w:eastAsia="zh-CN"/>
        </w:rPr>
      </w:pPr>
    </w:p>
    <w:p w14:paraId="7BF88AD7">
      <w:pPr>
        <w:pStyle w:val="13"/>
        <w:spacing w:line="340" w:lineRule="exact"/>
        <w:rPr>
          <w:rFonts w:hint="eastAsia" w:ascii="宋体" w:hAnsi="宋体" w:eastAsia="宋体" w:cs="宋体"/>
          <w:b/>
          <w:color w:val="auto"/>
          <w:sz w:val="28"/>
          <w:szCs w:val="28"/>
          <w:highlight w:val="none"/>
          <w:lang w:val="en-US" w:eastAsia="zh-CN"/>
        </w:rPr>
      </w:pPr>
    </w:p>
    <w:p w14:paraId="58ABF830">
      <w:pPr>
        <w:rPr>
          <w:rFonts w:hint="eastAsia" w:ascii="宋体" w:hAnsi="宋体" w:eastAsia="宋体" w:cs="宋体"/>
          <w:b/>
          <w:color w:val="auto"/>
          <w:sz w:val="28"/>
          <w:szCs w:val="28"/>
          <w:highlight w:val="none"/>
          <w:lang w:val="en-US" w:eastAsia="zh-CN"/>
        </w:rPr>
      </w:pPr>
    </w:p>
    <w:p w14:paraId="57663F32">
      <w:pPr>
        <w:pStyle w:val="7"/>
        <w:rPr>
          <w:rFonts w:hint="eastAsia"/>
          <w:color w:val="auto"/>
          <w:lang w:val="en-US" w:eastAsia="zh-CN"/>
        </w:rPr>
      </w:pPr>
    </w:p>
    <w:p w14:paraId="4608A629">
      <w:pPr>
        <w:pStyle w:val="13"/>
        <w:spacing w:line="340" w:lineRule="exact"/>
        <w:rPr>
          <w:rFonts w:hint="eastAsia" w:ascii="宋体" w:hAnsi="宋体" w:eastAsia="宋体" w:cs="宋体"/>
          <w:b/>
          <w:color w:val="auto"/>
          <w:sz w:val="28"/>
          <w:szCs w:val="28"/>
          <w:highlight w:val="none"/>
          <w:lang w:val="en-US" w:eastAsia="zh-CN"/>
        </w:rPr>
      </w:pPr>
    </w:p>
    <w:p w14:paraId="6EAFE087">
      <w:pPr>
        <w:pStyle w:val="13"/>
        <w:spacing w:line="340" w:lineRule="exact"/>
        <w:rPr>
          <w:rFonts w:hint="eastAsia" w:ascii="宋体" w:hAnsi="宋体" w:eastAsia="宋体" w:cs="宋体"/>
          <w:b/>
          <w:color w:val="auto"/>
          <w:sz w:val="28"/>
          <w:szCs w:val="28"/>
          <w:highlight w:val="none"/>
          <w:lang w:val="en-US" w:eastAsia="zh-CN"/>
        </w:rPr>
      </w:pPr>
    </w:p>
    <w:p w14:paraId="0F703D0B">
      <w:pPr>
        <w:pStyle w:val="13"/>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.供应商的法人或者其他组织营业执照等证明文件</w:t>
      </w:r>
      <w:r>
        <w:rPr>
          <w:rFonts w:hint="eastAsia"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（必须提供，自然人除外）；</w:t>
      </w:r>
    </w:p>
    <w:p w14:paraId="7694B6D8">
      <w:pPr>
        <w:tabs>
          <w:tab w:val="left" w:pos="1305"/>
        </w:tabs>
        <w:spacing w:line="340" w:lineRule="exact"/>
        <w:rPr>
          <w:rFonts w:hint="eastAsia" w:ascii="宋体" w:hAnsi="宋体" w:eastAsia="宋体" w:cs="宋体"/>
          <w:b/>
          <w:color w:val="auto"/>
          <w:szCs w:val="21"/>
          <w:highlight w:val="none"/>
        </w:rPr>
      </w:pPr>
    </w:p>
    <w:p w14:paraId="4AC66ACF">
      <w:pPr>
        <w:pStyle w:val="13"/>
        <w:spacing w:line="340" w:lineRule="exact"/>
        <w:ind w:firstLine="480" w:firstLineChars="200"/>
        <w:rPr>
          <w:rFonts w:hint="eastAsia" w:ascii="宋体" w:hAnsi="宋体" w:eastAsia="宋体" w:cs="宋体"/>
          <w:b/>
          <w:bCs w:val="0"/>
          <w:color w:val="auto"/>
          <w:sz w:val="24"/>
          <w:highlight w:val="none"/>
          <w:lang w:eastAsia="zh-CN"/>
        </w:rPr>
      </w:pPr>
      <w:r>
        <w:rPr>
          <w:rFonts w:hint="eastAsia" w:ascii="宋体" w:hAnsi="宋体" w:eastAsia="宋体" w:cs="宋体"/>
          <w:b/>
          <w:bCs w:val="0"/>
          <w:color w:val="auto"/>
          <w:sz w:val="24"/>
          <w:highlight w:val="none"/>
          <w:lang w:eastAsia="zh-CN"/>
        </w:rPr>
        <w:t>注：供应商为企业（包括合伙企业），应提供市场监管部门（登记机关）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68E9A031">
      <w:pPr>
        <w:pStyle w:val="13"/>
        <w:spacing w:line="340" w:lineRule="exact"/>
        <w:rPr>
          <w:rFonts w:hint="eastAsia" w:ascii="宋体" w:hAnsi="宋体" w:eastAsia="宋体" w:cs="宋体"/>
          <w:b/>
          <w:color w:val="auto"/>
          <w:sz w:val="28"/>
          <w:szCs w:val="28"/>
          <w:highlight w:val="none"/>
          <w:lang w:val="en-US" w:eastAsia="zh-CN"/>
        </w:rPr>
      </w:pPr>
    </w:p>
    <w:p w14:paraId="3C06DC7C">
      <w:pPr>
        <w:pStyle w:val="13"/>
        <w:spacing w:line="340" w:lineRule="exac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5.财务状况报告（</w:t>
      </w:r>
      <w:r>
        <w:rPr>
          <w:rFonts w:hint="eastAsia" w:hAnsi="宋体" w:cs="宋体"/>
          <w:b/>
          <w:color w:val="auto"/>
          <w:sz w:val="28"/>
          <w:szCs w:val="28"/>
          <w:highlight w:val="none"/>
          <w:lang w:val="en-US" w:eastAsia="zh-CN"/>
        </w:rPr>
        <w:t>格式自拟，</w:t>
      </w:r>
      <w:r>
        <w:rPr>
          <w:rFonts w:hint="eastAsia" w:ascii="宋体" w:hAnsi="宋体" w:eastAsia="宋体" w:cs="宋体"/>
          <w:b/>
          <w:color w:val="auto"/>
          <w:sz w:val="28"/>
          <w:szCs w:val="28"/>
          <w:highlight w:val="none"/>
          <w:lang w:val="en-US" w:eastAsia="zh-CN"/>
        </w:rPr>
        <w:t>必须提供）；</w:t>
      </w:r>
    </w:p>
    <w:p w14:paraId="5AA8CF89">
      <w:pPr>
        <w:pStyle w:val="6"/>
        <w:ind w:left="0" w:leftChars="0" w:firstLine="0" w:firstLineChars="0"/>
        <w:rPr>
          <w:rFonts w:hint="eastAsia" w:ascii="宋体" w:hAnsi="宋体" w:eastAsia="宋体" w:cs="宋体"/>
          <w:color w:val="auto"/>
          <w:highlight w:val="none"/>
        </w:rPr>
      </w:pPr>
    </w:p>
    <w:p w14:paraId="2EC7D3EB">
      <w:pPr>
        <w:pStyle w:val="6"/>
        <w:numPr>
          <w:ilvl w:val="0"/>
          <w:numId w:val="0"/>
        </w:numPr>
        <w:rPr>
          <w:rFonts w:hint="eastAsia" w:ascii="宋体" w:hAnsi="宋体" w:eastAsia="宋体" w:cs="宋体"/>
          <w:b/>
          <w:color w:val="auto"/>
          <w:sz w:val="28"/>
          <w:szCs w:val="28"/>
          <w:highlight w:val="none"/>
          <w:lang w:val="en-US" w:eastAsia="zh-CN"/>
        </w:rPr>
      </w:pPr>
    </w:p>
    <w:p w14:paraId="4D828645">
      <w:pPr>
        <w:pStyle w:val="6"/>
        <w:numPr>
          <w:ilvl w:val="0"/>
          <w:numId w:val="0"/>
        </w:num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6.供应商在磋商当天前近半年内任意一个月或任一季度依法缴纳税收的证明材料（增值税发票(税收完税证明)或企业所得税完税证明或税务部门出具的免税证明或税务部门出具的无欠税证明）</w:t>
      </w:r>
      <w:r>
        <w:rPr>
          <w:rFonts w:hint="eastAsia" w:ascii="宋体" w:hAnsi="宋体" w:cs="宋体"/>
          <w:b/>
          <w:color w:val="auto"/>
          <w:sz w:val="28"/>
          <w:szCs w:val="28"/>
          <w:highlight w:val="none"/>
          <w:lang w:val="en-US" w:eastAsia="zh-CN"/>
        </w:rPr>
        <w:t>扫描件</w:t>
      </w:r>
      <w:r>
        <w:rPr>
          <w:rFonts w:hint="eastAsia" w:ascii="宋体" w:hAnsi="宋体" w:eastAsia="宋体" w:cs="宋体"/>
          <w:b/>
          <w:color w:val="auto"/>
          <w:sz w:val="28"/>
          <w:szCs w:val="28"/>
          <w:highlight w:val="none"/>
          <w:lang w:val="en-US" w:eastAsia="zh-CN"/>
        </w:rPr>
        <w:t>（必须提供）</w:t>
      </w:r>
      <w:r>
        <w:rPr>
          <w:rFonts w:hint="eastAsia" w:ascii="宋体" w:hAnsi="宋体" w:cs="宋体"/>
          <w:b/>
          <w:color w:val="auto"/>
          <w:sz w:val="28"/>
          <w:szCs w:val="28"/>
          <w:highlight w:val="none"/>
          <w:lang w:val="en-US" w:eastAsia="zh-CN"/>
        </w:rPr>
        <w:t>；</w:t>
      </w:r>
    </w:p>
    <w:p w14:paraId="13700E69">
      <w:pPr>
        <w:pStyle w:val="13"/>
        <w:numPr>
          <w:ilvl w:val="0"/>
          <w:numId w:val="0"/>
        </w:numPr>
        <w:spacing w:line="340" w:lineRule="exact"/>
        <w:ind w:leftChars="0"/>
        <w:rPr>
          <w:rFonts w:hint="eastAsia" w:hAnsi="宋体" w:cs="宋体"/>
          <w:b/>
          <w:color w:val="auto"/>
          <w:sz w:val="28"/>
          <w:szCs w:val="28"/>
          <w:highlight w:val="none"/>
          <w:lang w:val="en-US" w:eastAsia="zh-CN"/>
        </w:rPr>
      </w:pPr>
    </w:p>
    <w:p w14:paraId="06DFC7CF">
      <w:pPr>
        <w:rPr>
          <w:rFonts w:hint="eastAsia" w:hAnsi="宋体" w:cs="宋体"/>
          <w:b/>
          <w:color w:val="auto"/>
          <w:sz w:val="28"/>
          <w:szCs w:val="28"/>
          <w:highlight w:val="none"/>
          <w:lang w:val="en-US" w:eastAsia="zh-CN"/>
        </w:rPr>
      </w:pPr>
    </w:p>
    <w:p w14:paraId="4EE7094D">
      <w:pPr>
        <w:pStyle w:val="3"/>
        <w:rPr>
          <w:rFonts w:hint="eastAsia"/>
          <w:color w:val="auto"/>
          <w:lang w:val="en-US" w:eastAsia="zh-CN"/>
        </w:rPr>
      </w:pPr>
    </w:p>
    <w:p w14:paraId="52BAF77F">
      <w:pPr>
        <w:pStyle w:val="6"/>
        <w:rPr>
          <w:rFonts w:hint="eastAsia"/>
          <w:color w:val="auto"/>
          <w:highlight w:val="none"/>
          <w:lang w:val="en-US" w:eastAsia="zh-CN"/>
        </w:rPr>
      </w:pPr>
    </w:p>
    <w:p w14:paraId="4480F384">
      <w:pPr>
        <w:pStyle w:val="13"/>
        <w:numPr>
          <w:ilvl w:val="0"/>
          <w:numId w:val="0"/>
        </w:numPr>
        <w:spacing w:line="340" w:lineRule="exact"/>
        <w:ind w:leftChars="0"/>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7</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《中小企业声明函》（见附件）（</w:t>
      </w:r>
      <w:r>
        <w:rPr>
          <w:rFonts w:hint="eastAsia" w:ascii="宋体" w:hAnsi="宋体" w:eastAsia="宋体" w:cs="宋体"/>
          <w:b/>
          <w:color w:val="auto"/>
          <w:sz w:val="28"/>
          <w:szCs w:val="28"/>
          <w:highlight w:val="none"/>
          <w:lang w:val="en-US" w:eastAsia="zh-CN"/>
        </w:rPr>
        <w:t>除监狱企业及残疾人福利性单位外，</w:t>
      </w:r>
      <w:r>
        <w:rPr>
          <w:rFonts w:hint="eastAsia" w:hAnsi="宋体" w:cs="宋体"/>
          <w:b/>
          <w:color w:val="auto"/>
          <w:sz w:val="28"/>
          <w:szCs w:val="28"/>
          <w:highlight w:val="none"/>
          <w:lang w:val="en-US" w:eastAsia="zh-CN"/>
        </w:rPr>
        <w:t>必须提供</w:t>
      </w:r>
      <w:r>
        <w:rPr>
          <w:rFonts w:hint="eastAsia" w:ascii="宋体" w:hAnsi="宋体" w:eastAsia="宋体" w:cs="宋体"/>
          <w:b/>
          <w:color w:val="auto"/>
          <w:sz w:val="28"/>
          <w:szCs w:val="28"/>
          <w:highlight w:val="none"/>
        </w:rPr>
        <w:t>）；</w:t>
      </w:r>
    </w:p>
    <w:p w14:paraId="3AB4B2B9">
      <w:pPr>
        <w:rPr>
          <w:rFonts w:hint="eastAsia" w:ascii="宋体" w:hAnsi="宋体" w:eastAsia="宋体" w:cs="宋体"/>
          <w:color w:val="auto"/>
          <w:highlight w:val="none"/>
        </w:rPr>
      </w:pPr>
    </w:p>
    <w:p w14:paraId="4F71A6C4">
      <w:pPr>
        <w:pStyle w:val="9"/>
        <w:rPr>
          <w:rFonts w:hint="eastAsia" w:ascii="宋体" w:hAnsi="宋体" w:eastAsia="宋体" w:cs="宋体"/>
          <w:color w:val="auto"/>
          <w:highlight w:val="none"/>
        </w:rPr>
      </w:pPr>
    </w:p>
    <w:p w14:paraId="0BD2D422">
      <w:pPr>
        <w:pStyle w:val="1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p>
    <w:p w14:paraId="42D67A0A">
      <w:pPr>
        <w:pStyle w:val="13"/>
        <w:spacing w:line="440" w:lineRule="exact"/>
        <w:jc w:val="center"/>
        <w:rPr>
          <w:rFonts w:hint="eastAsia" w:hAnsi="宋体" w:cs="宋体"/>
          <w:b/>
          <w:bCs/>
          <w:color w:val="auto"/>
          <w:sz w:val="28"/>
          <w:szCs w:val="28"/>
          <w:highlight w:val="none"/>
        </w:rPr>
      </w:pPr>
      <w:r>
        <w:rPr>
          <w:rFonts w:hint="eastAsia" w:hAnsi="宋体" w:cs="宋体"/>
          <w:b/>
          <w:bCs/>
          <w:color w:val="auto"/>
          <w:sz w:val="28"/>
          <w:szCs w:val="28"/>
          <w:highlight w:val="none"/>
        </w:rPr>
        <w:t>中小企业声明函（</w:t>
      </w:r>
      <w:r>
        <w:rPr>
          <w:rFonts w:hint="eastAsia" w:hAnsi="宋体" w:cs="宋体"/>
          <w:b/>
          <w:bCs/>
          <w:color w:val="auto"/>
          <w:sz w:val="28"/>
          <w:szCs w:val="28"/>
          <w:highlight w:val="none"/>
          <w:lang w:eastAsia="zh-CN"/>
        </w:rPr>
        <w:t>服务</w:t>
      </w:r>
      <w:r>
        <w:rPr>
          <w:rFonts w:hint="eastAsia" w:hAnsi="宋体" w:cs="宋体"/>
          <w:b/>
          <w:bCs/>
          <w:color w:val="auto"/>
          <w:sz w:val="28"/>
          <w:szCs w:val="28"/>
          <w:highlight w:val="none"/>
        </w:rPr>
        <w:t>）</w:t>
      </w:r>
    </w:p>
    <w:p w14:paraId="2D091F06">
      <w:pPr>
        <w:widowControl w:val="0"/>
        <w:spacing w:line="440" w:lineRule="exact"/>
        <w:ind w:firstLine="444" w:firstLineChars="200"/>
        <w:jc w:val="both"/>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本公司（联合体）郑重声明，根据《政府采购促进中小企业发展管理办法》（财库﹝2020﹞46 号）的规定，本公司（联合体）参加（</w:t>
      </w:r>
      <w:r>
        <w:rPr>
          <w:rFonts w:hint="eastAsia" w:ascii="宋体" w:hAnsi="宋体" w:eastAsia="宋体" w:cs="宋体"/>
          <w:color w:val="auto"/>
          <w:spacing w:val="6"/>
          <w:kern w:val="2"/>
          <w:sz w:val="21"/>
          <w:szCs w:val="21"/>
          <w:highlight w:val="none"/>
          <w:u w:val="single"/>
          <w:lang w:val="en-US" w:eastAsia="zh-CN" w:bidi="ar-SA"/>
        </w:rPr>
        <w:t>单位名称</w:t>
      </w:r>
      <w:r>
        <w:rPr>
          <w:rFonts w:hint="eastAsia" w:ascii="宋体" w:hAnsi="宋体" w:eastAsia="宋体" w:cs="宋体"/>
          <w:color w:val="auto"/>
          <w:spacing w:val="6"/>
          <w:kern w:val="2"/>
          <w:sz w:val="21"/>
          <w:szCs w:val="21"/>
          <w:highlight w:val="none"/>
          <w:lang w:val="en-US" w:eastAsia="zh-CN" w:bidi="ar-SA"/>
        </w:rPr>
        <w:t>）的（</w:t>
      </w:r>
      <w:r>
        <w:rPr>
          <w:rFonts w:hint="eastAsia" w:ascii="宋体" w:hAnsi="宋体" w:eastAsia="宋体" w:cs="宋体"/>
          <w:color w:val="auto"/>
          <w:spacing w:val="6"/>
          <w:kern w:val="2"/>
          <w:sz w:val="21"/>
          <w:szCs w:val="21"/>
          <w:highlight w:val="none"/>
          <w:u w:val="single"/>
          <w:lang w:val="en-US" w:eastAsia="zh-CN" w:bidi="ar-SA"/>
        </w:rPr>
        <w:t>项目名称</w:t>
      </w:r>
      <w:r>
        <w:rPr>
          <w:rFonts w:hint="eastAsia" w:ascii="宋体" w:hAnsi="宋体" w:eastAsia="宋体" w:cs="宋体"/>
          <w:color w:val="auto"/>
          <w:spacing w:val="6"/>
          <w:kern w:val="2"/>
          <w:sz w:val="21"/>
          <w:szCs w:val="21"/>
          <w:highlight w:val="none"/>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638FF784">
      <w:pPr>
        <w:widowControl w:val="0"/>
        <w:spacing w:line="440" w:lineRule="exact"/>
        <w:ind w:firstLine="444" w:firstLineChars="200"/>
        <w:jc w:val="both"/>
        <w:rPr>
          <w:rFonts w:hint="eastAsia" w:ascii="宋体" w:hAnsi="Courier New" w:eastAsia="宋体" w:cs="Times New Roman"/>
          <w:color w:val="auto"/>
          <w:kern w:val="0"/>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1.</w:t>
      </w:r>
      <w:r>
        <w:rPr>
          <w:rFonts w:hint="eastAsia" w:ascii="宋体" w:hAnsi="宋体" w:eastAsia="宋体" w:cs="宋体"/>
          <w:color w:val="auto"/>
          <w:spacing w:val="6"/>
          <w:kern w:val="2"/>
          <w:sz w:val="21"/>
          <w:szCs w:val="21"/>
          <w:highlight w:val="none"/>
          <w:u w:val="single"/>
          <w:lang w:val="en-US" w:eastAsia="zh-CN" w:bidi="ar-SA"/>
        </w:rPr>
        <w:t xml:space="preserve">（标的名称） </w:t>
      </w:r>
      <w:r>
        <w:rPr>
          <w:rFonts w:hint="eastAsia" w:ascii="宋体" w:hAnsi="宋体" w:eastAsia="宋体" w:cs="宋体"/>
          <w:color w:val="auto"/>
          <w:spacing w:val="6"/>
          <w:kern w:val="2"/>
          <w:sz w:val="21"/>
          <w:szCs w:val="21"/>
          <w:highlight w:val="none"/>
          <w:lang w:val="en-US" w:eastAsia="zh-CN" w:bidi="ar-SA"/>
        </w:rPr>
        <w:t>，属于</w:t>
      </w:r>
      <w:r>
        <w:rPr>
          <w:rFonts w:hint="eastAsia" w:ascii="宋体" w:hAnsi="宋体" w:eastAsia="宋体" w:cs="宋体"/>
          <w:color w:val="auto"/>
          <w:spacing w:val="6"/>
          <w:kern w:val="2"/>
          <w:sz w:val="21"/>
          <w:szCs w:val="21"/>
          <w:highlight w:val="none"/>
          <w:u w:val="single"/>
          <w:lang w:val="en-US" w:eastAsia="zh-CN" w:bidi="ar-SA"/>
        </w:rPr>
        <w:t>（采购文件中明确的所属行业）</w:t>
      </w:r>
      <w:r>
        <w:rPr>
          <w:rFonts w:hint="eastAsia" w:ascii="宋体" w:hAnsi="宋体" w:eastAsia="宋体" w:cs="宋体"/>
          <w:color w:val="auto"/>
          <w:spacing w:val="6"/>
          <w:kern w:val="2"/>
          <w:sz w:val="21"/>
          <w:szCs w:val="21"/>
          <w:highlight w:val="none"/>
          <w:lang w:val="en-US" w:eastAsia="zh-CN" w:bidi="ar-SA"/>
        </w:rPr>
        <w:t>； 承建（承接）企业为（</w:t>
      </w:r>
      <w:r>
        <w:rPr>
          <w:rFonts w:hint="eastAsia" w:ascii="宋体" w:hAnsi="宋体" w:eastAsia="宋体" w:cs="宋体"/>
          <w:color w:val="auto"/>
          <w:spacing w:val="6"/>
          <w:kern w:val="2"/>
          <w:sz w:val="21"/>
          <w:szCs w:val="21"/>
          <w:highlight w:val="none"/>
          <w:u w:val="single"/>
          <w:lang w:val="en-US" w:eastAsia="zh-CN" w:bidi="ar-SA"/>
        </w:rPr>
        <w:t>企业名称</w:t>
      </w:r>
      <w:r>
        <w:rPr>
          <w:rFonts w:hint="eastAsia" w:ascii="宋体" w:hAnsi="宋体" w:eastAsia="宋体" w:cs="宋体"/>
          <w:color w:val="auto"/>
          <w:spacing w:val="6"/>
          <w:kern w:val="2"/>
          <w:sz w:val="21"/>
          <w:szCs w:val="21"/>
          <w:highlight w:val="none"/>
          <w:lang w:val="en-US" w:eastAsia="zh-CN" w:bidi="ar-SA"/>
        </w:rPr>
        <w:t>），从业人员</w:t>
      </w:r>
      <w:r>
        <w:rPr>
          <w:rFonts w:hint="eastAsia" w:ascii="宋体" w:hAnsi="宋体" w:eastAsia="宋体" w:cs="宋体"/>
          <w:color w:val="auto"/>
          <w:spacing w:val="6"/>
          <w:kern w:val="2"/>
          <w:sz w:val="21"/>
          <w:szCs w:val="21"/>
          <w:highlight w:val="none"/>
          <w:u w:val="single"/>
          <w:lang w:val="en-US" w:eastAsia="zh-CN" w:bidi="ar-SA"/>
        </w:rPr>
        <w:t xml:space="preserve">   </w:t>
      </w:r>
      <w:r>
        <w:rPr>
          <w:rFonts w:hint="eastAsia" w:ascii="宋体" w:hAnsi="宋体" w:eastAsia="宋体" w:cs="宋体"/>
          <w:color w:val="auto"/>
          <w:spacing w:val="6"/>
          <w:kern w:val="2"/>
          <w:sz w:val="21"/>
          <w:szCs w:val="21"/>
          <w:highlight w:val="none"/>
          <w:lang w:val="en-US" w:eastAsia="zh-CN" w:bidi="ar-SA"/>
        </w:rPr>
        <w:t>人，营业 收入为</w:t>
      </w:r>
      <w:r>
        <w:rPr>
          <w:rFonts w:hint="eastAsia" w:ascii="宋体" w:hAnsi="宋体" w:eastAsia="宋体" w:cs="宋体"/>
          <w:color w:val="auto"/>
          <w:spacing w:val="6"/>
          <w:kern w:val="2"/>
          <w:sz w:val="21"/>
          <w:szCs w:val="21"/>
          <w:highlight w:val="none"/>
          <w:u w:val="single"/>
          <w:lang w:val="en-US" w:eastAsia="zh-CN" w:bidi="ar-SA"/>
        </w:rPr>
        <w:t xml:space="preserve">  </w:t>
      </w:r>
      <w:r>
        <w:rPr>
          <w:rFonts w:hint="eastAsia" w:ascii="宋体" w:hAnsi="宋体" w:eastAsia="宋体" w:cs="宋体"/>
          <w:color w:val="auto"/>
          <w:spacing w:val="6"/>
          <w:kern w:val="2"/>
          <w:sz w:val="21"/>
          <w:szCs w:val="21"/>
          <w:highlight w:val="none"/>
          <w:lang w:val="en-US" w:eastAsia="zh-CN" w:bidi="ar-SA"/>
        </w:rPr>
        <w:t>万元，资产总额为</w:t>
      </w:r>
      <w:r>
        <w:rPr>
          <w:rFonts w:hint="eastAsia" w:ascii="宋体" w:hAnsi="宋体" w:eastAsia="宋体" w:cs="宋体"/>
          <w:color w:val="auto"/>
          <w:spacing w:val="6"/>
          <w:kern w:val="2"/>
          <w:sz w:val="21"/>
          <w:szCs w:val="21"/>
          <w:highlight w:val="none"/>
          <w:u w:val="single"/>
          <w:lang w:val="en-US" w:eastAsia="zh-CN" w:bidi="ar-SA"/>
        </w:rPr>
        <w:t xml:space="preserve">  </w:t>
      </w:r>
      <w:r>
        <w:rPr>
          <w:rFonts w:hint="eastAsia" w:ascii="宋体" w:hAnsi="宋体" w:eastAsia="宋体" w:cs="宋体"/>
          <w:color w:val="auto"/>
          <w:spacing w:val="6"/>
          <w:kern w:val="2"/>
          <w:sz w:val="21"/>
          <w:szCs w:val="21"/>
          <w:highlight w:val="none"/>
          <w:lang w:val="en-US" w:eastAsia="zh-CN" w:bidi="ar-SA"/>
        </w:rPr>
        <w:t>万元，属于（</w:t>
      </w:r>
      <w:r>
        <w:rPr>
          <w:rFonts w:hint="eastAsia" w:ascii="宋体" w:hAnsi="宋体" w:eastAsia="宋体" w:cs="宋体"/>
          <w:color w:val="auto"/>
          <w:spacing w:val="6"/>
          <w:kern w:val="2"/>
          <w:sz w:val="21"/>
          <w:szCs w:val="21"/>
          <w:highlight w:val="none"/>
          <w:u w:val="single"/>
          <w:lang w:val="en-US" w:eastAsia="zh-CN" w:bidi="ar-SA"/>
        </w:rPr>
        <w:t>中型企业、 小型企业、微型企业</w:t>
      </w:r>
      <w:r>
        <w:rPr>
          <w:rFonts w:hint="eastAsia" w:ascii="宋体" w:hAnsi="宋体" w:eastAsia="宋体" w:cs="宋体"/>
          <w:color w:val="auto"/>
          <w:spacing w:val="6"/>
          <w:kern w:val="2"/>
          <w:sz w:val="21"/>
          <w:szCs w:val="21"/>
          <w:highlight w:val="none"/>
          <w:lang w:val="en-US" w:eastAsia="zh-CN" w:bidi="ar-SA"/>
        </w:rPr>
        <w:t>）</w:t>
      </w:r>
    </w:p>
    <w:p w14:paraId="099695F3">
      <w:pPr>
        <w:widowControl/>
        <w:ind w:firstLine="444" w:firstLineChars="20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2.</w:t>
      </w:r>
      <w:r>
        <w:rPr>
          <w:rFonts w:hint="eastAsia" w:ascii="宋体" w:hAnsi="宋体" w:cs="宋体"/>
          <w:color w:val="auto"/>
          <w:spacing w:val="6"/>
          <w:szCs w:val="21"/>
          <w:highlight w:val="none"/>
          <w:u w:val="single"/>
        </w:rPr>
        <w:t xml:space="preserve">（标的名称） </w:t>
      </w:r>
      <w:r>
        <w:rPr>
          <w:rFonts w:hint="eastAsia" w:ascii="宋体" w:hAnsi="宋体" w:cs="宋体"/>
          <w:color w:val="auto"/>
          <w:spacing w:val="6"/>
          <w:szCs w:val="21"/>
          <w:highlight w:val="none"/>
        </w:rPr>
        <w:t>，属于</w:t>
      </w:r>
      <w:r>
        <w:rPr>
          <w:rFonts w:hint="eastAsia" w:ascii="宋体" w:hAnsi="宋体" w:cs="宋体"/>
          <w:color w:val="auto"/>
          <w:spacing w:val="6"/>
          <w:szCs w:val="21"/>
          <w:highlight w:val="none"/>
          <w:u w:val="single"/>
        </w:rPr>
        <w:t>（采购文件中明确的所属行业）</w:t>
      </w:r>
      <w:r>
        <w:rPr>
          <w:rFonts w:hint="eastAsia" w:ascii="宋体" w:hAnsi="宋体" w:cs="宋体"/>
          <w:color w:val="auto"/>
          <w:spacing w:val="6"/>
          <w:szCs w:val="21"/>
          <w:highlight w:val="none"/>
        </w:rPr>
        <w:t>；承建（承接）企业为（</w:t>
      </w:r>
      <w:r>
        <w:rPr>
          <w:rFonts w:hint="eastAsia" w:ascii="宋体" w:hAnsi="宋体" w:cs="宋体"/>
          <w:color w:val="auto"/>
          <w:spacing w:val="6"/>
          <w:szCs w:val="21"/>
          <w:highlight w:val="none"/>
          <w:u w:val="single"/>
        </w:rPr>
        <w:t>企业名称</w:t>
      </w:r>
      <w:r>
        <w:rPr>
          <w:rFonts w:hint="eastAsia" w:ascii="宋体" w:hAnsi="宋体" w:cs="宋体"/>
          <w:color w:val="auto"/>
          <w:spacing w:val="6"/>
          <w:szCs w:val="21"/>
          <w:highlight w:val="none"/>
        </w:rPr>
        <w:t>），从业人员</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人，营业收入为</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万元，资产总额为</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万元，属于（</w:t>
      </w:r>
      <w:r>
        <w:rPr>
          <w:rFonts w:hint="eastAsia" w:ascii="宋体" w:hAnsi="宋体" w:cs="宋体"/>
          <w:color w:val="auto"/>
          <w:spacing w:val="6"/>
          <w:szCs w:val="21"/>
          <w:highlight w:val="none"/>
          <w:u w:val="single"/>
        </w:rPr>
        <w:t>中型企业、 小型企业、微型企业</w:t>
      </w:r>
      <w:r>
        <w:rPr>
          <w:rFonts w:hint="eastAsia" w:ascii="宋体" w:hAnsi="宋体" w:cs="宋体"/>
          <w:color w:val="auto"/>
          <w:spacing w:val="6"/>
          <w:szCs w:val="21"/>
          <w:highlight w:val="none"/>
        </w:rPr>
        <w:t>）；</w:t>
      </w:r>
    </w:p>
    <w:p w14:paraId="60919AE9">
      <w:pPr>
        <w:widowControl w:val="0"/>
        <w:ind w:left="0"/>
        <w:jc w:val="both"/>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w:t>
      </w:r>
    </w:p>
    <w:p w14:paraId="69743DA9">
      <w:pPr>
        <w:widowControl/>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以上企业，不属于大企业的分支机构，不存在控股股东为大企业的情形，也不存在与大企业的负责人为同一人的情形。</w:t>
      </w:r>
    </w:p>
    <w:p w14:paraId="215A92E4">
      <w:pPr>
        <w:widowControl/>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本企业对上述声明内容的真实性负责。如有虚假，将依法承担相应责任。 </w:t>
      </w:r>
    </w:p>
    <w:p w14:paraId="6D2B4D75">
      <w:pPr>
        <w:pStyle w:val="48"/>
        <w:spacing w:after="40" w:line="400" w:lineRule="exact"/>
        <w:ind w:firstLine="640"/>
        <w:jc w:val="both"/>
        <w:rPr>
          <w:rFonts w:hint="eastAsia"/>
          <w:color w:val="auto"/>
          <w:sz w:val="24"/>
          <w:szCs w:val="24"/>
          <w:highlight w:val="none"/>
        </w:rPr>
      </w:pPr>
    </w:p>
    <w:p w14:paraId="652F06E5">
      <w:pPr>
        <w:pStyle w:val="48"/>
        <w:spacing w:line="400" w:lineRule="exact"/>
        <w:ind w:firstLine="640"/>
        <w:jc w:val="both"/>
        <w:rPr>
          <w:rFonts w:hint="eastAsia"/>
          <w:color w:val="auto"/>
          <w:spacing w:val="6"/>
          <w:kern w:val="2"/>
          <w:sz w:val="21"/>
          <w:szCs w:val="21"/>
          <w:highlight w:val="none"/>
        </w:rPr>
      </w:pPr>
      <w:r>
        <w:rPr>
          <w:rFonts w:hint="eastAsia"/>
          <w:color w:val="auto"/>
          <w:sz w:val="24"/>
          <w:szCs w:val="24"/>
          <w:highlight w:val="none"/>
        </w:rPr>
        <w:t xml:space="preserve">                          </w:t>
      </w:r>
      <w:r>
        <w:rPr>
          <w:rFonts w:hint="eastAsia"/>
          <w:color w:val="auto"/>
          <w:spacing w:val="6"/>
          <w:kern w:val="2"/>
          <w:sz w:val="21"/>
          <w:szCs w:val="21"/>
          <w:highlight w:val="none"/>
        </w:rPr>
        <w:t xml:space="preserve">                        企业名称[盖公章（CA签章）]：</w:t>
      </w:r>
    </w:p>
    <w:p w14:paraId="3D605D8F">
      <w:pPr>
        <w:pStyle w:val="48"/>
        <w:spacing w:line="400" w:lineRule="exact"/>
        <w:ind w:firstLine="640"/>
        <w:jc w:val="both"/>
        <w:rPr>
          <w:rFonts w:hint="eastAsia"/>
          <w:color w:val="auto"/>
          <w:spacing w:val="6"/>
          <w:kern w:val="2"/>
          <w:sz w:val="21"/>
          <w:szCs w:val="21"/>
          <w:highlight w:val="yellow"/>
        </w:rPr>
      </w:pPr>
      <w:r>
        <w:rPr>
          <w:rFonts w:hint="eastAsia"/>
          <w:color w:val="auto"/>
          <w:spacing w:val="6"/>
          <w:kern w:val="2"/>
          <w:sz w:val="21"/>
          <w:szCs w:val="21"/>
          <w:highlight w:val="none"/>
        </w:rPr>
        <w:t xml:space="preserve">                                                   日期：</w:t>
      </w:r>
    </w:p>
    <w:p w14:paraId="7FF80EBA">
      <w:pPr>
        <w:rPr>
          <w:rFonts w:hint="eastAsia"/>
          <w:color w:val="auto"/>
          <w:highlight w:val="none"/>
          <w:lang w:val="en-US" w:eastAsia="zh-CN"/>
        </w:rPr>
      </w:pPr>
      <w:r>
        <w:rPr>
          <w:rFonts w:hint="eastAsia" w:ascii="宋体" w:hAnsi="宋体" w:eastAsia="宋体" w:cs="宋体"/>
          <w:b/>
          <w:bCs/>
          <w:color w:val="auto"/>
          <w:kern w:val="0"/>
          <w:sz w:val="21"/>
          <w:szCs w:val="21"/>
          <w:lang w:val="en-US" w:eastAsia="zh-CN" w:bidi="ar-SA"/>
        </w:rPr>
        <w:t>注：从业人员、营业收入、资产总额填报上一年度数据，无上一年度数据的新成立企业可不填报。</w:t>
      </w:r>
    </w:p>
    <w:p w14:paraId="4010B0FE">
      <w:pPr>
        <w:rPr>
          <w:rFonts w:hint="eastAsia" w:ascii="宋体" w:hAnsi="宋体" w:eastAsia="宋体" w:cs="宋体"/>
          <w:color w:val="auto"/>
          <w:highlight w:val="none"/>
          <w:lang w:val="en-US" w:eastAsia="zh-CN"/>
        </w:rPr>
      </w:pPr>
    </w:p>
    <w:p w14:paraId="1A37B13A">
      <w:pPr>
        <w:pStyle w:val="13"/>
        <w:numPr>
          <w:ilvl w:val="0"/>
          <w:numId w:val="0"/>
        </w:numPr>
        <w:spacing w:line="340" w:lineRule="exact"/>
        <w:rPr>
          <w:rFonts w:hint="eastAsia" w:hAnsi="宋体" w:cs="宋体"/>
          <w:b/>
          <w:color w:val="auto"/>
          <w:sz w:val="28"/>
          <w:szCs w:val="28"/>
          <w:highlight w:val="none"/>
          <w:lang w:val="en-US" w:eastAsia="zh-CN"/>
        </w:rPr>
      </w:pPr>
    </w:p>
    <w:p w14:paraId="5013BF55">
      <w:pPr>
        <w:pStyle w:val="13"/>
        <w:numPr>
          <w:ilvl w:val="0"/>
          <w:numId w:val="0"/>
        </w:numPr>
        <w:spacing w:line="340" w:lineRule="exact"/>
        <w:rPr>
          <w:rFonts w:hint="eastAsia" w:hAnsi="宋体" w:cs="宋体"/>
          <w:b/>
          <w:color w:val="auto"/>
          <w:sz w:val="28"/>
          <w:szCs w:val="28"/>
          <w:highlight w:val="none"/>
          <w:lang w:val="en-US" w:eastAsia="zh-CN"/>
        </w:rPr>
      </w:pPr>
    </w:p>
    <w:p w14:paraId="33EE5CA4">
      <w:pPr>
        <w:pStyle w:val="13"/>
        <w:numPr>
          <w:ilvl w:val="0"/>
          <w:numId w:val="0"/>
        </w:numPr>
        <w:spacing w:line="340" w:lineRule="exact"/>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8.</w:t>
      </w:r>
      <w:r>
        <w:rPr>
          <w:rFonts w:hint="eastAsia" w:ascii="宋体" w:hAnsi="宋体" w:eastAsia="宋体" w:cs="宋体"/>
          <w:b/>
          <w:color w:val="auto"/>
          <w:sz w:val="28"/>
          <w:szCs w:val="28"/>
          <w:highlight w:val="none"/>
          <w:lang w:val="en-US" w:eastAsia="zh-CN"/>
        </w:rPr>
        <w:t>如提供服务的供应商属于监狱企业的，应当提供由省级以上监狱管理局、戒毒管理局等（含新疆生产建设兵团）</w:t>
      </w:r>
      <w:r>
        <w:rPr>
          <w:rFonts w:hint="eastAsia" w:ascii="宋体" w:hAnsi="宋体" w:eastAsia="宋体" w:cs="宋体"/>
          <w:b/>
          <w:color w:val="auto"/>
          <w:sz w:val="28"/>
          <w:szCs w:val="28"/>
          <w:highlight w:val="none"/>
        </w:rPr>
        <w:t>出具的属于监狱企业的证明文件（</w:t>
      </w:r>
      <w:r>
        <w:rPr>
          <w:rFonts w:hint="eastAsia" w:ascii="宋体" w:hAnsi="宋体" w:eastAsia="宋体" w:cs="宋体"/>
          <w:b/>
          <w:bCs w:val="0"/>
          <w:color w:val="auto"/>
          <w:sz w:val="28"/>
          <w:szCs w:val="28"/>
          <w:highlight w:val="none"/>
        </w:rPr>
        <w:t>如供应商属于监狱企业的，则必须提供</w:t>
      </w:r>
      <w:r>
        <w:rPr>
          <w:rFonts w:hint="eastAsia" w:ascii="宋体" w:hAnsi="宋体" w:eastAsia="宋体" w:cs="宋体"/>
          <w:b/>
          <w:color w:val="auto"/>
          <w:sz w:val="28"/>
          <w:szCs w:val="28"/>
          <w:highlight w:val="none"/>
        </w:rPr>
        <w:t>）；</w:t>
      </w:r>
    </w:p>
    <w:p w14:paraId="2A1C70DB">
      <w:pPr>
        <w:pStyle w:val="6"/>
        <w:ind w:left="0" w:leftChars="0" w:firstLine="0" w:firstLineChars="0"/>
        <w:rPr>
          <w:rFonts w:hint="eastAsia" w:ascii="宋体" w:hAnsi="宋体" w:eastAsia="宋体" w:cs="宋体"/>
          <w:b/>
          <w:color w:val="auto"/>
          <w:sz w:val="28"/>
          <w:szCs w:val="28"/>
          <w:highlight w:val="none"/>
          <w:lang w:val="en-US" w:eastAsia="zh-CN"/>
        </w:rPr>
      </w:pPr>
    </w:p>
    <w:p w14:paraId="03EF0F00">
      <w:pPr>
        <w:rPr>
          <w:rFonts w:hint="eastAsia" w:ascii="宋体" w:hAnsi="宋体" w:eastAsia="宋体" w:cs="宋体"/>
          <w:b/>
          <w:color w:val="auto"/>
          <w:sz w:val="28"/>
          <w:szCs w:val="28"/>
          <w:highlight w:val="none"/>
          <w:lang w:val="en-US" w:eastAsia="zh-CN"/>
        </w:rPr>
      </w:pPr>
    </w:p>
    <w:p w14:paraId="188FC937">
      <w:pPr>
        <w:pStyle w:val="13"/>
        <w:numPr>
          <w:ilvl w:val="0"/>
          <w:numId w:val="0"/>
        </w:numPr>
        <w:spacing w:line="340" w:lineRule="exact"/>
        <w:ind w:leftChars="0"/>
        <w:rPr>
          <w:rFonts w:hint="eastAsia" w:ascii="宋体" w:hAnsi="宋体" w:eastAsia="宋体" w:cs="宋体"/>
          <w:b/>
          <w:color w:val="auto"/>
          <w:sz w:val="28"/>
          <w:szCs w:val="28"/>
          <w:highlight w:val="none"/>
          <w:lang w:eastAsia="zh-CN"/>
        </w:rPr>
      </w:pPr>
      <w:r>
        <w:rPr>
          <w:rFonts w:hint="eastAsia" w:hAnsi="宋体" w:cs="宋体"/>
          <w:b/>
          <w:color w:val="auto"/>
          <w:sz w:val="28"/>
          <w:szCs w:val="28"/>
          <w:highlight w:val="none"/>
          <w:lang w:val="en-US" w:eastAsia="zh-CN"/>
        </w:rPr>
        <w:t>9.</w:t>
      </w:r>
      <w:r>
        <w:rPr>
          <w:rFonts w:hint="eastAsia" w:ascii="宋体" w:hAnsi="宋体" w:eastAsia="宋体" w:cs="宋体"/>
          <w:b/>
          <w:color w:val="auto"/>
          <w:sz w:val="28"/>
          <w:szCs w:val="28"/>
          <w:highlight w:val="none"/>
        </w:rPr>
        <w:t>《残疾人福利性单位声明函》（见附件）（</w:t>
      </w:r>
      <w:r>
        <w:rPr>
          <w:rFonts w:hint="eastAsia" w:ascii="宋体" w:hAnsi="宋体" w:eastAsia="宋体" w:cs="宋体"/>
          <w:b/>
          <w:bCs w:val="0"/>
          <w:color w:val="auto"/>
          <w:sz w:val="28"/>
          <w:szCs w:val="28"/>
          <w:highlight w:val="none"/>
        </w:rPr>
        <w:t>如供应商属于</w:t>
      </w:r>
      <w:r>
        <w:rPr>
          <w:rFonts w:hint="eastAsia" w:ascii="宋体" w:hAnsi="宋体" w:eastAsia="宋体" w:cs="宋体"/>
          <w:b/>
          <w:color w:val="auto"/>
          <w:sz w:val="28"/>
          <w:szCs w:val="28"/>
          <w:highlight w:val="none"/>
        </w:rPr>
        <w:t>残疾人</w:t>
      </w:r>
      <w:r>
        <w:rPr>
          <w:rFonts w:hint="eastAsia" w:ascii="宋体" w:hAnsi="宋体" w:eastAsia="宋体" w:cs="宋体"/>
          <w:b/>
          <w:bCs w:val="0"/>
          <w:color w:val="auto"/>
          <w:sz w:val="28"/>
          <w:szCs w:val="28"/>
          <w:highlight w:val="none"/>
        </w:rPr>
        <w:t>企业的，则必须提供</w:t>
      </w:r>
      <w:r>
        <w:rPr>
          <w:rFonts w:hint="eastAsia" w:ascii="宋体" w:hAnsi="宋体" w:eastAsia="宋体" w:cs="宋体"/>
          <w:b/>
          <w:color w:val="auto"/>
          <w:sz w:val="28"/>
          <w:szCs w:val="28"/>
          <w:highlight w:val="none"/>
        </w:rPr>
        <w:t>）</w:t>
      </w:r>
      <w:r>
        <w:rPr>
          <w:rFonts w:hint="eastAsia" w:hAnsi="宋体" w:cs="宋体"/>
          <w:b/>
          <w:color w:val="auto"/>
          <w:sz w:val="28"/>
          <w:szCs w:val="28"/>
          <w:highlight w:val="none"/>
          <w:lang w:eastAsia="zh-CN"/>
        </w:rPr>
        <w:t>；</w:t>
      </w:r>
    </w:p>
    <w:p w14:paraId="6D9CAF32">
      <w:pPr>
        <w:tabs>
          <w:tab w:val="left" w:pos="1305"/>
        </w:tabs>
        <w:rPr>
          <w:rFonts w:hint="eastAsia" w:ascii="宋体" w:hAnsi="宋体" w:eastAsia="宋体" w:cs="宋体"/>
          <w:b/>
          <w:color w:val="auto"/>
          <w:sz w:val="32"/>
          <w:szCs w:val="32"/>
          <w:highlight w:val="none"/>
        </w:rPr>
      </w:pPr>
    </w:p>
    <w:p w14:paraId="39BB1C2A">
      <w:pPr>
        <w:pStyle w:val="29"/>
        <w:rPr>
          <w:rFonts w:hint="eastAsia" w:ascii="宋体" w:hAnsi="宋体" w:eastAsia="宋体" w:cs="宋体"/>
          <w:b/>
          <w:color w:val="auto"/>
          <w:spacing w:val="6"/>
          <w:sz w:val="28"/>
          <w:szCs w:val="28"/>
          <w:highlight w:val="none"/>
        </w:rPr>
      </w:pPr>
    </w:p>
    <w:p w14:paraId="7F69F5EB">
      <w:pPr>
        <w:spacing w:line="588" w:lineRule="exact"/>
        <w:jc w:val="cente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残疾人福利性单位声明函</w:t>
      </w:r>
    </w:p>
    <w:p w14:paraId="66A14C24">
      <w:pPr>
        <w:spacing w:line="588"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〔2017〕141</w:t>
      </w:r>
      <w:r>
        <w:rPr>
          <w:rFonts w:hint="eastAsia" w:ascii="宋体" w:hAnsi="宋体" w:eastAsia="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2AAA8D1">
      <w:pPr>
        <w:spacing w:line="588"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本单位对上述声明的真实性负责。如有虚假，将依法承担相应责任。</w:t>
      </w:r>
    </w:p>
    <w:p w14:paraId="429F3317">
      <w:pPr>
        <w:rPr>
          <w:rFonts w:hint="eastAsia" w:ascii="宋体" w:hAnsi="宋体" w:eastAsia="宋体" w:cs="宋体"/>
          <w:color w:val="auto"/>
          <w:highlight w:val="none"/>
        </w:rPr>
      </w:pPr>
    </w:p>
    <w:p w14:paraId="3C845028">
      <w:pPr>
        <w:tabs>
          <w:tab w:val="left" w:pos="4860"/>
        </w:tabs>
        <w:spacing w:line="588" w:lineRule="exact"/>
        <w:ind w:right="1560" w:firstLine="58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8"/>
          <w:szCs w:val="28"/>
          <w:highlight w:val="none"/>
        </w:rPr>
        <w:t xml:space="preserve">          </w:t>
      </w:r>
      <w:r>
        <w:rPr>
          <w:rFonts w:hint="eastAsia" w:ascii="宋体" w:hAnsi="宋体" w:eastAsia="宋体" w:cs="宋体"/>
          <w:color w:val="auto"/>
          <w:spacing w:val="6"/>
          <w:sz w:val="24"/>
          <w:highlight w:val="none"/>
        </w:rPr>
        <w:t xml:space="preserve">  单位名称</w:t>
      </w:r>
      <w:r>
        <w:rPr>
          <w:rFonts w:hint="eastAsia" w:ascii="宋体" w:hAnsi="宋体" w:eastAsia="宋体" w:cs="宋体"/>
          <w:color w:val="auto"/>
          <w:spacing w:val="6"/>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pacing w:val="6"/>
          <w:kern w:val="2"/>
          <w:sz w:val="24"/>
          <w:szCs w:val="24"/>
          <w:highlight w:val="none"/>
          <w:lang w:val="en-US" w:eastAsia="zh-CN" w:bidi="ar-SA"/>
        </w:rPr>
        <w:t>）：</w:t>
      </w:r>
    </w:p>
    <w:p w14:paraId="734654C7">
      <w:pPr>
        <w:pStyle w:val="13"/>
        <w:ind w:firstLine="4032" w:firstLineChars="16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日    期：  年  </w:t>
      </w:r>
      <w:bookmarkStart w:id="398" w:name="_GoBack"/>
      <w:r>
        <w:rPr>
          <w:rFonts w:hint="eastAsia" w:ascii="宋体" w:hAnsi="宋体" w:eastAsia="宋体" w:cs="宋体"/>
          <w:color w:val="auto"/>
          <w:spacing w:val="6"/>
          <w:sz w:val="24"/>
          <w:szCs w:val="24"/>
          <w:highlight w:val="none"/>
        </w:rPr>
        <w:t>月</w:t>
      </w:r>
      <w:bookmarkEnd w:id="398"/>
      <w:r>
        <w:rPr>
          <w:rFonts w:hint="eastAsia" w:ascii="宋体" w:hAnsi="宋体" w:eastAsia="宋体" w:cs="宋体"/>
          <w:color w:val="auto"/>
          <w:spacing w:val="6"/>
          <w:sz w:val="24"/>
          <w:szCs w:val="24"/>
          <w:highlight w:val="none"/>
        </w:rPr>
        <w:t xml:space="preserve">  日</w:t>
      </w:r>
    </w:p>
    <w:p w14:paraId="703C6CE9">
      <w:pPr>
        <w:rPr>
          <w:rFonts w:hint="eastAsia" w:ascii="宋体" w:hAnsi="宋体" w:eastAsia="宋体" w:cs="宋体"/>
          <w:color w:val="auto"/>
          <w:spacing w:val="6"/>
          <w:sz w:val="24"/>
          <w:szCs w:val="24"/>
          <w:highlight w:val="none"/>
        </w:rPr>
      </w:pPr>
    </w:p>
    <w:p w14:paraId="13D7AEE1">
      <w:pPr>
        <w:pStyle w:val="9"/>
        <w:rPr>
          <w:rFonts w:hint="eastAsia" w:ascii="宋体" w:hAnsi="宋体" w:eastAsia="宋体" w:cs="宋体"/>
          <w:color w:val="auto"/>
          <w:highlight w:val="none"/>
        </w:rPr>
      </w:pPr>
    </w:p>
    <w:p w14:paraId="02B38D8A">
      <w:pPr>
        <w:pStyle w:val="9"/>
        <w:rPr>
          <w:rFonts w:hint="eastAsia" w:ascii="宋体" w:hAnsi="宋体" w:eastAsia="宋体" w:cs="宋体"/>
          <w:color w:val="auto"/>
          <w:highlight w:val="none"/>
        </w:rPr>
      </w:pPr>
    </w:p>
    <w:p w14:paraId="5BFC1B75">
      <w:pPr>
        <w:pStyle w:val="9"/>
        <w:rPr>
          <w:rFonts w:hint="eastAsia" w:ascii="宋体" w:hAnsi="宋体" w:eastAsia="宋体" w:cs="宋体"/>
          <w:color w:val="auto"/>
          <w:highlight w:val="none"/>
        </w:rPr>
      </w:pPr>
    </w:p>
    <w:p w14:paraId="1FB9AB46">
      <w:pPr>
        <w:tabs>
          <w:tab w:val="left" w:pos="1305"/>
        </w:tabs>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b/>
          <w:color w:val="auto"/>
          <w:szCs w:val="21"/>
          <w:highlight w:val="none"/>
        </w:rPr>
        <w:t>成交供应商为残疾人福利性单位的，采购人或者其委托的采购代理机构应当随成交结果同时公告其《残疾人福利性单位声明函》，接受社会监督</w:t>
      </w:r>
      <w:r>
        <w:rPr>
          <w:rFonts w:hint="eastAsia" w:ascii="宋体" w:hAnsi="宋体" w:eastAsia="宋体" w:cs="宋体"/>
          <w:color w:val="auto"/>
          <w:sz w:val="24"/>
          <w:highlight w:val="none"/>
        </w:rPr>
        <w:t>。</w:t>
      </w:r>
    </w:p>
    <w:p w14:paraId="1297C969">
      <w:pPr>
        <w:pStyle w:val="29"/>
        <w:rPr>
          <w:rFonts w:hint="eastAsia" w:ascii="宋体" w:hAnsi="宋体" w:eastAsia="宋体" w:cs="宋体"/>
          <w:b/>
          <w:bCs w:val="0"/>
          <w:color w:val="auto"/>
          <w:sz w:val="28"/>
          <w:szCs w:val="28"/>
          <w:highlight w:val="none"/>
        </w:rPr>
      </w:pPr>
    </w:p>
    <w:p w14:paraId="6BB50796">
      <w:pPr>
        <w:pStyle w:val="29"/>
        <w:rPr>
          <w:rFonts w:hint="eastAsia" w:ascii="宋体" w:hAnsi="宋体" w:eastAsia="宋体" w:cs="宋体"/>
          <w:b/>
          <w:bCs w:val="0"/>
          <w:color w:val="auto"/>
          <w:sz w:val="28"/>
          <w:szCs w:val="28"/>
          <w:highlight w:val="none"/>
        </w:rPr>
      </w:pPr>
    </w:p>
    <w:p w14:paraId="04836E16">
      <w:pPr>
        <w:pStyle w:val="29"/>
        <w:rPr>
          <w:rFonts w:hint="eastAsia" w:ascii="宋体" w:hAnsi="宋体" w:eastAsia="宋体" w:cs="宋体"/>
          <w:b/>
          <w:bCs w:val="0"/>
          <w:color w:val="auto"/>
          <w:sz w:val="28"/>
          <w:szCs w:val="28"/>
          <w:highlight w:val="none"/>
        </w:rPr>
      </w:pPr>
    </w:p>
    <w:p w14:paraId="313E945F">
      <w:pPr>
        <w:pStyle w:val="29"/>
        <w:rPr>
          <w:rFonts w:hint="eastAsia" w:ascii="宋体" w:hAnsi="宋体" w:eastAsia="宋体" w:cs="宋体"/>
          <w:color w:val="auto"/>
          <w:highlight w:val="none"/>
        </w:rPr>
      </w:pPr>
    </w:p>
    <w:p w14:paraId="35F515B8">
      <w:pPr>
        <w:numPr>
          <w:ilvl w:val="0"/>
          <w:numId w:val="0"/>
        </w:numPr>
        <w:ind w:left="420" w:leftChars="0"/>
        <w:jc w:val="center"/>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p>
    <w:p w14:paraId="47AF3E7B">
      <w:pPr>
        <w:numPr>
          <w:ilvl w:val="0"/>
          <w:numId w:val="13"/>
        </w:numPr>
        <w:spacing w:line="360" w:lineRule="auto"/>
        <w:ind w:left="-60" w:leftChars="0" w:firstLine="48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响应函</w:t>
      </w:r>
      <w:r>
        <w:rPr>
          <w:rFonts w:hint="eastAsia" w:ascii="宋体" w:hAnsi="宋体" w:eastAsia="宋体" w:cs="宋体"/>
          <w:b/>
          <w:bCs/>
          <w:color w:val="auto"/>
          <w:sz w:val="24"/>
          <w:highlight w:val="none"/>
        </w:rPr>
        <w:t>（格式见附件）（必须提供</w:t>
      </w:r>
      <w:r>
        <w:rPr>
          <w:color w:val="auto"/>
          <w:highlight w:val="none"/>
        </w:rPr>
        <w:t>）</w:t>
      </w:r>
      <w:r>
        <w:rPr>
          <w:rFonts w:hint="eastAsia" w:ascii="宋体" w:hAnsi="宋体" w:eastAsia="宋体" w:cs="宋体"/>
          <w:b/>
          <w:bCs/>
          <w:color w:val="auto"/>
          <w:sz w:val="24"/>
          <w:highlight w:val="none"/>
          <w:lang w:eastAsia="zh-CN"/>
        </w:rPr>
        <w:t>；</w:t>
      </w:r>
    </w:p>
    <w:p w14:paraId="7DA11ECC">
      <w:pPr>
        <w:spacing w:line="360" w:lineRule="auto"/>
        <w:rPr>
          <w:rFonts w:hint="default" w:ascii="宋体" w:hAnsi="宋体" w:eastAsia="宋体" w:cs="宋体"/>
          <w:color w:val="auto"/>
          <w:sz w:val="24"/>
          <w:highlight w:val="none"/>
          <w:lang w:val="en-US" w:eastAsia="zh-CN"/>
        </w:rPr>
      </w:pPr>
    </w:p>
    <w:p w14:paraId="433C02E5">
      <w:pPr>
        <w:numPr>
          <w:ilvl w:val="0"/>
          <w:numId w:val="13"/>
        </w:numPr>
        <w:spacing w:line="360" w:lineRule="auto"/>
        <w:ind w:left="-60" w:leftChars="0" w:firstLine="480" w:firstLineChars="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磋商报价表</w:t>
      </w:r>
      <w:r>
        <w:rPr>
          <w:rFonts w:hint="eastAsia" w:ascii="宋体" w:hAnsi="宋体" w:eastAsia="宋体" w:cs="宋体"/>
          <w:b/>
          <w:bCs/>
          <w:color w:val="auto"/>
          <w:sz w:val="24"/>
          <w:highlight w:val="none"/>
        </w:rPr>
        <w:t>（格式见附件）（必须提供）；</w:t>
      </w:r>
    </w:p>
    <w:p w14:paraId="64804F75">
      <w:pPr>
        <w:pStyle w:val="9"/>
        <w:rPr>
          <w:rFonts w:hint="eastAsia" w:ascii="宋体" w:hAnsi="宋体" w:eastAsia="宋体" w:cs="宋体"/>
          <w:color w:val="auto"/>
          <w:highlight w:val="none"/>
        </w:rPr>
      </w:pPr>
    </w:p>
    <w:p w14:paraId="14F64F36">
      <w:pPr>
        <w:numPr>
          <w:ilvl w:val="0"/>
          <w:numId w:val="13"/>
        </w:numPr>
        <w:spacing w:line="360" w:lineRule="auto"/>
        <w:ind w:left="-60" w:leftChars="0" w:firstLine="48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服务（技术）响应、商务偏离情况说明表</w:t>
      </w:r>
      <w:r>
        <w:rPr>
          <w:rFonts w:hint="eastAsia" w:ascii="宋体" w:hAnsi="宋体" w:eastAsia="宋体" w:cs="宋体"/>
          <w:b/>
          <w:bCs/>
          <w:color w:val="auto"/>
          <w:sz w:val="24"/>
          <w:highlight w:val="none"/>
        </w:rPr>
        <w:t>（格式见附件）（必须提供）；</w:t>
      </w:r>
    </w:p>
    <w:p w14:paraId="7A353B62">
      <w:pPr>
        <w:pStyle w:val="9"/>
        <w:rPr>
          <w:rFonts w:hint="eastAsia" w:ascii="宋体" w:hAnsi="宋体" w:eastAsia="宋体" w:cs="宋体"/>
          <w:color w:val="auto"/>
          <w:highlight w:val="none"/>
        </w:rPr>
      </w:pPr>
    </w:p>
    <w:p w14:paraId="1285F7A8">
      <w:pPr>
        <w:numPr>
          <w:ilvl w:val="0"/>
          <w:numId w:val="13"/>
        </w:numPr>
        <w:spacing w:line="360" w:lineRule="auto"/>
        <w:ind w:left="-60" w:leftChars="0" w:firstLine="480" w:firstLineChars="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eastAsia="zh-CN"/>
        </w:rPr>
        <w:t>服务承诺书</w:t>
      </w:r>
      <w:r>
        <w:rPr>
          <w:rFonts w:hint="eastAsia" w:ascii="宋体" w:hAnsi="宋体" w:eastAsia="宋体" w:cs="宋体"/>
          <w:color w:val="auto"/>
          <w:sz w:val="24"/>
          <w:highlight w:val="none"/>
        </w:rPr>
        <w:t>（由供应商根据本项目采购需求、特点及供应商自身的处理能力自行编写，承诺书内容至少应包括“采购需求”的所有服务条款）</w:t>
      </w:r>
      <w:r>
        <w:rPr>
          <w:rFonts w:hint="eastAsia" w:ascii="宋体" w:hAnsi="宋体" w:eastAsia="宋体" w:cs="宋体"/>
          <w:b/>
          <w:bCs/>
          <w:color w:val="auto"/>
          <w:sz w:val="24"/>
          <w:highlight w:val="none"/>
        </w:rPr>
        <w:t>（格式见附件）（必须提供）；</w:t>
      </w:r>
    </w:p>
    <w:p w14:paraId="0182B179">
      <w:pPr>
        <w:numPr>
          <w:ilvl w:val="0"/>
          <w:numId w:val="0"/>
        </w:numPr>
        <w:spacing w:line="360" w:lineRule="auto"/>
        <w:ind w:left="420" w:leftChars="0"/>
        <w:rPr>
          <w:rFonts w:hint="eastAsia" w:ascii="宋体" w:hAnsi="宋体" w:eastAsia="宋体" w:cs="宋体"/>
          <w:color w:val="auto"/>
          <w:sz w:val="24"/>
          <w:highlight w:val="none"/>
          <w:lang w:val="en-US" w:eastAsia="zh-CN"/>
        </w:rPr>
      </w:pPr>
    </w:p>
    <w:p w14:paraId="45284931">
      <w:pPr>
        <w:numPr>
          <w:ilvl w:val="0"/>
          <w:numId w:val="13"/>
        </w:numPr>
        <w:spacing w:line="360" w:lineRule="auto"/>
        <w:ind w:left="-60" w:leftChars="0" w:firstLine="480" w:firstLineChars="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针对本项目的服务方案</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格式见附件）（必须提供）</w:t>
      </w:r>
      <w:r>
        <w:rPr>
          <w:rFonts w:hint="eastAsia" w:ascii="宋体" w:hAnsi="宋体" w:eastAsia="宋体" w:cs="宋体"/>
          <w:b/>
          <w:bCs/>
          <w:color w:val="auto"/>
          <w:sz w:val="24"/>
          <w:highlight w:val="none"/>
          <w:lang w:eastAsia="zh-CN"/>
        </w:rPr>
        <w:t>。</w:t>
      </w:r>
    </w:p>
    <w:p w14:paraId="5F1BAC19">
      <w:pPr>
        <w:pStyle w:val="9"/>
        <w:rPr>
          <w:rFonts w:hint="eastAsia"/>
          <w:color w:val="auto"/>
          <w:highlight w:val="none"/>
        </w:rPr>
      </w:pPr>
    </w:p>
    <w:p w14:paraId="6B3EB6EC">
      <w:pPr>
        <w:pStyle w:val="29"/>
        <w:rPr>
          <w:rFonts w:hint="eastAsia" w:ascii="宋体" w:hAnsi="宋体" w:eastAsia="宋体" w:cs="宋体"/>
          <w:color w:val="auto"/>
          <w:highlight w:val="none"/>
        </w:rPr>
      </w:pPr>
    </w:p>
    <w:p w14:paraId="5F6E71DE">
      <w:pPr>
        <w:pStyle w:val="9"/>
        <w:rPr>
          <w:rFonts w:hint="eastAsia" w:ascii="宋体" w:hAnsi="宋体" w:eastAsia="宋体" w:cs="宋体"/>
          <w:color w:val="auto"/>
          <w:highlight w:val="none"/>
        </w:rPr>
      </w:pPr>
    </w:p>
    <w:p w14:paraId="73C90CB9">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1035F056">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2CEB0CE7">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452B6A06">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781EA40E">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481E6F37">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0FF8C404">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7EEBE53F">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5624D17F">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5CCE5A49">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519FF0EA">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0D6FDF45">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544E0DA1">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2EE3FA8A">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25F091EA">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3C30B3D8">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06498CF3">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2FE7C8EF">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6B948D7E">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39E42E98">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68763370">
      <w:pPr>
        <w:rPr>
          <w:rFonts w:hint="eastAsia" w:ascii="宋体" w:hAnsi="宋体" w:eastAsia="宋体" w:cs="宋体"/>
          <w:b/>
          <w:color w:val="auto"/>
          <w:sz w:val="28"/>
          <w:szCs w:val="28"/>
          <w:highlight w:val="none"/>
          <w:lang w:val="en-US" w:eastAsia="zh-CN"/>
        </w:rPr>
      </w:pPr>
    </w:p>
    <w:p w14:paraId="37FBDF8B">
      <w:pPr>
        <w:pStyle w:val="9"/>
        <w:rPr>
          <w:rFonts w:hint="eastAsia"/>
          <w:color w:val="auto"/>
          <w:highlight w:val="none"/>
          <w:lang w:val="en-US" w:eastAsia="zh-CN"/>
        </w:rPr>
      </w:pPr>
    </w:p>
    <w:p w14:paraId="44DB35F8">
      <w:pPr>
        <w:numPr>
          <w:ilvl w:val="0"/>
          <w:numId w:val="0"/>
        </w:numPr>
        <w:spacing w:line="400" w:lineRule="exact"/>
        <w:rPr>
          <w:rFonts w:hint="eastAsia" w:ascii="宋体" w:hAnsi="宋体" w:eastAsia="宋体" w:cs="宋体"/>
          <w:b/>
          <w:bCs/>
          <w:color w:val="auto"/>
          <w:sz w:val="28"/>
          <w:szCs w:val="28"/>
          <w:highlight w:val="none"/>
          <w:lang w:eastAsia="zh-CN"/>
        </w:rPr>
      </w:pPr>
      <w:bookmarkStart w:id="371" w:name="_Toc17617"/>
      <w:bookmarkStart w:id="372" w:name="_Toc12920"/>
      <w:bookmarkStart w:id="373" w:name="_Toc497927072"/>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371"/>
      <w:bookmarkEnd w:id="372"/>
      <w:bookmarkEnd w:id="373"/>
      <w:r>
        <w:rPr>
          <w:rFonts w:hint="eastAsia" w:ascii="宋体" w:hAnsi="宋体" w:cs="宋体"/>
          <w:b/>
          <w:bCs/>
          <w:color w:val="auto"/>
          <w:sz w:val="28"/>
          <w:szCs w:val="28"/>
          <w:highlight w:val="none"/>
          <w:lang w:eastAsia="zh-CN"/>
        </w:rPr>
        <w:t>；</w:t>
      </w:r>
    </w:p>
    <w:p w14:paraId="0E146AD0">
      <w:pPr>
        <w:pStyle w:val="29"/>
        <w:rPr>
          <w:rFonts w:hint="eastAsia" w:ascii="宋体" w:hAnsi="宋体" w:eastAsia="宋体" w:cs="宋体"/>
          <w:color w:val="auto"/>
          <w:highlight w:val="none"/>
        </w:rPr>
      </w:pPr>
    </w:p>
    <w:p w14:paraId="49B4C891">
      <w:pPr>
        <w:pStyle w:val="13"/>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1D8345CE">
      <w:pPr>
        <w:pStyle w:val="13"/>
        <w:ind w:firstLine="800" w:firstLineChars="250"/>
        <w:jc w:val="center"/>
        <w:rPr>
          <w:rFonts w:hint="eastAsia" w:ascii="宋体" w:hAnsi="宋体" w:eastAsia="宋体" w:cs="宋体"/>
          <w:b/>
          <w:color w:val="auto"/>
          <w:sz w:val="32"/>
          <w:highlight w:val="none"/>
        </w:rPr>
      </w:pPr>
      <w:bookmarkStart w:id="374" w:name="_Toc17832_WPSOffice_Level1"/>
      <w:bookmarkStart w:id="375" w:name="_Toc7273_WPSOffice_Level1"/>
      <w:r>
        <w:rPr>
          <w:rFonts w:hint="eastAsia" w:ascii="宋体" w:hAnsi="宋体" w:eastAsia="宋体" w:cs="宋体"/>
          <w:b/>
          <w:color w:val="auto"/>
          <w:sz w:val="32"/>
          <w:highlight w:val="none"/>
        </w:rPr>
        <w:t>响 应 函 （格 式）</w:t>
      </w:r>
      <w:bookmarkEnd w:id="374"/>
      <w:bookmarkEnd w:id="375"/>
    </w:p>
    <w:p w14:paraId="0E8A0FF7">
      <w:pPr>
        <w:spacing w:line="240" w:lineRule="exact"/>
        <w:jc w:val="center"/>
        <w:rPr>
          <w:rFonts w:hint="eastAsia" w:ascii="宋体" w:hAnsi="宋体" w:eastAsia="宋体" w:cs="宋体"/>
          <w:color w:val="auto"/>
          <w:sz w:val="32"/>
          <w:highlight w:val="none"/>
        </w:rPr>
      </w:pPr>
    </w:p>
    <w:p w14:paraId="2B2C6F48">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：桂林市政府集中采购中心</w:t>
      </w:r>
    </w:p>
    <w:p w14:paraId="4EBD263B">
      <w:pPr>
        <w:spacing w:line="400" w:lineRule="exact"/>
        <w:rPr>
          <w:rFonts w:hint="eastAsia" w:ascii="宋体" w:hAnsi="宋体" w:eastAsia="宋体" w:cs="宋体"/>
          <w:color w:val="auto"/>
          <w:szCs w:val="21"/>
          <w:highlight w:val="none"/>
        </w:rPr>
      </w:pPr>
    </w:p>
    <w:p w14:paraId="37256359">
      <w:pPr>
        <w:pStyle w:val="13"/>
        <w:spacing w:line="36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04ECE059">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7ADC30EB">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 按磋商文件采购需求和磋商报价表：</w:t>
      </w:r>
    </w:p>
    <w:p w14:paraId="5CDE0CA6">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磋商总报价（大写）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4D152EF">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34AB5CB6">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5C82C9A7">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4. 响应文件有效期为</w:t>
      </w:r>
      <w:r>
        <w:rPr>
          <w:rFonts w:hint="eastAsia" w:ascii="宋体" w:hAnsi="宋体" w:eastAsia="宋体" w:cs="宋体"/>
          <w:color w:val="auto"/>
          <w:szCs w:val="21"/>
          <w:highlight w:val="none"/>
        </w:rPr>
        <w:t>响应文件递交截止时间之日起90天。</w:t>
      </w:r>
    </w:p>
    <w:p w14:paraId="0F27D7A8">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5. 如我方成交：</w:t>
      </w:r>
    </w:p>
    <w:p w14:paraId="2E801B5F">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2F1B725D">
      <w:pPr>
        <w:pStyle w:val="13"/>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（2）我方承诺按照磋商文件规定递交履约担保。</w:t>
      </w:r>
    </w:p>
    <w:p w14:paraId="596AC42B">
      <w:pPr>
        <w:pStyle w:val="13"/>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（3）我方承诺本响应文件至本项目合同履行完毕止均保持有效，按磋商文件及政府采购法律、法规的规定履行合同责任和义务。</w:t>
      </w:r>
    </w:p>
    <w:p w14:paraId="179D976F">
      <w:pPr>
        <w:pStyle w:val="13"/>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69E92890">
      <w:pPr>
        <w:rPr>
          <w:rFonts w:hint="eastAsia" w:ascii="宋体" w:hAnsi="宋体" w:eastAsia="宋体" w:cs="宋体"/>
          <w:color w:val="auto"/>
          <w:sz w:val="21"/>
          <w:szCs w:val="21"/>
          <w:highlight w:val="none"/>
        </w:rPr>
      </w:pPr>
    </w:p>
    <w:p w14:paraId="08546599">
      <w:pPr>
        <w:pStyle w:val="13"/>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电话、传真：</w:t>
      </w:r>
      <w:r>
        <w:rPr>
          <w:rFonts w:hint="eastAsia" w:ascii="宋体" w:hAnsi="宋体" w:eastAsia="宋体" w:cs="宋体"/>
          <w:color w:val="auto"/>
          <w:sz w:val="21"/>
          <w:szCs w:val="21"/>
          <w:highlight w:val="none"/>
          <w:u w:val="single"/>
        </w:rPr>
        <w:t xml:space="preserve">            </w:t>
      </w:r>
    </w:p>
    <w:p w14:paraId="46CCEDDC">
      <w:pPr>
        <w:pStyle w:val="13"/>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301BE8A9">
      <w:pPr>
        <w:pStyle w:val="13"/>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00112886">
      <w:pPr>
        <w:pStyle w:val="13"/>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p w14:paraId="050CE822">
      <w:pPr>
        <w:pStyle w:val="13"/>
        <w:spacing w:line="320" w:lineRule="exact"/>
        <w:ind w:firstLine="42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公章</w:t>
      </w:r>
      <w:r>
        <w:rPr>
          <w:rFonts w:hint="eastAsia" w:ascii="宋体" w:hAnsi="宋体" w:eastAsia="宋体" w:cs="宋体"/>
          <w:bCs/>
          <w:color w:val="auto"/>
          <w:sz w:val="21"/>
          <w:szCs w:val="21"/>
          <w:highlight w:val="none"/>
          <w:lang w:val="en-US" w:eastAsia="zh-CN"/>
        </w:rPr>
        <w:t>(CA签章)</w:t>
      </w:r>
      <w:r>
        <w:rPr>
          <w:rFonts w:hint="eastAsia" w:ascii="宋体" w:hAnsi="宋体" w:eastAsia="宋体" w:cs="宋体"/>
          <w:bCs/>
          <w:color w:val="auto"/>
          <w:sz w:val="21"/>
          <w:szCs w:val="21"/>
          <w:highlight w:val="none"/>
        </w:rPr>
        <w:t>、自然人除外</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p>
    <w:p w14:paraId="59D11D32">
      <w:pPr>
        <w:pStyle w:val="13"/>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法定代表人、负责人、自然人或相应的委托代理人签字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或盖章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（属自然人的应在签名处加盖大拇指指印</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个人CA签章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0E40BAB5">
      <w:pPr>
        <w:pStyle w:val="13"/>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响应</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774066EB">
      <w:pPr>
        <w:pStyle w:val="6"/>
        <w:rPr>
          <w:rFonts w:hint="eastAsia" w:ascii="宋体" w:hAnsi="宋体" w:eastAsia="宋体" w:cs="宋体"/>
          <w:color w:val="auto"/>
          <w:sz w:val="21"/>
          <w:szCs w:val="21"/>
          <w:highlight w:val="none"/>
          <w:u w:val="single"/>
        </w:rPr>
      </w:pPr>
    </w:p>
    <w:p w14:paraId="1D859932">
      <w:pPr>
        <w:rPr>
          <w:rFonts w:hint="eastAsia" w:ascii="宋体" w:hAnsi="宋体" w:eastAsia="宋体" w:cs="宋体"/>
          <w:color w:val="auto"/>
          <w:sz w:val="21"/>
          <w:szCs w:val="21"/>
          <w:highlight w:val="none"/>
          <w:u w:val="single"/>
        </w:rPr>
      </w:pPr>
    </w:p>
    <w:p w14:paraId="0C1F8AF8">
      <w:pPr>
        <w:pStyle w:val="3"/>
        <w:rPr>
          <w:rFonts w:hint="eastAsia" w:ascii="宋体" w:hAnsi="宋体" w:eastAsia="宋体" w:cs="宋体"/>
          <w:color w:val="auto"/>
          <w:sz w:val="21"/>
          <w:szCs w:val="21"/>
          <w:highlight w:val="none"/>
          <w:u w:val="single"/>
        </w:rPr>
      </w:pPr>
    </w:p>
    <w:p w14:paraId="03F6AE08">
      <w:pPr>
        <w:rPr>
          <w:rFonts w:hint="eastAsia" w:ascii="宋体" w:hAnsi="宋体" w:eastAsia="宋体" w:cs="宋体"/>
          <w:color w:val="auto"/>
          <w:sz w:val="21"/>
          <w:szCs w:val="21"/>
          <w:highlight w:val="none"/>
          <w:u w:val="single"/>
        </w:rPr>
      </w:pPr>
    </w:p>
    <w:p w14:paraId="18D969A3">
      <w:pPr>
        <w:pStyle w:val="7"/>
        <w:rPr>
          <w:rFonts w:hint="eastAsia" w:ascii="宋体" w:hAnsi="宋体" w:eastAsia="宋体" w:cs="宋体"/>
          <w:color w:val="auto"/>
          <w:sz w:val="21"/>
          <w:szCs w:val="21"/>
          <w:highlight w:val="none"/>
          <w:u w:val="single"/>
        </w:rPr>
      </w:pPr>
    </w:p>
    <w:p w14:paraId="0F83A8BA">
      <w:pPr>
        <w:pStyle w:val="3"/>
        <w:ind w:left="0" w:leftChars="0" w:firstLine="0" w:firstLineChars="0"/>
        <w:rPr>
          <w:rFonts w:hint="eastAsia"/>
          <w:color w:val="auto"/>
          <w:highlight w:val="none"/>
        </w:rPr>
      </w:pPr>
    </w:p>
    <w:p w14:paraId="41CC6AF5">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48E24224">
      <w:pPr>
        <w:pStyle w:val="13"/>
        <w:numPr>
          <w:ilvl w:val="0"/>
          <w:numId w:val="0"/>
        </w:numPr>
        <w:spacing w:line="340" w:lineRule="exact"/>
        <w:rPr>
          <w:rFonts w:hint="eastAsia" w:ascii="宋体" w:hAnsi="宋体" w:eastAsia="宋体" w:cs="宋体"/>
          <w:color w:val="auto"/>
          <w:highlight w:val="none"/>
        </w:rPr>
      </w:pPr>
      <w:r>
        <w:rPr>
          <w:rFonts w:hint="eastAsia"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磋商报价表（必须提供）；</w:t>
      </w:r>
    </w:p>
    <w:p w14:paraId="4F358B38">
      <w:pPr>
        <w:pStyle w:val="13"/>
        <w:spacing w:line="320" w:lineRule="exact"/>
        <w:jc w:val="left"/>
        <w:rPr>
          <w:rFonts w:hint="eastAsia" w:ascii="宋体" w:hAnsi="宋体" w:eastAsia="宋体" w:cs="宋体"/>
          <w:b/>
          <w:color w:val="auto"/>
          <w:sz w:val="28"/>
          <w:szCs w:val="28"/>
          <w:highlight w:val="none"/>
        </w:rPr>
      </w:pPr>
    </w:p>
    <w:p w14:paraId="381CD171">
      <w:pPr>
        <w:pStyle w:val="6"/>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b/>
          <w:bCs/>
          <w:color w:val="auto"/>
          <w:sz w:val="30"/>
          <w:szCs w:val="30"/>
          <w:highlight w:val="none"/>
        </w:rPr>
        <w:t>附件：</w:t>
      </w:r>
    </w:p>
    <w:p w14:paraId="468AEE3C">
      <w:pPr>
        <w:pStyle w:val="13"/>
        <w:keepNext w:val="0"/>
        <w:keepLines w:val="0"/>
        <w:pageBreakBefore w:val="0"/>
        <w:widowControl w:val="0"/>
        <w:kinsoku/>
        <w:wordWrap/>
        <w:overflowPunct/>
        <w:topLinePunct w:val="0"/>
        <w:autoSpaceDE/>
        <w:autoSpaceDN/>
        <w:bidi w:val="0"/>
        <w:adjustRightInd/>
        <w:snapToGrid/>
        <w:spacing w:line="480" w:lineRule="exact"/>
        <w:ind w:left="42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磋商报价表（格式）</w:t>
      </w:r>
    </w:p>
    <w:tbl>
      <w:tblPr>
        <w:tblStyle w:val="20"/>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570"/>
        <w:gridCol w:w="1740"/>
        <w:gridCol w:w="780"/>
        <w:gridCol w:w="855"/>
        <w:gridCol w:w="810"/>
        <w:gridCol w:w="1785"/>
        <w:gridCol w:w="1710"/>
      </w:tblGrid>
      <w:tr w14:paraId="744DD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bottom w:val="single" w:color="auto" w:sz="4" w:space="0"/>
              <w:right w:val="single" w:color="auto" w:sz="4" w:space="0"/>
            </w:tcBorders>
            <w:noWrap w:val="0"/>
            <w:vAlign w:val="center"/>
          </w:tcPr>
          <w:p w14:paraId="6C8CB260">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C5A3132">
            <w:pPr>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采购内容名称</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79AA39DF">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服务内容及承诺</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F6885A3">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数量①</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43BF99CC">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6271886">
            <w:pPr>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单价②</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4ECF279">
            <w:pPr>
              <w:spacing w:line="3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单项合计</w:t>
            </w:r>
            <w:r>
              <w:rPr>
                <w:rFonts w:hint="eastAsia" w:ascii="宋体" w:hAnsi="宋体" w:eastAsia="宋体" w:cs="宋体"/>
                <w:color w:val="auto"/>
                <w:highlight w:val="none"/>
                <w:lang w:val="en-US" w:eastAsia="zh-CN"/>
              </w:rPr>
              <w:t>=数量×单价</w:t>
            </w:r>
          </w:p>
          <w:p w14:paraId="70BB12F8">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w:t>
            </w:r>
            <w:r>
              <w:rPr>
                <w:rFonts w:hint="eastAsia" w:ascii="宋体" w:hAnsi="宋体" w:eastAsia="宋体" w:cs="宋体"/>
                <w:color w:val="auto"/>
                <w:sz w:val="21"/>
                <w:szCs w:val="21"/>
                <w:highlight w:val="none"/>
              </w:rPr>
              <w:t>①</w:t>
            </w:r>
            <w:r>
              <w:rPr>
                <w:rFonts w:hint="eastAsia" w:ascii="宋体" w:hAnsi="宋体" w:eastAsia="宋体" w:cs="宋体"/>
                <w:color w:val="auto"/>
                <w:highlight w:val="none"/>
                <w:lang w:val="en-US" w:eastAsia="zh-CN"/>
              </w:rPr>
              <w:t>×</w:t>
            </w:r>
            <w:r>
              <w:rPr>
                <w:rFonts w:hint="eastAsia" w:ascii="宋体" w:hAnsi="宋体" w:eastAsia="宋体" w:cs="宋体"/>
                <w:color w:val="auto"/>
                <w:sz w:val="21"/>
                <w:szCs w:val="21"/>
                <w:highlight w:val="none"/>
                <w:lang w:val="en-US" w:eastAsia="zh-CN"/>
              </w:rPr>
              <w:t>②</w:t>
            </w:r>
          </w:p>
        </w:tc>
        <w:tc>
          <w:tcPr>
            <w:tcW w:w="1710" w:type="dxa"/>
            <w:tcBorders>
              <w:top w:val="single" w:color="auto" w:sz="4" w:space="0"/>
              <w:bottom w:val="single" w:color="auto" w:sz="4" w:space="0"/>
            </w:tcBorders>
            <w:noWrap w:val="0"/>
            <w:vAlign w:val="center"/>
          </w:tcPr>
          <w:p w14:paraId="669F339F">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44B0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3F8928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5FF1BA1">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B8851E4">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1848124">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52C0162">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0E9522E">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4E19EC2">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2EABE0B4">
            <w:pPr>
              <w:spacing w:line="300" w:lineRule="exact"/>
              <w:jc w:val="center"/>
              <w:rPr>
                <w:rFonts w:hint="eastAsia" w:ascii="宋体" w:hAnsi="宋体" w:eastAsia="宋体" w:cs="宋体"/>
                <w:b/>
                <w:bCs/>
                <w:color w:val="auto"/>
                <w:sz w:val="21"/>
                <w:szCs w:val="21"/>
                <w:highlight w:val="none"/>
              </w:rPr>
            </w:pPr>
          </w:p>
        </w:tc>
      </w:tr>
      <w:tr w14:paraId="7F14B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4D621C8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05A4D1C4">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6DCE2AF6">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93331DC">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E239DDA">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897221A">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73F62E2">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05CE3F9E">
            <w:pPr>
              <w:spacing w:line="300" w:lineRule="exact"/>
              <w:jc w:val="center"/>
              <w:rPr>
                <w:rFonts w:hint="eastAsia" w:ascii="宋体" w:hAnsi="宋体" w:eastAsia="宋体" w:cs="宋体"/>
                <w:b/>
                <w:bCs/>
                <w:color w:val="auto"/>
                <w:sz w:val="21"/>
                <w:szCs w:val="21"/>
                <w:highlight w:val="none"/>
              </w:rPr>
            </w:pPr>
          </w:p>
        </w:tc>
      </w:tr>
      <w:tr w14:paraId="00FE56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5EC8382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B137C06">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31645D86">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E60B3D6">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374285F">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05FA2EE">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5F290A4">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429C4CFD">
            <w:pPr>
              <w:spacing w:line="300" w:lineRule="exact"/>
              <w:jc w:val="center"/>
              <w:rPr>
                <w:rFonts w:hint="eastAsia" w:ascii="宋体" w:hAnsi="宋体" w:eastAsia="宋体" w:cs="宋体"/>
                <w:b/>
                <w:bCs/>
                <w:color w:val="auto"/>
                <w:sz w:val="21"/>
                <w:szCs w:val="21"/>
                <w:highlight w:val="none"/>
              </w:rPr>
            </w:pPr>
          </w:p>
        </w:tc>
      </w:tr>
      <w:tr w14:paraId="3CC7B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45077D4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20619E02">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6C3B3838">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166CDCA">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A732982">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BEA6866">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BC90584">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47944532">
            <w:pPr>
              <w:spacing w:line="300" w:lineRule="exact"/>
              <w:jc w:val="center"/>
              <w:rPr>
                <w:rFonts w:hint="eastAsia" w:ascii="宋体" w:hAnsi="宋体" w:eastAsia="宋体" w:cs="宋体"/>
                <w:b/>
                <w:bCs/>
                <w:color w:val="auto"/>
                <w:sz w:val="21"/>
                <w:szCs w:val="21"/>
                <w:highlight w:val="none"/>
              </w:rPr>
            </w:pPr>
          </w:p>
        </w:tc>
      </w:tr>
      <w:tr w14:paraId="46E56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76" w:type="dxa"/>
            <w:gridSpan w:val="8"/>
            <w:tcBorders>
              <w:top w:val="single" w:color="auto" w:sz="4" w:space="0"/>
              <w:bottom w:val="single" w:color="auto" w:sz="4" w:space="0"/>
            </w:tcBorders>
            <w:noWrap w:val="0"/>
            <w:vAlign w:val="center"/>
          </w:tcPr>
          <w:p w14:paraId="18B26693">
            <w:pPr>
              <w:spacing w:line="300" w:lineRule="exact"/>
              <w:rPr>
                <w:rFonts w:hint="eastAsia" w:ascii="宋体" w:hAnsi="宋体" w:eastAsia="宋体" w:cs="宋体"/>
                <w:color w:val="auto"/>
                <w:spacing w:val="-6"/>
                <w:sz w:val="21"/>
                <w:szCs w:val="21"/>
                <w:highlight w:val="none"/>
              </w:rPr>
            </w:pPr>
            <w:r>
              <w:rPr>
                <w:rFonts w:hint="eastAsia" w:ascii="宋体" w:hAnsi="宋体" w:cs="宋体"/>
                <w:color w:val="auto"/>
                <w:spacing w:val="-6"/>
                <w:sz w:val="21"/>
                <w:szCs w:val="21"/>
                <w:highlight w:val="none"/>
                <w:lang w:eastAsia="zh-CN"/>
              </w:rPr>
              <w:t>磋商</w:t>
            </w:r>
            <w:r>
              <w:rPr>
                <w:rFonts w:hint="eastAsia" w:ascii="宋体" w:hAnsi="宋体" w:eastAsia="宋体" w:cs="宋体"/>
                <w:color w:val="auto"/>
                <w:spacing w:val="-6"/>
                <w:sz w:val="21"/>
                <w:szCs w:val="21"/>
                <w:highlight w:val="none"/>
              </w:rPr>
              <w:t xml:space="preserve">总报价（大写）：人民币               </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lang w:val="en-US" w:eastAsia="zh-CN"/>
              </w:rPr>
              <w:t>¥</w:t>
            </w:r>
            <w:r>
              <w:rPr>
                <w:rFonts w:hint="eastAsia" w:ascii="宋体" w:hAnsi="宋体" w:eastAsia="宋体" w:cs="宋体"/>
                <w:color w:val="auto"/>
                <w:spacing w:val="-6"/>
                <w:sz w:val="21"/>
                <w:szCs w:val="21"/>
                <w:highlight w:val="none"/>
              </w:rPr>
              <w:t xml:space="preserve">                   ）</w:t>
            </w:r>
          </w:p>
        </w:tc>
      </w:tr>
      <w:tr w14:paraId="27E20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9676" w:type="dxa"/>
            <w:gridSpan w:val="8"/>
            <w:tcBorders>
              <w:top w:val="single" w:color="auto" w:sz="4" w:space="0"/>
              <w:bottom w:val="single" w:color="auto" w:sz="4" w:space="0"/>
            </w:tcBorders>
            <w:noWrap w:val="0"/>
            <w:vAlign w:val="center"/>
          </w:tcPr>
          <w:p w14:paraId="19CA43F6">
            <w:pPr>
              <w:spacing w:line="300" w:lineRule="exact"/>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pacing w:val="-6"/>
                <w:sz w:val="21"/>
                <w:szCs w:val="21"/>
                <w:highlight w:val="none"/>
              </w:rPr>
              <w:t>服务时间：</w:t>
            </w:r>
          </w:p>
        </w:tc>
      </w:tr>
      <w:tr w14:paraId="17777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6" w:type="dxa"/>
            <w:gridSpan w:val="8"/>
            <w:tcBorders>
              <w:top w:val="single" w:color="auto" w:sz="4" w:space="0"/>
              <w:bottom w:val="single" w:color="auto" w:sz="4" w:space="0"/>
            </w:tcBorders>
            <w:noWrap w:val="0"/>
            <w:vAlign w:val="center"/>
          </w:tcPr>
          <w:p w14:paraId="2CADCA03">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r>
              <w:rPr>
                <w:rFonts w:hint="eastAsia" w:ascii="宋体" w:hAnsi="宋体" w:cs="宋体"/>
                <w:color w:val="auto"/>
                <w:spacing w:val="-6"/>
                <w:sz w:val="21"/>
                <w:szCs w:val="21"/>
                <w:highlight w:val="none"/>
                <w:lang w:eastAsia="zh-CN"/>
              </w:rPr>
              <w:t>磋商</w:t>
            </w:r>
            <w:r>
              <w:rPr>
                <w:rFonts w:hint="eastAsia" w:ascii="宋体" w:hAnsi="宋体" w:eastAsia="宋体" w:cs="宋体"/>
                <w:color w:val="auto"/>
                <w:sz w:val="21"/>
                <w:szCs w:val="21"/>
                <w:highlight w:val="none"/>
              </w:rPr>
              <w:t>报价指本次招标采购范围内</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价款、</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随配标准附件、包装、运输、装卸、保险、税金、及其他所有成本费用的总和；</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综合考虑在报价中。</w:t>
            </w:r>
          </w:p>
        </w:tc>
      </w:tr>
    </w:tbl>
    <w:p w14:paraId="304F2F43">
      <w:pPr>
        <w:spacing w:line="340" w:lineRule="exact"/>
        <w:rPr>
          <w:rFonts w:hint="eastAsia" w:ascii="宋体" w:hAnsi="宋体" w:eastAsia="宋体" w:cs="宋体"/>
          <w:color w:val="auto"/>
          <w:szCs w:val="21"/>
          <w:highlight w:val="none"/>
        </w:rPr>
      </w:pPr>
    </w:p>
    <w:p w14:paraId="60836F47">
      <w:pPr>
        <w:spacing w:line="340" w:lineRule="exact"/>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，自然人除外）：</w:t>
      </w:r>
      <w:r>
        <w:rPr>
          <w:rFonts w:hint="eastAsia" w:ascii="宋体" w:hAnsi="宋体" w:eastAsia="宋体" w:cs="宋体"/>
          <w:color w:val="auto"/>
          <w:szCs w:val="21"/>
          <w:highlight w:val="none"/>
          <w:u w:val="single"/>
        </w:rPr>
        <w:t xml:space="preserve">                                        </w:t>
      </w:r>
    </w:p>
    <w:p w14:paraId="36844126">
      <w:pPr>
        <w:spacing w:line="340" w:lineRule="exact"/>
        <w:rPr>
          <w:rFonts w:hint="eastAsia" w:ascii="宋体" w:hAnsi="宋体" w:eastAsia="宋体" w:cs="宋体"/>
          <w:color w:val="auto"/>
          <w:szCs w:val="21"/>
          <w:highlight w:val="none"/>
          <w:u w:val="single"/>
        </w:rPr>
      </w:pPr>
      <w:r>
        <w:rPr>
          <w:rFonts w:hint="eastAsia" w:ascii="宋体" w:hAnsi="宋体" w:eastAsia="宋体" w:cs="宋体"/>
          <w:color w:val="auto"/>
          <w:highlight w:val="none"/>
        </w:rPr>
        <w:t>法定代表人、负责人、自然人或相应的委托代理人签字或</w:t>
      </w:r>
      <w:r>
        <w:rPr>
          <w:rFonts w:hint="eastAsia" w:ascii="宋体" w:hAnsi="宋体" w:eastAsia="宋体" w:cs="宋体"/>
          <w:color w:val="auto"/>
          <w:highlight w:val="none"/>
          <w:lang w:eastAsia="zh-CN"/>
        </w:rPr>
        <w:t>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（属自然人的应在签名处加盖食指指印</w:t>
      </w:r>
      <w:r>
        <w:rPr>
          <w:rFonts w:hint="eastAsia" w:ascii="宋体" w:hAnsi="宋体" w:eastAsia="宋体" w:cs="宋体"/>
          <w:color w:val="auto"/>
          <w:highlight w:val="none"/>
          <w:lang w:eastAsia="zh-CN"/>
        </w:rPr>
        <w:t>或个人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p>
    <w:p w14:paraId="388C635A">
      <w:pPr>
        <w:tabs>
          <w:tab w:val="left" w:pos="1305"/>
        </w:tabs>
        <w:spacing w:line="340" w:lineRule="exact"/>
        <w:rPr>
          <w:rFonts w:hint="eastAsia" w:ascii="宋体" w:hAnsi="宋体" w:eastAsia="宋体" w:cs="宋体"/>
          <w:bCs/>
          <w:color w:val="auto"/>
          <w:sz w:val="21"/>
          <w:szCs w:val="21"/>
          <w:highlight w:val="none"/>
        </w:rPr>
      </w:pPr>
    </w:p>
    <w:p w14:paraId="0280B3FE">
      <w:pPr>
        <w:tabs>
          <w:tab w:val="left" w:pos="1305"/>
        </w:tabs>
        <w:spacing w:line="3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r>
        <w:rPr>
          <w:rFonts w:hint="eastAsia" w:ascii="宋体" w:hAnsi="宋体" w:eastAsia="宋体" w:cs="宋体"/>
          <w:b/>
          <w:bCs/>
          <w:color w:val="auto"/>
          <w:sz w:val="21"/>
          <w:szCs w:val="21"/>
          <w:highlight w:val="none"/>
        </w:rPr>
        <w:t>：</w:t>
      </w:r>
      <w:r>
        <w:rPr>
          <w:rFonts w:hint="eastAsia" w:ascii="宋体" w:hAnsi="宋体" w:eastAsia="宋体" w:cs="宋体"/>
          <w:bCs/>
          <w:color w:val="auto"/>
          <w:sz w:val="21"/>
          <w:szCs w:val="21"/>
          <w:highlight w:val="none"/>
        </w:rPr>
        <w:t>1.各</w:t>
      </w:r>
      <w:r>
        <w:rPr>
          <w:rFonts w:hint="eastAsia" w:ascii="宋体" w:hAnsi="宋体" w:cs="宋体"/>
          <w:color w:val="auto"/>
          <w:szCs w:val="21"/>
          <w:highlight w:val="none"/>
          <w:lang w:eastAsia="zh-CN"/>
        </w:rPr>
        <w:t>供应商</w:t>
      </w:r>
      <w:r>
        <w:rPr>
          <w:rFonts w:hint="eastAsia" w:ascii="宋体" w:hAnsi="宋体" w:eastAsia="宋体" w:cs="宋体"/>
          <w:color w:val="auto"/>
          <w:sz w:val="21"/>
          <w:szCs w:val="21"/>
          <w:highlight w:val="none"/>
        </w:rPr>
        <w:t>必须就“</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采购需求”中所投分标的所有内容作完整唯一报价，否则，其投标将被拒绝。投标文件只允许有一个报价。</w:t>
      </w:r>
    </w:p>
    <w:p w14:paraId="5699B4A4">
      <w:pPr>
        <w:pStyle w:val="13"/>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Cs w:val="21"/>
          <w:highlight w:val="none"/>
          <w:lang w:eastAsia="zh-CN"/>
        </w:rPr>
        <w:t>供应商</w:t>
      </w:r>
      <w:r>
        <w:rPr>
          <w:rFonts w:hint="eastAsia" w:ascii="宋体" w:hAnsi="宋体" w:eastAsia="宋体" w:cs="宋体"/>
          <w:color w:val="auto"/>
          <w:sz w:val="21"/>
          <w:szCs w:val="21"/>
          <w:highlight w:val="none"/>
        </w:rPr>
        <w:t>应根据所投</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如实填写投标报价表</w:t>
      </w:r>
      <w:r>
        <w:rPr>
          <w:rFonts w:hint="eastAsia" w:ascii="宋体" w:hAnsi="宋体" w:eastAsia="宋体" w:cs="宋体"/>
          <w:bCs/>
          <w:color w:val="auto"/>
          <w:sz w:val="21"/>
          <w:szCs w:val="21"/>
          <w:highlight w:val="none"/>
        </w:rPr>
        <w:t>的各项内容。</w:t>
      </w:r>
    </w:p>
    <w:p w14:paraId="2D6B692A">
      <w:pPr>
        <w:ind w:firstLine="420" w:firstLineChars="200"/>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highlight w:val="none"/>
          <w:lang w:eastAsia="zh-CN"/>
        </w:rPr>
        <w:t>磋商</w:t>
      </w:r>
      <w:r>
        <w:rPr>
          <w:rFonts w:hint="eastAsia" w:ascii="宋体" w:hAnsi="宋体" w:eastAsia="宋体" w:cs="宋体"/>
          <w:color w:val="auto"/>
          <w:highlight w:val="none"/>
        </w:rPr>
        <w:t>报价表须由法定代表人负责人、自然人或相应的委托代理人签字或</w:t>
      </w:r>
      <w:r>
        <w:rPr>
          <w:rFonts w:hint="eastAsia" w:ascii="宋体" w:hAnsi="宋体" w:eastAsia="宋体" w:cs="宋体"/>
          <w:color w:val="auto"/>
          <w:highlight w:val="none"/>
          <w:lang w:eastAsia="zh-CN"/>
        </w:rPr>
        <w:t>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（属自然人的应在签名处加盖食指指印</w:t>
      </w:r>
      <w:r>
        <w:rPr>
          <w:rFonts w:hint="eastAsia" w:ascii="宋体" w:hAnsi="宋体" w:eastAsia="宋体" w:cs="宋体"/>
          <w:color w:val="auto"/>
          <w:highlight w:val="none"/>
          <w:lang w:eastAsia="zh-CN"/>
        </w:rPr>
        <w:t>或个人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）并加盖</w:t>
      </w:r>
      <w:r>
        <w:rPr>
          <w:rFonts w:hint="eastAsia" w:ascii="宋体" w:hAnsi="宋体" w:cs="宋体"/>
          <w:color w:val="auto"/>
          <w:highlight w:val="none"/>
          <w:lang w:eastAsia="zh-CN"/>
        </w:rPr>
        <w:t>供应商</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（自然人除外）。</w:t>
      </w:r>
      <w:r>
        <w:rPr>
          <w:rFonts w:hint="eastAsia" w:ascii="宋体" w:hAnsi="宋体" w:eastAsia="宋体" w:cs="宋体"/>
          <w:b/>
          <w:color w:val="auto"/>
          <w:highlight w:val="none"/>
        </w:rPr>
        <w:t>当本表由多页构成时，需逐页加盖</w:t>
      </w:r>
      <w:r>
        <w:rPr>
          <w:rFonts w:hint="eastAsia" w:ascii="宋体" w:hAnsi="宋体" w:cs="宋体"/>
          <w:b/>
          <w:color w:val="auto"/>
          <w:highlight w:val="none"/>
          <w:lang w:eastAsia="zh-CN"/>
        </w:rPr>
        <w:t>供应商</w:t>
      </w:r>
      <w:r>
        <w:rPr>
          <w:rFonts w:hint="eastAsia" w:ascii="宋体" w:hAnsi="宋体" w:eastAsia="宋体" w:cs="宋体"/>
          <w:b/>
          <w:color w:val="auto"/>
          <w:highlight w:val="none"/>
        </w:rPr>
        <w:t>公章（属自然人的须逐页签字</w:t>
      </w:r>
      <w:r>
        <w:rPr>
          <w:rFonts w:hint="eastAsia" w:ascii="宋体" w:hAnsi="宋体" w:eastAsia="宋体" w:cs="宋体"/>
          <w:b/>
          <w:color w:val="auto"/>
          <w:highlight w:val="none"/>
          <w:lang w:eastAsia="zh-CN"/>
        </w:rPr>
        <w:t>或个人</w:t>
      </w:r>
      <w:r>
        <w:rPr>
          <w:rFonts w:hint="eastAsia" w:ascii="宋体" w:hAnsi="宋体" w:eastAsia="宋体" w:cs="宋体"/>
          <w:b/>
          <w:color w:val="auto"/>
          <w:highlight w:val="none"/>
          <w:lang w:val="en-US" w:eastAsia="zh-CN"/>
        </w:rPr>
        <w:t>CA签章</w:t>
      </w:r>
      <w:r>
        <w:rPr>
          <w:rFonts w:hint="eastAsia" w:ascii="宋体" w:hAnsi="宋体" w:eastAsia="宋体" w:cs="宋体"/>
          <w:b/>
          <w:color w:val="auto"/>
          <w:highlight w:val="none"/>
        </w:rPr>
        <w:t>）</w:t>
      </w:r>
    </w:p>
    <w:p w14:paraId="574C1600">
      <w:pPr>
        <w:rPr>
          <w:rFonts w:hint="eastAsia" w:ascii="宋体" w:hAnsi="宋体" w:eastAsia="宋体" w:cs="宋体"/>
          <w:b/>
          <w:bCs/>
          <w:color w:val="auto"/>
          <w:sz w:val="32"/>
          <w:szCs w:val="32"/>
          <w:highlight w:val="none"/>
        </w:rPr>
      </w:pPr>
    </w:p>
    <w:p w14:paraId="6CA4C6F0">
      <w:pPr>
        <w:pStyle w:val="9"/>
        <w:rPr>
          <w:rFonts w:hint="eastAsia"/>
          <w:color w:val="auto"/>
          <w:highlight w:val="none"/>
          <w:lang w:val="en-US" w:eastAsia="zh-CN"/>
        </w:rPr>
      </w:pPr>
    </w:p>
    <w:p w14:paraId="2F82D238">
      <w:pPr>
        <w:rPr>
          <w:rFonts w:hint="eastAsia" w:ascii="宋体" w:hAnsi="宋体" w:eastAsia="宋体" w:cs="宋体"/>
          <w:b/>
          <w:bCs/>
          <w:color w:val="auto"/>
          <w:sz w:val="32"/>
          <w:szCs w:val="32"/>
          <w:highlight w:val="none"/>
        </w:rPr>
      </w:pPr>
    </w:p>
    <w:p w14:paraId="38EDEC48">
      <w:pPr>
        <w:pStyle w:val="8"/>
        <w:rPr>
          <w:rFonts w:hint="eastAsia" w:ascii="宋体" w:hAnsi="宋体" w:eastAsia="宋体" w:cs="宋体"/>
          <w:color w:val="auto"/>
          <w:highlight w:val="none"/>
        </w:rPr>
        <w:sectPr>
          <w:footerReference r:id="rId7" w:type="default"/>
          <w:pgSz w:w="11906" w:h="16838"/>
          <w:pgMar w:top="1440" w:right="935" w:bottom="1440" w:left="777" w:header="851" w:footer="992" w:gutter="0"/>
          <w:pgNumType w:fmt="numberInDash" w:start="1"/>
          <w:cols w:space="720" w:num="1"/>
          <w:rtlGutter w:val="0"/>
          <w:docGrid w:type="linesAndChars" w:linePitch="312" w:charSpace="0"/>
        </w:sectPr>
      </w:pPr>
    </w:p>
    <w:p w14:paraId="0903CDD7">
      <w:pPr>
        <w:pStyle w:val="13"/>
        <w:numPr>
          <w:ilvl w:val="0"/>
          <w:numId w:val="0"/>
        </w:numPr>
        <w:spacing w:line="340" w:lineRule="exact"/>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3.服务（技术）响应、商务偏离情况说明表</w:t>
      </w:r>
      <w:r>
        <w:rPr>
          <w:rFonts w:hint="eastAsia" w:ascii="宋体" w:hAnsi="宋体" w:eastAsia="宋体" w:cs="宋体"/>
          <w:b/>
          <w:color w:val="auto"/>
          <w:sz w:val="28"/>
          <w:szCs w:val="28"/>
          <w:highlight w:val="none"/>
          <w:lang w:eastAsia="zh-CN"/>
        </w:rPr>
        <w:t>（格式见附件）</w:t>
      </w:r>
      <w:r>
        <w:rPr>
          <w:rFonts w:hint="eastAsia" w:ascii="宋体" w:hAnsi="宋体" w:eastAsia="宋体" w:cs="宋体"/>
          <w:b/>
          <w:color w:val="auto"/>
          <w:sz w:val="28"/>
          <w:szCs w:val="28"/>
          <w:highlight w:val="none"/>
        </w:rPr>
        <w:t>(必须提供)；</w:t>
      </w:r>
    </w:p>
    <w:p w14:paraId="46D93D46">
      <w:pPr>
        <w:rPr>
          <w:rFonts w:hint="eastAsia" w:ascii="宋体" w:hAnsi="宋体" w:eastAsia="宋体" w:cs="宋体"/>
          <w:color w:val="auto"/>
          <w:highlight w:val="none"/>
        </w:rPr>
      </w:pPr>
    </w:p>
    <w:p w14:paraId="08026E3B">
      <w:pPr>
        <w:pStyle w:val="13"/>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0DE9AAC0">
      <w:pPr>
        <w:spacing w:line="5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14:paraId="5996BB96">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bl>
      <w:tblPr>
        <w:tblStyle w:val="20"/>
        <w:tblW w:w="994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2251"/>
        <w:gridCol w:w="3195"/>
        <w:gridCol w:w="1920"/>
        <w:gridCol w:w="1920"/>
      </w:tblGrid>
      <w:tr w14:paraId="1A234C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663495C3">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251" w:type="dxa"/>
            <w:noWrap w:val="0"/>
            <w:vAlign w:val="center"/>
          </w:tcPr>
          <w:p w14:paraId="4B442BD1">
            <w:pPr>
              <w:jc w:val="center"/>
              <w:rPr>
                <w:rFonts w:hint="eastAsia" w:ascii="宋体" w:hAnsi="宋体" w:eastAsia="宋体" w:cs="宋体"/>
                <w:color w:val="auto"/>
                <w:highlight w:val="none"/>
              </w:rPr>
            </w:pPr>
            <w:bookmarkStart w:id="376" w:name="_Toc173211901"/>
            <w:bookmarkStart w:id="377" w:name="_Toc254970730"/>
            <w:bookmarkStart w:id="378" w:name="_Toc254970589"/>
            <w:bookmarkStart w:id="379" w:name="_Toc173066402"/>
            <w:r>
              <w:rPr>
                <w:rFonts w:hint="eastAsia" w:ascii="宋体" w:hAnsi="宋体" w:eastAsia="宋体" w:cs="宋体"/>
                <w:color w:val="auto"/>
                <w:highlight w:val="none"/>
              </w:rPr>
              <w:t>竞争性磋商文件要求</w:t>
            </w:r>
            <w:bookmarkEnd w:id="376"/>
            <w:bookmarkEnd w:id="377"/>
            <w:bookmarkEnd w:id="378"/>
            <w:bookmarkEnd w:id="379"/>
          </w:p>
        </w:tc>
        <w:tc>
          <w:tcPr>
            <w:tcW w:w="3195" w:type="dxa"/>
            <w:noWrap w:val="0"/>
            <w:vAlign w:val="center"/>
          </w:tcPr>
          <w:p w14:paraId="7C3EFE67">
            <w:pPr>
              <w:jc w:val="center"/>
              <w:rPr>
                <w:rFonts w:hint="eastAsia" w:ascii="宋体" w:hAnsi="宋体" w:eastAsia="宋体" w:cs="宋体"/>
                <w:color w:val="auto"/>
                <w:highlight w:val="none"/>
              </w:rPr>
            </w:pPr>
            <w:bookmarkStart w:id="380" w:name="_Toc173066403"/>
            <w:bookmarkStart w:id="381" w:name="_Toc254970731"/>
            <w:bookmarkStart w:id="382" w:name="_Toc173211902"/>
            <w:bookmarkStart w:id="383" w:name="_Toc254970590"/>
            <w:r>
              <w:rPr>
                <w:rFonts w:hint="eastAsia" w:ascii="宋体" w:hAnsi="宋体" w:eastAsia="宋体" w:cs="宋体"/>
                <w:color w:val="auto"/>
                <w:highlight w:val="none"/>
              </w:rPr>
              <w:t>竞争性磋商响应文件具体响应</w:t>
            </w:r>
            <w:bookmarkEnd w:id="380"/>
            <w:bookmarkEnd w:id="381"/>
            <w:bookmarkEnd w:id="382"/>
            <w:bookmarkEnd w:id="383"/>
          </w:p>
        </w:tc>
        <w:tc>
          <w:tcPr>
            <w:tcW w:w="1920" w:type="dxa"/>
            <w:noWrap w:val="0"/>
            <w:vAlign w:val="center"/>
          </w:tcPr>
          <w:p w14:paraId="24F1CCA2">
            <w:pPr>
              <w:jc w:val="center"/>
              <w:rPr>
                <w:rFonts w:hint="eastAsia" w:ascii="宋体" w:hAnsi="宋体" w:eastAsia="宋体" w:cs="宋体"/>
                <w:color w:val="auto"/>
                <w:highlight w:val="none"/>
              </w:rPr>
            </w:pPr>
            <w:bookmarkStart w:id="384" w:name="_Toc173211903"/>
            <w:bookmarkStart w:id="385" w:name="_Toc254970591"/>
            <w:bookmarkStart w:id="386" w:name="_Toc254970732"/>
            <w:bookmarkStart w:id="387" w:name="_Toc173066404"/>
            <w:r>
              <w:rPr>
                <w:rFonts w:hint="eastAsia" w:ascii="宋体" w:hAnsi="宋体" w:eastAsia="宋体" w:cs="宋体"/>
                <w:color w:val="auto"/>
                <w:highlight w:val="none"/>
              </w:rPr>
              <w:t>响应/偏离</w:t>
            </w:r>
            <w:bookmarkEnd w:id="384"/>
            <w:bookmarkEnd w:id="385"/>
            <w:bookmarkEnd w:id="386"/>
            <w:bookmarkEnd w:id="387"/>
          </w:p>
        </w:tc>
        <w:tc>
          <w:tcPr>
            <w:tcW w:w="1920" w:type="dxa"/>
            <w:noWrap w:val="0"/>
            <w:vAlign w:val="center"/>
          </w:tcPr>
          <w:p w14:paraId="6049FCFE">
            <w:pPr>
              <w:jc w:val="center"/>
              <w:rPr>
                <w:rFonts w:hint="eastAsia" w:ascii="宋体" w:hAnsi="宋体" w:eastAsia="宋体" w:cs="宋体"/>
                <w:color w:val="auto"/>
                <w:highlight w:val="none"/>
              </w:rPr>
            </w:pPr>
            <w:bookmarkStart w:id="388" w:name="_Toc254970733"/>
            <w:bookmarkStart w:id="389" w:name="_Toc173211904"/>
            <w:bookmarkStart w:id="390" w:name="_Toc254970592"/>
            <w:bookmarkStart w:id="391" w:name="_Toc173066405"/>
            <w:r>
              <w:rPr>
                <w:rFonts w:hint="eastAsia" w:ascii="宋体" w:hAnsi="宋体" w:eastAsia="宋体" w:cs="宋体"/>
                <w:color w:val="auto"/>
                <w:highlight w:val="none"/>
              </w:rPr>
              <w:t>说明</w:t>
            </w:r>
            <w:bookmarkEnd w:id="388"/>
            <w:bookmarkEnd w:id="389"/>
            <w:bookmarkEnd w:id="390"/>
            <w:bookmarkEnd w:id="391"/>
          </w:p>
        </w:tc>
      </w:tr>
      <w:tr w14:paraId="3AE925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941" w:type="dxa"/>
            <w:gridSpan w:val="5"/>
            <w:noWrap w:val="0"/>
            <w:vAlign w:val="center"/>
          </w:tcPr>
          <w:p w14:paraId="29B7E300">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服务（技术）响应、商务偏离情况说明表</w:t>
            </w:r>
          </w:p>
        </w:tc>
      </w:tr>
      <w:tr w14:paraId="16059F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5DB11808">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251" w:type="dxa"/>
            <w:noWrap w:val="0"/>
            <w:vAlign w:val="center"/>
          </w:tcPr>
          <w:p w14:paraId="5F18CBB4">
            <w:pPr>
              <w:adjustRightInd w:val="0"/>
              <w:snapToGrid w:val="0"/>
              <w:spacing w:line="300" w:lineRule="auto"/>
              <w:jc w:val="center"/>
              <w:outlineLvl w:val="0"/>
              <w:rPr>
                <w:rFonts w:hint="eastAsia" w:ascii="宋体" w:hAnsi="宋体" w:eastAsia="宋体" w:cs="宋体"/>
                <w:color w:val="auto"/>
                <w:szCs w:val="21"/>
                <w:highlight w:val="none"/>
              </w:rPr>
            </w:pPr>
          </w:p>
        </w:tc>
        <w:tc>
          <w:tcPr>
            <w:tcW w:w="3195" w:type="dxa"/>
            <w:noWrap w:val="0"/>
            <w:vAlign w:val="center"/>
          </w:tcPr>
          <w:p w14:paraId="476C083A">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772DF16C">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356E38A4">
            <w:pPr>
              <w:adjustRightInd w:val="0"/>
              <w:snapToGrid w:val="0"/>
              <w:spacing w:line="300" w:lineRule="auto"/>
              <w:jc w:val="center"/>
              <w:outlineLvl w:val="0"/>
              <w:rPr>
                <w:rFonts w:hint="eastAsia" w:ascii="宋体" w:hAnsi="宋体" w:eastAsia="宋体" w:cs="宋体"/>
                <w:color w:val="auto"/>
                <w:szCs w:val="21"/>
                <w:highlight w:val="none"/>
              </w:rPr>
            </w:pPr>
          </w:p>
        </w:tc>
      </w:tr>
      <w:tr w14:paraId="0FF3A3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31C4BAF9">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251" w:type="dxa"/>
            <w:noWrap w:val="0"/>
            <w:vAlign w:val="center"/>
          </w:tcPr>
          <w:p w14:paraId="59D7BFCB">
            <w:pPr>
              <w:adjustRightInd w:val="0"/>
              <w:snapToGrid w:val="0"/>
              <w:spacing w:line="300" w:lineRule="auto"/>
              <w:jc w:val="center"/>
              <w:outlineLvl w:val="0"/>
              <w:rPr>
                <w:rFonts w:hint="eastAsia" w:ascii="宋体" w:hAnsi="宋体" w:eastAsia="宋体" w:cs="宋体"/>
                <w:color w:val="auto"/>
                <w:szCs w:val="21"/>
                <w:highlight w:val="none"/>
              </w:rPr>
            </w:pPr>
          </w:p>
        </w:tc>
        <w:tc>
          <w:tcPr>
            <w:tcW w:w="3195" w:type="dxa"/>
            <w:noWrap w:val="0"/>
            <w:vAlign w:val="center"/>
          </w:tcPr>
          <w:p w14:paraId="7FA6037D">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3DC0D364">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32919FD0">
            <w:pPr>
              <w:adjustRightInd w:val="0"/>
              <w:snapToGrid w:val="0"/>
              <w:spacing w:line="300" w:lineRule="auto"/>
              <w:jc w:val="center"/>
              <w:outlineLvl w:val="0"/>
              <w:rPr>
                <w:rFonts w:hint="eastAsia" w:ascii="宋体" w:hAnsi="宋体" w:eastAsia="宋体" w:cs="宋体"/>
                <w:color w:val="auto"/>
                <w:szCs w:val="21"/>
                <w:highlight w:val="none"/>
              </w:rPr>
            </w:pPr>
          </w:p>
        </w:tc>
      </w:tr>
      <w:tr w14:paraId="2BFABC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6F311C43">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251" w:type="dxa"/>
            <w:noWrap w:val="0"/>
            <w:vAlign w:val="center"/>
          </w:tcPr>
          <w:p w14:paraId="494648C5">
            <w:pPr>
              <w:adjustRightInd w:val="0"/>
              <w:snapToGrid w:val="0"/>
              <w:spacing w:line="300" w:lineRule="auto"/>
              <w:jc w:val="center"/>
              <w:outlineLvl w:val="0"/>
              <w:rPr>
                <w:rFonts w:hint="eastAsia" w:ascii="宋体" w:hAnsi="宋体" w:eastAsia="宋体" w:cs="宋体"/>
                <w:color w:val="auto"/>
                <w:szCs w:val="21"/>
                <w:highlight w:val="none"/>
              </w:rPr>
            </w:pPr>
          </w:p>
        </w:tc>
        <w:tc>
          <w:tcPr>
            <w:tcW w:w="3195" w:type="dxa"/>
            <w:noWrap w:val="0"/>
            <w:vAlign w:val="center"/>
          </w:tcPr>
          <w:p w14:paraId="4DF4DB46">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4CF62C72">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38C90C7B">
            <w:pPr>
              <w:adjustRightInd w:val="0"/>
              <w:snapToGrid w:val="0"/>
              <w:spacing w:line="300" w:lineRule="auto"/>
              <w:jc w:val="center"/>
              <w:outlineLvl w:val="0"/>
              <w:rPr>
                <w:rFonts w:hint="eastAsia" w:ascii="宋体" w:hAnsi="宋体" w:eastAsia="宋体" w:cs="宋体"/>
                <w:color w:val="auto"/>
                <w:szCs w:val="21"/>
                <w:highlight w:val="none"/>
              </w:rPr>
            </w:pPr>
          </w:p>
        </w:tc>
      </w:tr>
      <w:tr w14:paraId="3EE38E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5" w:type="dxa"/>
            <w:noWrap w:val="0"/>
            <w:vAlign w:val="center"/>
          </w:tcPr>
          <w:p w14:paraId="09225EE7">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251" w:type="dxa"/>
            <w:noWrap w:val="0"/>
            <w:vAlign w:val="center"/>
          </w:tcPr>
          <w:p w14:paraId="250BB139">
            <w:pPr>
              <w:adjustRightInd w:val="0"/>
              <w:snapToGrid w:val="0"/>
              <w:spacing w:line="300" w:lineRule="auto"/>
              <w:jc w:val="center"/>
              <w:outlineLvl w:val="0"/>
              <w:rPr>
                <w:rFonts w:hint="eastAsia" w:ascii="宋体" w:hAnsi="宋体" w:eastAsia="宋体" w:cs="宋体"/>
                <w:color w:val="auto"/>
                <w:szCs w:val="21"/>
                <w:highlight w:val="none"/>
              </w:rPr>
            </w:pPr>
          </w:p>
        </w:tc>
        <w:tc>
          <w:tcPr>
            <w:tcW w:w="3195" w:type="dxa"/>
            <w:noWrap w:val="0"/>
            <w:vAlign w:val="center"/>
          </w:tcPr>
          <w:p w14:paraId="77DA2B85">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tcBorders>
              <w:right w:val="single" w:color="auto" w:sz="4" w:space="0"/>
            </w:tcBorders>
            <w:noWrap w:val="0"/>
            <w:vAlign w:val="center"/>
          </w:tcPr>
          <w:p w14:paraId="1710E302">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tcBorders>
              <w:left w:val="single" w:color="auto" w:sz="4" w:space="0"/>
            </w:tcBorders>
            <w:noWrap w:val="0"/>
            <w:vAlign w:val="center"/>
          </w:tcPr>
          <w:p w14:paraId="794C4021">
            <w:pPr>
              <w:adjustRightInd w:val="0"/>
              <w:snapToGrid w:val="0"/>
              <w:spacing w:line="300" w:lineRule="auto"/>
              <w:jc w:val="center"/>
              <w:outlineLvl w:val="0"/>
              <w:rPr>
                <w:rFonts w:hint="eastAsia" w:ascii="宋体" w:hAnsi="宋体" w:eastAsia="宋体" w:cs="宋体"/>
                <w:color w:val="auto"/>
                <w:szCs w:val="21"/>
                <w:highlight w:val="none"/>
              </w:rPr>
            </w:pPr>
          </w:p>
        </w:tc>
      </w:tr>
    </w:tbl>
    <w:p w14:paraId="6E868142">
      <w:pPr>
        <w:spacing w:line="340" w:lineRule="exact"/>
        <w:rPr>
          <w:rFonts w:hint="eastAsia" w:ascii="宋体" w:hAnsi="宋体" w:eastAsia="宋体" w:cs="宋体"/>
          <w:color w:val="auto"/>
          <w:szCs w:val="21"/>
          <w:highlight w:val="none"/>
        </w:rPr>
      </w:pPr>
    </w:p>
    <w:p w14:paraId="3DAFF9EE">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DC1A513">
      <w:pPr>
        <w:spacing w:line="340" w:lineRule="exact"/>
        <w:rPr>
          <w:rFonts w:hint="eastAsia" w:ascii="宋体" w:hAnsi="宋体" w:eastAsia="宋体" w:cs="宋体"/>
          <w:color w:val="auto"/>
          <w:highlight w:val="none"/>
        </w:rPr>
      </w:pPr>
    </w:p>
    <w:p w14:paraId="3B806E7D">
      <w:pPr>
        <w:snapToGrid w:val="0"/>
        <w:spacing w:line="400" w:lineRule="exact"/>
        <w:ind w:firstLine="1680" w:firstLineChars="800"/>
        <w:rPr>
          <w:rFonts w:hint="eastAsia" w:ascii="宋体" w:hAnsi="宋体" w:eastAsia="宋体" w:cs="宋体"/>
          <w:color w:val="auto"/>
          <w:highlight w:val="none"/>
        </w:rPr>
      </w:pPr>
    </w:p>
    <w:p w14:paraId="0D5A6D58">
      <w:pPr>
        <w:snapToGrid w:val="0"/>
        <w:spacing w:line="400" w:lineRule="exact"/>
        <w:ind w:firstLine="1680" w:firstLineChars="800"/>
        <w:rPr>
          <w:rFonts w:hint="eastAsia" w:ascii="宋体" w:hAnsi="宋体" w:eastAsia="宋体" w:cs="宋体"/>
          <w:color w:val="auto"/>
          <w:highlight w:val="non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p w14:paraId="3E5EF11F">
      <w:pPr>
        <w:ind w:firstLine="1890" w:firstLineChars="900"/>
        <w:rPr>
          <w:rFonts w:hint="eastAsia" w:ascii="宋体" w:hAnsi="宋体" w:eastAsia="宋体" w:cs="宋体"/>
          <w:color w:val="auto"/>
          <w:highlight w:val="none"/>
          <w:u w:val="single"/>
        </w:rPr>
      </w:pPr>
    </w:p>
    <w:p w14:paraId="472B581A">
      <w:pPr>
        <w:ind w:firstLine="1890" w:firstLineChars="900"/>
        <w:rPr>
          <w:rFonts w:hint="eastAsia" w:ascii="宋体" w:hAnsi="宋体" w:eastAsia="宋体" w:cs="宋体"/>
          <w:color w:val="auto"/>
          <w:highlight w:val="none"/>
          <w:u w:val="single"/>
        </w:rPr>
      </w:pPr>
    </w:p>
    <w:p w14:paraId="27FE7C87">
      <w:pPr>
        <w:spacing w:line="400" w:lineRule="exact"/>
        <w:ind w:left="982" w:leftChars="200" w:hanging="562" w:hanging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w:t>
      </w:r>
      <w:r>
        <w:rPr>
          <w:rFonts w:hint="eastAsia" w:ascii="宋体" w:hAnsi="宋体" w:eastAsia="宋体" w:cs="宋体"/>
          <w:b/>
          <w:color w:val="auto"/>
          <w:sz w:val="24"/>
          <w:highlight w:val="none"/>
        </w:rPr>
        <w:t>1.“商务响应表”各项内容必须如实填写。</w:t>
      </w:r>
    </w:p>
    <w:p w14:paraId="671A0CF0">
      <w:pPr>
        <w:spacing w:line="400" w:lineRule="exact"/>
        <w:ind w:firstLine="964" w:firstLineChars="400"/>
        <w:rPr>
          <w:rFonts w:hint="eastAsia" w:ascii="宋体" w:hAnsi="宋体" w:eastAsia="宋体" w:cs="宋体"/>
          <w:b/>
          <w:bCs/>
          <w:color w:val="auto"/>
          <w:sz w:val="28"/>
          <w:szCs w:val="28"/>
          <w:highlight w:val="none"/>
        </w:rPr>
      </w:pPr>
      <w:r>
        <w:rPr>
          <w:rFonts w:hint="eastAsia" w:ascii="宋体" w:hAnsi="宋体" w:eastAsia="宋体" w:cs="宋体"/>
          <w:b/>
          <w:color w:val="auto"/>
          <w:sz w:val="24"/>
          <w:highlight w:val="none"/>
        </w:rPr>
        <w:t>2.当本表由多页构成时，需逐页加盖</w:t>
      </w:r>
      <w:r>
        <w:rPr>
          <w:rFonts w:hint="eastAsia" w:ascii="宋体" w:hAnsi="宋体" w:eastAsia="宋体" w:cs="宋体"/>
          <w:b/>
          <w:color w:val="auto"/>
          <w:sz w:val="24"/>
          <w:highlight w:val="none"/>
          <w:lang w:eastAsia="zh-CN"/>
        </w:rPr>
        <w:t>磋商供应商</w:t>
      </w:r>
      <w:r>
        <w:rPr>
          <w:rFonts w:hint="eastAsia" w:ascii="宋体" w:hAnsi="宋体" w:eastAsia="宋体" w:cs="宋体"/>
          <w:b/>
          <w:color w:val="auto"/>
          <w:sz w:val="24"/>
          <w:highlight w:val="none"/>
        </w:rPr>
        <w:t>公章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CA签章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（属自然人的须逐页签字</w:t>
      </w:r>
      <w:r>
        <w:rPr>
          <w:rFonts w:hint="eastAsia" w:ascii="宋体" w:hAnsi="宋体" w:eastAsia="宋体" w:cs="宋体"/>
          <w:b/>
          <w:color w:val="auto"/>
          <w:sz w:val="24"/>
          <w:highlight w:val="none"/>
          <w:lang w:eastAsia="zh-CN"/>
        </w:rPr>
        <w:t>或</w:t>
      </w:r>
      <w:r>
        <w:rPr>
          <w:rFonts w:hint="eastAsia" w:ascii="宋体" w:hAnsi="宋体" w:eastAsia="宋体" w:cs="宋体"/>
          <w:b/>
          <w:color w:val="auto"/>
          <w:sz w:val="24"/>
          <w:highlight w:val="none"/>
          <w:lang w:val="en-US" w:eastAsia="zh-CN"/>
        </w:rPr>
        <w:t>个人CA签章</w:t>
      </w:r>
      <w:r>
        <w:rPr>
          <w:rFonts w:hint="eastAsia" w:ascii="宋体" w:hAnsi="宋体" w:eastAsia="宋体" w:cs="宋体"/>
          <w:b/>
          <w:color w:val="auto"/>
          <w:sz w:val="24"/>
          <w:highlight w:val="none"/>
        </w:rPr>
        <w:t>）。</w:t>
      </w:r>
    </w:p>
    <w:p w14:paraId="6427670D">
      <w:pPr>
        <w:pStyle w:val="9"/>
        <w:rPr>
          <w:rFonts w:hint="eastAsia" w:ascii="宋体" w:hAnsi="宋体" w:eastAsia="宋体" w:cs="宋体"/>
          <w:color w:val="auto"/>
          <w:highlight w:val="none"/>
        </w:rPr>
      </w:pPr>
    </w:p>
    <w:p w14:paraId="1E1C98C0">
      <w:pPr>
        <w:pStyle w:val="9"/>
        <w:rPr>
          <w:rFonts w:hint="eastAsia" w:ascii="宋体" w:hAnsi="宋体" w:eastAsia="宋体" w:cs="宋体"/>
          <w:color w:val="auto"/>
          <w:highlight w:val="none"/>
        </w:rPr>
      </w:pPr>
    </w:p>
    <w:p w14:paraId="7D09926E">
      <w:pPr>
        <w:pStyle w:val="9"/>
        <w:rPr>
          <w:rFonts w:hint="eastAsia" w:ascii="宋体" w:hAnsi="宋体" w:eastAsia="宋体" w:cs="宋体"/>
          <w:color w:val="auto"/>
          <w:highlight w:val="none"/>
        </w:rPr>
      </w:pPr>
    </w:p>
    <w:p w14:paraId="258A1D6E">
      <w:pPr>
        <w:pStyle w:val="9"/>
        <w:rPr>
          <w:rFonts w:hint="eastAsia" w:ascii="宋体" w:hAnsi="宋体" w:eastAsia="宋体" w:cs="宋体"/>
          <w:color w:val="auto"/>
          <w:highlight w:val="none"/>
        </w:rPr>
      </w:pPr>
    </w:p>
    <w:p w14:paraId="5F4A6AA4">
      <w:pPr>
        <w:pStyle w:val="9"/>
        <w:rPr>
          <w:rFonts w:hint="eastAsia" w:ascii="宋体" w:hAnsi="宋体" w:eastAsia="宋体" w:cs="宋体"/>
          <w:color w:val="auto"/>
          <w:highlight w:val="none"/>
        </w:rPr>
      </w:pPr>
    </w:p>
    <w:p w14:paraId="4B9CA3B6">
      <w:pPr>
        <w:pStyle w:val="9"/>
        <w:rPr>
          <w:rFonts w:hint="eastAsia" w:ascii="宋体" w:hAnsi="宋体" w:eastAsia="宋体" w:cs="宋体"/>
          <w:color w:val="auto"/>
          <w:highlight w:val="none"/>
        </w:rPr>
      </w:pPr>
    </w:p>
    <w:p w14:paraId="278478FC">
      <w:pPr>
        <w:pStyle w:val="9"/>
        <w:rPr>
          <w:rFonts w:hint="eastAsia" w:ascii="宋体" w:hAnsi="宋体" w:eastAsia="宋体" w:cs="宋体"/>
          <w:color w:val="auto"/>
          <w:highlight w:val="none"/>
        </w:rPr>
      </w:pPr>
    </w:p>
    <w:p w14:paraId="615836CE">
      <w:pPr>
        <w:rPr>
          <w:rFonts w:hint="eastAsia" w:ascii="宋体" w:hAnsi="宋体" w:eastAsia="宋体" w:cs="宋体"/>
          <w:color w:val="auto"/>
          <w:highlight w:val="none"/>
        </w:rPr>
      </w:pPr>
    </w:p>
    <w:p w14:paraId="777BDA4A">
      <w:pPr>
        <w:pStyle w:val="29"/>
        <w:rPr>
          <w:rFonts w:hint="eastAsia" w:ascii="宋体" w:hAnsi="宋体" w:eastAsia="宋体" w:cs="宋体"/>
          <w:color w:val="auto"/>
          <w:highlight w:val="none"/>
        </w:rPr>
      </w:pPr>
    </w:p>
    <w:p w14:paraId="3EF6E2EA">
      <w:pPr>
        <w:pStyle w:val="29"/>
        <w:rPr>
          <w:rFonts w:hint="eastAsia" w:ascii="宋体" w:hAnsi="宋体" w:eastAsia="宋体" w:cs="宋体"/>
          <w:color w:val="auto"/>
          <w:highlight w:val="none"/>
        </w:rPr>
      </w:pPr>
    </w:p>
    <w:p w14:paraId="11FCA96C">
      <w:pPr>
        <w:pStyle w:val="29"/>
        <w:rPr>
          <w:rFonts w:hint="eastAsia" w:ascii="宋体" w:hAnsi="宋体" w:eastAsia="宋体" w:cs="宋体"/>
          <w:color w:val="auto"/>
          <w:highlight w:val="none"/>
        </w:rPr>
      </w:pPr>
    </w:p>
    <w:p w14:paraId="76013A7C">
      <w:pPr>
        <w:pStyle w:val="29"/>
        <w:rPr>
          <w:rFonts w:hint="eastAsia" w:ascii="宋体" w:hAnsi="宋体" w:eastAsia="宋体" w:cs="宋体"/>
          <w:color w:val="auto"/>
          <w:highlight w:val="none"/>
        </w:rPr>
      </w:pPr>
    </w:p>
    <w:p w14:paraId="2102642B">
      <w:pPr>
        <w:pStyle w:val="29"/>
        <w:rPr>
          <w:rFonts w:hint="eastAsia" w:ascii="宋体" w:hAnsi="宋体" w:eastAsia="宋体" w:cs="宋体"/>
          <w:color w:val="auto"/>
          <w:highlight w:val="none"/>
        </w:rPr>
      </w:pPr>
    </w:p>
    <w:p w14:paraId="4EC04FA9">
      <w:pPr>
        <w:pStyle w:val="29"/>
        <w:rPr>
          <w:rFonts w:hint="eastAsia" w:ascii="宋体" w:hAnsi="宋体" w:eastAsia="宋体" w:cs="宋体"/>
          <w:color w:val="auto"/>
          <w:highlight w:val="none"/>
        </w:rPr>
      </w:pPr>
    </w:p>
    <w:p w14:paraId="7692D057">
      <w:pPr>
        <w:pStyle w:val="29"/>
        <w:rPr>
          <w:rFonts w:hint="eastAsia" w:ascii="宋体" w:hAnsi="宋体" w:eastAsia="宋体" w:cs="宋体"/>
          <w:color w:val="auto"/>
          <w:highlight w:val="none"/>
        </w:rPr>
      </w:pPr>
    </w:p>
    <w:p w14:paraId="6F8CE31E">
      <w:pPr>
        <w:pStyle w:val="9"/>
        <w:rPr>
          <w:rFonts w:hint="eastAsia" w:ascii="宋体" w:hAnsi="宋体" w:eastAsia="宋体" w:cs="宋体"/>
          <w:color w:val="auto"/>
          <w:highlight w:val="none"/>
        </w:rPr>
      </w:pPr>
    </w:p>
    <w:p w14:paraId="059DB715">
      <w:pPr>
        <w:pStyle w:val="9"/>
        <w:rPr>
          <w:rFonts w:hint="eastAsia" w:ascii="宋体" w:hAnsi="宋体" w:eastAsia="宋体" w:cs="宋体"/>
          <w:color w:val="auto"/>
          <w:highlight w:val="none"/>
        </w:rPr>
      </w:pPr>
    </w:p>
    <w:p w14:paraId="3BA05EF5">
      <w:pPr>
        <w:pStyle w:val="9"/>
        <w:rPr>
          <w:rFonts w:hint="eastAsia" w:ascii="宋体" w:hAnsi="宋体" w:eastAsia="宋体" w:cs="宋体"/>
          <w:color w:val="auto"/>
          <w:highlight w:val="none"/>
        </w:rPr>
      </w:pPr>
    </w:p>
    <w:p w14:paraId="170373C4">
      <w:pPr>
        <w:pStyle w:val="13"/>
        <w:numPr>
          <w:ilvl w:val="0"/>
          <w:numId w:val="0"/>
        </w:numPr>
        <w:spacing w:line="340" w:lineRule="exact"/>
        <w:ind w:leftChars="0"/>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服务承诺书</w:t>
      </w:r>
      <w:r>
        <w:rPr>
          <w:rFonts w:hint="eastAsia" w:ascii="宋体" w:hAnsi="宋体" w:eastAsia="宋体" w:cs="宋体"/>
          <w:b/>
          <w:color w:val="auto"/>
          <w:sz w:val="28"/>
          <w:szCs w:val="28"/>
          <w:highlight w:val="none"/>
        </w:rPr>
        <w:t>（由供应商根据本项目采购需求、特点及供应商自身的处理能力自行编写，承诺书内容至少应包括“采购需求”的所有服务条款）（必须提供）；</w:t>
      </w:r>
    </w:p>
    <w:p w14:paraId="388289F7">
      <w:pPr>
        <w:rPr>
          <w:rFonts w:hint="eastAsia" w:ascii="宋体" w:hAnsi="宋体" w:eastAsia="宋体" w:cs="宋体"/>
          <w:color w:val="auto"/>
          <w:highlight w:val="none"/>
        </w:rPr>
      </w:pPr>
    </w:p>
    <w:p w14:paraId="09CC644E">
      <w:pPr>
        <w:pStyle w:val="13"/>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520E55A1">
      <w:pPr>
        <w:rPr>
          <w:rFonts w:hint="eastAsia" w:ascii="宋体" w:hAnsi="宋体" w:eastAsia="宋体" w:cs="宋体"/>
          <w:color w:val="auto"/>
          <w:highlight w:val="none"/>
        </w:rPr>
      </w:pPr>
    </w:p>
    <w:p w14:paraId="0AAA5F24">
      <w:pPr>
        <w:pStyle w:val="9"/>
        <w:rPr>
          <w:rFonts w:hint="eastAsia" w:ascii="宋体" w:hAnsi="宋体" w:eastAsia="宋体" w:cs="宋体"/>
          <w:color w:val="auto"/>
          <w:highlight w:val="none"/>
        </w:rPr>
      </w:pPr>
    </w:p>
    <w:p w14:paraId="4C2F58EC">
      <w:pPr>
        <w:pStyle w:val="9"/>
        <w:rPr>
          <w:rFonts w:hint="eastAsia" w:ascii="宋体" w:hAnsi="宋体" w:eastAsia="宋体" w:cs="宋体"/>
          <w:color w:val="auto"/>
          <w:highlight w:val="none"/>
        </w:rPr>
      </w:pPr>
    </w:p>
    <w:p w14:paraId="4FFF0874">
      <w:pPr>
        <w:pStyle w:val="9"/>
        <w:rPr>
          <w:rFonts w:hint="eastAsia" w:ascii="宋体" w:hAnsi="宋体" w:eastAsia="宋体" w:cs="宋体"/>
          <w:color w:val="auto"/>
          <w:highlight w:val="none"/>
        </w:rPr>
      </w:pPr>
    </w:p>
    <w:p w14:paraId="182AA3E8">
      <w:pPr>
        <w:pStyle w:val="13"/>
        <w:spacing w:line="3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服务承诺书</w:t>
      </w:r>
      <w:r>
        <w:rPr>
          <w:rFonts w:hint="eastAsia" w:ascii="宋体" w:hAnsi="宋体" w:eastAsia="宋体" w:cs="宋体"/>
          <w:b/>
          <w:color w:val="auto"/>
          <w:sz w:val="32"/>
          <w:szCs w:val="32"/>
          <w:highlight w:val="none"/>
        </w:rPr>
        <w:t>（格式）</w:t>
      </w:r>
    </w:p>
    <w:p w14:paraId="7CD97232">
      <w:pPr>
        <w:pStyle w:val="13"/>
        <w:spacing w:line="340" w:lineRule="exact"/>
        <w:jc w:val="center"/>
        <w:rPr>
          <w:rFonts w:hint="eastAsia" w:ascii="宋体" w:hAnsi="宋体" w:eastAsia="宋体" w:cs="宋体"/>
          <w:b/>
          <w:color w:val="auto"/>
          <w:sz w:val="32"/>
          <w:szCs w:val="32"/>
          <w:highlight w:val="none"/>
        </w:rPr>
      </w:pPr>
    </w:p>
    <w:p w14:paraId="22CC613C">
      <w:pPr>
        <w:pStyle w:val="13"/>
        <w:spacing w:line="340" w:lineRule="exact"/>
        <w:jc w:val="center"/>
        <w:rPr>
          <w:rFonts w:hint="eastAsia" w:ascii="宋体" w:hAnsi="宋体" w:eastAsia="宋体" w:cs="宋体"/>
          <w:b/>
          <w:color w:val="auto"/>
          <w:sz w:val="32"/>
          <w:szCs w:val="32"/>
          <w:highlight w:val="none"/>
        </w:rPr>
      </w:pPr>
    </w:p>
    <w:p w14:paraId="30F4943F">
      <w:pPr>
        <w:pStyle w:val="13"/>
        <w:spacing w:line="340" w:lineRule="exact"/>
        <w:jc w:val="center"/>
        <w:rPr>
          <w:rFonts w:hint="eastAsia" w:ascii="宋体" w:hAnsi="宋体" w:eastAsia="宋体" w:cs="宋体"/>
          <w:b/>
          <w:color w:val="auto"/>
          <w:sz w:val="32"/>
          <w:szCs w:val="32"/>
          <w:highlight w:val="none"/>
        </w:rPr>
      </w:pPr>
    </w:p>
    <w:p w14:paraId="169A928C">
      <w:pPr>
        <w:rPr>
          <w:rFonts w:hint="eastAsia" w:ascii="宋体" w:hAnsi="宋体" w:eastAsia="宋体" w:cs="宋体"/>
          <w:b/>
          <w:color w:val="auto"/>
          <w:sz w:val="32"/>
          <w:szCs w:val="32"/>
          <w:highlight w:val="none"/>
        </w:rPr>
      </w:pPr>
    </w:p>
    <w:p w14:paraId="5C4E04B8">
      <w:pPr>
        <w:pStyle w:val="9"/>
        <w:rPr>
          <w:rFonts w:hint="eastAsia" w:ascii="宋体" w:hAnsi="宋体" w:eastAsia="宋体" w:cs="宋体"/>
          <w:color w:val="auto"/>
          <w:highlight w:val="none"/>
        </w:rPr>
      </w:pPr>
    </w:p>
    <w:p w14:paraId="6C581AE4">
      <w:pPr>
        <w:pStyle w:val="9"/>
        <w:rPr>
          <w:rFonts w:hint="eastAsia" w:ascii="宋体" w:hAnsi="宋体" w:eastAsia="宋体" w:cs="宋体"/>
          <w:b/>
          <w:color w:val="auto"/>
          <w:sz w:val="32"/>
          <w:szCs w:val="32"/>
          <w:highlight w:val="none"/>
        </w:rPr>
      </w:pPr>
    </w:p>
    <w:p w14:paraId="79BC824A">
      <w:pPr>
        <w:pStyle w:val="13"/>
        <w:spacing w:line="340" w:lineRule="exact"/>
        <w:jc w:val="center"/>
        <w:rPr>
          <w:rFonts w:hint="eastAsia" w:ascii="宋体" w:hAnsi="宋体" w:eastAsia="宋体" w:cs="宋体"/>
          <w:b/>
          <w:color w:val="auto"/>
          <w:sz w:val="32"/>
          <w:szCs w:val="32"/>
          <w:highlight w:val="none"/>
        </w:rPr>
      </w:pPr>
    </w:p>
    <w:p w14:paraId="75D2C4C7">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E69D8C4">
      <w:pPr>
        <w:pStyle w:val="3"/>
        <w:rPr>
          <w:rFonts w:hint="eastAsia" w:ascii="宋体" w:hAnsi="宋体" w:eastAsia="宋体" w:cs="宋体"/>
          <w:color w:val="auto"/>
          <w:highlight w:val="none"/>
        </w:rPr>
      </w:pPr>
    </w:p>
    <w:p w14:paraId="2C0E442F">
      <w:pPr>
        <w:snapToGrid w:val="0"/>
        <w:spacing w:line="400" w:lineRule="exact"/>
        <w:ind w:firstLine="1680" w:firstLineChars="800"/>
        <w:rPr>
          <w:rFonts w:hint="eastAsia" w:ascii="宋体" w:hAnsi="宋体" w:eastAsia="宋体" w:cs="宋体"/>
          <w:b/>
          <w:bCs/>
          <w:color w:val="auto"/>
          <w:szCs w:val="21"/>
          <w:highlight w:val="non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p w14:paraId="492B94F9">
      <w:pPr>
        <w:pStyle w:val="9"/>
        <w:rPr>
          <w:rFonts w:hint="eastAsia" w:ascii="宋体" w:hAnsi="宋体" w:eastAsia="宋体" w:cs="宋体"/>
          <w:b/>
          <w:bCs/>
          <w:color w:val="auto"/>
          <w:szCs w:val="21"/>
          <w:highlight w:val="none"/>
        </w:rPr>
      </w:pPr>
    </w:p>
    <w:p w14:paraId="30135346">
      <w:pPr>
        <w:pStyle w:val="9"/>
        <w:rPr>
          <w:rFonts w:hint="eastAsia" w:ascii="宋体" w:hAnsi="宋体" w:eastAsia="宋体" w:cs="宋体"/>
          <w:b/>
          <w:bCs/>
          <w:color w:val="auto"/>
          <w:szCs w:val="21"/>
          <w:highlight w:val="none"/>
        </w:rPr>
      </w:pPr>
    </w:p>
    <w:p w14:paraId="7DACFA4E">
      <w:pPr>
        <w:pStyle w:val="9"/>
        <w:rPr>
          <w:rFonts w:hint="eastAsia" w:ascii="宋体" w:hAnsi="宋体" w:eastAsia="宋体" w:cs="宋体"/>
          <w:b/>
          <w:bCs/>
          <w:color w:val="auto"/>
          <w:szCs w:val="21"/>
          <w:highlight w:val="none"/>
        </w:rPr>
      </w:pPr>
    </w:p>
    <w:p w14:paraId="5EB0089C">
      <w:pPr>
        <w:pStyle w:val="9"/>
        <w:rPr>
          <w:rFonts w:hint="eastAsia" w:ascii="宋体" w:hAnsi="宋体" w:eastAsia="宋体" w:cs="宋体"/>
          <w:b/>
          <w:bCs/>
          <w:color w:val="auto"/>
          <w:szCs w:val="21"/>
          <w:highlight w:val="none"/>
        </w:rPr>
      </w:pPr>
    </w:p>
    <w:p w14:paraId="5F66124F">
      <w:pPr>
        <w:pStyle w:val="9"/>
        <w:rPr>
          <w:rFonts w:hint="eastAsia" w:ascii="宋体" w:hAnsi="宋体" w:eastAsia="宋体" w:cs="宋体"/>
          <w:b/>
          <w:bCs/>
          <w:color w:val="auto"/>
          <w:szCs w:val="21"/>
          <w:highlight w:val="none"/>
        </w:rPr>
      </w:pPr>
    </w:p>
    <w:p w14:paraId="76E9F98F">
      <w:pPr>
        <w:rPr>
          <w:rFonts w:hint="eastAsia" w:ascii="宋体" w:hAnsi="宋体" w:eastAsia="宋体" w:cs="宋体"/>
          <w:b/>
          <w:bCs/>
          <w:color w:val="auto"/>
          <w:szCs w:val="21"/>
          <w:highlight w:val="none"/>
        </w:rPr>
      </w:pPr>
    </w:p>
    <w:p w14:paraId="6E8C9D90">
      <w:pPr>
        <w:pStyle w:val="29"/>
        <w:rPr>
          <w:rFonts w:hint="eastAsia" w:ascii="宋体" w:hAnsi="宋体" w:eastAsia="宋体" w:cs="宋体"/>
          <w:b/>
          <w:bCs/>
          <w:color w:val="auto"/>
          <w:szCs w:val="21"/>
          <w:highlight w:val="none"/>
        </w:rPr>
      </w:pPr>
    </w:p>
    <w:p w14:paraId="49DC8F8F">
      <w:pPr>
        <w:pStyle w:val="29"/>
        <w:rPr>
          <w:rFonts w:hint="eastAsia" w:ascii="宋体" w:hAnsi="宋体" w:eastAsia="宋体" w:cs="宋体"/>
          <w:b/>
          <w:bCs/>
          <w:color w:val="auto"/>
          <w:szCs w:val="21"/>
          <w:highlight w:val="none"/>
        </w:rPr>
      </w:pPr>
    </w:p>
    <w:p w14:paraId="18DDD43C">
      <w:pPr>
        <w:pStyle w:val="29"/>
        <w:rPr>
          <w:rFonts w:hint="eastAsia" w:ascii="宋体" w:hAnsi="宋体" w:eastAsia="宋体" w:cs="宋体"/>
          <w:b/>
          <w:bCs/>
          <w:color w:val="auto"/>
          <w:szCs w:val="21"/>
          <w:highlight w:val="none"/>
        </w:rPr>
      </w:pPr>
    </w:p>
    <w:p w14:paraId="64B0C891">
      <w:pPr>
        <w:pStyle w:val="29"/>
        <w:rPr>
          <w:rFonts w:hint="eastAsia" w:ascii="宋体" w:hAnsi="宋体" w:eastAsia="宋体" w:cs="宋体"/>
          <w:b/>
          <w:bCs/>
          <w:color w:val="auto"/>
          <w:szCs w:val="21"/>
          <w:highlight w:val="none"/>
        </w:rPr>
      </w:pPr>
    </w:p>
    <w:p w14:paraId="042D2400">
      <w:pPr>
        <w:pStyle w:val="29"/>
        <w:rPr>
          <w:rFonts w:hint="eastAsia" w:ascii="宋体" w:hAnsi="宋体" w:eastAsia="宋体" w:cs="宋体"/>
          <w:b/>
          <w:bCs/>
          <w:color w:val="auto"/>
          <w:szCs w:val="21"/>
          <w:highlight w:val="none"/>
        </w:rPr>
      </w:pPr>
    </w:p>
    <w:p w14:paraId="6B1B0AE5">
      <w:pPr>
        <w:pStyle w:val="29"/>
        <w:rPr>
          <w:rFonts w:hint="eastAsia" w:ascii="宋体" w:hAnsi="宋体" w:eastAsia="宋体" w:cs="宋体"/>
          <w:b/>
          <w:bCs/>
          <w:color w:val="auto"/>
          <w:szCs w:val="21"/>
          <w:highlight w:val="none"/>
        </w:rPr>
      </w:pPr>
    </w:p>
    <w:p w14:paraId="4470EAA5">
      <w:pPr>
        <w:pStyle w:val="29"/>
        <w:rPr>
          <w:rFonts w:hint="eastAsia" w:ascii="宋体" w:hAnsi="宋体" w:eastAsia="宋体" w:cs="宋体"/>
          <w:b/>
          <w:bCs/>
          <w:color w:val="auto"/>
          <w:szCs w:val="21"/>
          <w:highlight w:val="none"/>
        </w:rPr>
      </w:pPr>
    </w:p>
    <w:p w14:paraId="7E059F22">
      <w:pPr>
        <w:pStyle w:val="29"/>
        <w:rPr>
          <w:rFonts w:hint="eastAsia" w:ascii="宋体" w:hAnsi="宋体" w:eastAsia="宋体" w:cs="宋体"/>
          <w:b/>
          <w:bCs/>
          <w:color w:val="auto"/>
          <w:szCs w:val="21"/>
          <w:highlight w:val="none"/>
        </w:rPr>
      </w:pPr>
    </w:p>
    <w:p w14:paraId="00DBC9E3">
      <w:pPr>
        <w:pStyle w:val="29"/>
        <w:rPr>
          <w:rFonts w:hint="eastAsia" w:ascii="宋体" w:hAnsi="宋体" w:eastAsia="宋体" w:cs="宋体"/>
          <w:b/>
          <w:bCs/>
          <w:color w:val="auto"/>
          <w:szCs w:val="21"/>
          <w:highlight w:val="none"/>
        </w:rPr>
      </w:pPr>
    </w:p>
    <w:p w14:paraId="610E9B08">
      <w:pPr>
        <w:pStyle w:val="9"/>
        <w:rPr>
          <w:rFonts w:hint="eastAsia" w:ascii="宋体" w:hAnsi="宋体" w:eastAsia="宋体" w:cs="宋体"/>
          <w:b/>
          <w:bCs/>
          <w:color w:val="auto"/>
          <w:szCs w:val="21"/>
          <w:highlight w:val="none"/>
        </w:rPr>
      </w:pPr>
    </w:p>
    <w:p w14:paraId="4C29A590">
      <w:pPr>
        <w:rPr>
          <w:rFonts w:hint="eastAsia" w:ascii="宋体" w:hAnsi="宋体" w:eastAsia="宋体" w:cs="宋体"/>
          <w:color w:val="auto"/>
          <w:highlight w:val="none"/>
        </w:rPr>
      </w:pPr>
    </w:p>
    <w:p w14:paraId="475B767A">
      <w:pPr>
        <w:pStyle w:val="9"/>
        <w:rPr>
          <w:rFonts w:hint="eastAsia" w:ascii="宋体" w:hAnsi="宋体" w:eastAsia="宋体" w:cs="宋体"/>
          <w:b/>
          <w:bCs/>
          <w:color w:val="auto"/>
          <w:szCs w:val="21"/>
          <w:highlight w:val="none"/>
        </w:rPr>
      </w:pPr>
    </w:p>
    <w:p w14:paraId="515310AF">
      <w:pPr>
        <w:pStyle w:val="9"/>
        <w:rPr>
          <w:rFonts w:hint="eastAsia" w:ascii="宋体" w:hAnsi="宋体" w:eastAsia="宋体" w:cs="宋体"/>
          <w:b/>
          <w:bCs/>
          <w:color w:val="auto"/>
          <w:szCs w:val="21"/>
          <w:highlight w:val="none"/>
        </w:rPr>
      </w:pPr>
    </w:p>
    <w:p w14:paraId="1C371DEF">
      <w:pPr>
        <w:pStyle w:val="9"/>
        <w:rPr>
          <w:rFonts w:hint="eastAsia" w:ascii="宋体" w:hAnsi="宋体" w:eastAsia="宋体" w:cs="宋体"/>
          <w:b/>
          <w:bCs/>
          <w:color w:val="auto"/>
          <w:szCs w:val="21"/>
          <w:highlight w:val="none"/>
        </w:rPr>
      </w:pPr>
    </w:p>
    <w:p w14:paraId="63BD6D6F">
      <w:pPr>
        <w:rPr>
          <w:rFonts w:hint="eastAsia"/>
          <w:color w:val="auto"/>
          <w:highlight w:val="none"/>
        </w:rPr>
      </w:pPr>
    </w:p>
    <w:p w14:paraId="433ACB10">
      <w:pPr>
        <w:pStyle w:val="13"/>
        <w:numPr>
          <w:ilvl w:val="0"/>
          <w:numId w:val="0"/>
        </w:numPr>
        <w:spacing w:line="340" w:lineRule="exact"/>
        <w:ind w:left="0" w:firstLine="0"/>
        <w:rPr>
          <w:rFonts w:hint="eastAsia" w:ascii="宋体" w:hAnsi="宋体" w:eastAsia="宋体" w:cs="宋体"/>
          <w:b/>
          <w:color w:val="auto"/>
          <w:sz w:val="28"/>
          <w:szCs w:val="28"/>
          <w:highlight w:val="none"/>
          <w:lang w:eastAsia="zh-CN"/>
        </w:rPr>
      </w:pPr>
      <w:r>
        <w:rPr>
          <w:rFonts w:hint="eastAsia"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 xml:space="preserve">. </w:t>
      </w:r>
      <w:r>
        <w:rPr>
          <w:rFonts w:hint="eastAsia" w:hAnsi="宋体" w:cs="宋体"/>
          <w:b/>
          <w:color w:val="auto"/>
          <w:sz w:val="28"/>
          <w:szCs w:val="28"/>
          <w:highlight w:val="none"/>
          <w:lang w:val="en-US" w:eastAsia="zh-CN"/>
        </w:rPr>
        <w:t>针对本项目的服务方案</w:t>
      </w:r>
      <w:r>
        <w:rPr>
          <w:rFonts w:hint="eastAsia" w:ascii="宋体" w:hAnsi="宋体" w:eastAsia="宋体" w:cs="宋体"/>
          <w:b/>
          <w:color w:val="auto"/>
          <w:sz w:val="28"/>
          <w:szCs w:val="28"/>
          <w:highlight w:val="none"/>
          <w:lang w:val="en-US" w:eastAsia="zh-CN"/>
        </w:rPr>
        <w:t>（必须提供</w:t>
      </w:r>
      <w:r>
        <w:rPr>
          <w:rFonts w:hint="eastAsia" w:ascii="宋体" w:hAnsi="宋体" w:eastAsia="宋体" w:cs="宋体"/>
          <w:b/>
          <w:color w:val="auto"/>
          <w:sz w:val="28"/>
          <w:szCs w:val="28"/>
          <w:highlight w:val="none"/>
        </w:rPr>
        <w:t>）</w:t>
      </w:r>
      <w:r>
        <w:rPr>
          <w:rFonts w:hint="eastAsia" w:hAnsi="宋体" w:cs="宋体"/>
          <w:b/>
          <w:color w:val="auto"/>
          <w:sz w:val="28"/>
          <w:szCs w:val="28"/>
          <w:highlight w:val="none"/>
          <w:lang w:eastAsia="zh-CN"/>
        </w:rPr>
        <w:t>。</w:t>
      </w:r>
    </w:p>
    <w:p w14:paraId="0928AAA6">
      <w:pPr>
        <w:rPr>
          <w:rFonts w:hint="eastAsia" w:ascii="宋体" w:hAnsi="宋体" w:eastAsia="宋体" w:cs="宋体"/>
          <w:color w:val="auto"/>
          <w:highlight w:val="none"/>
        </w:rPr>
      </w:pPr>
    </w:p>
    <w:p w14:paraId="721835C9">
      <w:pPr>
        <w:pStyle w:val="13"/>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55004789">
      <w:pPr>
        <w:rPr>
          <w:rFonts w:hint="eastAsia" w:ascii="宋体" w:hAnsi="宋体" w:eastAsia="宋体" w:cs="宋体"/>
          <w:color w:val="auto"/>
          <w:highlight w:val="none"/>
        </w:rPr>
      </w:pPr>
    </w:p>
    <w:p w14:paraId="327E1C88">
      <w:pPr>
        <w:pStyle w:val="9"/>
        <w:rPr>
          <w:rFonts w:hint="eastAsia" w:ascii="宋体" w:hAnsi="宋体" w:eastAsia="宋体" w:cs="宋体"/>
          <w:color w:val="auto"/>
          <w:highlight w:val="none"/>
        </w:rPr>
      </w:pPr>
    </w:p>
    <w:p w14:paraId="605AA965">
      <w:pPr>
        <w:rPr>
          <w:rFonts w:hint="eastAsia" w:ascii="宋体" w:hAnsi="宋体" w:eastAsia="宋体" w:cs="宋体"/>
          <w:color w:val="auto"/>
          <w:highlight w:val="none"/>
        </w:rPr>
      </w:pPr>
    </w:p>
    <w:p w14:paraId="7F4070AD">
      <w:pPr>
        <w:pStyle w:val="13"/>
        <w:spacing w:line="3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服务</w:t>
      </w:r>
      <w:r>
        <w:rPr>
          <w:rFonts w:hint="eastAsia" w:ascii="宋体" w:hAnsi="宋体" w:eastAsia="宋体" w:cs="宋体"/>
          <w:b/>
          <w:color w:val="auto"/>
          <w:sz w:val="32"/>
          <w:szCs w:val="32"/>
          <w:highlight w:val="none"/>
        </w:rPr>
        <w:t>方案 （格式）</w:t>
      </w:r>
    </w:p>
    <w:p w14:paraId="5FCC3B72">
      <w:pPr>
        <w:rPr>
          <w:rFonts w:hint="eastAsia" w:ascii="宋体" w:hAnsi="宋体" w:eastAsia="宋体" w:cs="宋体"/>
          <w:b/>
          <w:color w:val="auto"/>
          <w:sz w:val="32"/>
          <w:szCs w:val="32"/>
          <w:highlight w:val="none"/>
        </w:rPr>
      </w:pPr>
    </w:p>
    <w:p w14:paraId="59C37BBE">
      <w:pPr>
        <w:pStyle w:val="9"/>
        <w:rPr>
          <w:rFonts w:hint="eastAsia" w:ascii="宋体" w:hAnsi="宋体" w:eastAsia="宋体" w:cs="宋体"/>
          <w:color w:val="auto"/>
          <w:highlight w:val="none"/>
        </w:rPr>
      </w:pPr>
    </w:p>
    <w:p w14:paraId="0C99417C">
      <w:pPr>
        <w:widowControl/>
        <w:ind w:firstLine="3092" w:firstLineChars="1100"/>
        <w:jc w:val="left"/>
        <w:rPr>
          <w:rFonts w:hint="eastAsia"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（根据采购需求自行编制）</w:t>
      </w:r>
    </w:p>
    <w:p w14:paraId="47D4AD5A">
      <w:pPr>
        <w:widowControl/>
        <w:ind w:firstLine="3092" w:firstLineChars="1100"/>
        <w:jc w:val="left"/>
        <w:rPr>
          <w:rFonts w:hint="eastAsia" w:ascii="宋体" w:hAnsi="宋体" w:eastAsia="宋体" w:cs="宋体"/>
          <w:b/>
          <w:color w:val="auto"/>
          <w:kern w:val="0"/>
          <w:sz w:val="28"/>
          <w:szCs w:val="28"/>
          <w:highlight w:val="none"/>
          <w:lang w:bidi="ar"/>
        </w:rPr>
      </w:pPr>
    </w:p>
    <w:p w14:paraId="315A94CB">
      <w:pPr>
        <w:widowControl/>
        <w:ind w:firstLine="3092" w:firstLineChars="1100"/>
        <w:jc w:val="left"/>
        <w:rPr>
          <w:rFonts w:hint="eastAsia" w:ascii="宋体" w:hAnsi="宋体" w:eastAsia="宋体" w:cs="宋体"/>
          <w:b/>
          <w:color w:val="auto"/>
          <w:kern w:val="0"/>
          <w:sz w:val="28"/>
          <w:szCs w:val="28"/>
          <w:highlight w:val="none"/>
          <w:lang w:bidi="ar"/>
        </w:rPr>
      </w:pPr>
    </w:p>
    <w:p w14:paraId="2DC9C592">
      <w:pPr>
        <w:widowControl/>
        <w:ind w:firstLine="3092" w:firstLineChars="1100"/>
        <w:jc w:val="left"/>
        <w:rPr>
          <w:rFonts w:hint="eastAsia" w:ascii="宋体" w:hAnsi="宋体" w:eastAsia="宋体" w:cs="宋体"/>
          <w:b/>
          <w:color w:val="auto"/>
          <w:kern w:val="0"/>
          <w:sz w:val="28"/>
          <w:szCs w:val="28"/>
          <w:highlight w:val="none"/>
          <w:lang w:bidi="ar"/>
        </w:rPr>
      </w:pPr>
    </w:p>
    <w:p w14:paraId="15814AB9">
      <w:pPr>
        <w:widowControl/>
        <w:ind w:firstLine="3092" w:firstLineChars="1100"/>
        <w:jc w:val="left"/>
        <w:rPr>
          <w:rFonts w:hint="eastAsia" w:ascii="宋体" w:hAnsi="宋体" w:eastAsia="宋体" w:cs="宋体"/>
          <w:b/>
          <w:color w:val="auto"/>
          <w:kern w:val="0"/>
          <w:sz w:val="28"/>
          <w:szCs w:val="28"/>
          <w:highlight w:val="none"/>
          <w:lang w:bidi="ar"/>
        </w:rPr>
      </w:pPr>
    </w:p>
    <w:p w14:paraId="6EE38BBB">
      <w:pPr>
        <w:widowControl/>
        <w:ind w:firstLine="3092" w:firstLineChars="1100"/>
        <w:jc w:val="left"/>
        <w:rPr>
          <w:rFonts w:hint="eastAsia" w:ascii="宋体" w:hAnsi="宋体" w:eastAsia="宋体" w:cs="宋体"/>
          <w:b/>
          <w:color w:val="auto"/>
          <w:kern w:val="0"/>
          <w:sz w:val="28"/>
          <w:szCs w:val="28"/>
          <w:highlight w:val="none"/>
          <w:lang w:bidi="ar"/>
        </w:rPr>
      </w:pPr>
    </w:p>
    <w:p w14:paraId="73ADE30B">
      <w:pPr>
        <w:widowControl/>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29C5E30">
      <w:pPr>
        <w:pStyle w:val="13"/>
        <w:spacing w:line="300" w:lineRule="exact"/>
        <w:ind w:left="2940" w:leftChars="1400" w:firstLine="630" w:firstLineChars="300"/>
        <w:rPr>
          <w:rFonts w:hint="eastAsia" w:ascii="宋体" w:hAnsi="宋体" w:eastAsia="宋体" w:cs="宋体"/>
          <w:color w:val="auto"/>
          <w:highlight w:val="none"/>
        </w:rPr>
      </w:pPr>
    </w:p>
    <w:p w14:paraId="01D8E48C">
      <w:pPr>
        <w:pStyle w:val="13"/>
        <w:spacing w:line="300" w:lineRule="exact"/>
        <w:ind w:firstLine="4638" w:firstLineChars="16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20998F8E">
      <w:pPr>
        <w:pStyle w:val="13"/>
        <w:spacing w:line="300" w:lineRule="exact"/>
        <w:rPr>
          <w:rFonts w:hint="eastAsia" w:ascii="宋体" w:hAnsi="宋体" w:eastAsia="宋体" w:cs="宋体"/>
          <w:b/>
          <w:color w:val="auto"/>
          <w:sz w:val="28"/>
          <w:szCs w:val="28"/>
          <w:highlight w:val="none"/>
        </w:rPr>
      </w:pPr>
    </w:p>
    <w:p w14:paraId="46ADB270">
      <w:pPr>
        <w:snapToGrid w:val="0"/>
        <w:spacing w:line="300" w:lineRule="exact"/>
        <w:ind w:firstLine="4830" w:firstLineChars="23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D2DE1A9">
      <w:pPr>
        <w:snapToGrid w:val="0"/>
        <w:spacing w:line="300" w:lineRule="exact"/>
        <w:ind w:firstLine="3570" w:firstLineChars="1700"/>
        <w:rPr>
          <w:rFonts w:hint="eastAsia" w:ascii="宋体" w:hAnsi="宋体" w:eastAsia="宋体" w:cs="宋体"/>
          <w:color w:val="auto"/>
          <w:highlight w:val="none"/>
          <w:u w:val="single"/>
        </w:rPr>
      </w:pPr>
    </w:p>
    <w:p w14:paraId="3AD73109">
      <w:pPr>
        <w:pStyle w:val="9"/>
        <w:rPr>
          <w:rFonts w:hint="eastAsia" w:ascii="宋体" w:hAnsi="宋体" w:eastAsia="宋体" w:cs="宋体"/>
          <w:color w:val="auto"/>
          <w:highlight w:val="none"/>
          <w:u w:val="single"/>
        </w:rPr>
      </w:pPr>
    </w:p>
    <w:p w14:paraId="313E3BCC">
      <w:pPr>
        <w:pStyle w:val="9"/>
        <w:rPr>
          <w:rFonts w:hint="eastAsia" w:ascii="宋体" w:hAnsi="宋体" w:eastAsia="宋体" w:cs="宋体"/>
          <w:color w:val="auto"/>
          <w:highlight w:val="none"/>
          <w:u w:val="single"/>
        </w:rPr>
      </w:pPr>
    </w:p>
    <w:p w14:paraId="37579BF7">
      <w:pPr>
        <w:pStyle w:val="9"/>
        <w:rPr>
          <w:rFonts w:hint="eastAsia" w:ascii="宋体" w:hAnsi="宋体" w:eastAsia="宋体" w:cs="宋体"/>
          <w:b/>
          <w:bCs/>
          <w:color w:val="auto"/>
          <w:szCs w:val="21"/>
          <w:highlight w:val="none"/>
        </w:rPr>
      </w:pPr>
    </w:p>
    <w:p w14:paraId="2A04BEBB">
      <w:pPr>
        <w:pStyle w:val="9"/>
        <w:rPr>
          <w:rFonts w:hint="eastAsia" w:ascii="宋体" w:hAnsi="宋体" w:eastAsia="宋体" w:cs="宋体"/>
          <w:b/>
          <w:bCs/>
          <w:color w:val="auto"/>
          <w:szCs w:val="21"/>
          <w:highlight w:val="none"/>
        </w:rPr>
      </w:pPr>
    </w:p>
    <w:p w14:paraId="21C4C42D">
      <w:pPr>
        <w:pStyle w:val="9"/>
        <w:rPr>
          <w:rFonts w:hint="eastAsia" w:ascii="宋体" w:hAnsi="宋体" w:eastAsia="宋体" w:cs="宋体"/>
          <w:b/>
          <w:bCs/>
          <w:color w:val="auto"/>
          <w:szCs w:val="21"/>
          <w:highlight w:val="none"/>
        </w:rPr>
      </w:pPr>
    </w:p>
    <w:p w14:paraId="7B201429">
      <w:pPr>
        <w:pStyle w:val="9"/>
        <w:rPr>
          <w:rFonts w:hint="eastAsia" w:ascii="宋体" w:hAnsi="宋体" w:eastAsia="宋体" w:cs="宋体"/>
          <w:b/>
          <w:bCs/>
          <w:color w:val="auto"/>
          <w:szCs w:val="21"/>
          <w:highlight w:val="none"/>
        </w:rPr>
      </w:pPr>
    </w:p>
    <w:p w14:paraId="35BCC768">
      <w:pPr>
        <w:pStyle w:val="9"/>
        <w:rPr>
          <w:rFonts w:hint="eastAsia" w:ascii="宋体" w:hAnsi="宋体" w:eastAsia="宋体" w:cs="宋体"/>
          <w:b/>
          <w:bCs/>
          <w:color w:val="auto"/>
          <w:szCs w:val="21"/>
          <w:highlight w:val="none"/>
        </w:rPr>
      </w:pPr>
    </w:p>
    <w:p w14:paraId="03F06CC7">
      <w:pPr>
        <w:pStyle w:val="9"/>
        <w:rPr>
          <w:rFonts w:hint="eastAsia" w:ascii="宋体" w:hAnsi="宋体" w:eastAsia="宋体" w:cs="宋体"/>
          <w:b/>
          <w:bCs/>
          <w:color w:val="auto"/>
          <w:szCs w:val="21"/>
          <w:highlight w:val="none"/>
        </w:rPr>
      </w:pPr>
    </w:p>
    <w:p w14:paraId="0034BA6F">
      <w:pPr>
        <w:pStyle w:val="9"/>
        <w:rPr>
          <w:rFonts w:hint="eastAsia" w:ascii="宋体" w:hAnsi="宋体" w:eastAsia="宋体" w:cs="宋体"/>
          <w:b/>
          <w:bCs/>
          <w:color w:val="auto"/>
          <w:szCs w:val="21"/>
          <w:highlight w:val="none"/>
        </w:rPr>
      </w:pPr>
    </w:p>
    <w:p w14:paraId="71B0DD14">
      <w:pPr>
        <w:pStyle w:val="9"/>
        <w:rPr>
          <w:rFonts w:hint="eastAsia" w:ascii="宋体" w:hAnsi="宋体" w:eastAsia="宋体" w:cs="宋体"/>
          <w:b/>
          <w:bCs/>
          <w:color w:val="auto"/>
          <w:szCs w:val="21"/>
          <w:highlight w:val="none"/>
        </w:rPr>
      </w:pPr>
    </w:p>
    <w:p w14:paraId="315A9E9E">
      <w:pPr>
        <w:pStyle w:val="9"/>
        <w:rPr>
          <w:rFonts w:hint="eastAsia" w:ascii="宋体" w:hAnsi="宋体" w:eastAsia="宋体" w:cs="宋体"/>
          <w:b/>
          <w:bCs/>
          <w:color w:val="auto"/>
          <w:szCs w:val="21"/>
          <w:highlight w:val="none"/>
        </w:rPr>
      </w:pPr>
    </w:p>
    <w:p w14:paraId="7D142346">
      <w:pPr>
        <w:pStyle w:val="9"/>
        <w:rPr>
          <w:rFonts w:hint="eastAsia" w:ascii="宋体" w:hAnsi="宋体" w:eastAsia="宋体" w:cs="宋体"/>
          <w:b/>
          <w:bCs/>
          <w:color w:val="auto"/>
          <w:szCs w:val="21"/>
          <w:highlight w:val="none"/>
        </w:rPr>
      </w:pPr>
    </w:p>
    <w:p w14:paraId="7BC1249A">
      <w:pPr>
        <w:pStyle w:val="9"/>
        <w:rPr>
          <w:rFonts w:hint="eastAsia" w:ascii="宋体" w:hAnsi="宋体" w:eastAsia="宋体" w:cs="宋体"/>
          <w:b/>
          <w:bCs/>
          <w:color w:val="auto"/>
          <w:szCs w:val="21"/>
          <w:highlight w:val="none"/>
        </w:rPr>
      </w:pPr>
    </w:p>
    <w:p w14:paraId="28536710">
      <w:pPr>
        <w:rPr>
          <w:rFonts w:hint="eastAsia" w:ascii="宋体" w:hAnsi="宋体" w:eastAsia="宋体" w:cs="宋体"/>
          <w:color w:val="auto"/>
          <w:highlight w:val="none"/>
        </w:rPr>
      </w:pPr>
    </w:p>
    <w:p w14:paraId="413065A0">
      <w:pPr>
        <w:pStyle w:val="9"/>
        <w:rPr>
          <w:rFonts w:hint="eastAsia" w:ascii="宋体" w:hAnsi="宋体" w:eastAsia="宋体" w:cs="宋体"/>
          <w:b/>
          <w:bCs/>
          <w:color w:val="auto"/>
          <w:szCs w:val="21"/>
          <w:highlight w:val="none"/>
        </w:rPr>
      </w:pPr>
    </w:p>
    <w:p w14:paraId="42408B54">
      <w:pPr>
        <w:pStyle w:val="13"/>
        <w:spacing w:line="340" w:lineRule="exact"/>
        <w:rPr>
          <w:rFonts w:hint="eastAsia" w:ascii="宋体" w:hAnsi="宋体" w:eastAsia="宋体" w:cs="宋体"/>
          <w:b/>
          <w:color w:val="auto"/>
          <w:sz w:val="28"/>
          <w:szCs w:val="28"/>
          <w:highlight w:val="none"/>
        </w:rPr>
      </w:pPr>
    </w:p>
    <w:p w14:paraId="0DA6F15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宋体" w:hAnsi="宋体" w:eastAsia="宋体" w:cs="宋体"/>
          <w:color w:val="auto"/>
          <w:szCs w:val="21"/>
          <w:highlight w:val="none"/>
        </w:rPr>
      </w:pPr>
      <w:bookmarkStart w:id="392" w:name="_Toc28672"/>
      <w:bookmarkStart w:id="393" w:name="_Toc497927084"/>
      <w:bookmarkStart w:id="394" w:name="_Toc9339"/>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392"/>
      <w:bookmarkEnd w:id="393"/>
      <w:bookmarkEnd w:id="394"/>
    </w:p>
    <w:p w14:paraId="477EC9BA">
      <w:pPr>
        <w:spacing w:line="360" w:lineRule="auto"/>
        <w:ind w:firstLine="480" w:firstLineChars="200"/>
        <w:rPr>
          <w:rFonts w:hint="eastAsia" w:ascii="宋体" w:hAnsi="宋体" w:eastAsia="宋体" w:cs="宋体"/>
          <w:b/>
          <w:bCs/>
          <w:color w:val="auto"/>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项目实施人员一览表</w:t>
      </w:r>
      <w:r>
        <w:rPr>
          <w:rFonts w:hint="eastAsia" w:ascii="宋体" w:hAnsi="宋体" w:eastAsia="宋体" w:cs="宋体"/>
          <w:b w:val="0"/>
          <w:bCs w:val="0"/>
          <w:color w:val="auto"/>
          <w:sz w:val="24"/>
          <w:highlight w:val="none"/>
        </w:rPr>
        <w:t>（格式见附件）</w:t>
      </w:r>
      <w:r>
        <w:rPr>
          <w:rFonts w:hint="eastAsia" w:ascii="宋体" w:hAnsi="宋体" w:eastAsia="宋体" w:cs="宋体"/>
          <w:b/>
          <w:bCs/>
          <w:color w:val="auto"/>
          <w:sz w:val="24"/>
          <w:highlight w:val="none"/>
        </w:rPr>
        <w:t>（如有，请提供）</w:t>
      </w:r>
    </w:p>
    <w:p w14:paraId="5F8F18FD">
      <w:pPr>
        <w:numPr>
          <w:ilvl w:val="0"/>
          <w:numId w:val="0"/>
        </w:numPr>
        <w:spacing w:line="360" w:lineRule="auto"/>
        <w:ind w:firstLine="480" w:firstLineChars="200"/>
        <w:jc w:val="left"/>
        <w:rPr>
          <w:rFonts w:hint="eastAsia" w:ascii="宋体" w:hAnsi="宋体" w:eastAsia="宋体" w:cs="宋体"/>
          <w:b/>
          <w:bCs/>
          <w:color w:val="auto"/>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“采购需求”需提供的有效证明文件</w:t>
      </w:r>
      <w:r>
        <w:rPr>
          <w:rFonts w:hint="eastAsia" w:ascii="宋体" w:hAnsi="宋体" w:eastAsia="宋体" w:cs="宋体"/>
          <w:b/>
          <w:bCs/>
          <w:color w:val="auto"/>
          <w:sz w:val="24"/>
          <w:highlight w:val="none"/>
        </w:rPr>
        <w:t>（如有，请提供）；</w:t>
      </w:r>
    </w:p>
    <w:p w14:paraId="7620A5E3">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供应商自2023年1月1日以来同类业绩的相关证明材料（以中标、成交通知书或签订的采购合同扫描件为准，并能清晰反映所提供的服务类型、种类、金额）</w:t>
      </w:r>
      <w:r>
        <w:rPr>
          <w:rFonts w:hint="eastAsia" w:ascii="宋体" w:hAnsi="宋体" w:eastAsia="宋体" w:cs="宋体"/>
          <w:b/>
          <w:bCs/>
          <w:color w:val="auto"/>
          <w:sz w:val="24"/>
          <w:highlight w:val="none"/>
          <w:lang w:val="en-US" w:eastAsia="zh-CN"/>
        </w:rPr>
        <w:t>（如有，请提供）</w:t>
      </w:r>
      <w:r>
        <w:rPr>
          <w:rFonts w:hint="eastAsia" w:ascii="宋体" w:hAnsi="宋体" w:eastAsia="宋体" w:cs="宋体"/>
          <w:b/>
          <w:bCs/>
          <w:color w:val="auto"/>
          <w:sz w:val="24"/>
          <w:highlight w:val="none"/>
        </w:rPr>
        <w:t>；</w:t>
      </w:r>
    </w:p>
    <w:p w14:paraId="3EE3B1C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.供应商可结合本项目的评审办法视自身情况自行提交其它相关证明材料</w:t>
      </w:r>
      <w:r>
        <w:rPr>
          <w:rFonts w:hint="eastAsia" w:ascii="宋体" w:hAnsi="宋体" w:eastAsia="宋体" w:cs="宋体"/>
          <w:b/>
          <w:bCs/>
          <w:color w:val="auto"/>
          <w:sz w:val="24"/>
          <w:highlight w:val="none"/>
          <w:lang w:val="en-US" w:eastAsia="zh-CN"/>
        </w:rPr>
        <w:t>（如有，请提供）</w:t>
      </w:r>
      <w:r>
        <w:rPr>
          <w:rFonts w:hint="eastAsia" w:ascii="宋体" w:hAnsi="宋体" w:eastAsia="宋体" w:cs="宋体"/>
          <w:color w:val="auto"/>
          <w:sz w:val="24"/>
          <w:highlight w:val="none"/>
          <w:lang w:val="en-US" w:eastAsia="zh-CN"/>
        </w:rPr>
        <w:t>。</w:t>
      </w:r>
    </w:p>
    <w:p w14:paraId="6141E0BC">
      <w:pPr>
        <w:spacing w:line="360" w:lineRule="auto"/>
        <w:ind w:firstLine="480" w:firstLineChars="200"/>
        <w:rPr>
          <w:rFonts w:hint="eastAsia" w:ascii="宋体" w:hAnsi="宋体" w:eastAsia="宋体" w:cs="宋体"/>
          <w:color w:val="auto"/>
          <w:sz w:val="24"/>
          <w:highlight w:val="none"/>
        </w:rPr>
      </w:pPr>
    </w:p>
    <w:p w14:paraId="077EE90E">
      <w:pPr>
        <w:pStyle w:val="29"/>
        <w:rPr>
          <w:rFonts w:hint="eastAsia" w:ascii="宋体" w:hAnsi="宋体" w:eastAsia="宋体" w:cs="宋体"/>
          <w:b/>
          <w:bCs/>
          <w:color w:val="auto"/>
          <w:sz w:val="24"/>
          <w:highlight w:val="none"/>
        </w:rPr>
      </w:pPr>
    </w:p>
    <w:p w14:paraId="685B6A51">
      <w:pPr>
        <w:pStyle w:val="29"/>
        <w:rPr>
          <w:rFonts w:hint="eastAsia" w:ascii="宋体" w:hAnsi="宋体" w:eastAsia="宋体" w:cs="宋体"/>
          <w:b/>
          <w:bCs/>
          <w:color w:val="auto"/>
          <w:sz w:val="24"/>
          <w:highlight w:val="none"/>
        </w:rPr>
      </w:pPr>
    </w:p>
    <w:p w14:paraId="216225CA">
      <w:pPr>
        <w:pStyle w:val="29"/>
        <w:rPr>
          <w:rFonts w:hint="eastAsia" w:ascii="宋体" w:hAnsi="宋体" w:eastAsia="宋体" w:cs="宋体"/>
          <w:b/>
          <w:bCs/>
          <w:color w:val="auto"/>
          <w:sz w:val="24"/>
          <w:highlight w:val="none"/>
        </w:rPr>
      </w:pPr>
    </w:p>
    <w:p w14:paraId="33C4E397">
      <w:pPr>
        <w:pStyle w:val="29"/>
        <w:rPr>
          <w:rFonts w:hint="eastAsia" w:ascii="宋体" w:hAnsi="宋体" w:eastAsia="宋体" w:cs="宋体"/>
          <w:b/>
          <w:bCs/>
          <w:color w:val="auto"/>
          <w:sz w:val="24"/>
          <w:highlight w:val="none"/>
        </w:rPr>
      </w:pPr>
    </w:p>
    <w:p w14:paraId="7BEB2381">
      <w:pPr>
        <w:pStyle w:val="29"/>
        <w:rPr>
          <w:rFonts w:hint="eastAsia" w:ascii="宋体" w:hAnsi="宋体" w:eastAsia="宋体" w:cs="宋体"/>
          <w:b/>
          <w:bCs/>
          <w:color w:val="auto"/>
          <w:sz w:val="24"/>
          <w:highlight w:val="none"/>
        </w:rPr>
      </w:pPr>
    </w:p>
    <w:p w14:paraId="6A25FFC5">
      <w:pPr>
        <w:pStyle w:val="29"/>
        <w:rPr>
          <w:rFonts w:hint="eastAsia" w:ascii="宋体" w:hAnsi="宋体" w:eastAsia="宋体" w:cs="宋体"/>
          <w:b/>
          <w:bCs/>
          <w:color w:val="auto"/>
          <w:sz w:val="24"/>
          <w:highlight w:val="none"/>
        </w:rPr>
      </w:pPr>
    </w:p>
    <w:p w14:paraId="50B47158">
      <w:pPr>
        <w:pStyle w:val="29"/>
        <w:rPr>
          <w:rFonts w:hint="eastAsia" w:ascii="宋体" w:hAnsi="宋体" w:eastAsia="宋体" w:cs="宋体"/>
          <w:b/>
          <w:bCs/>
          <w:color w:val="auto"/>
          <w:sz w:val="24"/>
          <w:highlight w:val="none"/>
        </w:rPr>
      </w:pPr>
    </w:p>
    <w:p w14:paraId="5B9E63A5">
      <w:pPr>
        <w:pStyle w:val="29"/>
        <w:rPr>
          <w:rFonts w:hint="eastAsia" w:ascii="宋体" w:hAnsi="宋体" w:eastAsia="宋体" w:cs="宋体"/>
          <w:b/>
          <w:bCs/>
          <w:color w:val="auto"/>
          <w:sz w:val="24"/>
          <w:highlight w:val="none"/>
        </w:rPr>
      </w:pPr>
    </w:p>
    <w:p w14:paraId="777F71A3">
      <w:pPr>
        <w:pStyle w:val="29"/>
        <w:rPr>
          <w:rFonts w:hint="eastAsia" w:ascii="宋体" w:hAnsi="宋体" w:eastAsia="宋体" w:cs="宋体"/>
          <w:b/>
          <w:bCs/>
          <w:color w:val="auto"/>
          <w:sz w:val="24"/>
          <w:highlight w:val="none"/>
        </w:rPr>
      </w:pPr>
    </w:p>
    <w:p w14:paraId="3A0DE61D">
      <w:pPr>
        <w:pStyle w:val="29"/>
        <w:rPr>
          <w:rFonts w:hint="eastAsia" w:ascii="宋体" w:hAnsi="宋体" w:eastAsia="宋体" w:cs="宋体"/>
          <w:b/>
          <w:bCs/>
          <w:color w:val="auto"/>
          <w:sz w:val="24"/>
          <w:highlight w:val="none"/>
        </w:rPr>
      </w:pPr>
    </w:p>
    <w:p w14:paraId="613E6942">
      <w:pPr>
        <w:pStyle w:val="29"/>
        <w:rPr>
          <w:rFonts w:hint="eastAsia" w:ascii="宋体" w:hAnsi="宋体" w:eastAsia="宋体" w:cs="宋体"/>
          <w:b/>
          <w:bCs/>
          <w:color w:val="auto"/>
          <w:sz w:val="24"/>
          <w:highlight w:val="none"/>
        </w:rPr>
      </w:pPr>
    </w:p>
    <w:p w14:paraId="4BD0850B">
      <w:pPr>
        <w:pStyle w:val="29"/>
        <w:rPr>
          <w:rFonts w:hint="eastAsia" w:ascii="宋体" w:hAnsi="宋体" w:eastAsia="宋体" w:cs="宋体"/>
          <w:b/>
          <w:bCs/>
          <w:color w:val="auto"/>
          <w:sz w:val="24"/>
          <w:highlight w:val="none"/>
        </w:rPr>
      </w:pPr>
    </w:p>
    <w:p w14:paraId="09FD90D3">
      <w:pPr>
        <w:pStyle w:val="29"/>
        <w:rPr>
          <w:rFonts w:hint="eastAsia" w:ascii="宋体" w:hAnsi="宋体" w:eastAsia="宋体" w:cs="宋体"/>
          <w:b/>
          <w:bCs/>
          <w:color w:val="auto"/>
          <w:sz w:val="24"/>
          <w:highlight w:val="none"/>
        </w:rPr>
      </w:pPr>
    </w:p>
    <w:p w14:paraId="05D6EF12">
      <w:pPr>
        <w:pStyle w:val="29"/>
        <w:rPr>
          <w:rFonts w:hint="eastAsia" w:ascii="宋体" w:hAnsi="宋体" w:eastAsia="宋体" w:cs="宋体"/>
          <w:b/>
          <w:bCs/>
          <w:color w:val="auto"/>
          <w:sz w:val="24"/>
          <w:highlight w:val="none"/>
        </w:rPr>
      </w:pPr>
    </w:p>
    <w:p w14:paraId="5E2A9387">
      <w:pPr>
        <w:pStyle w:val="29"/>
        <w:rPr>
          <w:rFonts w:hint="eastAsia" w:ascii="宋体" w:hAnsi="宋体" w:eastAsia="宋体" w:cs="宋体"/>
          <w:b/>
          <w:bCs/>
          <w:color w:val="auto"/>
          <w:sz w:val="24"/>
          <w:highlight w:val="none"/>
        </w:rPr>
      </w:pPr>
    </w:p>
    <w:p w14:paraId="1B0FCDC0">
      <w:pPr>
        <w:pStyle w:val="29"/>
        <w:rPr>
          <w:rFonts w:hint="eastAsia" w:ascii="宋体" w:hAnsi="宋体" w:eastAsia="宋体" w:cs="宋体"/>
          <w:b/>
          <w:bCs/>
          <w:color w:val="auto"/>
          <w:sz w:val="24"/>
          <w:highlight w:val="none"/>
        </w:rPr>
      </w:pPr>
    </w:p>
    <w:p w14:paraId="3024805E">
      <w:pPr>
        <w:pStyle w:val="29"/>
        <w:rPr>
          <w:rFonts w:hint="eastAsia" w:ascii="宋体" w:hAnsi="宋体" w:eastAsia="宋体" w:cs="宋体"/>
          <w:b/>
          <w:bCs/>
          <w:color w:val="auto"/>
          <w:sz w:val="24"/>
          <w:highlight w:val="none"/>
        </w:rPr>
      </w:pPr>
    </w:p>
    <w:p w14:paraId="0D87BBBD">
      <w:pPr>
        <w:pStyle w:val="29"/>
        <w:rPr>
          <w:rFonts w:hint="eastAsia" w:ascii="宋体" w:hAnsi="宋体" w:eastAsia="宋体" w:cs="宋体"/>
          <w:b/>
          <w:bCs/>
          <w:color w:val="auto"/>
          <w:sz w:val="24"/>
          <w:highlight w:val="none"/>
        </w:rPr>
      </w:pPr>
    </w:p>
    <w:p w14:paraId="0AEA9989">
      <w:pPr>
        <w:pStyle w:val="29"/>
        <w:rPr>
          <w:rFonts w:hint="eastAsia" w:ascii="宋体" w:hAnsi="宋体" w:eastAsia="宋体" w:cs="宋体"/>
          <w:b/>
          <w:bCs/>
          <w:color w:val="auto"/>
          <w:sz w:val="24"/>
          <w:highlight w:val="none"/>
        </w:rPr>
      </w:pPr>
    </w:p>
    <w:p w14:paraId="3715B6CF">
      <w:pPr>
        <w:pStyle w:val="29"/>
        <w:rPr>
          <w:rFonts w:hint="eastAsia" w:ascii="宋体" w:hAnsi="宋体" w:eastAsia="宋体" w:cs="宋体"/>
          <w:b/>
          <w:bCs/>
          <w:color w:val="auto"/>
          <w:sz w:val="24"/>
          <w:highlight w:val="none"/>
        </w:rPr>
      </w:pPr>
    </w:p>
    <w:p w14:paraId="0CA600BD">
      <w:pPr>
        <w:pStyle w:val="29"/>
        <w:rPr>
          <w:rFonts w:hint="eastAsia" w:ascii="宋体" w:hAnsi="宋体" w:eastAsia="宋体" w:cs="宋体"/>
          <w:b/>
          <w:bCs/>
          <w:color w:val="auto"/>
          <w:sz w:val="24"/>
          <w:highlight w:val="none"/>
        </w:rPr>
      </w:pPr>
    </w:p>
    <w:p w14:paraId="275D324C">
      <w:pPr>
        <w:pStyle w:val="29"/>
        <w:rPr>
          <w:rFonts w:hint="eastAsia" w:ascii="宋体" w:hAnsi="宋体" w:eastAsia="宋体" w:cs="宋体"/>
          <w:b/>
          <w:bCs/>
          <w:color w:val="auto"/>
          <w:sz w:val="24"/>
          <w:highlight w:val="none"/>
        </w:rPr>
      </w:pPr>
    </w:p>
    <w:p w14:paraId="00B6FBC4">
      <w:pPr>
        <w:pStyle w:val="29"/>
        <w:rPr>
          <w:rFonts w:hint="eastAsia" w:ascii="宋体" w:hAnsi="宋体" w:eastAsia="宋体" w:cs="宋体"/>
          <w:b/>
          <w:bCs/>
          <w:color w:val="auto"/>
          <w:sz w:val="24"/>
          <w:highlight w:val="none"/>
        </w:rPr>
      </w:pPr>
    </w:p>
    <w:p w14:paraId="680A2472">
      <w:pPr>
        <w:pStyle w:val="29"/>
        <w:rPr>
          <w:rFonts w:hint="eastAsia" w:ascii="宋体" w:hAnsi="宋体" w:eastAsia="宋体" w:cs="宋体"/>
          <w:b/>
          <w:bCs/>
          <w:color w:val="auto"/>
          <w:sz w:val="24"/>
          <w:highlight w:val="none"/>
        </w:rPr>
      </w:pPr>
    </w:p>
    <w:p w14:paraId="3104D910">
      <w:pPr>
        <w:pStyle w:val="29"/>
        <w:rPr>
          <w:rFonts w:hint="eastAsia" w:ascii="宋体" w:hAnsi="宋体" w:eastAsia="宋体" w:cs="宋体"/>
          <w:b/>
          <w:bCs/>
          <w:color w:val="auto"/>
          <w:sz w:val="24"/>
          <w:highlight w:val="none"/>
        </w:rPr>
      </w:pPr>
    </w:p>
    <w:p w14:paraId="023B997C">
      <w:pPr>
        <w:pStyle w:val="29"/>
        <w:rPr>
          <w:rFonts w:hint="eastAsia" w:ascii="宋体" w:hAnsi="宋体" w:eastAsia="宋体" w:cs="宋体"/>
          <w:b/>
          <w:bCs/>
          <w:color w:val="auto"/>
          <w:sz w:val="24"/>
          <w:highlight w:val="none"/>
        </w:rPr>
      </w:pPr>
    </w:p>
    <w:p w14:paraId="0A08EE5C">
      <w:pPr>
        <w:pStyle w:val="29"/>
        <w:rPr>
          <w:rFonts w:hint="eastAsia" w:ascii="宋体" w:hAnsi="宋体" w:eastAsia="宋体" w:cs="宋体"/>
          <w:b/>
          <w:bCs/>
          <w:color w:val="auto"/>
          <w:sz w:val="24"/>
          <w:highlight w:val="none"/>
        </w:rPr>
      </w:pPr>
    </w:p>
    <w:p w14:paraId="3CFAED40">
      <w:pPr>
        <w:pStyle w:val="29"/>
        <w:rPr>
          <w:rFonts w:hint="eastAsia" w:ascii="宋体" w:hAnsi="宋体" w:eastAsia="宋体" w:cs="宋体"/>
          <w:b/>
          <w:bCs/>
          <w:color w:val="auto"/>
          <w:sz w:val="24"/>
          <w:highlight w:val="none"/>
        </w:rPr>
      </w:pPr>
    </w:p>
    <w:p w14:paraId="37700FCF">
      <w:pPr>
        <w:pStyle w:val="29"/>
        <w:rPr>
          <w:rFonts w:hint="eastAsia" w:ascii="宋体" w:hAnsi="宋体" w:eastAsia="宋体" w:cs="宋体"/>
          <w:b/>
          <w:bCs/>
          <w:color w:val="auto"/>
          <w:sz w:val="24"/>
          <w:highlight w:val="none"/>
        </w:rPr>
      </w:pPr>
    </w:p>
    <w:p w14:paraId="54B3F815">
      <w:pPr>
        <w:pStyle w:val="29"/>
        <w:rPr>
          <w:rFonts w:hint="eastAsia" w:ascii="宋体" w:hAnsi="宋体" w:eastAsia="宋体" w:cs="宋体"/>
          <w:b/>
          <w:bCs/>
          <w:color w:val="auto"/>
          <w:sz w:val="24"/>
          <w:highlight w:val="none"/>
        </w:rPr>
      </w:pPr>
    </w:p>
    <w:p w14:paraId="78C1D593">
      <w:pPr>
        <w:pStyle w:val="29"/>
        <w:rPr>
          <w:rFonts w:hint="eastAsia" w:ascii="宋体" w:hAnsi="宋体" w:eastAsia="宋体" w:cs="宋体"/>
          <w:b/>
          <w:bCs/>
          <w:color w:val="auto"/>
          <w:sz w:val="24"/>
          <w:highlight w:val="none"/>
        </w:rPr>
      </w:pPr>
    </w:p>
    <w:p w14:paraId="3E40DCA4">
      <w:pPr>
        <w:pStyle w:val="29"/>
        <w:rPr>
          <w:rFonts w:hint="eastAsia" w:ascii="宋体" w:hAnsi="宋体" w:eastAsia="宋体" w:cs="宋体"/>
          <w:b/>
          <w:bCs/>
          <w:color w:val="auto"/>
          <w:sz w:val="24"/>
          <w:highlight w:val="none"/>
        </w:rPr>
      </w:pPr>
    </w:p>
    <w:p w14:paraId="179F85E0">
      <w:pPr>
        <w:pStyle w:val="29"/>
        <w:rPr>
          <w:rFonts w:hint="eastAsia" w:ascii="宋体" w:hAnsi="宋体" w:eastAsia="宋体" w:cs="宋体"/>
          <w:b/>
          <w:bCs/>
          <w:color w:val="auto"/>
          <w:sz w:val="24"/>
          <w:highlight w:val="none"/>
        </w:rPr>
      </w:pPr>
    </w:p>
    <w:p w14:paraId="63A4FF38">
      <w:pPr>
        <w:pStyle w:val="29"/>
        <w:rPr>
          <w:rFonts w:hint="eastAsia" w:ascii="宋体" w:hAnsi="宋体" w:eastAsia="宋体" w:cs="宋体"/>
          <w:b/>
          <w:bCs/>
          <w:color w:val="auto"/>
          <w:sz w:val="24"/>
          <w:highlight w:val="none"/>
        </w:rPr>
      </w:pPr>
    </w:p>
    <w:p w14:paraId="3AFB46AD">
      <w:pPr>
        <w:pStyle w:val="13"/>
        <w:spacing w:line="340" w:lineRule="exact"/>
        <w:rPr>
          <w:rFonts w:hint="eastAsia" w:ascii="宋体" w:hAnsi="宋体" w:eastAsia="宋体" w:cs="宋体"/>
          <w:b/>
          <w:color w:val="auto"/>
          <w:sz w:val="28"/>
          <w:szCs w:val="28"/>
          <w:highlight w:val="none"/>
          <w:lang w:eastAsia="zh-CN"/>
        </w:rPr>
      </w:pPr>
      <w:r>
        <w:rPr>
          <w:rFonts w:hint="eastAsia" w:hAnsi="宋体" w:cs="宋体"/>
          <w:b/>
          <w:bCs w:val="0"/>
          <w:color w:val="auto"/>
          <w:sz w:val="28"/>
          <w:szCs w:val="28"/>
          <w:highlight w:val="none"/>
          <w:lang w:val="en-US" w:eastAsia="zh-CN"/>
        </w:rPr>
        <w:t>1</w:t>
      </w:r>
      <w:r>
        <w:rPr>
          <w:rFonts w:hint="eastAsia" w:ascii="宋体" w:hAnsi="宋体" w:eastAsia="宋体" w:cs="宋体"/>
          <w:b/>
          <w:bCs w:val="0"/>
          <w:color w:val="auto"/>
          <w:sz w:val="28"/>
          <w:szCs w:val="28"/>
          <w:highlight w:val="none"/>
          <w:lang w:val="en-US" w:eastAsia="zh-CN"/>
        </w:rPr>
        <w:t>.</w:t>
      </w:r>
      <w:r>
        <w:rPr>
          <w:rFonts w:hint="eastAsia" w:ascii="宋体" w:hAnsi="宋体" w:eastAsia="宋体" w:cs="宋体"/>
          <w:b/>
          <w:color w:val="auto"/>
          <w:kern w:val="2"/>
          <w:sz w:val="28"/>
          <w:szCs w:val="28"/>
          <w:highlight w:val="none"/>
          <w:lang w:val="en-US" w:eastAsia="zh-CN" w:bidi="ar-SA"/>
        </w:rPr>
        <w:t xml:space="preserve">项目实施人员一览表 </w:t>
      </w:r>
      <w:r>
        <w:rPr>
          <w:rFonts w:hint="eastAsia" w:ascii="宋体" w:hAnsi="宋体" w:eastAsia="宋体" w:cs="宋体"/>
          <w:b/>
          <w:bCs/>
          <w:color w:val="auto"/>
          <w:sz w:val="24"/>
          <w:highlight w:val="none"/>
        </w:rPr>
        <w:t>（如有，请提供）</w:t>
      </w:r>
      <w:r>
        <w:rPr>
          <w:rFonts w:hint="eastAsia" w:hAnsi="宋体" w:cs="宋体"/>
          <w:b/>
          <w:bCs/>
          <w:color w:val="auto"/>
          <w:sz w:val="24"/>
          <w:highlight w:val="none"/>
          <w:lang w:eastAsia="zh-CN"/>
        </w:rPr>
        <w:t>；</w:t>
      </w:r>
    </w:p>
    <w:p w14:paraId="6CA2CDEB">
      <w:pPr>
        <w:rPr>
          <w:rFonts w:hint="eastAsia" w:ascii="宋体" w:hAnsi="宋体" w:eastAsia="宋体" w:cs="宋体"/>
          <w:color w:val="auto"/>
          <w:highlight w:val="none"/>
        </w:rPr>
      </w:pPr>
    </w:p>
    <w:p w14:paraId="5B8503BF">
      <w:pPr>
        <w:pStyle w:val="1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p>
    <w:p w14:paraId="326B5BE2">
      <w:pPr>
        <w:pStyle w:val="13"/>
        <w:ind w:firstLine="472" w:firstLineChars="147"/>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项目实施人员一览表（格式）</w:t>
      </w:r>
    </w:p>
    <w:tbl>
      <w:tblPr>
        <w:tblStyle w:val="20"/>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14:paraId="48EA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32581DE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050" w:type="dxa"/>
            <w:noWrap w:val="0"/>
            <w:vAlign w:val="center"/>
          </w:tcPr>
          <w:p w14:paraId="5481084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665" w:type="dxa"/>
            <w:noWrap w:val="0"/>
            <w:vAlign w:val="center"/>
          </w:tcPr>
          <w:p w14:paraId="366CA0B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专业技术资格</w:t>
            </w:r>
          </w:p>
        </w:tc>
        <w:tc>
          <w:tcPr>
            <w:tcW w:w="1200" w:type="dxa"/>
            <w:noWrap w:val="0"/>
            <w:vAlign w:val="center"/>
          </w:tcPr>
          <w:p w14:paraId="671BB09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证书编号</w:t>
            </w:r>
          </w:p>
        </w:tc>
        <w:tc>
          <w:tcPr>
            <w:tcW w:w="2550" w:type="dxa"/>
            <w:noWrap w:val="0"/>
            <w:vAlign w:val="center"/>
          </w:tcPr>
          <w:p w14:paraId="0CD7A165">
            <w:pPr>
              <w:spacing w:line="40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参加本单位工作时间</w:t>
            </w:r>
          </w:p>
        </w:tc>
        <w:tc>
          <w:tcPr>
            <w:tcW w:w="2610" w:type="dxa"/>
            <w:noWrap w:val="0"/>
            <w:vAlign w:val="center"/>
          </w:tcPr>
          <w:p w14:paraId="316E0D2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劳动合同编号</w:t>
            </w:r>
          </w:p>
        </w:tc>
      </w:tr>
      <w:tr w14:paraId="5A10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390119A3">
            <w:pPr>
              <w:spacing w:line="400" w:lineRule="exact"/>
              <w:rPr>
                <w:rFonts w:hint="eastAsia" w:ascii="宋体" w:hAnsi="宋体" w:eastAsia="宋体" w:cs="宋体"/>
                <w:color w:val="auto"/>
                <w:szCs w:val="21"/>
                <w:highlight w:val="none"/>
              </w:rPr>
            </w:pPr>
          </w:p>
        </w:tc>
        <w:tc>
          <w:tcPr>
            <w:tcW w:w="1050" w:type="dxa"/>
            <w:noWrap w:val="0"/>
            <w:vAlign w:val="top"/>
          </w:tcPr>
          <w:p w14:paraId="6BD976FE">
            <w:pPr>
              <w:spacing w:line="400" w:lineRule="exact"/>
              <w:rPr>
                <w:rFonts w:hint="eastAsia" w:ascii="宋体" w:hAnsi="宋体" w:eastAsia="宋体" w:cs="宋体"/>
                <w:color w:val="auto"/>
                <w:szCs w:val="21"/>
                <w:highlight w:val="none"/>
              </w:rPr>
            </w:pPr>
          </w:p>
        </w:tc>
        <w:tc>
          <w:tcPr>
            <w:tcW w:w="1665" w:type="dxa"/>
            <w:noWrap w:val="0"/>
            <w:vAlign w:val="top"/>
          </w:tcPr>
          <w:p w14:paraId="31EC5CB1">
            <w:pPr>
              <w:spacing w:line="400" w:lineRule="exact"/>
              <w:rPr>
                <w:rFonts w:hint="eastAsia" w:ascii="宋体" w:hAnsi="宋体" w:eastAsia="宋体" w:cs="宋体"/>
                <w:color w:val="auto"/>
                <w:szCs w:val="21"/>
                <w:highlight w:val="none"/>
              </w:rPr>
            </w:pPr>
          </w:p>
        </w:tc>
        <w:tc>
          <w:tcPr>
            <w:tcW w:w="1200" w:type="dxa"/>
            <w:noWrap w:val="0"/>
            <w:vAlign w:val="top"/>
          </w:tcPr>
          <w:p w14:paraId="679FEA29">
            <w:pPr>
              <w:spacing w:line="400" w:lineRule="exact"/>
              <w:rPr>
                <w:rFonts w:hint="eastAsia" w:ascii="宋体" w:hAnsi="宋体" w:eastAsia="宋体" w:cs="宋体"/>
                <w:color w:val="auto"/>
                <w:szCs w:val="21"/>
                <w:highlight w:val="none"/>
              </w:rPr>
            </w:pPr>
          </w:p>
        </w:tc>
        <w:tc>
          <w:tcPr>
            <w:tcW w:w="2550" w:type="dxa"/>
            <w:noWrap w:val="0"/>
            <w:vAlign w:val="top"/>
          </w:tcPr>
          <w:p w14:paraId="5CA0BCC6">
            <w:pPr>
              <w:spacing w:line="400" w:lineRule="exact"/>
              <w:rPr>
                <w:rFonts w:hint="eastAsia" w:ascii="宋体" w:hAnsi="宋体" w:eastAsia="宋体" w:cs="宋体"/>
                <w:color w:val="auto"/>
                <w:szCs w:val="21"/>
                <w:highlight w:val="none"/>
              </w:rPr>
            </w:pPr>
          </w:p>
        </w:tc>
        <w:tc>
          <w:tcPr>
            <w:tcW w:w="2610" w:type="dxa"/>
            <w:noWrap w:val="0"/>
            <w:vAlign w:val="top"/>
          </w:tcPr>
          <w:p w14:paraId="79BDB607">
            <w:pPr>
              <w:spacing w:line="400" w:lineRule="exact"/>
              <w:rPr>
                <w:rFonts w:hint="eastAsia" w:ascii="宋体" w:hAnsi="宋体" w:eastAsia="宋体" w:cs="宋体"/>
                <w:color w:val="auto"/>
                <w:szCs w:val="21"/>
                <w:highlight w:val="none"/>
              </w:rPr>
            </w:pPr>
          </w:p>
        </w:tc>
      </w:tr>
      <w:tr w14:paraId="2C02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266B6FAA">
            <w:pPr>
              <w:spacing w:line="400" w:lineRule="exact"/>
              <w:rPr>
                <w:rFonts w:hint="eastAsia" w:ascii="宋体" w:hAnsi="宋体" w:eastAsia="宋体" w:cs="宋体"/>
                <w:color w:val="auto"/>
                <w:szCs w:val="21"/>
                <w:highlight w:val="none"/>
              </w:rPr>
            </w:pPr>
          </w:p>
        </w:tc>
        <w:tc>
          <w:tcPr>
            <w:tcW w:w="1050" w:type="dxa"/>
            <w:noWrap w:val="0"/>
            <w:vAlign w:val="top"/>
          </w:tcPr>
          <w:p w14:paraId="2F4F1CBF">
            <w:pPr>
              <w:spacing w:line="400" w:lineRule="exact"/>
              <w:rPr>
                <w:rFonts w:hint="eastAsia" w:ascii="宋体" w:hAnsi="宋体" w:eastAsia="宋体" w:cs="宋体"/>
                <w:color w:val="auto"/>
                <w:szCs w:val="21"/>
                <w:highlight w:val="none"/>
              </w:rPr>
            </w:pPr>
          </w:p>
        </w:tc>
        <w:tc>
          <w:tcPr>
            <w:tcW w:w="1665" w:type="dxa"/>
            <w:noWrap w:val="0"/>
            <w:vAlign w:val="top"/>
          </w:tcPr>
          <w:p w14:paraId="314699E4">
            <w:pPr>
              <w:spacing w:line="400" w:lineRule="exact"/>
              <w:rPr>
                <w:rFonts w:hint="eastAsia" w:ascii="宋体" w:hAnsi="宋体" w:eastAsia="宋体" w:cs="宋体"/>
                <w:color w:val="auto"/>
                <w:szCs w:val="21"/>
                <w:highlight w:val="none"/>
              </w:rPr>
            </w:pPr>
          </w:p>
        </w:tc>
        <w:tc>
          <w:tcPr>
            <w:tcW w:w="1200" w:type="dxa"/>
            <w:noWrap w:val="0"/>
            <w:vAlign w:val="top"/>
          </w:tcPr>
          <w:p w14:paraId="5A20077D">
            <w:pPr>
              <w:spacing w:line="400" w:lineRule="exact"/>
              <w:rPr>
                <w:rFonts w:hint="eastAsia" w:ascii="宋体" w:hAnsi="宋体" w:eastAsia="宋体" w:cs="宋体"/>
                <w:color w:val="auto"/>
                <w:szCs w:val="21"/>
                <w:highlight w:val="none"/>
              </w:rPr>
            </w:pPr>
          </w:p>
        </w:tc>
        <w:tc>
          <w:tcPr>
            <w:tcW w:w="2550" w:type="dxa"/>
            <w:noWrap w:val="0"/>
            <w:vAlign w:val="top"/>
          </w:tcPr>
          <w:p w14:paraId="523DB091">
            <w:pPr>
              <w:spacing w:line="400" w:lineRule="exact"/>
              <w:rPr>
                <w:rFonts w:hint="eastAsia" w:ascii="宋体" w:hAnsi="宋体" w:eastAsia="宋体" w:cs="宋体"/>
                <w:color w:val="auto"/>
                <w:szCs w:val="21"/>
                <w:highlight w:val="none"/>
              </w:rPr>
            </w:pPr>
          </w:p>
        </w:tc>
        <w:tc>
          <w:tcPr>
            <w:tcW w:w="2610" w:type="dxa"/>
            <w:noWrap w:val="0"/>
            <w:vAlign w:val="top"/>
          </w:tcPr>
          <w:p w14:paraId="54393FAD">
            <w:pPr>
              <w:spacing w:line="400" w:lineRule="exact"/>
              <w:rPr>
                <w:rFonts w:hint="eastAsia" w:ascii="宋体" w:hAnsi="宋体" w:eastAsia="宋体" w:cs="宋体"/>
                <w:color w:val="auto"/>
                <w:szCs w:val="21"/>
                <w:highlight w:val="none"/>
              </w:rPr>
            </w:pPr>
          </w:p>
        </w:tc>
      </w:tr>
    </w:tbl>
    <w:p w14:paraId="7661A6AE">
      <w:pPr>
        <w:spacing w:line="400" w:lineRule="exact"/>
        <w:rPr>
          <w:rFonts w:hint="eastAsia" w:ascii="宋体" w:hAnsi="宋体" w:eastAsia="宋体" w:cs="宋体"/>
          <w:color w:val="auto"/>
          <w:szCs w:val="21"/>
          <w:highlight w:val="none"/>
        </w:rPr>
      </w:pPr>
    </w:p>
    <w:p w14:paraId="33B00472">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8D3AD08">
      <w:pPr>
        <w:pStyle w:val="3"/>
        <w:rPr>
          <w:rFonts w:hint="eastAsia" w:ascii="宋体" w:hAnsi="宋体" w:eastAsia="宋体" w:cs="宋体"/>
          <w:color w:val="auto"/>
          <w:highlight w:val="none"/>
        </w:rPr>
      </w:pPr>
    </w:p>
    <w:p w14:paraId="724A42A9">
      <w:pPr>
        <w:snapToGrid w:val="0"/>
        <w:spacing w:line="400" w:lineRule="exact"/>
        <w:ind w:firstLine="1680" w:firstLineChars="800"/>
        <w:rPr>
          <w:rFonts w:hint="eastAsia" w:ascii="宋体" w:hAnsi="宋体" w:eastAsia="宋体" w:cs="宋体"/>
          <w:color w:val="auto"/>
          <w:highlight w:val="non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p w14:paraId="2289E28B">
      <w:pPr>
        <w:pStyle w:val="9"/>
        <w:rPr>
          <w:rFonts w:hint="eastAsia" w:ascii="宋体" w:hAnsi="宋体" w:eastAsia="宋体" w:cs="宋体"/>
          <w:color w:val="auto"/>
          <w:highlight w:val="none"/>
        </w:rPr>
      </w:pPr>
    </w:p>
    <w:p w14:paraId="2C248176">
      <w:pPr>
        <w:spacing w:line="360" w:lineRule="auto"/>
        <w:rPr>
          <w:rFonts w:hint="eastAsia" w:ascii="宋体" w:hAnsi="宋体" w:eastAsia="宋体" w:cs="宋体"/>
          <w:color w:val="auto"/>
          <w:highlight w:val="none"/>
          <w:u w:val="single"/>
        </w:rPr>
      </w:pPr>
      <w:r>
        <w:rPr>
          <w:rFonts w:hint="eastAsia" w:ascii="宋体" w:hAnsi="宋体" w:eastAsia="宋体" w:cs="宋体"/>
          <w:b/>
          <w:bCs/>
          <w:color w:val="auto"/>
          <w:sz w:val="24"/>
          <w:highlight w:val="none"/>
        </w:rPr>
        <w:t>注：供应商根据自身情况结合本项目自行制定</w:t>
      </w:r>
    </w:p>
    <w:p w14:paraId="0FB75438">
      <w:pPr>
        <w:pStyle w:val="13"/>
        <w:spacing w:line="340" w:lineRule="exact"/>
        <w:rPr>
          <w:rFonts w:hint="eastAsia" w:ascii="宋体" w:hAnsi="宋体" w:eastAsia="宋体" w:cs="宋体"/>
          <w:b/>
          <w:bCs w:val="0"/>
          <w:color w:val="auto"/>
          <w:sz w:val="28"/>
          <w:szCs w:val="28"/>
          <w:highlight w:val="none"/>
        </w:rPr>
      </w:pPr>
    </w:p>
    <w:p w14:paraId="1F4D32E7">
      <w:pPr>
        <w:pStyle w:val="6"/>
        <w:rPr>
          <w:rFonts w:hint="eastAsia" w:ascii="宋体" w:hAnsi="宋体" w:eastAsia="宋体" w:cs="宋体"/>
          <w:b/>
          <w:bCs w:val="0"/>
          <w:color w:val="auto"/>
          <w:sz w:val="28"/>
          <w:szCs w:val="28"/>
          <w:highlight w:val="none"/>
        </w:rPr>
      </w:pPr>
    </w:p>
    <w:p w14:paraId="3CAD8BA2">
      <w:pPr>
        <w:pStyle w:val="9"/>
        <w:rPr>
          <w:rFonts w:hint="eastAsia" w:ascii="宋体" w:hAnsi="宋体" w:eastAsia="宋体" w:cs="宋体"/>
          <w:b/>
          <w:bCs w:val="0"/>
          <w:color w:val="auto"/>
          <w:sz w:val="28"/>
          <w:szCs w:val="28"/>
          <w:highlight w:val="none"/>
        </w:rPr>
      </w:pPr>
    </w:p>
    <w:p w14:paraId="1156DBF2">
      <w:pPr>
        <w:rPr>
          <w:rFonts w:hint="eastAsia"/>
          <w:color w:val="auto"/>
          <w:highlight w:val="none"/>
        </w:rPr>
      </w:pPr>
    </w:p>
    <w:p w14:paraId="7CAB0C60">
      <w:pPr>
        <w:pStyle w:val="13"/>
        <w:numPr>
          <w:ilvl w:val="0"/>
          <w:numId w:val="0"/>
        </w:numPr>
        <w:spacing w:line="340" w:lineRule="exact"/>
        <w:ind w:left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2.</w:t>
      </w:r>
      <w:r>
        <w:rPr>
          <w:rFonts w:hint="eastAsia" w:ascii="宋体" w:hAnsi="宋体" w:eastAsia="宋体" w:cs="宋体"/>
          <w:b/>
          <w:bCs w:val="0"/>
          <w:color w:val="auto"/>
          <w:sz w:val="28"/>
          <w:szCs w:val="28"/>
          <w:highlight w:val="none"/>
        </w:rPr>
        <w:t>“采购需求”需提供的有效证明文件（如有，请提供）；</w:t>
      </w:r>
    </w:p>
    <w:p w14:paraId="46300D59">
      <w:pPr>
        <w:pStyle w:val="9"/>
        <w:rPr>
          <w:rFonts w:hint="eastAsia" w:ascii="宋体" w:hAnsi="宋体" w:eastAsia="宋体" w:cs="宋体"/>
          <w:b/>
          <w:bCs w:val="0"/>
          <w:color w:val="auto"/>
          <w:highlight w:val="none"/>
        </w:rPr>
      </w:pPr>
    </w:p>
    <w:p w14:paraId="59C5139E">
      <w:pPr>
        <w:pStyle w:val="13"/>
        <w:numPr>
          <w:ilvl w:val="0"/>
          <w:numId w:val="0"/>
        </w:numPr>
        <w:spacing w:line="340" w:lineRule="exact"/>
        <w:ind w:leftChars="0"/>
        <w:rPr>
          <w:rFonts w:hint="eastAsia" w:ascii="宋体" w:hAnsi="宋体" w:eastAsia="宋体" w:cs="宋体"/>
          <w:b/>
          <w:bCs w:val="0"/>
          <w:color w:val="auto"/>
          <w:sz w:val="28"/>
          <w:szCs w:val="28"/>
          <w:highlight w:val="none"/>
          <w:lang w:val="en-US" w:eastAsia="zh-CN"/>
        </w:rPr>
      </w:pPr>
      <w:bookmarkStart w:id="395" w:name="_Toc10161"/>
      <w:bookmarkStart w:id="396" w:name="_Toc497927090"/>
      <w:bookmarkStart w:id="397" w:name="_Toc3052"/>
    </w:p>
    <w:p w14:paraId="2F629C6E">
      <w:pPr>
        <w:rPr>
          <w:rFonts w:hint="eastAsia" w:ascii="宋体" w:hAnsi="宋体" w:eastAsia="宋体" w:cs="宋体"/>
          <w:b/>
          <w:bCs w:val="0"/>
          <w:color w:val="auto"/>
          <w:sz w:val="28"/>
          <w:szCs w:val="28"/>
          <w:highlight w:val="none"/>
          <w:lang w:val="en-US" w:eastAsia="zh-CN"/>
        </w:rPr>
      </w:pPr>
    </w:p>
    <w:p w14:paraId="5DBDBF83">
      <w:pPr>
        <w:pStyle w:val="9"/>
        <w:rPr>
          <w:rFonts w:hint="eastAsia"/>
          <w:color w:val="auto"/>
          <w:highlight w:val="none"/>
          <w:lang w:val="en-US" w:eastAsia="zh-CN"/>
        </w:rPr>
      </w:pPr>
    </w:p>
    <w:p w14:paraId="02211415">
      <w:pPr>
        <w:pStyle w:val="13"/>
        <w:numPr>
          <w:ilvl w:val="0"/>
          <w:numId w:val="0"/>
        </w:numPr>
        <w:spacing w:line="340" w:lineRule="exact"/>
        <w:ind w:left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3.</w:t>
      </w:r>
      <w:r>
        <w:rPr>
          <w:rFonts w:hint="eastAsia" w:hAnsi="宋体" w:cs="宋体"/>
          <w:b/>
          <w:bCs w:val="0"/>
          <w:color w:val="auto"/>
          <w:sz w:val="28"/>
          <w:szCs w:val="28"/>
          <w:highlight w:val="none"/>
          <w:lang w:val="en-US" w:eastAsia="zh-CN"/>
        </w:rPr>
        <w:t>供应商自2023年1月1日以来同类业绩的相关证明材料（以中标、成交通知书或签订的采购合同扫描件为准，并能清晰反映所提供的服务类型、种类、金额）</w:t>
      </w:r>
      <w:r>
        <w:rPr>
          <w:rFonts w:hint="eastAsia" w:ascii="宋体" w:hAnsi="宋体" w:eastAsia="宋体" w:cs="宋体"/>
          <w:b/>
          <w:bCs w:val="0"/>
          <w:color w:val="auto"/>
          <w:sz w:val="28"/>
          <w:szCs w:val="28"/>
          <w:highlight w:val="none"/>
          <w:lang w:val="en-US" w:eastAsia="zh-CN"/>
        </w:rPr>
        <w:t>（如有，请提供）</w:t>
      </w:r>
      <w:r>
        <w:rPr>
          <w:rFonts w:hint="eastAsia" w:ascii="宋体" w:hAnsi="宋体" w:eastAsia="宋体" w:cs="宋体"/>
          <w:b/>
          <w:bCs w:val="0"/>
          <w:color w:val="auto"/>
          <w:sz w:val="28"/>
          <w:szCs w:val="28"/>
          <w:highlight w:val="none"/>
        </w:rPr>
        <w:t>；</w:t>
      </w:r>
      <w:bookmarkEnd w:id="395"/>
      <w:bookmarkEnd w:id="396"/>
      <w:bookmarkEnd w:id="397"/>
    </w:p>
    <w:p w14:paraId="2C9C380F">
      <w:pPr>
        <w:pStyle w:val="29"/>
        <w:rPr>
          <w:rFonts w:hint="eastAsia" w:ascii="宋体" w:hAnsi="宋体" w:eastAsia="宋体" w:cs="宋体"/>
          <w:b/>
          <w:bCs w:val="0"/>
          <w:color w:val="auto"/>
          <w:sz w:val="28"/>
          <w:szCs w:val="28"/>
          <w:highlight w:val="none"/>
        </w:rPr>
      </w:pPr>
    </w:p>
    <w:p w14:paraId="4DAA83B5">
      <w:pPr>
        <w:pStyle w:val="29"/>
        <w:rPr>
          <w:rFonts w:hint="eastAsia" w:ascii="宋体" w:hAnsi="宋体" w:eastAsia="宋体" w:cs="宋体"/>
          <w:b/>
          <w:bCs w:val="0"/>
          <w:color w:val="auto"/>
          <w:sz w:val="28"/>
          <w:szCs w:val="28"/>
          <w:highlight w:val="none"/>
        </w:rPr>
      </w:pPr>
    </w:p>
    <w:p w14:paraId="76B07933">
      <w:pPr>
        <w:pStyle w:val="13"/>
        <w:numPr>
          <w:ilvl w:val="0"/>
          <w:numId w:val="0"/>
        </w:numPr>
        <w:spacing w:line="340" w:lineRule="exact"/>
        <w:ind w:leftChars="0"/>
        <w:rPr>
          <w:rFonts w:hint="eastAsia" w:ascii="宋体" w:hAnsi="宋体" w:eastAsia="宋体" w:cs="宋体"/>
          <w:color w:val="auto"/>
          <w:highlight w:val="none"/>
        </w:rPr>
      </w:pPr>
      <w:r>
        <w:rPr>
          <w:rFonts w:hint="eastAsia" w:hAnsi="宋体" w:cs="宋体"/>
          <w:b/>
          <w:bCs w:val="0"/>
          <w:color w:val="auto"/>
          <w:sz w:val="28"/>
          <w:szCs w:val="28"/>
          <w:highlight w:val="none"/>
          <w:lang w:val="en-US" w:eastAsia="zh-CN"/>
        </w:rPr>
        <w:t>4</w:t>
      </w:r>
      <w:r>
        <w:rPr>
          <w:rFonts w:hint="eastAsia" w:ascii="宋体" w:hAnsi="宋体" w:eastAsia="宋体" w:cs="宋体"/>
          <w:b/>
          <w:bCs w:val="0"/>
          <w:color w:val="auto"/>
          <w:sz w:val="28"/>
          <w:szCs w:val="28"/>
          <w:highlight w:val="none"/>
          <w:lang w:val="en-US" w:eastAsia="zh-CN"/>
        </w:rPr>
        <w:t>.</w:t>
      </w:r>
      <w:r>
        <w:rPr>
          <w:rFonts w:hint="eastAsia" w:ascii="宋体" w:hAnsi="宋体" w:eastAsia="宋体" w:cs="宋体"/>
          <w:b/>
          <w:bCs w:val="0"/>
          <w:color w:val="auto"/>
          <w:sz w:val="28"/>
          <w:szCs w:val="28"/>
          <w:highlight w:val="none"/>
        </w:rPr>
        <w:t>供应商可结合本项目的评审办法视自身情况自行提交其它相关证明材料</w:t>
      </w:r>
      <w:r>
        <w:rPr>
          <w:rFonts w:hint="eastAsia" w:ascii="宋体" w:hAnsi="宋体" w:eastAsia="宋体" w:cs="宋体"/>
          <w:b/>
          <w:bCs w:val="0"/>
          <w:color w:val="auto"/>
          <w:sz w:val="28"/>
          <w:szCs w:val="28"/>
          <w:highlight w:val="none"/>
          <w:lang w:val="en-US" w:eastAsia="zh-CN"/>
        </w:rPr>
        <w:t>（如有，请提供）</w:t>
      </w:r>
      <w:r>
        <w:rPr>
          <w:rFonts w:hint="eastAsia" w:ascii="宋体" w:hAnsi="宋体" w:eastAsia="宋体" w:cs="宋体"/>
          <w:b/>
          <w:bCs w:val="0"/>
          <w:color w:val="auto"/>
          <w:sz w:val="28"/>
          <w:szCs w:val="28"/>
          <w:highlight w:val="none"/>
        </w:rPr>
        <w:t>。</w:t>
      </w:r>
      <w:r>
        <w:rPr>
          <w:rFonts w:hint="eastAsia" w:ascii="宋体" w:hAnsi="宋体" w:eastAsia="宋体" w:cs="宋体"/>
          <w:b/>
          <w:bCs w:val="0"/>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highlight w:val="none"/>
          <w:lang w:val="en-US" w:eastAsia="zh-CN"/>
        </w:rPr>
        <w:t xml:space="preserve">      </w:t>
      </w:r>
    </w:p>
    <w:p w14:paraId="6586FA4A">
      <w:pPr>
        <w:rPr>
          <w:rFonts w:hint="eastAsia" w:ascii="宋体" w:hAnsi="宋体" w:eastAsia="宋体" w:cs="宋体"/>
          <w:color w:val="auto"/>
          <w:highlight w:val="none"/>
        </w:rPr>
      </w:pPr>
    </w:p>
    <w:sectPr>
      <w:pgSz w:w="11906" w:h="16838"/>
      <w:pgMar w:top="1440" w:right="935" w:bottom="1440" w:left="77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7356A">
    <w:pPr>
      <w:pStyle w:val="14"/>
      <w:pBdr>
        <w:bottom w:val="single" w:color="auto" w:sz="4" w:space="0"/>
      </w:pBdr>
      <w:rPr>
        <w:rFonts w:hint="eastAsia"/>
      </w:rPr>
    </w:pPr>
  </w:p>
  <w:p w14:paraId="73E78367">
    <w:pPr>
      <w:pStyle w:val="14"/>
    </w:pPr>
    <w:r>
      <w:rPr>
        <w:rFonts w:hint="eastAsia"/>
      </w:rPr>
      <w:t>桂林市政府集中采购中心                                                                                 竞争性磋商</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27A5B">
    <w:pPr>
      <w:pStyle w:val="14"/>
      <w:pBdr>
        <w:bottom w:val="single" w:color="auto" w:sz="4" w:space="0"/>
      </w:pBdr>
      <w:tabs>
        <w:tab w:val="clear" w:pos="4153"/>
      </w:tabs>
      <w:jc w:val="center"/>
      <w:rPr>
        <w:rFonts w:hint="eastAsia"/>
      </w:rPr>
    </w:pPr>
  </w:p>
  <w:p w14:paraId="03FD8502">
    <w:pPr>
      <w:pStyle w:val="14"/>
    </w:pPr>
    <w:r>
      <w:rPr>
        <w:rFonts w:hint="eastAsia"/>
      </w:rPr>
      <w:t xml:space="preserve">桂林市政府集中采购中心                                                            </w:t>
    </w:r>
    <w:r>
      <w:rPr>
        <w:rFonts w:hint="eastAsia"/>
        <w:lang w:val="en-US" w:eastAsia="zh-CN"/>
      </w:rPr>
      <w:t xml:space="preserve">                     </w:t>
    </w:r>
    <w:r>
      <w:rPr>
        <w:rFonts w:hint="eastAsia"/>
      </w:rPr>
      <w:t>竞争性磋商</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144C8">
    <w:pPr>
      <w:pStyle w:val="14"/>
      <w:pBdr>
        <w:bottom w:val="single" w:color="auto" w:sz="4" w:space="0"/>
      </w:pBdr>
      <w:tabs>
        <w:tab w:val="clear" w:pos="4153"/>
      </w:tabs>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08E09">
                          <w:pPr>
                            <w:pStyle w:val="14"/>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A08E09">
                    <w:pPr>
                      <w:pStyle w:val="14"/>
                    </w:pPr>
                    <w:r>
                      <w:fldChar w:fldCharType="begin"/>
                    </w:r>
                    <w:r>
                      <w:instrText xml:space="preserve"> PAGE  \* MERGEFORMAT </w:instrText>
                    </w:r>
                    <w:r>
                      <w:fldChar w:fldCharType="separate"/>
                    </w:r>
                    <w:r>
                      <w:t>- 3 -</w:t>
                    </w:r>
                    <w:r>
                      <w:fldChar w:fldCharType="end"/>
                    </w:r>
                  </w:p>
                </w:txbxContent>
              </v:textbox>
            </v:shape>
          </w:pict>
        </mc:Fallback>
      </mc:AlternateContent>
    </w:r>
  </w:p>
  <w:p w14:paraId="1CBB2ED6">
    <w:pPr>
      <w:pStyle w:val="14"/>
    </w:pPr>
    <w:r>
      <w:rPr>
        <w:rFonts w:hint="eastAsia"/>
      </w:rPr>
      <w:t xml:space="preserve">桂林市政府集中采购中心                                                            </w:t>
    </w:r>
    <w:r>
      <w:rPr>
        <w:rFonts w:hint="eastAsia"/>
        <w:lang w:val="en-US" w:eastAsia="zh-CN"/>
      </w:rPr>
      <w:t xml:space="preserve">                     </w:t>
    </w:r>
    <w:r>
      <w:rPr>
        <w:rFonts w:hint="eastAsia"/>
      </w:rPr>
      <w:t>竞争性磋商</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8D4CB">
    <w:pPr>
      <w:pStyle w:val="15"/>
      <w:jc w:val="left"/>
      <w:rPr>
        <w:rFonts w:hint="eastAsia" w:eastAsia="宋体"/>
        <w:color w:val="auto"/>
        <w:lang w:eastAsia="zh-CN"/>
      </w:rPr>
    </w:pPr>
    <w:r>
      <w:rPr>
        <w:rFonts w:hint="eastAsia" w:ascii="宋体" w:hAnsi="宋体" w:eastAsia="宋体" w:cs="宋体"/>
        <w:color w:val="auto"/>
        <w:sz w:val="18"/>
        <w:szCs w:val="18"/>
      </w:rPr>
      <w:t xml:space="preserve">桂林市复兴学校园林绿化服务采购项目          </w:t>
    </w:r>
    <w:r>
      <w:rPr>
        <w:rFonts w:hint="eastAsia" w:ascii="宋体" w:hAnsi="宋体" w:cs="宋体"/>
        <w:color w:val="auto"/>
        <w:sz w:val="18"/>
        <w:szCs w:val="18"/>
        <w:lang w:val="en-US" w:eastAsia="zh-CN"/>
      </w:rPr>
      <w:t xml:space="preserve">                                             </w:t>
    </w:r>
    <w:r>
      <w:rPr>
        <w:rFonts w:hint="eastAsia" w:ascii="宋体" w:hAnsi="宋体" w:cs="宋体"/>
        <w:color w:val="auto"/>
        <w:sz w:val="18"/>
        <w:szCs w:val="18"/>
        <w:lang w:val="en-US" w:eastAsia="zh-CN"/>
      </w:rPr>
      <w:fldChar w:fldCharType="begin"/>
    </w:r>
    <w:r>
      <w:rPr>
        <w:rFonts w:hint="eastAsia" w:ascii="宋体" w:hAnsi="宋体" w:cs="宋体"/>
        <w:color w:val="auto"/>
        <w:sz w:val="18"/>
        <w:szCs w:val="18"/>
        <w:lang w:val="en-US" w:eastAsia="zh-CN"/>
      </w:rPr>
      <w:instrText xml:space="preserve"> HYPERLINK "https://www.gcy.zfcg.gxzf.gov.cn/gaea/api/project/flow/redirect?projectId=7226567660959957077&amp;newUrl=https://www.gcy.zfcg.gxzf.gov.cn/micro-app-back-index/blank?_flow_type_=agency&amp;_flow_projectId_=7226567660959957077&amp;_jump_page_type_=project_procurement_management_flow&amp;_app_=zcy.procurement&amp;oldUrl=https://www.gcy.zfcg.gxzf.gov.cn/project-center/_procurement_/project-result-detail/7226567660959957077" \t "https://www.gcy.zfcg.gxzf.gov.cn/project-center/_procurement_/self-project/_blank" </w:instrText>
    </w:r>
    <w:r>
      <w:rPr>
        <w:rFonts w:hint="eastAsia" w:ascii="宋体" w:hAnsi="宋体" w:cs="宋体"/>
        <w:color w:val="auto"/>
        <w:sz w:val="18"/>
        <w:szCs w:val="18"/>
        <w:lang w:val="en-US" w:eastAsia="zh-CN"/>
      </w:rPr>
      <w:fldChar w:fldCharType="separate"/>
    </w:r>
    <w:r>
      <w:rPr>
        <w:rFonts w:hint="eastAsia" w:ascii="宋体" w:hAnsi="宋体" w:cs="宋体"/>
        <w:color w:val="auto"/>
        <w:sz w:val="18"/>
        <w:szCs w:val="18"/>
        <w:lang w:val="en-US" w:eastAsia="zh-CN"/>
      </w:rPr>
      <w:t>GLZC2025-C3-990531-GLSZ</w:t>
    </w:r>
    <w:r>
      <w:rPr>
        <w:rFonts w:hint="eastAsia" w:ascii="宋体" w:hAnsi="宋体" w:cs="宋体"/>
        <w:color w:val="auto"/>
        <w:sz w:val="18"/>
        <w:szCs w:val="18"/>
        <w:lang w:val="en-US" w:eastAsia="zh-C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42AC8">
    <w:pPr>
      <w:pStyle w:val="15"/>
      <w:jc w:val="left"/>
    </w:pPr>
    <w:r>
      <w:rPr>
        <w:rFonts w:hint="eastAsia" w:ascii="宋体" w:hAnsi="宋体" w:eastAsia="宋体" w:cs="宋体"/>
        <w:color w:val="auto"/>
        <w:sz w:val="18"/>
        <w:szCs w:val="18"/>
      </w:rPr>
      <w:t xml:space="preserve">桂林市复兴学校园林绿化服务采购项目          </w:t>
    </w:r>
    <w:r>
      <w:rPr>
        <w:rFonts w:hint="eastAsia" w:ascii="宋体" w:hAnsi="宋体" w:cs="宋体"/>
        <w:color w:val="auto"/>
        <w:sz w:val="18"/>
        <w:szCs w:val="18"/>
        <w:lang w:val="en-US" w:eastAsia="zh-CN"/>
      </w:rPr>
      <w:t xml:space="preserve">                                             </w:t>
    </w:r>
    <w:r>
      <w:rPr>
        <w:rFonts w:hint="eastAsia" w:ascii="宋体" w:hAnsi="宋体" w:cs="宋体"/>
        <w:color w:val="auto"/>
        <w:sz w:val="18"/>
        <w:szCs w:val="18"/>
        <w:lang w:val="en-US" w:eastAsia="zh-CN"/>
      </w:rPr>
      <w:fldChar w:fldCharType="begin"/>
    </w:r>
    <w:r>
      <w:rPr>
        <w:rFonts w:hint="eastAsia" w:ascii="宋体" w:hAnsi="宋体" w:cs="宋体"/>
        <w:color w:val="auto"/>
        <w:sz w:val="18"/>
        <w:szCs w:val="18"/>
        <w:lang w:val="en-US" w:eastAsia="zh-CN"/>
      </w:rPr>
      <w:instrText xml:space="preserve"> HYPERLINK "https://www.gcy.zfcg.gxzf.gov.cn/gaea/api/project/flow/redirect?projectId=7226567660959957077&amp;newUrl=https://www.gcy.zfcg.gxzf.gov.cn/micro-app-back-index/blank?_flow_type_=agency&amp;_flow_projectId_=7226567660959957077&amp;_jump_page_type_=project_procurement_management_flow&amp;_app_=zcy.procurement&amp;oldUrl=https://www.gcy.zfcg.gxzf.gov.cn/project-center/_procurement_/project-result-detail/7226567660959957077" \t "https://www.gcy.zfcg.gxzf.gov.cn/project-center/_procurement_/self-project/_blank" </w:instrText>
    </w:r>
    <w:r>
      <w:rPr>
        <w:rFonts w:hint="eastAsia" w:ascii="宋体" w:hAnsi="宋体" w:cs="宋体"/>
        <w:color w:val="auto"/>
        <w:sz w:val="18"/>
        <w:szCs w:val="18"/>
        <w:lang w:val="en-US" w:eastAsia="zh-CN"/>
      </w:rPr>
      <w:fldChar w:fldCharType="separate"/>
    </w:r>
    <w:r>
      <w:rPr>
        <w:rFonts w:hint="eastAsia" w:ascii="宋体" w:hAnsi="宋体" w:cs="宋体"/>
        <w:color w:val="auto"/>
        <w:sz w:val="18"/>
        <w:szCs w:val="18"/>
        <w:lang w:val="en-US" w:eastAsia="zh-CN"/>
      </w:rPr>
      <w:t>GLZC2025-C3-990531-GLSZ</w:t>
    </w:r>
    <w:r>
      <w:rPr>
        <w:rFonts w:hint="eastAsia" w:ascii="宋体" w:hAnsi="宋体" w:cs="宋体"/>
        <w:color w:val="auto"/>
        <w:sz w:val="18"/>
        <w:szCs w:val="18"/>
        <w:lang w:val="en-US" w:eastAsia="zh-C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51C26"/>
    <w:multiLevelType w:val="singleLevel"/>
    <w:tmpl w:val="89751C26"/>
    <w:lvl w:ilvl="0" w:tentative="0">
      <w:start w:val="7"/>
      <w:numFmt w:val="chineseCounting"/>
      <w:suff w:val="space"/>
      <w:lvlText w:val="第%1条"/>
      <w:lvlJc w:val="left"/>
      <w:rPr>
        <w:rFonts w:hint="eastAsia"/>
      </w:rPr>
    </w:lvl>
  </w:abstractNum>
  <w:abstractNum w:abstractNumId="1">
    <w:nsid w:val="8C9D5501"/>
    <w:multiLevelType w:val="singleLevel"/>
    <w:tmpl w:val="8C9D5501"/>
    <w:lvl w:ilvl="0" w:tentative="0">
      <w:start w:val="2"/>
      <w:numFmt w:val="chineseCounting"/>
      <w:suff w:val="nothing"/>
      <w:lvlText w:val="%1、"/>
      <w:lvlJc w:val="left"/>
      <w:rPr>
        <w:rFonts w:hint="eastAsia"/>
      </w:rPr>
    </w:lvl>
  </w:abstractNum>
  <w:abstractNum w:abstractNumId="2">
    <w:nsid w:val="BB4CF58C"/>
    <w:multiLevelType w:val="singleLevel"/>
    <w:tmpl w:val="BB4CF58C"/>
    <w:lvl w:ilvl="0" w:tentative="0">
      <w:start w:val="2"/>
      <w:numFmt w:val="decimal"/>
      <w:suff w:val="nothing"/>
      <w:lvlText w:val="（%1）"/>
      <w:lvlJc w:val="left"/>
    </w:lvl>
  </w:abstractNum>
  <w:abstractNum w:abstractNumId="3">
    <w:nsid w:val="023DC6C4"/>
    <w:multiLevelType w:val="singleLevel"/>
    <w:tmpl w:val="023DC6C4"/>
    <w:lvl w:ilvl="0" w:tentative="0">
      <w:start w:val="4"/>
      <w:numFmt w:val="decimal"/>
      <w:suff w:val="nothing"/>
      <w:lvlText w:val="（%1）"/>
      <w:lvlJc w:val="left"/>
    </w:lvl>
  </w:abstractNum>
  <w:abstractNum w:abstractNumId="4">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5">
    <w:nsid w:val="1FD97BE0"/>
    <w:multiLevelType w:val="singleLevel"/>
    <w:tmpl w:val="1FD97BE0"/>
    <w:lvl w:ilvl="0" w:tentative="0">
      <w:start w:val="1"/>
      <w:numFmt w:val="chineseCounting"/>
      <w:suff w:val="nothing"/>
      <w:lvlText w:val="（%1）"/>
      <w:lvlJc w:val="left"/>
      <w:rPr>
        <w:rFonts w:hint="eastAsia"/>
      </w:rPr>
    </w:lvl>
  </w:abstractNum>
  <w:abstractNum w:abstractNumId="6">
    <w:nsid w:val="2B092D39"/>
    <w:multiLevelType w:val="multilevel"/>
    <w:tmpl w:val="2B092D39"/>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2EBEB4BA"/>
    <w:multiLevelType w:val="singleLevel"/>
    <w:tmpl w:val="2EBEB4BA"/>
    <w:lvl w:ilvl="0" w:tentative="0">
      <w:start w:val="26"/>
      <w:numFmt w:val="decimal"/>
      <w:suff w:val="space"/>
      <w:lvlText w:val="%1."/>
      <w:lvlJc w:val="left"/>
    </w:lvl>
  </w:abstractNum>
  <w:abstractNum w:abstractNumId="8">
    <w:nsid w:val="4C2D75E3"/>
    <w:multiLevelType w:val="singleLevel"/>
    <w:tmpl w:val="4C2D75E3"/>
    <w:lvl w:ilvl="0" w:tentative="0">
      <w:start w:val="3"/>
      <w:numFmt w:val="decimal"/>
      <w:lvlText w:val="%1."/>
      <w:lvlJc w:val="left"/>
      <w:pPr>
        <w:tabs>
          <w:tab w:val="left" w:pos="312"/>
        </w:tabs>
      </w:pPr>
    </w:lvl>
  </w:abstractNum>
  <w:abstractNum w:abstractNumId="9">
    <w:nsid w:val="5FDE38C3"/>
    <w:multiLevelType w:val="singleLevel"/>
    <w:tmpl w:val="5FDE38C3"/>
    <w:lvl w:ilvl="0" w:tentative="0">
      <w:start w:val="1"/>
      <w:numFmt w:val="decimal"/>
      <w:suff w:val="nothing"/>
      <w:lvlText w:val="%1．"/>
      <w:lvlJc w:val="left"/>
      <w:pPr>
        <w:ind w:left="-60" w:firstLine="400"/>
      </w:pPr>
      <w:rPr>
        <w:rFonts w:hint="default"/>
        <w:b w:val="0"/>
        <w:bCs w:val="0"/>
      </w:rPr>
    </w:lvl>
  </w:abstractNum>
  <w:abstractNum w:abstractNumId="10">
    <w:nsid w:val="661C7FDE"/>
    <w:multiLevelType w:val="multilevel"/>
    <w:tmpl w:val="661C7FDE"/>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1">
    <w:nsid w:val="66682272"/>
    <w:multiLevelType w:val="singleLevel"/>
    <w:tmpl w:val="66682272"/>
    <w:lvl w:ilvl="0" w:tentative="0">
      <w:start w:val="2"/>
      <w:numFmt w:val="decimal"/>
      <w:suff w:val="nothing"/>
      <w:lvlText w:val="%1."/>
      <w:lvlJc w:val="left"/>
    </w:lvl>
  </w:abstractNum>
  <w:abstractNum w:abstractNumId="12">
    <w:nsid w:val="6AD43707"/>
    <w:multiLevelType w:val="singleLevel"/>
    <w:tmpl w:val="6AD43707"/>
    <w:lvl w:ilvl="0" w:tentative="0">
      <w:start w:val="5"/>
      <w:numFmt w:val="decimal"/>
      <w:suff w:val="space"/>
      <w:lvlText w:val="%1."/>
      <w:lvlJc w:val="left"/>
    </w:lvl>
  </w:abstractNum>
  <w:num w:numId="1">
    <w:abstractNumId w:val="4"/>
  </w:num>
  <w:num w:numId="2">
    <w:abstractNumId w:val="8"/>
  </w:num>
  <w:num w:numId="3">
    <w:abstractNumId w:val="12"/>
  </w:num>
  <w:num w:numId="4">
    <w:abstractNumId w:val="3"/>
  </w:num>
  <w:num w:numId="5">
    <w:abstractNumId w:val="2"/>
  </w:num>
  <w:num w:numId="6">
    <w:abstractNumId w:val="7"/>
  </w:num>
  <w:num w:numId="7">
    <w:abstractNumId w:val="11"/>
  </w:num>
  <w:num w:numId="8">
    <w:abstractNumId w:val="0"/>
  </w:num>
  <w:num w:numId="9">
    <w:abstractNumId w:val="10"/>
    <w:lvlOverride w:ilvl="0">
      <w:startOverride w:val="2"/>
    </w:lvlOverride>
  </w:num>
  <w:num w:numId="10">
    <w:abstractNumId w:val="6"/>
    <w:lvlOverride w:ilvl="0">
      <w:startOverride w:val="2"/>
    </w:lvlOverride>
  </w:num>
  <w:num w:numId="11">
    <w:abstractNumId w:val="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YjFkNjE1ZjM1ZGEzMDAyNTYzZjc3MmU5NDVlNTQifQ=="/>
  </w:docVars>
  <w:rsids>
    <w:rsidRoot w:val="00000000"/>
    <w:rsid w:val="0038106E"/>
    <w:rsid w:val="00407631"/>
    <w:rsid w:val="004D6899"/>
    <w:rsid w:val="00631F09"/>
    <w:rsid w:val="00903814"/>
    <w:rsid w:val="00A15994"/>
    <w:rsid w:val="017A55C3"/>
    <w:rsid w:val="0224337A"/>
    <w:rsid w:val="024D5C0C"/>
    <w:rsid w:val="02B95509"/>
    <w:rsid w:val="033027A0"/>
    <w:rsid w:val="035C7340"/>
    <w:rsid w:val="038101A1"/>
    <w:rsid w:val="03CF0EA7"/>
    <w:rsid w:val="040156E6"/>
    <w:rsid w:val="04223055"/>
    <w:rsid w:val="044C7DFD"/>
    <w:rsid w:val="047F69E4"/>
    <w:rsid w:val="0498297B"/>
    <w:rsid w:val="04AD3DAA"/>
    <w:rsid w:val="04AF4A4A"/>
    <w:rsid w:val="051031AE"/>
    <w:rsid w:val="051A0D14"/>
    <w:rsid w:val="052F4F1D"/>
    <w:rsid w:val="05331DDC"/>
    <w:rsid w:val="0550527C"/>
    <w:rsid w:val="05B96686"/>
    <w:rsid w:val="065000D1"/>
    <w:rsid w:val="065F71BB"/>
    <w:rsid w:val="068636B9"/>
    <w:rsid w:val="06C947A0"/>
    <w:rsid w:val="06EF1AF0"/>
    <w:rsid w:val="07502B74"/>
    <w:rsid w:val="07BB65B7"/>
    <w:rsid w:val="07BF7C4C"/>
    <w:rsid w:val="07FB2D03"/>
    <w:rsid w:val="08023BF4"/>
    <w:rsid w:val="099F3813"/>
    <w:rsid w:val="09CF7BAC"/>
    <w:rsid w:val="0A6850D7"/>
    <w:rsid w:val="0A777BA7"/>
    <w:rsid w:val="0AA61955"/>
    <w:rsid w:val="0AAE05DA"/>
    <w:rsid w:val="0AD656DD"/>
    <w:rsid w:val="0AE04854"/>
    <w:rsid w:val="0AF31F8F"/>
    <w:rsid w:val="0AF36B06"/>
    <w:rsid w:val="0B3052A0"/>
    <w:rsid w:val="0B502266"/>
    <w:rsid w:val="0B560D77"/>
    <w:rsid w:val="0B5B6603"/>
    <w:rsid w:val="0B930840"/>
    <w:rsid w:val="0BA00026"/>
    <w:rsid w:val="0BB30B20"/>
    <w:rsid w:val="0C0C1FF2"/>
    <w:rsid w:val="0C190F0D"/>
    <w:rsid w:val="0C6B78EB"/>
    <w:rsid w:val="0C951A65"/>
    <w:rsid w:val="0CBD0E45"/>
    <w:rsid w:val="0CED55F8"/>
    <w:rsid w:val="0DAE302F"/>
    <w:rsid w:val="0DEE6EC3"/>
    <w:rsid w:val="0E1C5AFD"/>
    <w:rsid w:val="0E6901FE"/>
    <w:rsid w:val="0E924082"/>
    <w:rsid w:val="0EA31AFF"/>
    <w:rsid w:val="0ED26D72"/>
    <w:rsid w:val="0F0D4861"/>
    <w:rsid w:val="0F78715E"/>
    <w:rsid w:val="0FCD34F4"/>
    <w:rsid w:val="0FEC6EA7"/>
    <w:rsid w:val="10166A85"/>
    <w:rsid w:val="105937BE"/>
    <w:rsid w:val="106E343D"/>
    <w:rsid w:val="109D268E"/>
    <w:rsid w:val="110660A6"/>
    <w:rsid w:val="115F194E"/>
    <w:rsid w:val="11A96EF0"/>
    <w:rsid w:val="11F25E7F"/>
    <w:rsid w:val="120C7AF8"/>
    <w:rsid w:val="12D55870"/>
    <w:rsid w:val="13A23753"/>
    <w:rsid w:val="13A4011C"/>
    <w:rsid w:val="13B81064"/>
    <w:rsid w:val="13DC62BF"/>
    <w:rsid w:val="140B707A"/>
    <w:rsid w:val="141A1B4F"/>
    <w:rsid w:val="145403ED"/>
    <w:rsid w:val="14611EB8"/>
    <w:rsid w:val="14656657"/>
    <w:rsid w:val="14AE74CE"/>
    <w:rsid w:val="14D75D6A"/>
    <w:rsid w:val="15910B7E"/>
    <w:rsid w:val="15982B8F"/>
    <w:rsid w:val="171514C9"/>
    <w:rsid w:val="17403903"/>
    <w:rsid w:val="17440211"/>
    <w:rsid w:val="17A319A7"/>
    <w:rsid w:val="17B61704"/>
    <w:rsid w:val="17FE051B"/>
    <w:rsid w:val="18074343"/>
    <w:rsid w:val="181808FF"/>
    <w:rsid w:val="182249A5"/>
    <w:rsid w:val="18343682"/>
    <w:rsid w:val="184F13F4"/>
    <w:rsid w:val="18CB5CFD"/>
    <w:rsid w:val="18EC39AE"/>
    <w:rsid w:val="190D676E"/>
    <w:rsid w:val="191907B2"/>
    <w:rsid w:val="194523AC"/>
    <w:rsid w:val="19BD54DA"/>
    <w:rsid w:val="1A0062D3"/>
    <w:rsid w:val="1A260979"/>
    <w:rsid w:val="1A3441CE"/>
    <w:rsid w:val="1A41745E"/>
    <w:rsid w:val="1A44675F"/>
    <w:rsid w:val="1A732541"/>
    <w:rsid w:val="1A950679"/>
    <w:rsid w:val="1AA754C7"/>
    <w:rsid w:val="1AD77FFA"/>
    <w:rsid w:val="1AFE133E"/>
    <w:rsid w:val="1B1E6884"/>
    <w:rsid w:val="1B2D50FE"/>
    <w:rsid w:val="1B6E27DE"/>
    <w:rsid w:val="1B7C407F"/>
    <w:rsid w:val="1B920D2B"/>
    <w:rsid w:val="1BD712B5"/>
    <w:rsid w:val="1C0A58DD"/>
    <w:rsid w:val="1C17120D"/>
    <w:rsid w:val="1C3B1024"/>
    <w:rsid w:val="1C5F7DCC"/>
    <w:rsid w:val="1CB55B85"/>
    <w:rsid w:val="1CE840F9"/>
    <w:rsid w:val="1DA70534"/>
    <w:rsid w:val="1E0421F0"/>
    <w:rsid w:val="1E19797C"/>
    <w:rsid w:val="1E1B339B"/>
    <w:rsid w:val="1E6A0495"/>
    <w:rsid w:val="1EB70BE6"/>
    <w:rsid w:val="1EC266AA"/>
    <w:rsid w:val="1EFF2FFD"/>
    <w:rsid w:val="1F2D74BD"/>
    <w:rsid w:val="1F69491A"/>
    <w:rsid w:val="1FAC61D5"/>
    <w:rsid w:val="1FB525B5"/>
    <w:rsid w:val="1FE36AA5"/>
    <w:rsid w:val="1FE74446"/>
    <w:rsid w:val="200851A0"/>
    <w:rsid w:val="211D776A"/>
    <w:rsid w:val="21986DD2"/>
    <w:rsid w:val="21BA2B03"/>
    <w:rsid w:val="21CE6CB6"/>
    <w:rsid w:val="21EB5FD7"/>
    <w:rsid w:val="22017EBE"/>
    <w:rsid w:val="22967391"/>
    <w:rsid w:val="22B702B1"/>
    <w:rsid w:val="22CC4BB3"/>
    <w:rsid w:val="2301717C"/>
    <w:rsid w:val="231B417D"/>
    <w:rsid w:val="23540453"/>
    <w:rsid w:val="23EA3FDD"/>
    <w:rsid w:val="23FF0505"/>
    <w:rsid w:val="24197BAD"/>
    <w:rsid w:val="24267DE5"/>
    <w:rsid w:val="245949FB"/>
    <w:rsid w:val="24773635"/>
    <w:rsid w:val="24892316"/>
    <w:rsid w:val="24961D0D"/>
    <w:rsid w:val="24966F01"/>
    <w:rsid w:val="24FE39C0"/>
    <w:rsid w:val="255C372A"/>
    <w:rsid w:val="257D59DD"/>
    <w:rsid w:val="25E60A73"/>
    <w:rsid w:val="25EA654B"/>
    <w:rsid w:val="26216436"/>
    <w:rsid w:val="2634102D"/>
    <w:rsid w:val="267A66BE"/>
    <w:rsid w:val="26821C81"/>
    <w:rsid w:val="26A24AE2"/>
    <w:rsid w:val="26A4796D"/>
    <w:rsid w:val="26B108E0"/>
    <w:rsid w:val="26C003D2"/>
    <w:rsid w:val="26F26402"/>
    <w:rsid w:val="26FB546F"/>
    <w:rsid w:val="27014FFB"/>
    <w:rsid w:val="27604BF7"/>
    <w:rsid w:val="278A13CB"/>
    <w:rsid w:val="27A36740"/>
    <w:rsid w:val="27A664AA"/>
    <w:rsid w:val="27E70BD7"/>
    <w:rsid w:val="28070704"/>
    <w:rsid w:val="28101DD7"/>
    <w:rsid w:val="28E61253"/>
    <w:rsid w:val="28EF38E5"/>
    <w:rsid w:val="298E37DF"/>
    <w:rsid w:val="29D3126A"/>
    <w:rsid w:val="2A383867"/>
    <w:rsid w:val="2A64465C"/>
    <w:rsid w:val="2AA409A1"/>
    <w:rsid w:val="2AD07EE1"/>
    <w:rsid w:val="2AE24DB3"/>
    <w:rsid w:val="2B7D3B09"/>
    <w:rsid w:val="2B8C0AE6"/>
    <w:rsid w:val="2BB81F91"/>
    <w:rsid w:val="2C2E72AB"/>
    <w:rsid w:val="2C5A4D14"/>
    <w:rsid w:val="2CDE7ECC"/>
    <w:rsid w:val="2CE400DF"/>
    <w:rsid w:val="2D6230D5"/>
    <w:rsid w:val="2DD64497"/>
    <w:rsid w:val="2E2A0AD2"/>
    <w:rsid w:val="2E67352D"/>
    <w:rsid w:val="2EC876BA"/>
    <w:rsid w:val="2EE1185A"/>
    <w:rsid w:val="2EF6629B"/>
    <w:rsid w:val="2FB25B44"/>
    <w:rsid w:val="2FB344DB"/>
    <w:rsid w:val="2FCD67FF"/>
    <w:rsid w:val="2FEE6EA1"/>
    <w:rsid w:val="300E353A"/>
    <w:rsid w:val="3016766A"/>
    <w:rsid w:val="303262B3"/>
    <w:rsid w:val="30340E45"/>
    <w:rsid w:val="30657369"/>
    <w:rsid w:val="30BE7F27"/>
    <w:rsid w:val="30E26D0E"/>
    <w:rsid w:val="31924927"/>
    <w:rsid w:val="31956EA5"/>
    <w:rsid w:val="31A11CF2"/>
    <w:rsid w:val="31EB685E"/>
    <w:rsid w:val="3212228C"/>
    <w:rsid w:val="32461855"/>
    <w:rsid w:val="325F251C"/>
    <w:rsid w:val="32A964A8"/>
    <w:rsid w:val="32AC589E"/>
    <w:rsid w:val="32BA46FC"/>
    <w:rsid w:val="32FD2E3E"/>
    <w:rsid w:val="330729FE"/>
    <w:rsid w:val="330A6C9A"/>
    <w:rsid w:val="33244988"/>
    <w:rsid w:val="33262E35"/>
    <w:rsid w:val="335B02C0"/>
    <w:rsid w:val="337A3E72"/>
    <w:rsid w:val="33813759"/>
    <w:rsid w:val="33B06E4B"/>
    <w:rsid w:val="33D75E9F"/>
    <w:rsid w:val="33EE3F5E"/>
    <w:rsid w:val="34577303"/>
    <w:rsid w:val="347D2E4F"/>
    <w:rsid w:val="349F41D7"/>
    <w:rsid w:val="34B561E0"/>
    <w:rsid w:val="34D91F81"/>
    <w:rsid w:val="34E547F1"/>
    <w:rsid w:val="354B5DA7"/>
    <w:rsid w:val="359335C4"/>
    <w:rsid w:val="35E35C00"/>
    <w:rsid w:val="36437DBE"/>
    <w:rsid w:val="36857E34"/>
    <w:rsid w:val="36B10C29"/>
    <w:rsid w:val="37642B96"/>
    <w:rsid w:val="38587782"/>
    <w:rsid w:val="38810463"/>
    <w:rsid w:val="38957EE4"/>
    <w:rsid w:val="38A16F21"/>
    <w:rsid w:val="39083B7D"/>
    <w:rsid w:val="393D5047"/>
    <w:rsid w:val="3A2157C4"/>
    <w:rsid w:val="3A314172"/>
    <w:rsid w:val="3ACA5540"/>
    <w:rsid w:val="3B014763"/>
    <w:rsid w:val="3B721655"/>
    <w:rsid w:val="3B8A6F6B"/>
    <w:rsid w:val="3BAD2CC0"/>
    <w:rsid w:val="3BE8317C"/>
    <w:rsid w:val="3C553E04"/>
    <w:rsid w:val="3C6534B3"/>
    <w:rsid w:val="3CB6166C"/>
    <w:rsid w:val="3D1B1A4D"/>
    <w:rsid w:val="3D2C261C"/>
    <w:rsid w:val="3D372EDB"/>
    <w:rsid w:val="3D94095C"/>
    <w:rsid w:val="3E4C333F"/>
    <w:rsid w:val="3E637182"/>
    <w:rsid w:val="3E6E4482"/>
    <w:rsid w:val="3E7516A8"/>
    <w:rsid w:val="3E7A5F15"/>
    <w:rsid w:val="3ECC7453"/>
    <w:rsid w:val="3F0230D2"/>
    <w:rsid w:val="3F1E6B5B"/>
    <w:rsid w:val="3FA6322C"/>
    <w:rsid w:val="40144020"/>
    <w:rsid w:val="40311D48"/>
    <w:rsid w:val="40572841"/>
    <w:rsid w:val="408F0936"/>
    <w:rsid w:val="40BF57BD"/>
    <w:rsid w:val="40C25E8E"/>
    <w:rsid w:val="40D45C40"/>
    <w:rsid w:val="40D55123"/>
    <w:rsid w:val="41EB0411"/>
    <w:rsid w:val="42141682"/>
    <w:rsid w:val="4230353B"/>
    <w:rsid w:val="4290430F"/>
    <w:rsid w:val="42A2493F"/>
    <w:rsid w:val="42BB05E1"/>
    <w:rsid w:val="4355505C"/>
    <w:rsid w:val="43792ACE"/>
    <w:rsid w:val="43D438A7"/>
    <w:rsid w:val="43E91A02"/>
    <w:rsid w:val="444F59BE"/>
    <w:rsid w:val="44AF5CA8"/>
    <w:rsid w:val="44C64B7B"/>
    <w:rsid w:val="44FC0326"/>
    <w:rsid w:val="45210378"/>
    <w:rsid w:val="45617D73"/>
    <w:rsid w:val="45F36454"/>
    <w:rsid w:val="467D4684"/>
    <w:rsid w:val="46AC6517"/>
    <w:rsid w:val="46E220A2"/>
    <w:rsid w:val="47821E24"/>
    <w:rsid w:val="47827898"/>
    <w:rsid w:val="47AE5AD7"/>
    <w:rsid w:val="47CC1C33"/>
    <w:rsid w:val="4822043E"/>
    <w:rsid w:val="48BB7B3B"/>
    <w:rsid w:val="48EE3083"/>
    <w:rsid w:val="48FB115E"/>
    <w:rsid w:val="491B7E3F"/>
    <w:rsid w:val="49387656"/>
    <w:rsid w:val="49745A14"/>
    <w:rsid w:val="49BA11A0"/>
    <w:rsid w:val="4A490F74"/>
    <w:rsid w:val="4A60650B"/>
    <w:rsid w:val="4A6442BC"/>
    <w:rsid w:val="4AF12F4F"/>
    <w:rsid w:val="4BD90EFA"/>
    <w:rsid w:val="4C41795A"/>
    <w:rsid w:val="4C712581"/>
    <w:rsid w:val="4CB37051"/>
    <w:rsid w:val="4CDC173E"/>
    <w:rsid w:val="4CDD3BBC"/>
    <w:rsid w:val="4CDF36E2"/>
    <w:rsid w:val="4D085C18"/>
    <w:rsid w:val="4D0B76A6"/>
    <w:rsid w:val="4D6B3488"/>
    <w:rsid w:val="4D974DBA"/>
    <w:rsid w:val="4D9D385D"/>
    <w:rsid w:val="4DB37CCD"/>
    <w:rsid w:val="4E237DF4"/>
    <w:rsid w:val="4E3F5A59"/>
    <w:rsid w:val="4E5E63B8"/>
    <w:rsid w:val="4EC8490A"/>
    <w:rsid w:val="4F021016"/>
    <w:rsid w:val="4F6F0C90"/>
    <w:rsid w:val="4FC757CB"/>
    <w:rsid w:val="4FE97071"/>
    <w:rsid w:val="500B1FA1"/>
    <w:rsid w:val="5012408F"/>
    <w:rsid w:val="502B74B0"/>
    <w:rsid w:val="50615016"/>
    <w:rsid w:val="50E95CEA"/>
    <w:rsid w:val="519304D5"/>
    <w:rsid w:val="51B0175F"/>
    <w:rsid w:val="522013CE"/>
    <w:rsid w:val="522D2CBF"/>
    <w:rsid w:val="522F2077"/>
    <w:rsid w:val="525D67AD"/>
    <w:rsid w:val="52AC309E"/>
    <w:rsid w:val="532B216B"/>
    <w:rsid w:val="53514ECE"/>
    <w:rsid w:val="53536E98"/>
    <w:rsid w:val="537C30CF"/>
    <w:rsid w:val="53A17A79"/>
    <w:rsid w:val="548947BC"/>
    <w:rsid w:val="54A54BF1"/>
    <w:rsid w:val="54BE2A98"/>
    <w:rsid w:val="54EB1352"/>
    <w:rsid w:val="551E34D6"/>
    <w:rsid w:val="55501408"/>
    <w:rsid w:val="55645834"/>
    <w:rsid w:val="558A20A7"/>
    <w:rsid w:val="55B16CE6"/>
    <w:rsid w:val="560A7324"/>
    <w:rsid w:val="56290384"/>
    <w:rsid w:val="56463928"/>
    <w:rsid w:val="56570A4D"/>
    <w:rsid w:val="56593110"/>
    <w:rsid w:val="571406EC"/>
    <w:rsid w:val="57205A7F"/>
    <w:rsid w:val="57225ADB"/>
    <w:rsid w:val="57392E9C"/>
    <w:rsid w:val="575E5568"/>
    <w:rsid w:val="57C245EC"/>
    <w:rsid w:val="57E61353"/>
    <w:rsid w:val="586B5D0F"/>
    <w:rsid w:val="586E28DA"/>
    <w:rsid w:val="58A324E0"/>
    <w:rsid w:val="58DB5A41"/>
    <w:rsid w:val="597E04E1"/>
    <w:rsid w:val="59D17B61"/>
    <w:rsid w:val="5A8D0ED4"/>
    <w:rsid w:val="5B345801"/>
    <w:rsid w:val="5B884C1A"/>
    <w:rsid w:val="5BA37FCD"/>
    <w:rsid w:val="5BE0558C"/>
    <w:rsid w:val="5C0F1DCA"/>
    <w:rsid w:val="5C877BB2"/>
    <w:rsid w:val="5CA60026"/>
    <w:rsid w:val="5CE63C1F"/>
    <w:rsid w:val="5D8B1A2B"/>
    <w:rsid w:val="5D9343AB"/>
    <w:rsid w:val="5DD8542A"/>
    <w:rsid w:val="5E2A55C9"/>
    <w:rsid w:val="5E317529"/>
    <w:rsid w:val="5E4A470D"/>
    <w:rsid w:val="5E763D4E"/>
    <w:rsid w:val="5EA81AA8"/>
    <w:rsid w:val="5EB13608"/>
    <w:rsid w:val="5F637828"/>
    <w:rsid w:val="5F796A7E"/>
    <w:rsid w:val="60260578"/>
    <w:rsid w:val="60273570"/>
    <w:rsid w:val="608637E0"/>
    <w:rsid w:val="60883EF9"/>
    <w:rsid w:val="60995A69"/>
    <w:rsid w:val="60C717AC"/>
    <w:rsid w:val="60D9709B"/>
    <w:rsid w:val="614A7244"/>
    <w:rsid w:val="618D2FE2"/>
    <w:rsid w:val="61A2082E"/>
    <w:rsid w:val="61B9080E"/>
    <w:rsid w:val="61C272CD"/>
    <w:rsid w:val="61CA7DC6"/>
    <w:rsid w:val="61E80CA5"/>
    <w:rsid w:val="624F48B2"/>
    <w:rsid w:val="62BA2E44"/>
    <w:rsid w:val="62CF07CF"/>
    <w:rsid w:val="62E32184"/>
    <w:rsid w:val="62E47747"/>
    <w:rsid w:val="62F5481E"/>
    <w:rsid w:val="62FD60F5"/>
    <w:rsid w:val="637127FB"/>
    <w:rsid w:val="64023A5A"/>
    <w:rsid w:val="640E34C8"/>
    <w:rsid w:val="640E51FE"/>
    <w:rsid w:val="6459748D"/>
    <w:rsid w:val="64C86FBA"/>
    <w:rsid w:val="64D23995"/>
    <w:rsid w:val="6535605D"/>
    <w:rsid w:val="65615763"/>
    <w:rsid w:val="65C91FCA"/>
    <w:rsid w:val="65DB702E"/>
    <w:rsid w:val="66304B71"/>
    <w:rsid w:val="6631740F"/>
    <w:rsid w:val="667D1BEE"/>
    <w:rsid w:val="66A31A6E"/>
    <w:rsid w:val="66E67D6F"/>
    <w:rsid w:val="670F3E8F"/>
    <w:rsid w:val="673530ED"/>
    <w:rsid w:val="67FB37FB"/>
    <w:rsid w:val="68007DCB"/>
    <w:rsid w:val="68371036"/>
    <w:rsid w:val="687E025A"/>
    <w:rsid w:val="68992F90"/>
    <w:rsid w:val="690A0C77"/>
    <w:rsid w:val="69332399"/>
    <w:rsid w:val="69532A03"/>
    <w:rsid w:val="6A31770E"/>
    <w:rsid w:val="6A904EF4"/>
    <w:rsid w:val="6B036F9E"/>
    <w:rsid w:val="6B0D5581"/>
    <w:rsid w:val="6BB3513A"/>
    <w:rsid w:val="6BB438E6"/>
    <w:rsid w:val="6BDB0B98"/>
    <w:rsid w:val="6BE175EE"/>
    <w:rsid w:val="6C9C7F3A"/>
    <w:rsid w:val="6CC62031"/>
    <w:rsid w:val="6CE35466"/>
    <w:rsid w:val="6CEA21AA"/>
    <w:rsid w:val="6D18288B"/>
    <w:rsid w:val="6DA20B8F"/>
    <w:rsid w:val="6E0F6C5C"/>
    <w:rsid w:val="6E182A45"/>
    <w:rsid w:val="6EFE5FC0"/>
    <w:rsid w:val="6F03756C"/>
    <w:rsid w:val="6FFF72EA"/>
    <w:rsid w:val="700A66D9"/>
    <w:rsid w:val="70781894"/>
    <w:rsid w:val="708B33E2"/>
    <w:rsid w:val="70BE47CD"/>
    <w:rsid w:val="70D42484"/>
    <w:rsid w:val="70DB79BE"/>
    <w:rsid w:val="70EF0AA9"/>
    <w:rsid w:val="70F35744"/>
    <w:rsid w:val="7169570C"/>
    <w:rsid w:val="71A15E84"/>
    <w:rsid w:val="71CF2AD2"/>
    <w:rsid w:val="71DC0F04"/>
    <w:rsid w:val="72290710"/>
    <w:rsid w:val="72D2272D"/>
    <w:rsid w:val="72DC330D"/>
    <w:rsid w:val="72FD0B80"/>
    <w:rsid w:val="737D3F28"/>
    <w:rsid w:val="73A500A2"/>
    <w:rsid w:val="73C60B68"/>
    <w:rsid w:val="742319A8"/>
    <w:rsid w:val="74361FBE"/>
    <w:rsid w:val="74F976C3"/>
    <w:rsid w:val="75183A02"/>
    <w:rsid w:val="756D5080"/>
    <w:rsid w:val="75BF7F65"/>
    <w:rsid w:val="762848E9"/>
    <w:rsid w:val="762D4ECF"/>
    <w:rsid w:val="767C33B3"/>
    <w:rsid w:val="76832520"/>
    <w:rsid w:val="76DD0F17"/>
    <w:rsid w:val="775D59E8"/>
    <w:rsid w:val="77D777E8"/>
    <w:rsid w:val="78BE42CB"/>
    <w:rsid w:val="78FF2EC3"/>
    <w:rsid w:val="79073D34"/>
    <w:rsid w:val="796F302B"/>
    <w:rsid w:val="79C405E2"/>
    <w:rsid w:val="7A811E80"/>
    <w:rsid w:val="7A85352B"/>
    <w:rsid w:val="7A863148"/>
    <w:rsid w:val="7A867083"/>
    <w:rsid w:val="7AD7263A"/>
    <w:rsid w:val="7AF11FF0"/>
    <w:rsid w:val="7B9B1896"/>
    <w:rsid w:val="7BC538FC"/>
    <w:rsid w:val="7C007C10"/>
    <w:rsid w:val="7C0F2D6B"/>
    <w:rsid w:val="7C1B0B4C"/>
    <w:rsid w:val="7CC74F52"/>
    <w:rsid w:val="7CE14795"/>
    <w:rsid w:val="7CEC1640"/>
    <w:rsid w:val="7DC25F80"/>
    <w:rsid w:val="7DC44AEB"/>
    <w:rsid w:val="7DD06FB5"/>
    <w:rsid w:val="7DEB5D9B"/>
    <w:rsid w:val="7E111572"/>
    <w:rsid w:val="7E130E76"/>
    <w:rsid w:val="7E1F77F3"/>
    <w:rsid w:val="7E3F667C"/>
    <w:rsid w:val="7EAB445D"/>
    <w:rsid w:val="7F4C0FB5"/>
    <w:rsid w:val="7F672D6A"/>
    <w:rsid w:val="7F9E3ADD"/>
    <w:rsid w:val="7FA62B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4">
    <w:name w:val="heading 3"/>
    <w:basedOn w:val="1"/>
    <w:next w:val="1"/>
    <w:link w:val="34"/>
    <w:qFormat/>
    <w:uiPriority w:val="0"/>
    <w:pPr>
      <w:keepNext/>
      <w:keepLines/>
      <w:spacing w:before="260" w:beforeLines="0" w:beforeAutospacing="0" w:after="260" w:afterLines="0" w:afterAutospacing="0" w:line="240" w:lineRule="auto"/>
      <w:outlineLvl w:val="2"/>
    </w:pPr>
    <w:rPr>
      <w:rFonts w:ascii="Calibri" w:hAnsi="Calibri" w:eastAsia="宋体"/>
      <w:b/>
      <w:sz w:val="32"/>
    </w:rPr>
  </w:style>
  <w:style w:type="paragraph" w:styleId="5">
    <w:name w:val="heading 4"/>
    <w:basedOn w:val="1"/>
    <w:next w:val="1"/>
    <w:qFormat/>
    <w:uiPriority w:val="0"/>
    <w:pPr>
      <w:keepNext/>
      <w:spacing w:before="240" w:after="60"/>
      <w:outlineLvl w:val="3"/>
    </w:pPr>
    <w:rPr>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Normal Indent"/>
    <w:basedOn w:val="1"/>
    <w:qFormat/>
    <w:uiPriority w:val="0"/>
    <w:pPr>
      <w:ind w:firstLine="420"/>
    </w:pPr>
    <w:rPr>
      <w:rFonts w:ascii="Times New Roman" w:hAnsi="Times New Roman" w:eastAsia="宋体" w:cs="Times New Roman"/>
      <w:szCs w:val="20"/>
    </w:rPr>
  </w:style>
  <w:style w:type="paragraph" w:styleId="8">
    <w:name w:val="annotation text"/>
    <w:basedOn w:val="1"/>
    <w:qFormat/>
    <w:uiPriority w:val="0"/>
    <w:pPr>
      <w:jc w:val="left"/>
    </w:pPr>
  </w:style>
  <w:style w:type="paragraph" w:styleId="9">
    <w:name w:val="Body Text"/>
    <w:basedOn w:val="1"/>
    <w:qFormat/>
    <w:uiPriority w:val="0"/>
  </w:style>
  <w:style w:type="paragraph" w:styleId="10">
    <w:name w:val="Body Text Indent"/>
    <w:basedOn w:val="1"/>
    <w:next w:val="11"/>
    <w:qFormat/>
    <w:uiPriority w:val="0"/>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toc 3"/>
    <w:basedOn w:val="1"/>
    <w:next w:val="1"/>
    <w:unhideWhenUsed/>
    <w:qFormat/>
    <w:uiPriority w:val="39"/>
    <w:pPr>
      <w:ind w:left="840" w:leftChars="400"/>
    </w:pPr>
  </w:style>
  <w:style w:type="paragraph" w:styleId="13">
    <w:name w:val="Plain Text"/>
    <w:basedOn w:val="1"/>
    <w:next w:val="1"/>
    <w:qFormat/>
    <w:uiPriority w:val="99"/>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9">
    <w:name w:val="Body Text First Indent 2"/>
    <w:basedOn w:val="10"/>
    <w:unhideWhenUsed/>
    <w:qFormat/>
    <w:uiPriority w:val="99"/>
    <w:pPr>
      <w:ind w:firstLine="420" w:firstLineChars="200"/>
    </w:p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FollowedHyperlink"/>
    <w:basedOn w:val="22"/>
    <w:qFormat/>
    <w:uiPriority w:val="0"/>
    <w:rPr>
      <w:color w:val="800080"/>
      <w:u w:val="none"/>
    </w:rPr>
  </w:style>
  <w:style w:type="character" w:styleId="25">
    <w:name w:val="Emphasis"/>
    <w:basedOn w:val="22"/>
    <w:qFormat/>
    <w:uiPriority w:val="0"/>
  </w:style>
  <w:style w:type="character" w:styleId="26">
    <w:name w:val="Hyperlink"/>
    <w:basedOn w:val="22"/>
    <w:qFormat/>
    <w:uiPriority w:val="0"/>
    <w:rPr>
      <w:color w:val="0000FF"/>
      <w:u w:val="none"/>
    </w:rPr>
  </w:style>
  <w:style w:type="character" w:styleId="27">
    <w:name w:val="annotation reference"/>
    <w:semiHidden/>
    <w:qFormat/>
    <w:uiPriority w:val="0"/>
    <w:rPr>
      <w:rFonts w:ascii="Tahoma" w:hAnsi="Tahoma"/>
      <w:sz w:val="21"/>
      <w:szCs w:val="21"/>
    </w:rPr>
  </w:style>
  <w:style w:type="character" w:styleId="28">
    <w:name w:val="footnote reference"/>
    <w:basedOn w:val="22"/>
    <w:qFormat/>
    <w:uiPriority w:val="0"/>
    <w:rPr>
      <w:vertAlign w:val="superscript"/>
    </w:rPr>
  </w:style>
  <w:style w:type="paragraph" w:customStyle="1" w:styleId="29">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表格文字"/>
    <w:basedOn w:val="1"/>
    <w:qFormat/>
    <w:uiPriority w:val="0"/>
    <w:pPr>
      <w:jc w:val="left"/>
    </w:pPr>
    <w:rPr>
      <w:bCs/>
      <w:spacing w:val="10"/>
      <w:kern w:val="0"/>
    </w:rPr>
  </w:style>
  <w:style w:type="paragraph" w:customStyle="1" w:styleId="31">
    <w:name w:val="BodyText"/>
    <w:basedOn w:val="1"/>
    <w:next w:val="1"/>
    <w:qFormat/>
    <w:uiPriority w:val="0"/>
    <w:pPr>
      <w:spacing w:line="380" w:lineRule="exact"/>
    </w:pPr>
    <w:rPr>
      <w:sz w:val="24"/>
    </w:rPr>
  </w:style>
  <w:style w:type="paragraph" w:customStyle="1" w:styleId="32">
    <w:name w:val="footer1"/>
    <w:basedOn w:val="1"/>
    <w:qFormat/>
    <w:uiPriority w:val="0"/>
    <w:pPr>
      <w:tabs>
        <w:tab w:val="center" w:pos="4153"/>
        <w:tab w:val="right" w:pos="8306"/>
      </w:tabs>
      <w:snapToGrid w:val="0"/>
      <w:jc w:val="left"/>
    </w:pPr>
    <w:rPr>
      <w:rFonts w:ascii="Calibri" w:hAnsi="Calibri"/>
      <w:sz w:val="18"/>
    </w:rPr>
  </w:style>
  <w:style w:type="paragraph" w:styleId="33">
    <w:name w:val="List Paragraph"/>
    <w:basedOn w:val="1"/>
    <w:qFormat/>
    <w:uiPriority w:val="99"/>
    <w:pPr>
      <w:ind w:firstLine="420" w:firstLineChars="200"/>
    </w:pPr>
    <w:rPr>
      <w:rFonts w:ascii="Times New Roman" w:hAnsi="Times New Roman"/>
    </w:rPr>
  </w:style>
  <w:style w:type="character" w:customStyle="1" w:styleId="34">
    <w:name w:val="标题 3 字符"/>
    <w:link w:val="4"/>
    <w:qFormat/>
    <w:uiPriority w:val="0"/>
    <w:rPr>
      <w:rFonts w:ascii="Calibri" w:hAnsi="Calibri" w:eastAsia="宋体"/>
      <w:b/>
      <w:sz w:val="32"/>
    </w:rPr>
  </w:style>
  <w:style w:type="character" w:customStyle="1" w:styleId="35">
    <w:name w:val="NormalCharacter"/>
    <w:qFormat/>
    <w:uiPriority w:val="0"/>
  </w:style>
  <w:style w:type="character" w:customStyle="1" w:styleId="36">
    <w:name w:val="font41"/>
    <w:basedOn w:val="22"/>
    <w:qFormat/>
    <w:uiPriority w:val="0"/>
    <w:rPr>
      <w:rFonts w:hint="eastAsia" w:ascii="宋体" w:hAnsi="宋体" w:eastAsia="宋体" w:cs="宋体"/>
      <w:color w:val="FF0000"/>
      <w:sz w:val="24"/>
      <w:szCs w:val="24"/>
      <w:u w:val="none"/>
    </w:rPr>
  </w:style>
  <w:style w:type="paragraph" w:customStyle="1" w:styleId="37">
    <w:name w:val="UserStyle_0"/>
    <w:basedOn w:val="1"/>
    <w:qFormat/>
    <w:uiPriority w:val="0"/>
    <w:pPr>
      <w:jc w:val="left"/>
      <w:textAlignment w:val="baseline"/>
    </w:pPr>
    <w:rPr>
      <w:rFonts w:ascii="Times New Roman" w:hAnsi="Times New Roman" w:cs="Times New Roman"/>
      <w:bCs/>
      <w:spacing w:val="10"/>
      <w:kern w:val="0"/>
      <w:sz w:val="21"/>
      <w:szCs w:val="24"/>
      <w:lang w:val="en-US" w:eastAsia="zh-CN" w:bidi="ar-SA"/>
    </w:rPr>
  </w:style>
  <w:style w:type="paragraph" w:customStyle="1" w:styleId="38">
    <w:name w:val="p15"/>
    <w:basedOn w:val="1"/>
    <w:qFormat/>
    <w:uiPriority w:val="99"/>
    <w:pPr>
      <w:widowControl/>
    </w:pPr>
    <w:rPr>
      <w:rFonts w:ascii="宋体" w:hAnsi="宋体"/>
      <w:kern w:val="0"/>
      <w:szCs w:val="21"/>
    </w:rPr>
  </w:style>
  <w:style w:type="character" w:customStyle="1" w:styleId="39">
    <w:name w:val="hover4"/>
    <w:basedOn w:val="22"/>
    <w:qFormat/>
    <w:uiPriority w:val="0"/>
    <w:rPr>
      <w:color w:val="315EFB"/>
    </w:rPr>
  </w:style>
  <w:style w:type="character" w:customStyle="1" w:styleId="40">
    <w:name w:val="index-module_accountauthentication_3bwix"/>
    <w:basedOn w:val="22"/>
    <w:qFormat/>
    <w:uiPriority w:val="0"/>
  </w:style>
  <w:style w:type="paragraph" w:customStyle="1" w:styleId="41">
    <w:name w:val="Char1 Char Char Char Char Char Char"/>
    <w:basedOn w:val="1"/>
    <w:qFormat/>
    <w:uiPriority w:val="0"/>
    <w:rPr>
      <w:rFonts w:ascii="Tahoma" w:hAnsi="Tahoma"/>
      <w:sz w:val="24"/>
      <w:szCs w:val="20"/>
    </w:rPr>
  </w:style>
  <w:style w:type="table" w:customStyle="1" w:styleId="42">
    <w:name w:val="网格型1"/>
    <w:basedOn w:val="20"/>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3">
    <w:name w:val="列出段落2"/>
    <w:basedOn w:val="1"/>
    <w:qFormat/>
    <w:uiPriority w:val="34"/>
    <w:pPr>
      <w:ind w:firstLine="420" w:firstLineChars="200"/>
    </w:pPr>
    <w:rPr>
      <w:rFonts w:ascii="Calibri" w:hAnsi="Calibri"/>
      <w:szCs w:val="22"/>
    </w:rPr>
  </w:style>
  <w:style w:type="paragraph" w:customStyle="1" w:styleId="44">
    <w:name w:val="列出段落1"/>
    <w:basedOn w:val="1"/>
    <w:qFormat/>
    <w:uiPriority w:val="34"/>
    <w:pPr>
      <w:ind w:firstLine="420" w:firstLineChars="200"/>
    </w:pPr>
    <w:rPr>
      <w:rFonts w:ascii="Calibri" w:hAnsi="Calibri"/>
      <w:szCs w:val="22"/>
    </w:rPr>
  </w:style>
  <w:style w:type="paragraph" w:customStyle="1" w:styleId="45">
    <w:name w:val="_Style 2"/>
    <w:qFormat/>
    <w:uiPriority w:val="1"/>
    <w:rPr>
      <w:rFonts w:ascii="Times New Roman" w:hAnsi="Times New Roman" w:eastAsia="宋体" w:cs="Times New Roman"/>
      <w:sz w:val="22"/>
      <w:szCs w:val="22"/>
      <w:lang w:val="en-US" w:eastAsia="zh-CN" w:bidi="ar-SA"/>
    </w:rPr>
  </w:style>
  <w:style w:type="character" w:customStyle="1" w:styleId="46">
    <w:name w:val="font31"/>
    <w:basedOn w:val="22"/>
    <w:qFormat/>
    <w:uiPriority w:val="0"/>
    <w:rPr>
      <w:rFonts w:hint="eastAsia" w:ascii="宋体" w:hAnsi="宋体" w:eastAsia="宋体" w:cs="宋体"/>
      <w:color w:val="000000"/>
      <w:sz w:val="20"/>
      <w:szCs w:val="20"/>
      <w:u w:val="none"/>
    </w:rPr>
  </w:style>
  <w:style w:type="paragraph" w:customStyle="1" w:styleId="47">
    <w:name w:val="_Style 3"/>
    <w:basedOn w:val="1"/>
    <w:qFormat/>
    <w:uiPriority w:val="99"/>
    <w:pPr>
      <w:ind w:firstLine="420" w:firstLineChars="200"/>
    </w:pPr>
  </w:style>
  <w:style w:type="paragraph" w:customStyle="1" w:styleId="48">
    <w:name w:val="Body text|1"/>
    <w:qFormat/>
    <w:uiPriority w:val="0"/>
    <w:pPr>
      <w:widowControl w:val="0"/>
      <w:spacing w:line="350" w:lineRule="auto"/>
      <w:ind w:firstLine="400"/>
      <w:jc w:val="left"/>
    </w:pPr>
    <w:rPr>
      <w:rFonts w:ascii="宋体" w:hAnsi="宋体" w:eastAsia="宋体" w:cs="宋体"/>
      <w:kern w:val="0"/>
      <w:sz w:val="30"/>
      <w:szCs w:val="30"/>
      <w:lang w:val="en-US" w:eastAsia="zh-CN" w:bidi="ar-SA"/>
    </w:rPr>
  </w:style>
  <w:style w:type="character" w:customStyle="1" w:styleId="49">
    <w:name w:val="标题 1 字符"/>
    <w:link w:val="2"/>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18858</Words>
  <Characters>20311</Characters>
  <Lines>0</Lines>
  <Paragraphs>0</Paragraphs>
  <TotalTime>39</TotalTime>
  <ScaleCrop>false</ScaleCrop>
  <LinksUpToDate>false</LinksUpToDate>
  <CharactersWithSpaces>20868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2021-07-09T04:30:00Z</dcterms:created>
  <dc:creator>Administrator</dc:creator>
  <cp:lastModifiedBy>廖</cp:lastModifiedBy>
  <dcterms:modified xsi:type="dcterms:W3CDTF">2025-10-22T06:21:41Z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9122F08EC8AF4C4295F319BC0FA14BB8_13</vt:lpwstr>
  </property>
  <property fmtid="{D5CDD505-2E9C-101B-9397-08002B2CF9AE}" pid="4" name="commondata">
    <vt:lpwstr>eyJoZGlkIjoiZGVjMTNlODU2YmY3ZjAyYWE0NGE3NmJjZTdiMTE4ZDcifQ==</vt:lpwstr>
  </property>
  <property fmtid="{D5CDD505-2E9C-101B-9397-08002B2CF9AE}" pid="5" name="KSOTemplateDocerSaveRecord">
    <vt:lpwstr>eyJoZGlkIjoiYTYzODYyZTU4YmY1YWI4Yjg1ZjVlYTI2YmEyMGFhYjEiLCJ1c2VySWQiOiIxNTgyMDIyOTkzIn0=</vt:lpwstr>
  </property>
</Properties>
</file>