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A4605">
      <w:pPr>
        <w:pStyle w:val="16"/>
        <w:ind w:left="1659" w:leftChars="790" w:firstLine="520" w:firstLineChars="100"/>
        <w:rPr>
          <w:rFonts w:hint="eastAsia" w:ascii="宋体" w:hAnsi="宋体" w:cs="宋体"/>
          <w:b/>
          <w:color w:val="000000" w:themeColor="text1"/>
          <w:sz w:val="52"/>
          <w14:textFill>
            <w14:solidFill>
              <w14:schemeClr w14:val="tx1"/>
            </w14:solidFill>
          </w14:textFill>
        </w:rPr>
      </w:pPr>
      <w:bookmarkStart w:id="0" w:name="_Toc7014_WPSOffice_Level1"/>
      <w:bookmarkStart w:id="1" w:name="_Toc10319"/>
      <w:r>
        <w:rPr>
          <w:rFonts w:hint="eastAsia" w:ascii="宋体" w:hAnsi="宋体" w:cs="宋体"/>
          <w:b/>
          <w:color w:val="000000" w:themeColor="text1"/>
          <w:sz w:val="52"/>
          <w14:textFill>
            <w14:solidFill>
              <w14:schemeClr w14:val="tx1"/>
            </w14:solidFill>
          </w14:textFill>
        </w:rPr>
        <w:t>桂林市政府集中采购中心</w:t>
      </w:r>
    </w:p>
    <w:p w14:paraId="5BCD11EB">
      <w:pPr>
        <w:pStyle w:val="12"/>
        <w:rPr>
          <w:rFonts w:hint="eastAsia" w:ascii="宋体" w:hAnsi="宋体" w:cs="宋体"/>
          <w:b/>
          <w:bCs/>
          <w:color w:val="000000" w:themeColor="text1"/>
          <w:sz w:val="52"/>
          <w:szCs w:val="52"/>
          <w14:textFill>
            <w14:solidFill>
              <w14:schemeClr w14:val="tx1"/>
            </w14:solidFill>
          </w14:textFill>
        </w:rPr>
      </w:pPr>
    </w:p>
    <w:p w14:paraId="653557FC">
      <w:pPr>
        <w:pStyle w:val="12"/>
        <w:rPr>
          <w:rFonts w:hint="eastAsia" w:ascii="宋体" w:hAnsi="宋体" w:cs="宋体"/>
          <w:b/>
          <w:bCs/>
          <w:color w:val="000000" w:themeColor="text1"/>
          <w:sz w:val="52"/>
          <w:szCs w:val="52"/>
          <w14:textFill>
            <w14:solidFill>
              <w14:schemeClr w14:val="tx1"/>
            </w14:solidFill>
          </w14:textFill>
        </w:rPr>
      </w:pPr>
    </w:p>
    <w:p w14:paraId="4A7D42CD">
      <w:pPr>
        <w:pStyle w:val="12"/>
        <w:rPr>
          <w:rFonts w:hint="eastAsia" w:ascii="宋体" w:hAnsi="宋体" w:cs="宋体"/>
          <w:b/>
          <w:bCs/>
          <w:color w:val="000000" w:themeColor="text1"/>
          <w:sz w:val="52"/>
          <w:szCs w:val="52"/>
          <w14:textFill>
            <w14:solidFill>
              <w14:schemeClr w14:val="tx1"/>
            </w14:solidFill>
          </w14:textFill>
        </w:rPr>
      </w:pPr>
    </w:p>
    <w:p w14:paraId="42788DA9">
      <w:pPr>
        <w:ind w:left="558" w:right="683"/>
        <w:jc w:val="center"/>
        <w:rPr>
          <w:rFonts w:hint="eastAsia"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pacing w:val="93"/>
          <w:sz w:val="72"/>
          <w:szCs w:val="72"/>
          <w14:textFill>
            <w14:solidFill>
              <w14:schemeClr w14:val="tx1"/>
            </w14:solidFill>
          </w14:textFill>
        </w:rPr>
        <w:t>竞争性磋商文件</w:t>
      </w:r>
    </w:p>
    <w:p w14:paraId="25DF6869">
      <w:pPr>
        <w:jc w:val="center"/>
        <w:rPr>
          <w:rFonts w:hint="eastAsia" w:ascii="宋体" w:hAnsi="宋体" w:cs="宋体"/>
          <w:b/>
          <w:bCs/>
          <w:color w:val="000000" w:themeColor="text1"/>
          <w:sz w:val="52"/>
          <w:szCs w:val="52"/>
          <w14:textFill>
            <w14:solidFill>
              <w14:schemeClr w14:val="tx1"/>
            </w14:solidFill>
          </w14:textFill>
        </w:rPr>
      </w:pPr>
    </w:p>
    <w:p w14:paraId="06B539B9">
      <w:pPr>
        <w:jc w:val="center"/>
        <w:rPr>
          <w:rFonts w:hint="eastAsia" w:ascii="宋体" w:hAnsi="宋体" w:cs="宋体"/>
          <w:b/>
          <w:bCs/>
          <w:color w:val="000000" w:themeColor="text1"/>
          <w:sz w:val="52"/>
          <w:szCs w:val="52"/>
          <w14:textFill>
            <w14:solidFill>
              <w14:schemeClr w14:val="tx1"/>
            </w14:solidFill>
          </w14:textFill>
        </w:rPr>
      </w:pPr>
    </w:p>
    <w:p w14:paraId="71741CCF">
      <w:pPr>
        <w:jc w:val="center"/>
        <w:rPr>
          <w:rFonts w:hint="eastAsia" w:ascii="宋体" w:hAnsi="宋体" w:cs="宋体"/>
          <w:b/>
          <w:bCs/>
          <w:color w:val="000000" w:themeColor="text1"/>
          <w:sz w:val="52"/>
          <w:szCs w:val="52"/>
          <w14:textFill>
            <w14:solidFill>
              <w14:schemeClr w14:val="tx1"/>
            </w14:solidFill>
          </w14:textFill>
        </w:rPr>
      </w:pPr>
    </w:p>
    <w:p w14:paraId="0E8230A8">
      <w:pPr>
        <w:ind w:firstLine="2240" w:firstLineChars="7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 目 名 称：桂林国家高新区七星区数字城管应急指挥中心高清视频监控456个摄像头线路及平台服务项目</w:t>
      </w:r>
    </w:p>
    <w:p w14:paraId="33914F76">
      <w:pPr>
        <w:ind w:firstLine="2240" w:firstLineChars="7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项 目 编 号：GLZC2025-C3-990195-GLSZ</w:t>
      </w:r>
    </w:p>
    <w:p w14:paraId="68A21EB5">
      <w:pPr>
        <w:ind w:firstLine="1600" w:firstLineChars="500"/>
        <w:rPr>
          <w:rFonts w:hint="eastAsia" w:ascii="宋体" w:hAnsi="宋体" w:cs="宋体"/>
          <w:color w:val="000000" w:themeColor="text1"/>
          <w:sz w:val="32"/>
          <w:szCs w:val="32"/>
          <w14:textFill>
            <w14:solidFill>
              <w14:schemeClr w14:val="tx1"/>
            </w14:solidFill>
          </w14:textFill>
        </w:rPr>
      </w:pPr>
    </w:p>
    <w:p w14:paraId="2E80F27A">
      <w:pPr>
        <w:jc w:val="center"/>
        <w:rPr>
          <w:rFonts w:hint="eastAsia" w:ascii="宋体" w:hAnsi="宋体" w:cs="宋体"/>
          <w:color w:val="000000" w:themeColor="text1"/>
          <w:sz w:val="32"/>
          <w:szCs w:val="32"/>
          <w14:textFill>
            <w14:solidFill>
              <w14:schemeClr w14:val="tx1"/>
            </w14:solidFill>
          </w14:textFill>
        </w:rPr>
      </w:pPr>
    </w:p>
    <w:p w14:paraId="23E2FB4D">
      <w:pPr>
        <w:rPr>
          <w:rFonts w:hint="eastAsia" w:ascii="宋体" w:hAnsi="宋体" w:cs="宋体"/>
          <w:color w:val="000000" w:themeColor="text1"/>
          <w:sz w:val="32"/>
          <w:szCs w:val="32"/>
          <w14:textFill>
            <w14:solidFill>
              <w14:schemeClr w14:val="tx1"/>
            </w14:solidFill>
          </w14:textFill>
        </w:rPr>
      </w:pPr>
    </w:p>
    <w:p w14:paraId="55CF8FAA">
      <w:pPr>
        <w:jc w:val="center"/>
        <w:rPr>
          <w:rFonts w:hint="eastAsia" w:ascii="宋体" w:hAnsi="宋体" w:cs="宋体"/>
          <w:color w:val="000000" w:themeColor="text1"/>
          <w:sz w:val="32"/>
          <w:szCs w:val="32"/>
          <w14:textFill>
            <w14:solidFill>
              <w14:schemeClr w14:val="tx1"/>
            </w14:solidFill>
          </w14:textFill>
        </w:rPr>
      </w:pPr>
    </w:p>
    <w:p w14:paraId="16C74CAB">
      <w:pPr>
        <w:ind w:firstLine="2240" w:firstLineChars="700"/>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采购代理机构：桂林市政府集中采购中心</w:t>
      </w:r>
    </w:p>
    <w:p w14:paraId="76D502C7">
      <w:pPr>
        <w:pStyle w:val="8"/>
        <w:rPr>
          <w:rFonts w:hint="eastAsia" w:ascii="宋体" w:hAnsi="宋体" w:cs="宋体"/>
          <w:color w:val="000000" w:themeColor="text1"/>
          <w14:textFill>
            <w14:solidFill>
              <w14:schemeClr w14:val="tx1"/>
            </w14:solidFill>
          </w14:textFill>
        </w:rPr>
      </w:pPr>
    </w:p>
    <w:p w14:paraId="4EF5A913">
      <w:pPr>
        <w:ind w:firstLine="3840" w:firstLineChars="1200"/>
        <w:rPr>
          <w:rFonts w:hint="eastAsia" w:ascii="宋体" w:hAnsi="宋体" w:cs="宋体"/>
          <w:color w:val="000000" w:themeColor="text1"/>
          <w:sz w:val="48"/>
          <w:szCs w:val="48"/>
          <w:highlight w:val="none"/>
          <w14:textFill>
            <w14:solidFill>
              <w14:schemeClr w14:val="tx1"/>
            </w14:solidFill>
          </w14:textFill>
        </w:rPr>
        <w:sectPr>
          <w:headerReference r:id="rId3" w:type="default"/>
          <w:footerReference r:id="rId4" w:type="default"/>
          <w:pgSz w:w="11906" w:h="16838"/>
          <w:pgMar w:top="1440" w:right="935" w:bottom="1440" w:left="777" w:header="851" w:footer="992" w:gutter="0"/>
          <w:pgNumType w:fmt="numberInDash" w:start="1"/>
          <w:cols w:space="720" w:num="1"/>
          <w:docGrid w:type="linesAndChars" w:linePitch="312" w:charSpace="0"/>
        </w:sectPr>
      </w:pPr>
      <w:bookmarkStart w:id="2" w:name="OLE_LINK10"/>
      <w:r>
        <w:rPr>
          <w:rFonts w:hint="eastAsia" w:ascii="宋体" w:hAnsi="宋体" w:cs="宋体"/>
          <w:color w:val="000000" w:themeColor="text1"/>
          <w:sz w:val="32"/>
          <w:szCs w:val="32"/>
          <w:highlight w:val="none"/>
          <w14:textFill>
            <w14:solidFill>
              <w14:schemeClr w14:val="tx1"/>
            </w14:solidFill>
          </w14:textFill>
        </w:rPr>
        <w:t>2025年</w:t>
      </w:r>
      <w:r>
        <w:rPr>
          <w:rFonts w:hint="eastAsia" w:ascii="宋体" w:hAnsi="宋体" w:cs="宋体"/>
          <w:color w:val="000000" w:themeColor="text1"/>
          <w:sz w:val="32"/>
          <w:szCs w:val="32"/>
          <w:highlight w:val="none"/>
          <w:lang w:val="en-US" w:eastAsia="zh-CN"/>
          <w14:textFill>
            <w14:solidFill>
              <w14:schemeClr w14:val="tx1"/>
            </w14:solidFill>
          </w14:textFill>
        </w:rPr>
        <w:t>7</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lang w:val="en-US" w:eastAsia="zh-CN"/>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t>日</w:t>
      </w:r>
    </w:p>
    <w:bookmarkEnd w:id="2"/>
    <w:p w14:paraId="4164163E">
      <w:pPr>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目</w:t>
      </w:r>
      <w:r>
        <w:rPr>
          <w:rFonts w:hint="eastAsia"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000000" w:themeColor="text1"/>
          <w:sz w:val="36"/>
          <w:szCs w:val="36"/>
          <w:lang w:val="zh-CN"/>
          <w14:textFill>
            <w14:solidFill>
              <w14:schemeClr w14:val="tx1"/>
            </w14:solidFill>
          </w14:textFill>
        </w:rPr>
        <w:t>录</w:t>
      </w:r>
    </w:p>
    <w:p w14:paraId="37B62848">
      <w:pPr>
        <w:pStyle w:val="14"/>
        <w:tabs>
          <w:tab w:val="right" w:leader="dot" w:pos="10194"/>
        </w:tabs>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TOC \o "1-3" \h \z \u </w:instrText>
      </w:r>
      <w:r>
        <w:rPr>
          <w:rFonts w:hint="eastAsia" w:ascii="宋体" w:hAnsi="宋体" w:cs="宋体"/>
          <w:color w:val="000000" w:themeColor="text1"/>
          <w14:textFill>
            <w14:solidFill>
              <w14:schemeClr w14:val="tx1"/>
            </w14:solidFill>
          </w14:textFill>
        </w:rPr>
        <w:fldChar w:fldCharType="separate"/>
      </w:r>
      <w:r>
        <w:fldChar w:fldCharType="begin"/>
      </w:r>
      <w:r>
        <w:instrText xml:space="preserve"> HYPERLINK \l "_Toc18669" </w:instrText>
      </w:r>
      <w:r>
        <w:fldChar w:fldCharType="separate"/>
      </w:r>
      <w:r>
        <w:rPr>
          <w:rFonts w:hint="eastAsia" w:ascii="宋体" w:hAnsi="宋体" w:cs="宋体"/>
          <w:szCs w:val="32"/>
        </w:rPr>
        <w:t>第一章 竞争性磋商公告</w:t>
      </w:r>
      <w:r>
        <w:tab/>
      </w:r>
      <w:r>
        <w:fldChar w:fldCharType="begin"/>
      </w:r>
      <w:r>
        <w:instrText xml:space="preserve"> PAGEREF _Toc18669 \h </w:instrText>
      </w:r>
      <w:r>
        <w:fldChar w:fldCharType="separate"/>
      </w:r>
      <w:r>
        <w:t>- 1 -</w:t>
      </w:r>
      <w:r>
        <w:fldChar w:fldCharType="end"/>
      </w:r>
      <w:r>
        <w:fldChar w:fldCharType="end"/>
      </w:r>
    </w:p>
    <w:p w14:paraId="6234313D">
      <w:pPr>
        <w:pStyle w:val="14"/>
        <w:tabs>
          <w:tab w:val="right" w:leader="dot" w:pos="10194"/>
        </w:tabs>
      </w:pPr>
      <w:r>
        <w:fldChar w:fldCharType="begin"/>
      </w:r>
      <w:r>
        <w:instrText xml:space="preserve"> HYPERLINK \l "_Toc24366" </w:instrText>
      </w:r>
      <w:r>
        <w:fldChar w:fldCharType="separate"/>
      </w:r>
      <w:r>
        <w:rPr>
          <w:rFonts w:hint="eastAsia" w:ascii="宋体" w:hAnsi="宋体" w:cs="宋体"/>
          <w:szCs w:val="32"/>
        </w:rPr>
        <w:t>第二章 供应商须知</w:t>
      </w:r>
      <w:r>
        <w:tab/>
      </w:r>
      <w:r>
        <w:fldChar w:fldCharType="begin"/>
      </w:r>
      <w:r>
        <w:instrText xml:space="preserve"> PAGEREF _Toc24366 \h </w:instrText>
      </w:r>
      <w:r>
        <w:fldChar w:fldCharType="separate"/>
      </w:r>
      <w:r>
        <w:t>- 4 -</w:t>
      </w:r>
      <w:r>
        <w:fldChar w:fldCharType="end"/>
      </w:r>
      <w:r>
        <w:fldChar w:fldCharType="end"/>
      </w:r>
    </w:p>
    <w:p w14:paraId="0751DE42">
      <w:pPr>
        <w:pStyle w:val="15"/>
        <w:tabs>
          <w:tab w:val="right" w:leader="dot" w:pos="10194"/>
        </w:tabs>
      </w:pPr>
      <w:r>
        <w:fldChar w:fldCharType="begin"/>
      </w:r>
      <w:r>
        <w:instrText xml:space="preserve"> HYPERLINK \l "_Toc23099" </w:instrText>
      </w:r>
      <w:r>
        <w:fldChar w:fldCharType="separate"/>
      </w:r>
      <w:r>
        <w:rPr>
          <w:rFonts w:hint="eastAsia" w:ascii="宋体" w:hAnsi="宋体" w:cs="宋体"/>
        </w:rPr>
        <w:t>供 应 商 须 知 前 附 表</w:t>
      </w:r>
      <w:r>
        <w:tab/>
      </w:r>
      <w:r>
        <w:fldChar w:fldCharType="begin"/>
      </w:r>
      <w:r>
        <w:instrText xml:space="preserve"> PAGEREF _Toc23099 \h </w:instrText>
      </w:r>
      <w:r>
        <w:fldChar w:fldCharType="separate"/>
      </w:r>
      <w:r>
        <w:t>- 4 -</w:t>
      </w:r>
      <w:r>
        <w:fldChar w:fldCharType="end"/>
      </w:r>
      <w:r>
        <w:fldChar w:fldCharType="end"/>
      </w:r>
    </w:p>
    <w:p w14:paraId="6AC84F6F">
      <w:pPr>
        <w:pStyle w:val="10"/>
        <w:tabs>
          <w:tab w:val="right" w:leader="dot" w:pos="10194"/>
        </w:tabs>
      </w:pPr>
      <w:r>
        <w:fldChar w:fldCharType="begin"/>
      </w:r>
      <w:r>
        <w:instrText xml:space="preserve"> HYPERLINK \l "_Toc32595" </w:instrText>
      </w:r>
      <w:r>
        <w:fldChar w:fldCharType="separate"/>
      </w:r>
      <w:r>
        <w:rPr>
          <w:rFonts w:hint="eastAsia" w:ascii="宋体" w:hAnsi="宋体" w:cs="宋体"/>
          <w:bCs/>
          <w:szCs w:val="21"/>
        </w:rPr>
        <w:t>竞争性磋商响应文件的制作</w:t>
      </w:r>
      <w:r>
        <w:tab/>
      </w:r>
      <w:r>
        <w:fldChar w:fldCharType="begin"/>
      </w:r>
      <w:r>
        <w:instrText xml:space="preserve"> PAGEREF _Toc32595 \h </w:instrText>
      </w:r>
      <w:r>
        <w:fldChar w:fldCharType="separate"/>
      </w:r>
      <w:r>
        <w:t>- 4 -</w:t>
      </w:r>
      <w:r>
        <w:fldChar w:fldCharType="end"/>
      </w:r>
      <w:r>
        <w:fldChar w:fldCharType="end"/>
      </w:r>
    </w:p>
    <w:p w14:paraId="219C3DC7">
      <w:pPr>
        <w:pStyle w:val="15"/>
        <w:tabs>
          <w:tab w:val="right" w:leader="dot" w:pos="10194"/>
        </w:tabs>
      </w:pPr>
      <w:r>
        <w:fldChar w:fldCharType="begin"/>
      </w:r>
      <w:r>
        <w:instrText xml:space="preserve"> HYPERLINK \l "_Toc7741" </w:instrText>
      </w:r>
      <w:r>
        <w:fldChar w:fldCharType="separate"/>
      </w:r>
      <w:r>
        <w:rPr>
          <w:rFonts w:hint="eastAsia" w:ascii="宋体" w:hAnsi="宋体" w:cs="宋体"/>
          <w:szCs w:val="28"/>
        </w:rPr>
        <w:t>一、总则</w:t>
      </w:r>
      <w:r>
        <w:tab/>
      </w:r>
      <w:r>
        <w:fldChar w:fldCharType="begin"/>
      </w:r>
      <w:r>
        <w:instrText xml:space="preserve"> PAGEREF _Toc7741 \h </w:instrText>
      </w:r>
      <w:r>
        <w:fldChar w:fldCharType="separate"/>
      </w:r>
      <w:r>
        <w:t>- 8 -</w:t>
      </w:r>
      <w:r>
        <w:fldChar w:fldCharType="end"/>
      </w:r>
      <w:r>
        <w:fldChar w:fldCharType="end"/>
      </w:r>
    </w:p>
    <w:p w14:paraId="01FAB6DD">
      <w:pPr>
        <w:pStyle w:val="10"/>
        <w:tabs>
          <w:tab w:val="right" w:leader="dot" w:pos="10194"/>
        </w:tabs>
      </w:pPr>
      <w:r>
        <w:fldChar w:fldCharType="begin"/>
      </w:r>
      <w:r>
        <w:instrText xml:space="preserve"> HYPERLINK \l "_Toc25627" </w:instrText>
      </w:r>
      <w:r>
        <w:fldChar w:fldCharType="separate"/>
      </w:r>
      <w:r>
        <w:rPr>
          <w:rFonts w:hint="eastAsia" w:ascii="宋体" w:hAnsi="宋体" w:cs="宋体"/>
          <w:szCs w:val="21"/>
        </w:rPr>
        <w:t>1. 适应范围</w:t>
      </w:r>
      <w:r>
        <w:tab/>
      </w:r>
      <w:r>
        <w:fldChar w:fldCharType="begin"/>
      </w:r>
      <w:r>
        <w:instrText xml:space="preserve"> PAGEREF _Toc25627 \h </w:instrText>
      </w:r>
      <w:r>
        <w:fldChar w:fldCharType="separate"/>
      </w:r>
      <w:r>
        <w:t>- 8 -</w:t>
      </w:r>
      <w:r>
        <w:fldChar w:fldCharType="end"/>
      </w:r>
      <w:r>
        <w:fldChar w:fldCharType="end"/>
      </w:r>
    </w:p>
    <w:p w14:paraId="0A45FF46">
      <w:pPr>
        <w:pStyle w:val="10"/>
        <w:tabs>
          <w:tab w:val="right" w:leader="dot" w:pos="10194"/>
        </w:tabs>
      </w:pPr>
      <w:r>
        <w:fldChar w:fldCharType="begin"/>
      </w:r>
      <w:r>
        <w:instrText xml:space="preserve"> HYPERLINK \l "_Toc799" </w:instrText>
      </w:r>
      <w:r>
        <w:fldChar w:fldCharType="separate"/>
      </w:r>
      <w:r>
        <w:rPr>
          <w:rFonts w:hint="eastAsia" w:ascii="宋体" w:hAnsi="宋体" w:cs="宋体"/>
          <w:szCs w:val="21"/>
        </w:rPr>
        <w:t>2. 定义</w:t>
      </w:r>
      <w:r>
        <w:tab/>
      </w:r>
      <w:r>
        <w:fldChar w:fldCharType="begin"/>
      </w:r>
      <w:r>
        <w:instrText xml:space="preserve"> PAGEREF _Toc799 \h </w:instrText>
      </w:r>
      <w:r>
        <w:fldChar w:fldCharType="separate"/>
      </w:r>
      <w:r>
        <w:t>- 8 -</w:t>
      </w:r>
      <w:r>
        <w:fldChar w:fldCharType="end"/>
      </w:r>
      <w:r>
        <w:fldChar w:fldCharType="end"/>
      </w:r>
    </w:p>
    <w:p w14:paraId="3A5EE2BF">
      <w:pPr>
        <w:pStyle w:val="10"/>
        <w:tabs>
          <w:tab w:val="right" w:leader="dot" w:pos="10194"/>
        </w:tabs>
      </w:pPr>
      <w:r>
        <w:fldChar w:fldCharType="begin"/>
      </w:r>
      <w:r>
        <w:instrText xml:space="preserve"> HYPERLINK \l "_Toc2792" </w:instrText>
      </w:r>
      <w:r>
        <w:fldChar w:fldCharType="separate"/>
      </w:r>
      <w:r>
        <w:rPr>
          <w:rFonts w:hint="eastAsia" w:ascii="宋体" w:hAnsi="宋体" w:cs="宋体"/>
          <w:szCs w:val="21"/>
        </w:rPr>
        <w:t>3. 供应商资格</w:t>
      </w:r>
      <w:r>
        <w:tab/>
      </w:r>
      <w:r>
        <w:fldChar w:fldCharType="begin"/>
      </w:r>
      <w:r>
        <w:instrText xml:space="preserve"> PAGEREF _Toc2792 \h </w:instrText>
      </w:r>
      <w:r>
        <w:fldChar w:fldCharType="separate"/>
      </w:r>
      <w:r>
        <w:t>- 8 -</w:t>
      </w:r>
      <w:r>
        <w:fldChar w:fldCharType="end"/>
      </w:r>
      <w:r>
        <w:fldChar w:fldCharType="end"/>
      </w:r>
    </w:p>
    <w:p w14:paraId="652D7A57">
      <w:pPr>
        <w:pStyle w:val="10"/>
        <w:tabs>
          <w:tab w:val="right" w:leader="dot" w:pos="10194"/>
        </w:tabs>
      </w:pPr>
      <w:r>
        <w:fldChar w:fldCharType="begin"/>
      </w:r>
      <w:r>
        <w:instrText xml:space="preserve"> HYPERLINK \l "_Toc684" </w:instrText>
      </w:r>
      <w:r>
        <w:fldChar w:fldCharType="separate"/>
      </w:r>
      <w:r>
        <w:rPr>
          <w:rFonts w:hint="eastAsia" w:ascii="宋体" w:hAnsi="宋体" w:cs="宋体"/>
          <w:szCs w:val="21"/>
        </w:rPr>
        <w:t>4. 磋商费用</w:t>
      </w:r>
      <w:r>
        <w:tab/>
      </w:r>
      <w:r>
        <w:fldChar w:fldCharType="begin"/>
      </w:r>
      <w:r>
        <w:instrText xml:space="preserve"> PAGEREF _Toc684 \h </w:instrText>
      </w:r>
      <w:r>
        <w:fldChar w:fldCharType="separate"/>
      </w:r>
      <w:r>
        <w:t>- 8 -</w:t>
      </w:r>
      <w:r>
        <w:fldChar w:fldCharType="end"/>
      </w:r>
      <w:r>
        <w:fldChar w:fldCharType="end"/>
      </w:r>
    </w:p>
    <w:p w14:paraId="1CBB38AB">
      <w:pPr>
        <w:pStyle w:val="10"/>
        <w:tabs>
          <w:tab w:val="right" w:leader="dot" w:pos="10194"/>
        </w:tabs>
      </w:pPr>
      <w:r>
        <w:fldChar w:fldCharType="begin"/>
      </w:r>
      <w:r>
        <w:instrText xml:space="preserve"> HYPERLINK \l "_Toc11600" </w:instrText>
      </w:r>
      <w:r>
        <w:fldChar w:fldCharType="separate"/>
      </w:r>
      <w:r>
        <w:rPr>
          <w:rFonts w:hint="eastAsia" w:ascii="宋体" w:hAnsi="宋体" w:cs="宋体"/>
          <w:szCs w:val="21"/>
        </w:rPr>
        <w:t>5. 联合体要求</w:t>
      </w:r>
      <w:r>
        <w:tab/>
      </w:r>
      <w:r>
        <w:fldChar w:fldCharType="begin"/>
      </w:r>
      <w:r>
        <w:instrText xml:space="preserve"> PAGEREF _Toc11600 \h </w:instrText>
      </w:r>
      <w:r>
        <w:fldChar w:fldCharType="separate"/>
      </w:r>
      <w:r>
        <w:t>- 8 -</w:t>
      </w:r>
      <w:r>
        <w:fldChar w:fldCharType="end"/>
      </w:r>
      <w:r>
        <w:fldChar w:fldCharType="end"/>
      </w:r>
    </w:p>
    <w:p w14:paraId="5579C286">
      <w:pPr>
        <w:pStyle w:val="10"/>
        <w:tabs>
          <w:tab w:val="right" w:leader="dot" w:pos="10194"/>
        </w:tabs>
      </w:pPr>
      <w:r>
        <w:fldChar w:fldCharType="begin"/>
      </w:r>
      <w:r>
        <w:instrText xml:space="preserve"> HYPERLINK \l "_Toc19438" </w:instrText>
      </w:r>
      <w:r>
        <w:fldChar w:fldCharType="separate"/>
      </w:r>
      <w:r>
        <w:rPr>
          <w:rFonts w:hint="eastAsia" w:ascii="宋体" w:hAnsi="宋体" w:cs="宋体"/>
          <w:szCs w:val="21"/>
        </w:rPr>
        <w:t>6. 转包与分包</w:t>
      </w:r>
      <w:r>
        <w:tab/>
      </w:r>
      <w:r>
        <w:fldChar w:fldCharType="begin"/>
      </w:r>
      <w:r>
        <w:instrText xml:space="preserve"> PAGEREF _Toc19438 \h </w:instrText>
      </w:r>
      <w:r>
        <w:fldChar w:fldCharType="separate"/>
      </w:r>
      <w:r>
        <w:t>- 8 -</w:t>
      </w:r>
      <w:r>
        <w:fldChar w:fldCharType="end"/>
      </w:r>
      <w:r>
        <w:fldChar w:fldCharType="end"/>
      </w:r>
    </w:p>
    <w:p w14:paraId="3B2876AE">
      <w:pPr>
        <w:pStyle w:val="10"/>
        <w:tabs>
          <w:tab w:val="right" w:leader="dot" w:pos="10194"/>
        </w:tabs>
      </w:pPr>
      <w:r>
        <w:fldChar w:fldCharType="begin"/>
      </w:r>
      <w:r>
        <w:instrText xml:space="preserve"> HYPERLINK \l "_Toc27497" </w:instrText>
      </w:r>
      <w:r>
        <w:fldChar w:fldCharType="separate"/>
      </w:r>
      <w:r>
        <w:rPr>
          <w:rFonts w:hint="eastAsia" w:ascii="宋体" w:hAnsi="宋体" w:cs="宋体"/>
          <w:szCs w:val="21"/>
        </w:rPr>
        <w:t>7. 质疑和投诉</w:t>
      </w:r>
      <w:r>
        <w:tab/>
      </w:r>
      <w:r>
        <w:fldChar w:fldCharType="begin"/>
      </w:r>
      <w:r>
        <w:instrText xml:space="preserve"> PAGEREF _Toc27497 \h </w:instrText>
      </w:r>
      <w:r>
        <w:fldChar w:fldCharType="separate"/>
      </w:r>
      <w:r>
        <w:t>- 8 -</w:t>
      </w:r>
      <w:r>
        <w:fldChar w:fldCharType="end"/>
      </w:r>
      <w:r>
        <w:fldChar w:fldCharType="end"/>
      </w:r>
    </w:p>
    <w:p w14:paraId="1A5DCF8C">
      <w:pPr>
        <w:pStyle w:val="10"/>
        <w:tabs>
          <w:tab w:val="right" w:leader="dot" w:pos="10194"/>
        </w:tabs>
      </w:pPr>
      <w:r>
        <w:fldChar w:fldCharType="begin"/>
      </w:r>
      <w:r>
        <w:instrText xml:space="preserve"> HYPERLINK \l "_Toc22055" </w:instrText>
      </w:r>
      <w:r>
        <w:fldChar w:fldCharType="separate"/>
      </w:r>
      <w:r>
        <w:rPr>
          <w:rFonts w:hint="eastAsia" w:ascii="宋体" w:hAnsi="宋体" w:cs="宋体"/>
          <w:szCs w:val="21"/>
        </w:rPr>
        <w:t>8. 特别说明</w:t>
      </w:r>
      <w:r>
        <w:tab/>
      </w:r>
      <w:r>
        <w:fldChar w:fldCharType="begin"/>
      </w:r>
      <w:r>
        <w:instrText xml:space="preserve"> PAGEREF _Toc22055 \h </w:instrText>
      </w:r>
      <w:r>
        <w:fldChar w:fldCharType="separate"/>
      </w:r>
      <w:r>
        <w:t>- 9 -</w:t>
      </w:r>
      <w:r>
        <w:fldChar w:fldCharType="end"/>
      </w:r>
      <w:r>
        <w:fldChar w:fldCharType="end"/>
      </w:r>
    </w:p>
    <w:p w14:paraId="1BEFFBA3">
      <w:pPr>
        <w:pStyle w:val="15"/>
        <w:tabs>
          <w:tab w:val="right" w:leader="dot" w:pos="10194"/>
        </w:tabs>
      </w:pPr>
      <w:r>
        <w:fldChar w:fldCharType="begin"/>
      </w:r>
      <w:r>
        <w:instrText xml:space="preserve"> HYPERLINK \l "_Toc18634" </w:instrText>
      </w:r>
      <w:r>
        <w:fldChar w:fldCharType="separate"/>
      </w:r>
      <w:r>
        <w:rPr>
          <w:rFonts w:hint="eastAsia" w:ascii="宋体" w:hAnsi="宋体" w:cs="宋体"/>
          <w:szCs w:val="28"/>
        </w:rPr>
        <w:t>二、磋商文件</w:t>
      </w:r>
      <w:r>
        <w:tab/>
      </w:r>
      <w:r>
        <w:fldChar w:fldCharType="begin"/>
      </w:r>
      <w:r>
        <w:instrText xml:space="preserve"> PAGEREF _Toc18634 \h </w:instrText>
      </w:r>
      <w:r>
        <w:fldChar w:fldCharType="separate"/>
      </w:r>
      <w:r>
        <w:t>- 9 -</w:t>
      </w:r>
      <w:r>
        <w:fldChar w:fldCharType="end"/>
      </w:r>
      <w:r>
        <w:fldChar w:fldCharType="end"/>
      </w:r>
    </w:p>
    <w:p w14:paraId="60956485">
      <w:pPr>
        <w:pStyle w:val="10"/>
        <w:tabs>
          <w:tab w:val="right" w:leader="dot" w:pos="10194"/>
        </w:tabs>
      </w:pPr>
      <w:r>
        <w:fldChar w:fldCharType="begin"/>
      </w:r>
      <w:r>
        <w:instrText xml:space="preserve"> HYPERLINK \l "_Toc27899" </w:instrText>
      </w:r>
      <w:r>
        <w:fldChar w:fldCharType="separate"/>
      </w:r>
      <w:r>
        <w:rPr>
          <w:rFonts w:hint="eastAsia" w:ascii="宋体" w:hAnsi="宋体" w:cs="宋体"/>
          <w:szCs w:val="21"/>
          <w:lang w:val="pt-BR"/>
        </w:rPr>
        <w:t xml:space="preserve">9. </w:t>
      </w:r>
      <w:r>
        <w:rPr>
          <w:rFonts w:hint="eastAsia" w:ascii="宋体" w:hAnsi="宋体" w:cs="宋体"/>
          <w:szCs w:val="21"/>
        </w:rPr>
        <w:t>磋商文件的构成</w:t>
      </w:r>
      <w:r>
        <w:tab/>
      </w:r>
      <w:r>
        <w:fldChar w:fldCharType="begin"/>
      </w:r>
      <w:r>
        <w:instrText xml:space="preserve"> PAGEREF _Toc27899 \h </w:instrText>
      </w:r>
      <w:r>
        <w:fldChar w:fldCharType="separate"/>
      </w:r>
      <w:r>
        <w:t>- 9 -</w:t>
      </w:r>
      <w:r>
        <w:fldChar w:fldCharType="end"/>
      </w:r>
      <w:r>
        <w:fldChar w:fldCharType="end"/>
      </w:r>
    </w:p>
    <w:p w14:paraId="5E3E2705">
      <w:pPr>
        <w:pStyle w:val="10"/>
        <w:tabs>
          <w:tab w:val="right" w:leader="dot" w:pos="10194"/>
        </w:tabs>
      </w:pPr>
      <w:r>
        <w:fldChar w:fldCharType="begin"/>
      </w:r>
      <w:r>
        <w:instrText xml:space="preserve"> HYPERLINK \l "_Toc3601" </w:instrText>
      </w:r>
      <w:r>
        <w:fldChar w:fldCharType="separate"/>
      </w:r>
      <w:r>
        <w:rPr>
          <w:rFonts w:hint="eastAsia" w:ascii="宋体" w:hAnsi="宋体" w:cs="宋体"/>
          <w:szCs w:val="21"/>
        </w:rPr>
        <w:t>10. 磋商文件的澄清与修改</w:t>
      </w:r>
      <w:r>
        <w:tab/>
      </w:r>
      <w:r>
        <w:fldChar w:fldCharType="begin"/>
      </w:r>
      <w:r>
        <w:instrText xml:space="preserve"> PAGEREF _Toc3601 \h </w:instrText>
      </w:r>
      <w:r>
        <w:fldChar w:fldCharType="separate"/>
      </w:r>
      <w:r>
        <w:t>- 9 -</w:t>
      </w:r>
      <w:r>
        <w:fldChar w:fldCharType="end"/>
      </w:r>
      <w:r>
        <w:fldChar w:fldCharType="end"/>
      </w:r>
    </w:p>
    <w:p w14:paraId="116BC974">
      <w:pPr>
        <w:pStyle w:val="15"/>
        <w:tabs>
          <w:tab w:val="right" w:leader="dot" w:pos="10194"/>
        </w:tabs>
      </w:pPr>
      <w:r>
        <w:fldChar w:fldCharType="begin"/>
      </w:r>
      <w:r>
        <w:instrText xml:space="preserve"> HYPERLINK \l "_Toc15364" </w:instrText>
      </w:r>
      <w:r>
        <w:fldChar w:fldCharType="separate"/>
      </w:r>
      <w:r>
        <w:rPr>
          <w:rFonts w:hint="eastAsia" w:ascii="宋体" w:hAnsi="宋体" w:cs="宋体"/>
          <w:szCs w:val="28"/>
        </w:rPr>
        <w:t>三、竞争性磋商响应文件的编制</w:t>
      </w:r>
      <w:r>
        <w:tab/>
      </w:r>
      <w:r>
        <w:fldChar w:fldCharType="begin"/>
      </w:r>
      <w:r>
        <w:instrText xml:space="preserve"> PAGEREF _Toc15364 \h </w:instrText>
      </w:r>
      <w:r>
        <w:fldChar w:fldCharType="separate"/>
      </w:r>
      <w:r>
        <w:t>- 10 -</w:t>
      </w:r>
      <w:r>
        <w:fldChar w:fldCharType="end"/>
      </w:r>
      <w:r>
        <w:fldChar w:fldCharType="end"/>
      </w:r>
    </w:p>
    <w:p w14:paraId="6F1C2A6C">
      <w:pPr>
        <w:pStyle w:val="10"/>
        <w:tabs>
          <w:tab w:val="right" w:leader="dot" w:pos="10194"/>
        </w:tabs>
      </w:pPr>
      <w:r>
        <w:fldChar w:fldCharType="begin"/>
      </w:r>
      <w:r>
        <w:instrText xml:space="preserve"> HYPERLINK \l "_Toc4090" </w:instrText>
      </w:r>
      <w:r>
        <w:fldChar w:fldCharType="separate"/>
      </w:r>
      <w:r>
        <w:rPr>
          <w:rFonts w:hint="eastAsia" w:ascii="宋体" w:hAnsi="宋体" w:cs="宋体"/>
          <w:szCs w:val="21"/>
        </w:rPr>
        <w:t>11.竞争性磋商响应文件编制基本要求</w:t>
      </w:r>
      <w:r>
        <w:tab/>
      </w:r>
      <w:r>
        <w:fldChar w:fldCharType="begin"/>
      </w:r>
      <w:r>
        <w:instrText xml:space="preserve"> PAGEREF _Toc4090 \h </w:instrText>
      </w:r>
      <w:r>
        <w:fldChar w:fldCharType="separate"/>
      </w:r>
      <w:r>
        <w:t>- 10 -</w:t>
      </w:r>
      <w:r>
        <w:fldChar w:fldCharType="end"/>
      </w:r>
      <w:r>
        <w:fldChar w:fldCharType="end"/>
      </w:r>
    </w:p>
    <w:p w14:paraId="269475C9">
      <w:pPr>
        <w:pStyle w:val="10"/>
        <w:tabs>
          <w:tab w:val="right" w:leader="dot" w:pos="10194"/>
        </w:tabs>
      </w:pPr>
      <w:r>
        <w:fldChar w:fldCharType="begin"/>
      </w:r>
      <w:r>
        <w:instrText xml:space="preserve"> HYPERLINK \l "_Toc1626" </w:instrText>
      </w:r>
      <w:r>
        <w:fldChar w:fldCharType="separate"/>
      </w:r>
      <w:r>
        <w:rPr>
          <w:rFonts w:hint="eastAsia" w:ascii="宋体" w:hAnsi="宋体" w:cs="宋体"/>
          <w:szCs w:val="21"/>
        </w:rPr>
        <w:t>12. 响应文件的语言及计量</w:t>
      </w:r>
      <w:r>
        <w:tab/>
      </w:r>
      <w:r>
        <w:fldChar w:fldCharType="begin"/>
      </w:r>
      <w:r>
        <w:instrText xml:space="preserve"> PAGEREF _Toc1626 \h </w:instrText>
      </w:r>
      <w:r>
        <w:fldChar w:fldCharType="separate"/>
      </w:r>
      <w:r>
        <w:t>- 12 -</w:t>
      </w:r>
      <w:r>
        <w:fldChar w:fldCharType="end"/>
      </w:r>
      <w:r>
        <w:fldChar w:fldCharType="end"/>
      </w:r>
    </w:p>
    <w:p w14:paraId="28775FEF">
      <w:pPr>
        <w:pStyle w:val="10"/>
        <w:tabs>
          <w:tab w:val="right" w:leader="dot" w:pos="10194"/>
        </w:tabs>
      </w:pPr>
      <w:r>
        <w:fldChar w:fldCharType="begin"/>
      </w:r>
      <w:r>
        <w:instrText xml:space="preserve"> HYPERLINK \l "_Toc26980" </w:instrText>
      </w:r>
      <w:r>
        <w:fldChar w:fldCharType="separate"/>
      </w:r>
      <w:r>
        <w:rPr>
          <w:rFonts w:hint="eastAsia" w:ascii="宋体" w:hAnsi="宋体" w:cs="宋体"/>
          <w:szCs w:val="21"/>
        </w:rPr>
        <w:t>13. 磋商报价及采购预算金额</w:t>
      </w:r>
      <w:r>
        <w:tab/>
      </w:r>
      <w:r>
        <w:fldChar w:fldCharType="begin"/>
      </w:r>
      <w:r>
        <w:instrText xml:space="preserve"> PAGEREF _Toc26980 \h </w:instrText>
      </w:r>
      <w:r>
        <w:fldChar w:fldCharType="separate"/>
      </w:r>
      <w:r>
        <w:t>- 12 -</w:t>
      </w:r>
      <w:r>
        <w:fldChar w:fldCharType="end"/>
      </w:r>
      <w:r>
        <w:fldChar w:fldCharType="end"/>
      </w:r>
    </w:p>
    <w:p w14:paraId="06A82B58">
      <w:pPr>
        <w:pStyle w:val="10"/>
        <w:tabs>
          <w:tab w:val="right" w:leader="dot" w:pos="10194"/>
        </w:tabs>
      </w:pPr>
      <w:r>
        <w:fldChar w:fldCharType="begin"/>
      </w:r>
      <w:r>
        <w:instrText xml:space="preserve"> HYPERLINK \l "_Toc22268" </w:instrText>
      </w:r>
      <w:r>
        <w:fldChar w:fldCharType="separate"/>
      </w:r>
      <w:r>
        <w:rPr>
          <w:rFonts w:hint="eastAsia" w:ascii="宋体" w:hAnsi="宋体" w:cs="宋体"/>
          <w:szCs w:val="21"/>
        </w:rPr>
        <w:t>14. 响应文件有效期</w:t>
      </w:r>
      <w:r>
        <w:tab/>
      </w:r>
      <w:r>
        <w:fldChar w:fldCharType="begin"/>
      </w:r>
      <w:r>
        <w:instrText xml:space="preserve"> PAGEREF _Toc22268 \h </w:instrText>
      </w:r>
      <w:r>
        <w:fldChar w:fldCharType="separate"/>
      </w:r>
      <w:r>
        <w:t>- 13 -</w:t>
      </w:r>
      <w:r>
        <w:fldChar w:fldCharType="end"/>
      </w:r>
      <w:r>
        <w:fldChar w:fldCharType="end"/>
      </w:r>
    </w:p>
    <w:p w14:paraId="7C93886F">
      <w:pPr>
        <w:pStyle w:val="10"/>
        <w:tabs>
          <w:tab w:val="right" w:leader="dot" w:pos="10194"/>
        </w:tabs>
      </w:pPr>
      <w:r>
        <w:fldChar w:fldCharType="begin"/>
      </w:r>
      <w:r>
        <w:instrText xml:space="preserve"> HYPERLINK \l "_Toc20097" </w:instrText>
      </w:r>
      <w:r>
        <w:fldChar w:fldCharType="separate"/>
      </w:r>
      <w:r>
        <w:rPr>
          <w:rFonts w:hint="eastAsia" w:ascii="宋体" w:hAnsi="宋体" w:cs="宋体"/>
          <w:szCs w:val="21"/>
        </w:rPr>
        <w:t>15. 磋商保证金</w:t>
      </w:r>
      <w:r>
        <w:tab/>
      </w:r>
      <w:r>
        <w:fldChar w:fldCharType="begin"/>
      </w:r>
      <w:r>
        <w:instrText xml:space="preserve"> PAGEREF _Toc20097 \h </w:instrText>
      </w:r>
      <w:r>
        <w:fldChar w:fldCharType="separate"/>
      </w:r>
      <w:r>
        <w:t>- 13 -</w:t>
      </w:r>
      <w:r>
        <w:fldChar w:fldCharType="end"/>
      </w:r>
      <w:r>
        <w:fldChar w:fldCharType="end"/>
      </w:r>
    </w:p>
    <w:p w14:paraId="42E616BD">
      <w:pPr>
        <w:pStyle w:val="10"/>
        <w:tabs>
          <w:tab w:val="right" w:leader="dot" w:pos="10194"/>
        </w:tabs>
      </w:pPr>
      <w:r>
        <w:fldChar w:fldCharType="begin"/>
      </w:r>
      <w:r>
        <w:instrText xml:space="preserve"> HYPERLINK \l "_Toc22971" </w:instrText>
      </w:r>
      <w:r>
        <w:fldChar w:fldCharType="separate"/>
      </w:r>
      <w:r>
        <w:rPr>
          <w:rFonts w:hint="eastAsia" w:ascii="宋体" w:hAnsi="宋体" w:cs="宋体"/>
          <w:szCs w:val="21"/>
        </w:rPr>
        <w:t>16. 竞争性磋商响应文件的制作</w:t>
      </w:r>
      <w:r>
        <w:tab/>
      </w:r>
      <w:r>
        <w:fldChar w:fldCharType="begin"/>
      </w:r>
      <w:r>
        <w:instrText xml:space="preserve"> PAGEREF _Toc22971 \h </w:instrText>
      </w:r>
      <w:r>
        <w:fldChar w:fldCharType="separate"/>
      </w:r>
      <w:r>
        <w:t>- 13 -</w:t>
      </w:r>
      <w:r>
        <w:fldChar w:fldCharType="end"/>
      </w:r>
      <w:r>
        <w:fldChar w:fldCharType="end"/>
      </w:r>
    </w:p>
    <w:p w14:paraId="100339CA">
      <w:pPr>
        <w:pStyle w:val="10"/>
        <w:tabs>
          <w:tab w:val="right" w:leader="dot" w:pos="10194"/>
        </w:tabs>
      </w:pPr>
      <w:r>
        <w:fldChar w:fldCharType="begin"/>
      </w:r>
      <w:r>
        <w:instrText xml:space="preserve"> HYPERLINK \l "_Toc2721" </w:instrText>
      </w:r>
      <w:r>
        <w:fldChar w:fldCharType="separate"/>
      </w:r>
      <w:r>
        <w:rPr>
          <w:rFonts w:hint="eastAsia" w:ascii="宋体" w:hAnsi="宋体" w:cs="宋体"/>
          <w:szCs w:val="21"/>
        </w:rPr>
        <w:t>17. 响应文件的修改和撤回</w:t>
      </w:r>
      <w:r>
        <w:tab/>
      </w:r>
      <w:r>
        <w:fldChar w:fldCharType="begin"/>
      </w:r>
      <w:r>
        <w:instrText xml:space="preserve"> PAGEREF _Toc2721 \h </w:instrText>
      </w:r>
      <w:r>
        <w:fldChar w:fldCharType="separate"/>
      </w:r>
      <w:r>
        <w:t>- 13 -</w:t>
      </w:r>
      <w:r>
        <w:fldChar w:fldCharType="end"/>
      </w:r>
      <w:r>
        <w:fldChar w:fldCharType="end"/>
      </w:r>
    </w:p>
    <w:p w14:paraId="66CCA7CA">
      <w:pPr>
        <w:pStyle w:val="10"/>
        <w:tabs>
          <w:tab w:val="right" w:leader="dot" w:pos="10194"/>
        </w:tabs>
      </w:pPr>
      <w:r>
        <w:fldChar w:fldCharType="begin"/>
      </w:r>
      <w:r>
        <w:instrText xml:space="preserve"> HYPERLINK \l "_Toc18530" </w:instrText>
      </w:r>
      <w:r>
        <w:fldChar w:fldCharType="separate"/>
      </w:r>
      <w:r>
        <w:rPr>
          <w:rFonts w:hint="eastAsia" w:ascii="宋体" w:hAnsi="宋体" w:cs="宋体"/>
          <w:szCs w:val="21"/>
        </w:rPr>
        <w:t>18. 响应文件的递交和解密</w:t>
      </w:r>
      <w:r>
        <w:tab/>
      </w:r>
      <w:r>
        <w:fldChar w:fldCharType="begin"/>
      </w:r>
      <w:r>
        <w:instrText xml:space="preserve"> PAGEREF _Toc18530 \h </w:instrText>
      </w:r>
      <w:r>
        <w:fldChar w:fldCharType="separate"/>
      </w:r>
      <w:r>
        <w:t>- 14 -</w:t>
      </w:r>
      <w:r>
        <w:fldChar w:fldCharType="end"/>
      </w:r>
      <w:r>
        <w:fldChar w:fldCharType="end"/>
      </w:r>
    </w:p>
    <w:p w14:paraId="544DCD11">
      <w:pPr>
        <w:pStyle w:val="15"/>
        <w:tabs>
          <w:tab w:val="right" w:leader="dot" w:pos="10194"/>
        </w:tabs>
      </w:pPr>
      <w:r>
        <w:fldChar w:fldCharType="begin"/>
      </w:r>
      <w:r>
        <w:instrText xml:space="preserve"> HYPERLINK \l "_Toc1333" </w:instrText>
      </w:r>
      <w:r>
        <w:fldChar w:fldCharType="separate"/>
      </w:r>
      <w:r>
        <w:rPr>
          <w:rFonts w:hint="eastAsia" w:ascii="宋体" w:hAnsi="宋体" w:cs="宋体"/>
          <w:szCs w:val="28"/>
        </w:rPr>
        <w:t>四、竞争性磋商（简称磋商）与评审</w:t>
      </w:r>
      <w:r>
        <w:tab/>
      </w:r>
      <w:r>
        <w:fldChar w:fldCharType="begin"/>
      </w:r>
      <w:r>
        <w:instrText xml:space="preserve"> PAGEREF _Toc1333 \h </w:instrText>
      </w:r>
      <w:r>
        <w:fldChar w:fldCharType="separate"/>
      </w:r>
      <w:r>
        <w:t>- 14 -</w:t>
      </w:r>
      <w:r>
        <w:fldChar w:fldCharType="end"/>
      </w:r>
      <w:r>
        <w:fldChar w:fldCharType="end"/>
      </w:r>
    </w:p>
    <w:p w14:paraId="47C0F977">
      <w:pPr>
        <w:pStyle w:val="10"/>
        <w:tabs>
          <w:tab w:val="right" w:leader="dot" w:pos="10194"/>
        </w:tabs>
      </w:pPr>
      <w:r>
        <w:fldChar w:fldCharType="begin"/>
      </w:r>
      <w:r>
        <w:instrText xml:space="preserve"> HYPERLINK \l "_Toc30249" </w:instrText>
      </w:r>
      <w:r>
        <w:fldChar w:fldCharType="separate"/>
      </w:r>
      <w:r>
        <w:rPr>
          <w:rFonts w:hint="eastAsia" w:ascii="宋体" w:hAnsi="宋体" w:cs="宋体"/>
          <w:szCs w:val="21"/>
        </w:rPr>
        <w:t>19. 磋商小组组成及磋商时间、地点、人员</w:t>
      </w:r>
      <w:r>
        <w:tab/>
      </w:r>
      <w:r>
        <w:fldChar w:fldCharType="begin"/>
      </w:r>
      <w:r>
        <w:instrText xml:space="preserve"> PAGEREF _Toc30249 \h </w:instrText>
      </w:r>
      <w:r>
        <w:fldChar w:fldCharType="separate"/>
      </w:r>
      <w:r>
        <w:t>- 14 -</w:t>
      </w:r>
      <w:r>
        <w:fldChar w:fldCharType="end"/>
      </w:r>
      <w:r>
        <w:fldChar w:fldCharType="end"/>
      </w:r>
    </w:p>
    <w:p w14:paraId="512F2079">
      <w:pPr>
        <w:pStyle w:val="10"/>
        <w:tabs>
          <w:tab w:val="right" w:leader="dot" w:pos="10194"/>
        </w:tabs>
      </w:pPr>
      <w:r>
        <w:fldChar w:fldCharType="begin"/>
      </w:r>
      <w:r>
        <w:instrText xml:space="preserve"> HYPERLINK \l "_Toc20472" </w:instrText>
      </w:r>
      <w:r>
        <w:fldChar w:fldCharType="separate"/>
      </w:r>
      <w:r>
        <w:rPr>
          <w:rFonts w:hint="eastAsia" w:ascii="宋体" w:hAnsi="宋体" w:cs="宋体"/>
          <w:szCs w:val="21"/>
        </w:rPr>
        <w:t>20. 评审原则</w:t>
      </w:r>
      <w:r>
        <w:tab/>
      </w:r>
      <w:r>
        <w:fldChar w:fldCharType="begin"/>
      </w:r>
      <w:r>
        <w:instrText xml:space="preserve"> PAGEREF _Toc20472 \h </w:instrText>
      </w:r>
      <w:r>
        <w:fldChar w:fldCharType="separate"/>
      </w:r>
      <w:r>
        <w:t>- 15 -</w:t>
      </w:r>
      <w:r>
        <w:fldChar w:fldCharType="end"/>
      </w:r>
      <w:r>
        <w:fldChar w:fldCharType="end"/>
      </w:r>
    </w:p>
    <w:p w14:paraId="17FD9E6C">
      <w:pPr>
        <w:pStyle w:val="10"/>
        <w:tabs>
          <w:tab w:val="right" w:leader="dot" w:pos="10194"/>
        </w:tabs>
      </w:pPr>
      <w:r>
        <w:fldChar w:fldCharType="begin"/>
      </w:r>
      <w:r>
        <w:instrText xml:space="preserve"> HYPERLINK \l "_Toc5046" </w:instrText>
      </w:r>
      <w:r>
        <w:fldChar w:fldCharType="separate"/>
      </w:r>
      <w:r>
        <w:rPr>
          <w:rFonts w:hint="eastAsia" w:ascii="宋体" w:hAnsi="宋体" w:cs="宋体"/>
          <w:szCs w:val="21"/>
        </w:rPr>
        <w:t>21. 评审程序及磋商要求</w:t>
      </w:r>
      <w:r>
        <w:tab/>
      </w:r>
      <w:r>
        <w:fldChar w:fldCharType="begin"/>
      </w:r>
      <w:r>
        <w:instrText xml:space="preserve"> PAGEREF _Toc5046 \h </w:instrText>
      </w:r>
      <w:r>
        <w:fldChar w:fldCharType="separate"/>
      </w:r>
      <w:r>
        <w:t>- 15 -</w:t>
      </w:r>
      <w:r>
        <w:fldChar w:fldCharType="end"/>
      </w:r>
      <w:r>
        <w:fldChar w:fldCharType="end"/>
      </w:r>
    </w:p>
    <w:p w14:paraId="77B34E40">
      <w:pPr>
        <w:pStyle w:val="10"/>
        <w:tabs>
          <w:tab w:val="right" w:leader="dot" w:pos="10194"/>
        </w:tabs>
      </w:pPr>
      <w:r>
        <w:fldChar w:fldCharType="begin"/>
      </w:r>
      <w:r>
        <w:instrText xml:space="preserve"> HYPERLINK \l "_Toc3944" </w:instrText>
      </w:r>
      <w:r>
        <w:fldChar w:fldCharType="separate"/>
      </w:r>
      <w:r>
        <w:rPr>
          <w:rFonts w:hint="eastAsia" w:ascii="宋体" w:hAnsi="宋体" w:cs="宋体"/>
          <w:szCs w:val="21"/>
        </w:rPr>
        <w:t>22. 确定成交供应商</w:t>
      </w:r>
      <w:r>
        <w:tab/>
      </w:r>
      <w:r>
        <w:fldChar w:fldCharType="begin"/>
      </w:r>
      <w:r>
        <w:instrText xml:space="preserve"> PAGEREF _Toc3944 \h </w:instrText>
      </w:r>
      <w:r>
        <w:fldChar w:fldCharType="separate"/>
      </w:r>
      <w:r>
        <w:t>- 18 -</w:t>
      </w:r>
      <w:r>
        <w:fldChar w:fldCharType="end"/>
      </w:r>
      <w:r>
        <w:fldChar w:fldCharType="end"/>
      </w:r>
    </w:p>
    <w:p w14:paraId="34CDF638">
      <w:pPr>
        <w:pStyle w:val="10"/>
        <w:tabs>
          <w:tab w:val="right" w:leader="dot" w:pos="10194"/>
        </w:tabs>
      </w:pPr>
      <w:r>
        <w:fldChar w:fldCharType="begin"/>
      </w:r>
      <w:r>
        <w:instrText xml:space="preserve"> HYPERLINK \l "_Toc22589" </w:instrText>
      </w:r>
      <w:r>
        <w:fldChar w:fldCharType="separate"/>
      </w:r>
      <w:r>
        <w:rPr>
          <w:rFonts w:hint="eastAsia" w:ascii="宋体" w:hAnsi="宋体" w:cs="宋体"/>
          <w:szCs w:val="21"/>
        </w:rPr>
        <w:t>23. 属于下列情况之一者，响应文件无效</w:t>
      </w:r>
      <w:r>
        <w:tab/>
      </w:r>
      <w:r>
        <w:fldChar w:fldCharType="begin"/>
      </w:r>
      <w:r>
        <w:instrText xml:space="preserve"> PAGEREF _Toc22589 \h </w:instrText>
      </w:r>
      <w:r>
        <w:fldChar w:fldCharType="separate"/>
      </w:r>
      <w:r>
        <w:t>- 18 -</w:t>
      </w:r>
      <w:r>
        <w:fldChar w:fldCharType="end"/>
      </w:r>
      <w:r>
        <w:fldChar w:fldCharType="end"/>
      </w:r>
    </w:p>
    <w:p w14:paraId="5C6B9DAE">
      <w:pPr>
        <w:pStyle w:val="10"/>
        <w:tabs>
          <w:tab w:val="right" w:leader="dot" w:pos="10194"/>
        </w:tabs>
      </w:pPr>
      <w:r>
        <w:fldChar w:fldCharType="begin"/>
      </w:r>
      <w:r>
        <w:instrText xml:space="preserve"> HYPERLINK \l "_Toc22512" </w:instrText>
      </w:r>
      <w:r>
        <w:fldChar w:fldCharType="separate"/>
      </w:r>
      <w:r>
        <w:rPr>
          <w:rFonts w:hint="eastAsia" w:ascii="宋体" w:hAnsi="宋体" w:cs="宋体"/>
          <w:szCs w:val="21"/>
        </w:rPr>
        <w:t>24. 出现下列情形之一的，采购人或者采购代理机构应当终止竞争性磋商采购活动，发布项目终止公告并说明原因，重新开展采购活动</w:t>
      </w:r>
      <w:r>
        <w:tab/>
      </w:r>
      <w:r>
        <w:fldChar w:fldCharType="begin"/>
      </w:r>
      <w:r>
        <w:instrText xml:space="preserve"> PAGEREF _Toc22512 \h </w:instrText>
      </w:r>
      <w:r>
        <w:fldChar w:fldCharType="separate"/>
      </w:r>
      <w:r>
        <w:t>- 19 -</w:t>
      </w:r>
      <w:r>
        <w:fldChar w:fldCharType="end"/>
      </w:r>
      <w:r>
        <w:fldChar w:fldCharType="end"/>
      </w:r>
    </w:p>
    <w:p w14:paraId="278D0629">
      <w:pPr>
        <w:pStyle w:val="10"/>
        <w:tabs>
          <w:tab w:val="right" w:leader="dot" w:pos="10194"/>
        </w:tabs>
      </w:pPr>
      <w:r>
        <w:fldChar w:fldCharType="begin"/>
      </w:r>
      <w:r>
        <w:instrText xml:space="preserve"> HYPERLINK \l "_Toc24696" </w:instrText>
      </w:r>
      <w:r>
        <w:fldChar w:fldCharType="separate"/>
      </w:r>
      <w:r>
        <w:rPr>
          <w:rFonts w:hint="eastAsia" w:ascii="宋体" w:hAnsi="宋体" w:cs="宋体"/>
          <w:szCs w:val="21"/>
        </w:rPr>
        <w:t>25. 磋商过程的监控</w:t>
      </w:r>
      <w:r>
        <w:tab/>
      </w:r>
      <w:r>
        <w:fldChar w:fldCharType="begin"/>
      </w:r>
      <w:r>
        <w:instrText xml:space="preserve"> PAGEREF _Toc24696 \h </w:instrText>
      </w:r>
      <w:r>
        <w:fldChar w:fldCharType="separate"/>
      </w:r>
      <w:r>
        <w:t>- 19 -</w:t>
      </w:r>
      <w:r>
        <w:fldChar w:fldCharType="end"/>
      </w:r>
      <w:r>
        <w:fldChar w:fldCharType="end"/>
      </w:r>
    </w:p>
    <w:p w14:paraId="68322696">
      <w:pPr>
        <w:pStyle w:val="10"/>
        <w:tabs>
          <w:tab w:val="right" w:leader="dot" w:pos="10194"/>
        </w:tabs>
      </w:pPr>
      <w:r>
        <w:fldChar w:fldCharType="begin"/>
      </w:r>
      <w:r>
        <w:instrText xml:space="preserve"> HYPERLINK \l "_Toc11630" </w:instrText>
      </w:r>
      <w:r>
        <w:fldChar w:fldCharType="separate"/>
      </w:r>
      <w:r>
        <w:rPr>
          <w:rFonts w:hint="eastAsia" w:ascii="宋体" w:hAnsi="宋体" w:cs="宋体"/>
          <w:szCs w:val="21"/>
        </w:rPr>
        <w:t>26. 信用查询</w:t>
      </w:r>
      <w:r>
        <w:tab/>
      </w:r>
      <w:r>
        <w:fldChar w:fldCharType="begin"/>
      </w:r>
      <w:r>
        <w:instrText xml:space="preserve"> PAGEREF _Toc11630 \h </w:instrText>
      </w:r>
      <w:r>
        <w:fldChar w:fldCharType="separate"/>
      </w:r>
      <w:r>
        <w:t>- 19 -</w:t>
      </w:r>
      <w:r>
        <w:fldChar w:fldCharType="end"/>
      </w:r>
      <w:r>
        <w:fldChar w:fldCharType="end"/>
      </w:r>
    </w:p>
    <w:p w14:paraId="66FF4492">
      <w:pPr>
        <w:pStyle w:val="10"/>
        <w:tabs>
          <w:tab w:val="right" w:leader="dot" w:pos="10194"/>
        </w:tabs>
      </w:pPr>
      <w:r>
        <w:fldChar w:fldCharType="begin"/>
      </w:r>
      <w:r>
        <w:instrText xml:space="preserve"> HYPERLINK \l "_Toc23185" </w:instrText>
      </w:r>
      <w:r>
        <w:fldChar w:fldCharType="separate"/>
      </w:r>
      <w:r>
        <w:rPr>
          <w:rFonts w:hint="eastAsia" w:ascii="宋体" w:hAnsi="宋体" w:cs="宋体"/>
          <w:szCs w:val="21"/>
        </w:rPr>
        <w:t>27. 成交结果公告及成交通知书</w:t>
      </w:r>
      <w:r>
        <w:tab/>
      </w:r>
      <w:r>
        <w:fldChar w:fldCharType="begin"/>
      </w:r>
      <w:r>
        <w:instrText xml:space="preserve"> PAGEREF _Toc23185 \h </w:instrText>
      </w:r>
      <w:r>
        <w:fldChar w:fldCharType="separate"/>
      </w:r>
      <w:r>
        <w:t>- 19 -</w:t>
      </w:r>
      <w:r>
        <w:fldChar w:fldCharType="end"/>
      </w:r>
      <w:r>
        <w:fldChar w:fldCharType="end"/>
      </w:r>
    </w:p>
    <w:p w14:paraId="69F68D72">
      <w:pPr>
        <w:pStyle w:val="15"/>
        <w:tabs>
          <w:tab w:val="right" w:leader="dot" w:pos="10194"/>
        </w:tabs>
      </w:pPr>
      <w:r>
        <w:fldChar w:fldCharType="begin"/>
      </w:r>
      <w:r>
        <w:instrText xml:space="preserve"> HYPERLINK \l "_Toc6" </w:instrText>
      </w:r>
      <w:r>
        <w:fldChar w:fldCharType="separate"/>
      </w:r>
      <w:r>
        <w:rPr>
          <w:rFonts w:hint="eastAsia" w:ascii="宋体" w:hAnsi="宋体" w:cs="宋体"/>
          <w:szCs w:val="28"/>
        </w:rPr>
        <w:t>五、履约保证金及签订合同</w:t>
      </w:r>
      <w:r>
        <w:tab/>
      </w:r>
      <w:r>
        <w:fldChar w:fldCharType="begin"/>
      </w:r>
      <w:r>
        <w:instrText xml:space="preserve"> PAGEREF _Toc6 \h </w:instrText>
      </w:r>
      <w:r>
        <w:fldChar w:fldCharType="separate"/>
      </w:r>
      <w:r>
        <w:t>- 20 -</w:t>
      </w:r>
      <w:r>
        <w:fldChar w:fldCharType="end"/>
      </w:r>
      <w:r>
        <w:fldChar w:fldCharType="end"/>
      </w:r>
    </w:p>
    <w:p w14:paraId="329D4AA5">
      <w:pPr>
        <w:pStyle w:val="10"/>
        <w:tabs>
          <w:tab w:val="right" w:leader="dot" w:pos="10194"/>
        </w:tabs>
      </w:pPr>
      <w:r>
        <w:fldChar w:fldCharType="begin"/>
      </w:r>
      <w:r>
        <w:instrText xml:space="preserve"> HYPERLINK \l "_Toc3642" </w:instrText>
      </w:r>
      <w:r>
        <w:fldChar w:fldCharType="separate"/>
      </w:r>
      <w:r>
        <w:rPr>
          <w:rFonts w:hint="eastAsia" w:ascii="宋体" w:hAnsi="宋体" w:cs="宋体"/>
          <w:szCs w:val="21"/>
        </w:rPr>
        <w:t>28. 履约保证金</w:t>
      </w:r>
      <w:r>
        <w:tab/>
      </w:r>
      <w:r>
        <w:fldChar w:fldCharType="begin"/>
      </w:r>
      <w:r>
        <w:instrText xml:space="preserve"> PAGEREF _Toc3642 \h </w:instrText>
      </w:r>
      <w:r>
        <w:fldChar w:fldCharType="separate"/>
      </w:r>
      <w:r>
        <w:t>- 20 -</w:t>
      </w:r>
      <w:r>
        <w:fldChar w:fldCharType="end"/>
      </w:r>
      <w:r>
        <w:fldChar w:fldCharType="end"/>
      </w:r>
    </w:p>
    <w:p w14:paraId="57457BEC">
      <w:pPr>
        <w:pStyle w:val="10"/>
        <w:tabs>
          <w:tab w:val="right" w:leader="dot" w:pos="10194"/>
        </w:tabs>
      </w:pPr>
      <w:r>
        <w:fldChar w:fldCharType="begin"/>
      </w:r>
      <w:r>
        <w:instrText xml:space="preserve"> HYPERLINK \l "_Toc2680" </w:instrText>
      </w:r>
      <w:r>
        <w:fldChar w:fldCharType="separate"/>
      </w:r>
      <w:r>
        <w:rPr>
          <w:rFonts w:hint="eastAsia" w:ascii="宋体" w:hAnsi="宋体" w:cs="宋体"/>
          <w:szCs w:val="21"/>
        </w:rPr>
        <w:t>29. 签订合同</w:t>
      </w:r>
      <w:r>
        <w:tab/>
      </w:r>
      <w:r>
        <w:fldChar w:fldCharType="begin"/>
      </w:r>
      <w:r>
        <w:instrText xml:space="preserve"> PAGEREF _Toc2680 \h </w:instrText>
      </w:r>
      <w:r>
        <w:fldChar w:fldCharType="separate"/>
      </w:r>
      <w:r>
        <w:t>- 20 -</w:t>
      </w:r>
      <w:r>
        <w:fldChar w:fldCharType="end"/>
      </w:r>
      <w:r>
        <w:fldChar w:fldCharType="end"/>
      </w:r>
    </w:p>
    <w:p w14:paraId="1FB000BA">
      <w:pPr>
        <w:pStyle w:val="15"/>
        <w:tabs>
          <w:tab w:val="right" w:leader="dot" w:pos="10194"/>
        </w:tabs>
      </w:pPr>
      <w:r>
        <w:fldChar w:fldCharType="begin"/>
      </w:r>
      <w:r>
        <w:instrText xml:space="preserve"> HYPERLINK \l "_Toc13974" </w:instrText>
      </w:r>
      <w:r>
        <w:fldChar w:fldCharType="separate"/>
      </w:r>
      <w:r>
        <w:rPr>
          <w:rFonts w:hint="eastAsia" w:ascii="宋体" w:hAnsi="宋体" w:cs="宋体"/>
          <w:szCs w:val="28"/>
        </w:rPr>
        <w:t>六、其他事项</w:t>
      </w:r>
      <w:r>
        <w:tab/>
      </w:r>
      <w:r>
        <w:fldChar w:fldCharType="begin"/>
      </w:r>
      <w:r>
        <w:instrText xml:space="preserve"> PAGEREF _Toc13974 \h </w:instrText>
      </w:r>
      <w:r>
        <w:fldChar w:fldCharType="separate"/>
      </w:r>
      <w:r>
        <w:t>- 20 -</w:t>
      </w:r>
      <w:r>
        <w:fldChar w:fldCharType="end"/>
      </w:r>
      <w:r>
        <w:fldChar w:fldCharType="end"/>
      </w:r>
    </w:p>
    <w:p w14:paraId="3E1899F1">
      <w:pPr>
        <w:pStyle w:val="10"/>
        <w:tabs>
          <w:tab w:val="right" w:leader="dot" w:pos="10194"/>
        </w:tabs>
      </w:pPr>
      <w:r>
        <w:fldChar w:fldCharType="begin"/>
      </w:r>
      <w:r>
        <w:instrText xml:space="preserve"> HYPERLINK \l "_Toc775" </w:instrText>
      </w:r>
      <w:r>
        <w:fldChar w:fldCharType="separate"/>
      </w:r>
      <w:r>
        <w:rPr>
          <w:rFonts w:hint="eastAsia" w:ascii="宋体" w:hAnsi="宋体" w:cs="宋体"/>
          <w:szCs w:val="21"/>
        </w:rPr>
        <w:t>30. 采购代理服务费</w:t>
      </w:r>
      <w:r>
        <w:tab/>
      </w:r>
      <w:r>
        <w:fldChar w:fldCharType="begin"/>
      </w:r>
      <w:r>
        <w:instrText xml:space="preserve"> PAGEREF _Toc775 \h </w:instrText>
      </w:r>
      <w:r>
        <w:fldChar w:fldCharType="separate"/>
      </w:r>
      <w:r>
        <w:t>- 20 -</w:t>
      </w:r>
      <w:r>
        <w:fldChar w:fldCharType="end"/>
      </w:r>
      <w:r>
        <w:fldChar w:fldCharType="end"/>
      </w:r>
    </w:p>
    <w:p w14:paraId="50D67922">
      <w:pPr>
        <w:pStyle w:val="10"/>
        <w:tabs>
          <w:tab w:val="right" w:leader="dot" w:pos="10194"/>
        </w:tabs>
      </w:pPr>
      <w:r>
        <w:fldChar w:fldCharType="begin"/>
      </w:r>
      <w:r>
        <w:instrText xml:space="preserve"> HYPERLINK \l "_Toc13548" </w:instrText>
      </w:r>
      <w:r>
        <w:fldChar w:fldCharType="separate"/>
      </w:r>
      <w:r>
        <w:rPr>
          <w:rFonts w:ascii="宋体" w:hAnsi="宋体" w:cstheme="minorEastAsia"/>
          <w:bCs/>
        </w:rPr>
        <w:t xml:space="preserve">31. </w:t>
      </w:r>
      <w:r>
        <w:rPr>
          <w:rFonts w:hint="eastAsia" w:ascii="宋体" w:hAnsi="宋体" w:cs="宋体"/>
          <w:szCs w:val="21"/>
        </w:rPr>
        <w:t>解释权</w:t>
      </w:r>
      <w:r>
        <w:tab/>
      </w:r>
      <w:r>
        <w:fldChar w:fldCharType="begin"/>
      </w:r>
      <w:r>
        <w:instrText xml:space="preserve"> PAGEREF _Toc13548 \h </w:instrText>
      </w:r>
      <w:r>
        <w:fldChar w:fldCharType="separate"/>
      </w:r>
      <w:r>
        <w:t>- 20 -</w:t>
      </w:r>
      <w:r>
        <w:fldChar w:fldCharType="end"/>
      </w:r>
      <w:r>
        <w:fldChar w:fldCharType="end"/>
      </w:r>
    </w:p>
    <w:p w14:paraId="4EF1EB3C">
      <w:pPr>
        <w:pStyle w:val="10"/>
        <w:tabs>
          <w:tab w:val="right" w:leader="dot" w:pos="10194"/>
        </w:tabs>
      </w:pPr>
      <w:r>
        <w:fldChar w:fldCharType="begin"/>
      </w:r>
      <w:r>
        <w:instrText xml:space="preserve"> HYPERLINK \l "_Toc9215" </w:instrText>
      </w:r>
      <w:r>
        <w:fldChar w:fldCharType="separate"/>
      </w:r>
      <w:r>
        <w:rPr>
          <w:rFonts w:hint="eastAsia" w:ascii="宋体" w:hAnsi="宋体" w:cs="宋体"/>
          <w:szCs w:val="21"/>
        </w:rPr>
        <w:t>32. 监督管理机构</w:t>
      </w:r>
      <w:r>
        <w:tab/>
      </w:r>
      <w:r>
        <w:fldChar w:fldCharType="begin"/>
      </w:r>
      <w:r>
        <w:instrText xml:space="preserve"> PAGEREF _Toc9215 \h </w:instrText>
      </w:r>
      <w:r>
        <w:fldChar w:fldCharType="separate"/>
      </w:r>
      <w:r>
        <w:t>- 20 -</w:t>
      </w:r>
      <w:r>
        <w:fldChar w:fldCharType="end"/>
      </w:r>
      <w:r>
        <w:fldChar w:fldCharType="end"/>
      </w:r>
    </w:p>
    <w:p w14:paraId="31DA4D7D">
      <w:pPr>
        <w:pStyle w:val="14"/>
        <w:tabs>
          <w:tab w:val="right" w:leader="dot" w:pos="10194"/>
        </w:tabs>
      </w:pPr>
      <w:r>
        <w:fldChar w:fldCharType="begin"/>
      </w:r>
      <w:r>
        <w:instrText xml:space="preserve"> HYPERLINK \l "_Toc15277" </w:instrText>
      </w:r>
      <w:r>
        <w:fldChar w:fldCharType="separate"/>
      </w:r>
      <w:r>
        <w:rPr>
          <w:rFonts w:hint="eastAsia" w:ascii="宋体" w:hAnsi="宋体" w:cs="宋体"/>
          <w:szCs w:val="32"/>
        </w:rPr>
        <w:t>第三章 采购需求</w:t>
      </w:r>
      <w:r>
        <w:tab/>
      </w:r>
      <w:r>
        <w:fldChar w:fldCharType="begin"/>
      </w:r>
      <w:r>
        <w:instrText xml:space="preserve"> PAGEREF _Toc15277 \h </w:instrText>
      </w:r>
      <w:r>
        <w:fldChar w:fldCharType="separate"/>
      </w:r>
      <w:r>
        <w:t>- 21 -</w:t>
      </w:r>
      <w:r>
        <w:fldChar w:fldCharType="end"/>
      </w:r>
      <w:r>
        <w:fldChar w:fldCharType="end"/>
      </w:r>
    </w:p>
    <w:p w14:paraId="1EDB9572">
      <w:pPr>
        <w:pStyle w:val="14"/>
        <w:tabs>
          <w:tab w:val="right" w:leader="dot" w:pos="10194"/>
        </w:tabs>
      </w:pPr>
      <w:r>
        <w:fldChar w:fldCharType="begin"/>
      </w:r>
      <w:r>
        <w:instrText xml:space="preserve"> HYPERLINK \l "_Toc28419" </w:instrText>
      </w:r>
      <w:r>
        <w:fldChar w:fldCharType="separate"/>
      </w:r>
      <w:r>
        <w:rPr>
          <w:rFonts w:hint="eastAsia" w:ascii="宋体" w:hAnsi="宋体" w:cs="宋体"/>
          <w:szCs w:val="32"/>
        </w:rPr>
        <w:t>第四章 评审办法</w:t>
      </w:r>
      <w:r>
        <w:tab/>
      </w:r>
      <w:r>
        <w:fldChar w:fldCharType="begin"/>
      </w:r>
      <w:r>
        <w:instrText xml:space="preserve"> PAGEREF _Toc28419 \h </w:instrText>
      </w:r>
      <w:r>
        <w:fldChar w:fldCharType="separate"/>
      </w:r>
      <w:r>
        <w:t>- 35 -</w:t>
      </w:r>
      <w:r>
        <w:fldChar w:fldCharType="end"/>
      </w:r>
      <w:r>
        <w:fldChar w:fldCharType="end"/>
      </w:r>
    </w:p>
    <w:p w14:paraId="6900F281">
      <w:pPr>
        <w:pStyle w:val="14"/>
        <w:tabs>
          <w:tab w:val="right" w:leader="dot" w:pos="10194"/>
        </w:tabs>
      </w:pPr>
      <w:r>
        <w:fldChar w:fldCharType="begin"/>
      </w:r>
      <w:r>
        <w:instrText xml:space="preserve"> HYPERLINK \l "_Toc31912" </w:instrText>
      </w:r>
      <w:r>
        <w:fldChar w:fldCharType="separate"/>
      </w:r>
      <w:r>
        <w:rPr>
          <w:rFonts w:hint="eastAsia" w:ascii="宋体" w:hAnsi="宋体" w:cs="宋体"/>
          <w:szCs w:val="32"/>
        </w:rPr>
        <w:t>第五章 采购合同（合同主要条款及格式）</w:t>
      </w:r>
      <w:r>
        <w:tab/>
      </w:r>
      <w:r>
        <w:fldChar w:fldCharType="begin"/>
      </w:r>
      <w:r>
        <w:instrText xml:space="preserve"> PAGEREF _Toc31912 \h </w:instrText>
      </w:r>
      <w:r>
        <w:fldChar w:fldCharType="separate"/>
      </w:r>
      <w:r>
        <w:t>- 40 -</w:t>
      </w:r>
      <w:r>
        <w:fldChar w:fldCharType="end"/>
      </w:r>
      <w:r>
        <w:fldChar w:fldCharType="end"/>
      </w:r>
    </w:p>
    <w:p w14:paraId="646432A0">
      <w:pPr>
        <w:pStyle w:val="15"/>
        <w:tabs>
          <w:tab w:val="right" w:leader="dot" w:pos="10194"/>
        </w:tabs>
      </w:pPr>
      <w:r>
        <w:fldChar w:fldCharType="begin"/>
      </w:r>
      <w:r>
        <w:instrText xml:space="preserve"> HYPERLINK \l "_Toc19093" </w:instrText>
      </w:r>
      <w:r>
        <w:fldChar w:fldCharType="separate"/>
      </w:r>
      <w:r>
        <w:rPr>
          <w:rFonts w:hint="eastAsia" w:ascii="宋体" w:hAnsi="宋体" w:cs="宋体"/>
          <w:szCs w:val="21"/>
        </w:rPr>
        <w:t>第一条 合同文件</w:t>
      </w:r>
      <w:r>
        <w:tab/>
      </w:r>
      <w:r>
        <w:fldChar w:fldCharType="begin"/>
      </w:r>
      <w:r>
        <w:instrText xml:space="preserve"> PAGEREF _Toc19093 \h </w:instrText>
      </w:r>
      <w:r>
        <w:fldChar w:fldCharType="separate"/>
      </w:r>
      <w:r>
        <w:t>- 40 -</w:t>
      </w:r>
      <w:r>
        <w:fldChar w:fldCharType="end"/>
      </w:r>
      <w:r>
        <w:fldChar w:fldCharType="end"/>
      </w:r>
    </w:p>
    <w:p w14:paraId="72F71650">
      <w:pPr>
        <w:pStyle w:val="15"/>
        <w:tabs>
          <w:tab w:val="right" w:leader="dot" w:pos="10194"/>
        </w:tabs>
      </w:pPr>
      <w:r>
        <w:fldChar w:fldCharType="begin"/>
      </w:r>
      <w:r>
        <w:instrText xml:space="preserve"> HYPERLINK \l "_Toc21607" </w:instrText>
      </w:r>
      <w:r>
        <w:fldChar w:fldCharType="separate"/>
      </w:r>
      <w:r>
        <w:rPr>
          <w:rFonts w:hint="eastAsia" w:ascii="宋体" w:hAnsi="宋体" w:cs="宋体"/>
          <w:szCs w:val="21"/>
        </w:rPr>
        <w:t>第二条　合同金额</w:t>
      </w:r>
      <w:r>
        <w:tab/>
      </w:r>
      <w:r>
        <w:fldChar w:fldCharType="begin"/>
      </w:r>
      <w:r>
        <w:instrText xml:space="preserve"> PAGEREF _Toc21607 \h </w:instrText>
      </w:r>
      <w:r>
        <w:fldChar w:fldCharType="separate"/>
      </w:r>
      <w:r>
        <w:t>- 40 -</w:t>
      </w:r>
      <w:r>
        <w:fldChar w:fldCharType="end"/>
      </w:r>
      <w:r>
        <w:fldChar w:fldCharType="end"/>
      </w:r>
    </w:p>
    <w:p w14:paraId="0C1FF460">
      <w:pPr>
        <w:pStyle w:val="15"/>
        <w:tabs>
          <w:tab w:val="right" w:leader="dot" w:pos="10194"/>
        </w:tabs>
      </w:pPr>
      <w:r>
        <w:fldChar w:fldCharType="begin"/>
      </w:r>
      <w:r>
        <w:instrText xml:space="preserve"> HYPERLINK \l "_Toc27473" </w:instrText>
      </w:r>
      <w:r>
        <w:fldChar w:fldCharType="separate"/>
      </w:r>
      <w:r>
        <w:rPr>
          <w:rFonts w:hint="eastAsia" w:ascii="宋体" w:hAnsi="宋体" w:cs="宋体"/>
          <w:szCs w:val="21"/>
        </w:rPr>
        <w:t>第三条  服务保证</w:t>
      </w:r>
      <w:r>
        <w:tab/>
      </w:r>
      <w:r>
        <w:fldChar w:fldCharType="begin"/>
      </w:r>
      <w:r>
        <w:instrText xml:space="preserve"> PAGEREF _Toc27473 \h </w:instrText>
      </w:r>
      <w:r>
        <w:fldChar w:fldCharType="separate"/>
      </w:r>
      <w:r>
        <w:t>- 40 -</w:t>
      </w:r>
      <w:r>
        <w:fldChar w:fldCharType="end"/>
      </w:r>
      <w:r>
        <w:fldChar w:fldCharType="end"/>
      </w:r>
    </w:p>
    <w:p w14:paraId="40EEBD59">
      <w:pPr>
        <w:pStyle w:val="15"/>
        <w:tabs>
          <w:tab w:val="right" w:leader="dot" w:pos="10194"/>
        </w:tabs>
      </w:pPr>
      <w:r>
        <w:fldChar w:fldCharType="begin"/>
      </w:r>
      <w:r>
        <w:instrText xml:space="preserve"> HYPERLINK \l "_Toc7134" </w:instrText>
      </w:r>
      <w:r>
        <w:fldChar w:fldCharType="separate"/>
      </w:r>
      <w:r>
        <w:rPr>
          <w:rFonts w:hint="eastAsia" w:ascii="宋体" w:hAnsi="宋体" w:cs="宋体"/>
          <w:szCs w:val="21"/>
        </w:rPr>
        <w:t>第四条  服务期限</w:t>
      </w:r>
      <w:r>
        <w:tab/>
      </w:r>
      <w:r>
        <w:fldChar w:fldCharType="begin"/>
      </w:r>
      <w:r>
        <w:instrText xml:space="preserve"> PAGEREF _Toc7134 \h </w:instrText>
      </w:r>
      <w:r>
        <w:fldChar w:fldCharType="separate"/>
      </w:r>
      <w:r>
        <w:t>- 40 -</w:t>
      </w:r>
      <w:r>
        <w:fldChar w:fldCharType="end"/>
      </w:r>
      <w:r>
        <w:fldChar w:fldCharType="end"/>
      </w:r>
    </w:p>
    <w:p w14:paraId="21E2DB32">
      <w:pPr>
        <w:pStyle w:val="15"/>
        <w:tabs>
          <w:tab w:val="right" w:leader="dot" w:pos="10194"/>
        </w:tabs>
      </w:pPr>
      <w:r>
        <w:fldChar w:fldCharType="begin"/>
      </w:r>
      <w:r>
        <w:instrText xml:space="preserve"> HYPERLINK \l "_Toc13066" </w:instrText>
      </w:r>
      <w:r>
        <w:fldChar w:fldCharType="separate"/>
      </w:r>
      <w:r>
        <w:rPr>
          <w:rFonts w:hint="eastAsia" w:ascii="宋体" w:hAnsi="宋体" w:cs="宋体"/>
          <w:szCs w:val="21"/>
        </w:rPr>
        <w:t>第五条  交付</w:t>
      </w:r>
      <w:r>
        <w:tab/>
      </w:r>
      <w:r>
        <w:fldChar w:fldCharType="begin"/>
      </w:r>
      <w:r>
        <w:instrText xml:space="preserve"> PAGEREF _Toc13066 \h </w:instrText>
      </w:r>
      <w:r>
        <w:fldChar w:fldCharType="separate"/>
      </w:r>
      <w:r>
        <w:t>- 40 -</w:t>
      </w:r>
      <w:r>
        <w:fldChar w:fldCharType="end"/>
      </w:r>
      <w:r>
        <w:fldChar w:fldCharType="end"/>
      </w:r>
    </w:p>
    <w:p w14:paraId="16FFDB2B">
      <w:pPr>
        <w:pStyle w:val="15"/>
        <w:tabs>
          <w:tab w:val="right" w:leader="dot" w:pos="10194"/>
        </w:tabs>
      </w:pPr>
      <w:r>
        <w:fldChar w:fldCharType="begin"/>
      </w:r>
      <w:r>
        <w:instrText xml:space="preserve"> HYPERLINK \l "_Toc6403" </w:instrText>
      </w:r>
      <w:r>
        <w:fldChar w:fldCharType="separate"/>
      </w:r>
      <w:r>
        <w:rPr>
          <w:rFonts w:hint="eastAsia" w:ascii="宋体" w:hAnsi="宋体" w:cs="宋体"/>
          <w:szCs w:val="21"/>
        </w:rPr>
        <w:t>第六条  税费</w:t>
      </w:r>
      <w:r>
        <w:tab/>
      </w:r>
      <w:r>
        <w:fldChar w:fldCharType="begin"/>
      </w:r>
      <w:r>
        <w:instrText xml:space="preserve"> PAGEREF _Toc6403 \h </w:instrText>
      </w:r>
      <w:r>
        <w:fldChar w:fldCharType="separate"/>
      </w:r>
      <w:r>
        <w:t>- 40 -</w:t>
      </w:r>
      <w:r>
        <w:fldChar w:fldCharType="end"/>
      </w:r>
      <w:r>
        <w:fldChar w:fldCharType="end"/>
      </w:r>
    </w:p>
    <w:p w14:paraId="7087B777">
      <w:pPr>
        <w:pStyle w:val="15"/>
        <w:tabs>
          <w:tab w:val="right" w:leader="dot" w:pos="10194"/>
        </w:tabs>
      </w:pPr>
      <w:r>
        <w:fldChar w:fldCharType="begin"/>
      </w:r>
      <w:r>
        <w:instrText xml:space="preserve"> HYPERLINK \l "_Toc13007" </w:instrText>
      </w:r>
      <w:r>
        <w:fldChar w:fldCharType="separate"/>
      </w:r>
      <w:r>
        <w:rPr>
          <w:rFonts w:hint="eastAsia" w:ascii="宋体" w:hAnsi="宋体" w:cs="宋体"/>
          <w:szCs w:val="21"/>
        </w:rPr>
        <w:t>第七条  付款方式</w:t>
      </w:r>
      <w:r>
        <w:tab/>
      </w:r>
      <w:r>
        <w:fldChar w:fldCharType="begin"/>
      </w:r>
      <w:r>
        <w:instrText xml:space="preserve"> PAGEREF _Toc13007 \h </w:instrText>
      </w:r>
      <w:r>
        <w:fldChar w:fldCharType="separate"/>
      </w:r>
      <w:r>
        <w:t>- 40 -</w:t>
      </w:r>
      <w:r>
        <w:fldChar w:fldCharType="end"/>
      </w:r>
      <w:r>
        <w:fldChar w:fldCharType="end"/>
      </w:r>
    </w:p>
    <w:p w14:paraId="21964EF0">
      <w:pPr>
        <w:pStyle w:val="15"/>
        <w:tabs>
          <w:tab w:val="right" w:leader="dot" w:pos="10194"/>
        </w:tabs>
      </w:pPr>
      <w:r>
        <w:fldChar w:fldCharType="begin"/>
      </w:r>
      <w:r>
        <w:instrText xml:space="preserve"> HYPERLINK \l "_Toc20937" </w:instrText>
      </w:r>
      <w:r>
        <w:fldChar w:fldCharType="separate"/>
      </w:r>
      <w:r>
        <w:rPr>
          <w:rFonts w:hint="eastAsia" w:ascii="宋体" w:hAnsi="宋体" w:cs="宋体"/>
          <w:szCs w:val="21"/>
        </w:rPr>
        <w:t>第九条  违约责任</w:t>
      </w:r>
      <w:r>
        <w:tab/>
      </w:r>
      <w:r>
        <w:fldChar w:fldCharType="begin"/>
      </w:r>
      <w:r>
        <w:instrText xml:space="preserve"> PAGEREF _Toc20937 \h </w:instrText>
      </w:r>
      <w:r>
        <w:fldChar w:fldCharType="separate"/>
      </w:r>
      <w:r>
        <w:t>- 41 -</w:t>
      </w:r>
      <w:r>
        <w:fldChar w:fldCharType="end"/>
      </w:r>
      <w:r>
        <w:fldChar w:fldCharType="end"/>
      </w:r>
    </w:p>
    <w:p w14:paraId="1E5F06A9">
      <w:pPr>
        <w:pStyle w:val="15"/>
        <w:tabs>
          <w:tab w:val="right" w:leader="dot" w:pos="10194"/>
        </w:tabs>
      </w:pPr>
      <w:r>
        <w:fldChar w:fldCharType="begin"/>
      </w:r>
      <w:r>
        <w:instrText xml:space="preserve"> HYPERLINK \l "_Toc10784" </w:instrText>
      </w:r>
      <w:r>
        <w:fldChar w:fldCharType="separate"/>
      </w:r>
      <w:r>
        <w:rPr>
          <w:rFonts w:hint="eastAsia" w:ascii="宋体" w:hAnsi="宋体" w:cs="宋体"/>
          <w:szCs w:val="21"/>
        </w:rPr>
        <w:t>第十条  不可抗力事件处理</w:t>
      </w:r>
      <w:r>
        <w:tab/>
      </w:r>
      <w:r>
        <w:fldChar w:fldCharType="begin"/>
      </w:r>
      <w:r>
        <w:instrText xml:space="preserve"> PAGEREF _Toc10784 \h </w:instrText>
      </w:r>
      <w:r>
        <w:fldChar w:fldCharType="separate"/>
      </w:r>
      <w:r>
        <w:t>- 41 -</w:t>
      </w:r>
      <w:r>
        <w:fldChar w:fldCharType="end"/>
      </w:r>
      <w:r>
        <w:fldChar w:fldCharType="end"/>
      </w:r>
    </w:p>
    <w:p w14:paraId="3E8F4116">
      <w:pPr>
        <w:pStyle w:val="15"/>
        <w:tabs>
          <w:tab w:val="right" w:leader="dot" w:pos="10194"/>
        </w:tabs>
      </w:pPr>
      <w:r>
        <w:fldChar w:fldCharType="begin"/>
      </w:r>
      <w:r>
        <w:instrText xml:space="preserve"> HYPERLINK \l "_Toc2723" </w:instrText>
      </w:r>
      <w:r>
        <w:fldChar w:fldCharType="separate"/>
      </w:r>
      <w:r>
        <w:rPr>
          <w:rFonts w:hint="eastAsia" w:ascii="宋体" w:hAnsi="宋体" w:cs="宋体"/>
          <w:szCs w:val="21"/>
        </w:rPr>
        <w:t>第十一条  合同争议解决</w:t>
      </w:r>
      <w:r>
        <w:tab/>
      </w:r>
      <w:r>
        <w:fldChar w:fldCharType="begin"/>
      </w:r>
      <w:r>
        <w:instrText xml:space="preserve"> PAGEREF _Toc2723 \h </w:instrText>
      </w:r>
      <w:r>
        <w:fldChar w:fldCharType="separate"/>
      </w:r>
      <w:r>
        <w:t>- 41 -</w:t>
      </w:r>
      <w:r>
        <w:fldChar w:fldCharType="end"/>
      </w:r>
      <w:r>
        <w:fldChar w:fldCharType="end"/>
      </w:r>
    </w:p>
    <w:p w14:paraId="18C0AB9B">
      <w:pPr>
        <w:pStyle w:val="15"/>
        <w:tabs>
          <w:tab w:val="right" w:leader="dot" w:pos="10194"/>
        </w:tabs>
      </w:pPr>
      <w:r>
        <w:fldChar w:fldCharType="begin"/>
      </w:r>
      <w:r>
        <w:instrText xml:space="preserve"> HYPERLINK \l "_Toc13555" </w:instrText>
      </w:r>
      <w:r>
        <w:fldChar w:fldCharType="separate"/>
      </w:r>
      <w:r>
        <w:rPr>
          <w:rFonts w:hint="eastAsia" w:ascii="宋体" w:hAnsi="宋体" w:cs="宋体"/>
          <w:szCs w:val="21"/>
        </w:rPr>
        <w:t>第十二条  合同生效及其它</w:t>
      </w:r>
      <w:r>
        <w:tab/>
      </w:r>
      <w:r>
        <w:fldChar w:fldCharType="begin"/>
      </w:r>
      <w:r>
        <w:instrText xml:space="preserve"> PAGEREF _Toc13555 \h </w:instrText>
      </w:r>
      <w:r>
        <w:fldChar w:fldCharType="separate"/>
      </w:r>
      <w:r>
        <w:t>- 41 -</w:t>
      </w:r>
      <w:r>
        <w:fldChar w:fldCharType="end"/>
      </w:r>
      <w:r>
        <w:fldChar w:fldCharType="end"/>
      </w:r>
    </w:p>
    <w:p w14:paraId="32841F25">
      <w:pPr>
        <w:pStyle w:val="15"/>
        <w:tabs>
          <w:tab w:val="right" w:leader="dot" w:pos="10194"/>
        </w:tabs>
      </w:pPr>
      <w:r>
        <w:fldChar w:fldCharType="begin"/>
      </w:r>
      <w:r>
        <w:instrText xml:space="preserve"> HYPERLINK \l "_Toc31015" </w:instrText>
      </w:r>
      <w:r>
        <w:fldChar w:fldCharType="separate"/>
      </w:r>
      <w:r>
        <w:rPr>
          <w:rFonts w:hint="eastAsia" w:ascii="宋体" w:hAnsi="宋体" w:cs="宋体"/>
          <w:szCs w:val="21"/>
        </w:rPr>
        <w:t>第十三条  合同的变更、终止与转让</w:t>
      </w:r>
      <w:r>
        <w:tab/>
      </w:r>
      <w:r>
        <w:fldChar w:fldCharType="begin"/>
      </w:r>
      <w:r>
        <w:instrText xml:space="preserve"> PAGEREF _Toc31015 \h </w:instrText>
      </w:r>
      <w:r>
        <w:fldChar w:fldCharType="separate"/>
      </w:r>
      <w:r>
        <w:t>- 41 -</w:t>
      </w:r>
      <w:r>
        <w:fldChar w:fldCharType="end"/>
      </w:r>
      <w:r>
        <w:fldChar w:fldCharType="end"/>
      </w:r>
    </w:p>
    <w:p w14:paraId="11AB8D02">
      <w:pPr>
        <w:pStyle w:val="15"/>
        <w:tabs>
          <w:tab w:val="right" w:leader="dot" w:pos="10194"/>
        </w:tabs>
      </w:pPr>
      <w:r>
        <w:fldChar w:fldCharType="begin"/>
      </w:r>
      <w:r>
        <w:instrText xml:space="preserve"> HYPERLINK \l "_Toc12053" </w:instrText>
      </w:r>
      <w:r>
        <w:fldChar w:fldCharType="separate"/>
      </w:r>
      <w:r>
        <w:rPr>
          <w:rFonts w:hint="eastAsia" w:ascii="宋体" w:hAnsi="宋体" w:cs="宋体"/>
          <w:szCs w:val="21"/>
        </w:rPr>
        <w:t>第十四条  签订本合同依据</w:t>
      </w:r>
      <w:r>
        <w:tab/>
      </w:r>
      <w:r>
        <w:fldChar w:fldCharType="begin"/>
      </w:r>
      <w:r>
        <w:instrText xml:space="preserve"> PAGEREF _Toc12053 \h </w:instrText>
      </w:r>
      <w:r>
        <w:fldChar w:fldCharType="separate"/>
      </w:r>
      <w:r>
        <w:t>- 42 -</w:t>
      </w:r>
      <w:r>
        <w:fldChar w:fldCharType="end"/>
      </w:r>
      <w:r>
        <w:fldChar w:fldCharType="end"/>
      </w:r>
    </w:p>
    <w:p w14:paraId="7D4D52E6">
      <w:pPr>
        <w:pStyle w:val="15"/>
        <w:tabs>
          <w:tab w:val="right" w:leader="dot" w:pos="10194"/>
        </w:tabs>
      </w:pPr>
      <w:r>
        <w:fldChar w:fldCharType="begin"/>
      </w:r>
      <w:r>
        <w:instrText xml:space="preserve"> HYPERLINK \l "_Toc25054" </w:instrText>
      </w:r>
      <w:r>
        <w:fldChar w:fldCharType="separate"/>
      </w:r>
      <w:r>
        <w:rPr>
          <w:rFonts w:hint="eastAsia" w:ascii="宋体" w:hAnsi="宋体" w:cs="宋体"/>
          <w:bCs/>
          <w:kern w:val="44"/>
          <w:szCs w:val="32"/>
        </w:rPr>
        <w:t xml:space="preserve">第六章  </w:t>
      </w:r>
      <w:r>
        <w:rPr>
          <w:rFonts w:hint="eastAsia" w:ascii="宋体" w:hAnsi="宋体" w:cs="宋体"/>
          <w:bCs/>
          <w:szCs w:val="32"/>
        </w:rPr>
        <w:t>响应文件（格式）</w:t>
      </w:r>
      <w:r>
        <w:tab/>
      </w:r>
      <w:r>
        <w:fldChar w:fldCharType="begin"/>
      </w:r>
      <w:r>
        <w:instrText xml:space="preserve"> PAGEREF _Toc25054 \h </w:instrText>
      </w:r>
      <w:r>
        <w:fldChar w:fldCharType="separate"/>
      </w:r>
      <w:r>
        <w:t>- 43 -</w:t>
      </w:r>
      <w:r>
        <w:fldChar w:fldCharType="end"/>
      </w:r>
      <w:r>
        <w:fldChar w:fldCharType="end"/>
      </w:r>
    </w:p>
    <w:p w14:paraId="1A724535">
      <w:pPr>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fldChar w:fldCharType="end"/>
      </w:r>
    </w:p>
    <w:p w14:paraId="0F0D16B9">
      <w:pPr>
        <w:rPr>
          <w:rFonts w:hint="eastAsia" w:ascii="宋体" w:hAnsi="宋体" w:cs="宋体"/>
          <w:b/>
          <w:bCs/>
          <w:color w:val="000000" w:themeColor="text1"/>
          <w:sz w:val="32"/>
          <w:szCs w:val="32"/>
          <w14:textFill>
            <w14:solidFill>
              <w14:schemeClr w14:val="tx1"/>
            </w14:solidFill>
          </w14:textFill>
        </w:rPr>
        <w:sectPr>
          <w:footerReference r:id="rId5" w:type="default"/>
          <w:pgSz w:w="11906" w:h="16838"/>
          <w:pgMar w:top="1440" w:right="935" w:bottom="1440" w:left="777" w:header="851" w:footer="992" w:gutter="0"/>
          <w:pgNumType w:fmt="numberInDash" w:start="1"/>
          <w:cols w:space="720" w:num="1"/>
          <w:docGrid w:type="linesAndChars" w:linePitch="312" w:charSpace="0"/>
        </w:sectPr>
      </w:pPr>
    </w:p>
    <w:p w14:paraId="042D6777">
      <w:pPr>
        <w:pStyle w:val="2"/>
        <w:numPr>
          <w:ilvl w:val="0"/>
          <w:numId w:val="1"/>
        </w:numPr>
        <w:tabs>
          <w:tab w:val="left" w:pos="0"/>
        </w:tabs>
        <w:autoSpaceDE w:val="0"/>
        <w:autoSpaceDN w:val="0"/>
        <w:adjustRightInd w:val="0"/>
        <w:spacing w:before="0" w:after="0" w:line="360" w:lineRule="auto"/>
        <w:ind w:firstLine="425"/>
        <w:jc w:val="center"/>
        <w:rPr>
          <w:rFonts w:hint="eastAsia" w:ascii="宋体" w:hAnsi="宋体" w:cs="宋体"/>
          <w:color w:val="000000" w:themeColor="text1"/>
          <w:sz w:val="32"/>
          <w:szCs w:val="32"/>
          <w14:textFill>
            <w14:solidFill>
              <w14:schemeClr w14:val="tx1"/>
            </w14:solidFill>
          </w14:textFill>
        </w:rPr>
      </w:pPr>
      <w:bookmarkStart w:id="3" w:name="_Toc18669"/>
      <w:bookmarkStart w:id="4" w:name="_Toc26809"/>
      <w:bookmarkStart w:id="5" w:name="_Toc30170"/>
      <w:bookmarkStart w:id="6" w:name="_Toc35393797"/>
      <w:bookmarkStart w:id="7" w:name="_Toc28359011"/>
      <w:r>
        <w:rPr>
          <w:rFonts w:hint="eastAsia" w:ascii="宋体" w:hAnsi="宋体" w:cs="宋体"/>
          <w:color w:val="000000" w:themeColor="text1"/>
          <w:sz w:val="32"/>
          <w:szCs w:val="32"/>
          <w14:textFill>
            <w14:solidFill>
              <w14:schemeClr w14:val="tx1"/>
            </w14:solidFill>
          </w14:textFill>
        </w:rPr>
        <w:t>竞争性磋商公告</w:t>
      </w:r>
      <w:bookmarkEnd w:id="3"/>
      <w:bookmarkEnd w:id="4"/>
      <w:bookmarkEnd w:id="5"/>
      <w:bookmarkEnd w:id="6"/>
      <w:bookmarkEnd w:id="7"/>
    </w:p>
    <w:p w14:paraId="5CE6F2CE">
      <w:pPr>
        <w:spacing w:line="360" w:lineRule="exact"/>
        <w:rPr>
          <w:rFonts w:hint="eastAsia" w:ascii="宋体" w:hAnsi="宋体" w:cs="宋体"/>
          <w:color w:val="000000" w:themeColor="text1"/>
          <w14:textFill>
            <w14:solidFill>
              <w14:schemeClr w14:val="tx1"/>
            </w14:solidFill>
          </w14:textFill>
        </w:rPr>
      </w:pPr>
    </w:p>
    <w:tbl>
      <w:tblPr>
        <w:tblStyle w:val="21"/>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47B0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tcPr>
          <w:p w14:paraId="22FDB9FB">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7AD4904C">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桂林市政府集中采购中心受</w:t>
            </w:r>
            <w:r>
              <w:rPr>
                <w:rFonts w:hint="eastAsia" w:ascii="宋体" w:hAnsi="宋体" w:cs="宋体"/>
                <w:color w:val="000000" w:themeColor="text1"/>
                <w:sz w:val="24"/>
                <w:u w:val="single"/>
                <w14:textFill>
                  <w14:solidFill>
                    <w14:schemeClr w14:val="tx1"/>
                  </w14:solidFill>
                </w14:textFill>
              </w:rPr>
              <w:t>桂林国家高新区七星区数字城管应急指挥中心</w:t>
            </w:r>
            <w:r>
              <w:rPr>
                <w:rFonts w:hint="eastAsia" w:ascii="宋体" w:hAnsi="宋体" w:cs="宋体"/>
                <w:color w:val="000000" w:themeColor="text1"/>
                <w:sz w:val="24"/>
                <w14:textFill>
                  <w14:solidFill>
                    <w14:schemeClr w14:val="tx1"/>
                  </w14:solidFill>
                </w14:textFill>
              </w:rPr>
              <w:t>委托，根据《中华人民共和国政府采购法》《中华人民共和国政府采购法实施条例》《政府采购竞争性磋商采购方式管理暂行办法》等规定，现就</w:t>
            </w:r>
            <w:r>
              <w:rPr>
                <w:rFonts w:hint="eastAsia" w:ascii="宋体" w:hAnsi="宋体" w:cs="宋体"/>
                <w:color w:val="000000" w:themeColor="text1"/>
                <w:sz w:val="24"/>
                <w:u w:val="single"/>
                <w14:textFill>
                  <w14:solidFill>
                    <w14:schemeClr w14:val="tx1"/>
                  </w14:solidFill>
                </w14:textFill>
              </w:rPr>
              <w:t>桂林国家高新区七星区数字城管应急指挥中心高清视频监控456个摄像头线路及平台服务项目</w:t>
            </w:r>
            <w:r>
              <w:rPr>
                <w:rFonts w:hint="eastAsia" w:ascii="宋体" w:hAnsi="宋体" w:cs="宋体"/>
                <w:color w:val="000000" w:themeColor="text1"/>
                <w:sz w:val="24"/>
                <w14:textFill>
                  <w14:solidFill>
                    <w14:schemeClr w14:val="tx1"/>
                  </w14:solidFill>
                </w14:textFill>
              </w:rPr>
              <w:t>进行竞争性磋商采购，欢迎符合条件的供应商前来参加磋商活动，并于2025年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t>日上午9时30分前递交响应文件。现将本次竞争性磋商的有关事项公告如下：</w:t>
            </w:r>
          </w:p>
        </w:tc>
      </w:tr>
    </w:tbl>
    <w:p w14:paraId="5E85000A">
      <w:pPr>
        <w:spacing w:line="360" w:lineRule="exact"/>
        <w:rPr>
          <w:rFonts w:hint="eastAsia" w:ascii="宋体" w:hAnsi="宋体" w:cs="宋体"/>
          <w:color w:val="000000" w:themeColor="text1"/>
          <w:sz w:val="24"/>
          <w14:textFill>
            <w14:solidFill>
              <w14:schemeClr w14:val="tx1"/>
            </w14:solidFill>
          </w14:textFill>
        </w:rPr>
      </w:pPr>
      <w:bookmarkStart w:id="8" w:name="_Toc35393629"/>
      <w:bookmarkStart w:id="9" w:name="_Toc28359089"/>
      <w:bookmarkStart w:id="10" w:name="_Toc28359012"/>
      <w:bookmarkStart w:id="11" w:name="_Toc35393798"/>
      <w:r>
        <w:rPr>
          <w:rFonts w:hint="eastAsia" w:ascii="宋体" w:hAnsi="宋体" w:cs="宋体"/>
          <w:color w:val="000000" w:themeColor="text1"/>
          <w:sz w:val="24"/>
          <w14:textFill>
            <w14:solidFill>
              <w14:schemeClr w14:val="tx1"/>
            </w14:solidFill>
          </w14:textFill>
        </w:rPr>
        <w:t>一、项目基本情况</w:t>
      </w:r>
      <w:bookmarkEnd w:id="8"/>
      <w:bookmarkEnd w:id="9"/>
      <w:bookmarkEnd w:id="10"/>
      <w:bookmarkEnd w:id="11"/>
    </w:p>
    <w:p w14:paraId="2F5F5CB2">
      <w:pPr>
        <w:ind w:firstLine="480" w:firstLineChars="200"/>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bookmarkStart w:id="12" w:name="OLE_LINK27"/>
      <w:r>
        <w:rPr>
          <w:rFonts w:hint="eastAsia" w:ascii="宋体" w:hAnsi="宋体" w:cs="宋体"/>
          <w:color w:val="000000" w:themeColor="text1"/>
          <w:sz w:val="24"/>
          <w14:textFill>
            <w14:solidFill>
              <w14:schemeClr w14:val="tx1"/>
            </w14:solidFill>
          </w14:textFill>
        </w:rPr>
        <w:t>GLZC2025-C3-990195-GLSZ</w:t>
      </w:r>
    </w:p>
    <w:p w14:paraId="7873E311">
      <w:pPr>
        <w:ind w:firstLine="480" w:firstLineChars="200"/>
        <w:rPr>
          <w:rFonts w:hint="eastAsia" w:ascii="宋体" w:hAnsi="宋体" w:cs="宋体"/>
          <w:color w:val="000000" w:themeColor="text1"/>
          <w:sz w:val="24"/>
          <w:highlight w:val="yellow"/>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 桂林国家高新区七星区数字城管应急指挥中心高清视频监控456个摄像头线路及平台服务项目</w:t>
      </w:r>
    </w:p>
    <w:bookmarkEnd w:id="12"/>
    <w:p w14:paraId="10DAEB2E">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采购方式：竞争性磋商</w:t>
      </w:r>
    </w:p>
    <w:p w14:paraId="397CFBAF">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预算金额：预算金额人民币捌拾壹万元整(¥810000.00元)</w:t>
      </w:r>
    </w:p>
    <w:p w14:paraId="0AD0365A">
      <w:pPr>
        <w:spacing w:line="36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采购需求</w:t>
      </w:r>
      <w:r>
        <w:rPr>
          <w:rFonts w:hint="eastAsia" w:ascii="宋体" w:hAnsi="宋体" w:cs="宋体"/>
          <w:color w:val="000000" w:themeColor="text1"/>
          <w:sz w:val="24"/>
          <w14:textFill>
            <w14:solidFill>
              <w14:schemeClr w14:val="tx1"/>
            </w14:solidFill>
          </w14:textFill>
        </w:rPr>
        <w:t>：</w:t>
      </w:r>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14:paraId="0124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70C1E300">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项号</w:t>
            </w:r>
          </w:p>
        </w:tc>
        <w:tc>
          <w:tcPr>
            <w:tcW w:w="3319" w:type="dxa"/>
            <w:tcBorders>
              <w:top w:val="single" w:color="auto" w:sz="4" w:space="0"/>
              <w:left w:val="nil"/>
              <w:bottom w:val="single" w:color="auto" w:sz="4" w:space="0"/>
              <w:right w:val="single" w:color="auto" w:sz="4" w:space="0"/>
            </w:tcBorders>
            <w:vAlign w:val="center"/>
          </w:tcPr>
          <w:p w14:paraId="592E5BB4">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服务名称</w:t>
            </w:r>
          </w:p>
        </w:tc>
        <w:tc>
          <w:tcPr>
            <w:tcW w:w="725" w:type="dxa"/>
            <w:tcBorders>
              <w:top w:val="single" w:color="auto" w:sz="4" w:space="0"/>
              <w:left w:val="nil"/>
              <w:bottom w:val="single" w:color="auto" w:sz="4" w:space="0"/>
              <w:right w:val="single" w:color="auto" w:sz="4" w:space="0"/>
            </w:tcBorders>
            <w:vAlign w:val="center"/>
          </w:tcPr>
          <w:p w14:paraId="6280E706">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363" w:type="dxa"/>
            <w:tcBorders>
              <w:top w:val="single" w:color="auto" w:sz="4" w:space="0"/>
              <w:left w:val="nil"/>
              <w:bottom w:val="single" w:color="auto" w:sz="4" w:space="0"/>
              <w:right w:val="single" w:color="auto" w:sz="4" w:space="0"/>
            </w:tcBorders>
            <w:vAlign w:val="center"/>
          </w:tcPr>
          <w:p w14:paraId="062BBAD5">
            <w:pPr>
              <w:spacing w:line="360" w:lineRule="exact"/>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2876" w:type="dxa"/>
            <w:tcBorders>
              <w:top w:val="single" w:color="auto" w:sz="4" w:space="0"/>
              <w:left w:val="nil"/>
              <w:bottom w:val="single" w:color="auto" w:sz="4" w:space="0"/>
              <w:right w:val="single" w:color="auto" w:sz="4" w:space="0"/>
            </w:tcBorders>
            <w:vAlign w:val="center"/>
          </w:tcPr>
          <w:p w14:paraId="56AB3533">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项目要求及服务需求</w:t>
            </w:r>
          </w:p>
        </w:tc>
      </w:tr>
      <w:tr w14:paraId="4804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14:paraId="7BA8957A">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3319" w:type="dxa"/>
            <w:tcBorders>
              <w:top w:val="single" w:color="auto" w:sz="4" w:space="0"/>
              <w:left w:val="nil"/>
              <w:bottom w:val="single" w:color="auto" w:sz="4" w:space="0"/>
              <w:right w:val="single" w:color="auto" w:sz="4" w:space="0"/>
            </w:tcBorders>
            <w:vAlign w:val="center"/>
          </w:tcPr>
          <w:p w14:paraId="0D7B73A4">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桂林国家高新区七星区数字城管应急指挥中心高清视频监控456个摄像头线路及平台服务项目</w:t>
            </w:r>
          </w:p>
        </w:tc>
        <w:tc>
          <w:tcPr>
            <w:tcW w:w="725" w:type="dxa"/>
            <w:tcBorders>
              <w:top w:val="single" w:color="auto" w:sz="4" w:space="0"/>
              <w:left w:val="nil"/>
              <w:bottom w:val="single" w:color="auto" w:sz="4" w:space="0"/>
              <w:right w:val="single" w:color="auto" w:sz="4" w:space="0"/>
            </w:tcBorders>
            <w:vAlign w:val="center"/>
          </w:tcPr>
          <w:p w14:paraId="5410256E">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3" w:type="dxa"/>
            <w:tcBorders>
              <w:top w:val="single" w:color="auto" w:sz="4" w:space="0"/>
              <w:left w:val="nil"/>
              <w:bottom w:val="single" w:color="auto" w:sz="4" w:space="0"/>
              <w:right w:val="single" w:color="auto" w:sz="4" w:space="0"/>
            </w:tcBorders>
            <w:vAlign w:val="center"/>
          </w:tcPr>
          <w:p w14:paraId="0A78D869">
            <w:pPr>
              <w:spacing w:line="36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w:t>
            </w:r>
          </w:p>
        </w:tc>
        <w:tc>
          <w:tcPr>
            <w:tcW w:w="2876" w:type="dxa"/>
            <w:tcBorders>
              <w:top w:val="single" w:color="auto" w:sz="4" w:space="0"/>
              <w:left w:val="nil"/>
              <w:bottom w:val="single" w:color="auto" w:sz="4" w:space="0"/>
              <w:right w:val="single" w:color="auto" w:sz="4" w:space="0"/>
            </w:tcBorders>
            <w:vAlign w:val="center"/>
          </w:tcPr>
          <w:p w14:paraId="5912F9C0">
            <w:pPr>
              <w:spacing w:line="360" w:lineRule="exact"/>
              <w:jc w:val="center"/>
              <w:rPr>
                <w:rFonts w:hint="eastAsia" w:ascii="宋体" w:hAnsi="宋体" w:cs="宋体"/>
                <w:color w:val="000000" w:themeColor="text1"/>
                <w:sz w:val="24"/>
                <w14:textFill>
                  <w14:solidFill>
                    <w14:schemeClr w14:val="tx1"/>
                  </w14:solidFill>
                </w14:textFill>
              </w:rPr>
            </w:pPr>
            <w:bookmarkStart w:id="13" w:name="OLE_LINK12"/>
            <w:r>
              <w:rPr>
                <w:rFonts w:hint="eastAsia" w:ascii="宋体" w:hAnsi="宋体" w:cs="宋体"/>
                <w:color w:val="000000" w:themeColor="text1"/>
                <w:sz w:val="24"/>
                <w14:textFill>
                  <w14:solidFill>
                    <w14:schemeClr w14:val="tx1"/>
                  </w14:solidFill>
                </w14:textFill>
              </w:rPr>
              <w:t>详见竞争性磋商文件</w:t>
            </w:r>
            <w:bookmarkEnd w:id="13"/>
            <w:r>
              <w:rPr>
                <w:rFonts w:hint="eastAsia" w:ascii="宋体" w:hAnsi="宋体" w:cs="宋体"/>
                <w:color w:val="000000" w:themeColor="text1"/>
                <w:sz w:val="24"/>
                <w14:textFill>
                  <w14:solidFill>
                    <w14:schemeClr w14:val="tx1"/>
                  </w14:solidFill>
                </w14:textFill>
              </w:rPr>
              <w:t xml:space="preserve">   </w:t>
            </w:r>
          </w:p>
        </w:tc>
      </w:tr>
    </w:tbl>
    <w:p w14:paraId="63DDE541">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采购需求的详细内容，详见竞争性磋商文件。</w:t>
      </w:r>
    </w:p>
    <w:p w14:paraId="52B0CAC6">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合同履行期限：自合同签订之日起至服务期满。</w:t>
      </w:r>
    </w:p>
    <w:p w14:paraId="635FF7CD">
      <w:pPr>
        <w:spacing w:line="360" w:lineRule="exact"/>
        <w:ind w:firstLine="480" w:firstLineChars="2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本项目不接受联合体参与磋商。</w:t>
      </w:r>
    </w:p>
    <w:p w14:paraId="73B2668F">
      <w:pPr>
        <w:spacing w:line="360" w:lineRule="exact"/>
        <w:rPr>
          <w:rFonts w:hint="eastAsia" w:ascii="宋体" w:hAnsi="宋体" w:cs="宋体"/>
          <w:color w:val="000000" w:themeColor="text1"/>
          <w:sz w:val="24"/>
          <w14:textFill>
            <w14:solidFill>
              <w14:schemeClr w14:val="tx1"/>
            </w14:solidFill>
          </w14:textFill>
        </w:rPr>
      </w:pPr>
      <w:bookmarkStart w:id="14" w:name="_Toc35393630"/>
      <w:bookmarkStart w:id="15" w:name="_Toc28359090"/>
      <w:bookmarkStart w:id="16" w:name="_Toc35393799"/>
      <w:bookmarkStart w:id="17" w:name="_Toc28359013"/>
      <w:r>
        <w:rPr>
          <w:rFonts w:hint="eastAsia" w:ascii="宋体" w:hAnsi="宋体" w:cs="宋体"/>
          <w:color w:val="000000" w:themeColor="text1"/>
          <w:sz w:val="24"/>
          <w14:textFill>
            <w14:solidFill>
              <w14:schemeClr w14:val="tx1"/>
            </w14:solidFill>
          </w14:textFill>
        </w:rPr>
        <w:t>二、申请人的资格要求：</w:t>
      </w:r>
      <w:bookmarkEnd w:id="14"/>
      <w:bookmarkEnd w:id="15"/>
      <w:bookmarkEnd w:id="16"/>
      <w:bookmarkEnd w:id="17"/>
    </w:p>
    <w:p w14:paraId="1E157C27">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1.满足《中华人民共和国政府采购法》第二十二条规定；</w:t>
      </w:r>
    </w:p>
    <w:p w14:paraId="3948B5EA">
      <w:pPr>
        <w:spacing w:line="36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3577B25E">
      <w:pPr>
        <w:spacing w:line="360" w:lineRule="exact"/>
        <w:ind w:firstLine="480" w:firstLineChars="200"/>
        <w:rPr>
          <w:rFonts w:hint="eastAsia" w:ascii="宋体" w:hAnsi="宋体" w:cs="宋体"/>
          <w:b/>
          <w:bCs/>
          <w:color w:val="000000" w:themeColor="text1"/>
          <w:sz w:val="24"/>
          <w14:textFill>
            <w14:solidFill>
              <w14:schemeClr w14:val="tx1"/>
            </w14:solidFill>
          </w14:textFill>
        </w:rPr>
      </w:pPr>
      <w:bookmarkStart w:id="18" w:name="_Toc28359014"/>
      <w:bookmarkStart w:id="19" w:name="_Toc28359091"/>
      <w:r>
        <w:rPr>
          <w:rFonts w:hint="eastAsia" w:ascii="宋体" w:hAnsi="宋体" w:cs="宋体"/>
          <w:color w:val="000000" w:themeColor="text1"/>
          <w:sz w:val="24"/>
          <w14:textFill>
            <w14:solidFill>
              <w14:schemeClr w14:val="tx1"/>
            </w14:solidFill>
          </w14:textFill>
        </w:rPr>
        <w:t>3.落实政府采购政策需满足的资格要求：</w:t>
      </w:r>
      <w:bookmarkStart w:id="20" w:name="OLE_LINK14"/>
      <w:r>
        <w:rPr>
          <w:rFonts w:hint="eastAsia" w:ascii="宋体" w:hAnsi="宋体" w:cs="宋体"/>
          <w:color w:val="000000" w:themeColor="text1"/>
          <w:sz w:val="24"/>
          <w14:textFill>
            <w14:solidFill>
              <w14:schemeClr w14:val="tx1"/>
            </w14:solidFill>
          </w14:textFill>
        </w:rPr>
        <w:t>无。</w:t>
      </w:r>
      <w:bookmarkEnd w:id="20"/>
    </w:p>
    <w:p w14:paraId="4C028A41">
      <w:pPr>
        <w:spacing w:line="360" w:lineRule="exact"/>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bookmarkStart w:id="21" w:name="_Toc35393631"/>
      <w:bookmarkStart w:id="22" w:name="_Toc35393800"/>
      <w:r>
        <w:rPr>
          <w:rFonts w:hint="eastAsia" w:ascii="宋体" w:hAnsi="宋体" w:cs="宋体"/>
          <w:color w:val="000000" w:themeColor="text1"/>
          <w:sz w:val="24"/>
          <w14:textFill>
            <w14:solidFill>
              <w14:schemeClr w14:val="tx1"/>
            </w14:solidFill>
          </w14:textFill>
        </w:rPr>
        <w:t>无。</w:t>
      </w:r>
    </w:p>
    <w:bookmarkEnd w:id="18"/>
    <w:bookmarkEnd w:id="19"/>
    <w:bookmarkEnd w:id="21"/>
    <w:bookmarkEnd w:id="22"/>
    <w:p w14:paraId="187EABBE">
      <w:pPr>
        <w:rPr>
          <w:rFonts w:hint="eastAsia" w:ascii="宋体" w:hAnsi="宋体" w:cs="宋体"/>
          <w:color w:val="000000" w:themeColor="text1"/>
          <w:sz w:val="24"/>
          <w14:textFill>
            <w14:solidFill>
              <w14:schemeClr w14:val="tx1"/>
            </w14:solidFill>
          </w14:textFill>
        </w:rPr>
      </w:pPr>
      <w:bookmarkStart w:id="23" w:name="_Toc35393792"/>
      <w:bookmarkStart w:id="24" w:name="_Toc35393623"/>
      <w:bookmarkStart w:id="25" w:name="_Toc35393805"/>
      <w:bookmarkStart w:id="26" w:name="_Toc28359095"/>
      <w:bookmarkStart w:id="27" w:name="_Toc28359018"/>
      <w:bookmarkStart w:id="28" w:name="_Toc35393636"/>
      <w:r>
        <w:rPr>
          <w:rFonts w:hint="eastAsia" w:ascii="宋体" w:hAnsi="宋体" w:cs="宋体"/>
          <w:color w:val="000000" w:themeColor="text1"/>
          <w:sz w:val="24"/>
          <w14:textFill>
            <w14:solidFill>
              <w14:schemeClr w14:val="tx1"/>
            </w14:solidFill>
          </w14:textFill>
        </w:rPr>
        <w:t>三、获取采购文件</w:t>
      </w:r>
      <w:bookmarkEnd w:id="23"/>
      <w:bookmarkEnd w:id="24"/>
    </w:p>
    <w:p w14:paraId="4E8F607B">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1.采购文件获取时间：2025年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日至2025年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t>日上午9时30分。</w:t>
      </w:r>
    </w:p>
    <w:p w14:paraId="6D751AF5">
      <w:pPr>
        <w:pStyle w:val="25"/>
        <w:ind w:firstLine="48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2.地点及方式：潜在供应商请登录广西政府采购云平台获取该项目采购文件。</w:t>
      </w:r>
    </w:p>
    <w:p w14:paraId="409825C3">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3.采购文件售价：本项目采购文件不收取费用。</w:t>
      </w:r>
    </w:p>
    <w:p w14:paraId="27ED6DF4">
      <w:pPr>
        <w:rPr>
          <w:rFonts w:hint="eastAsia" w:ascii="宋体" w:hAnsi="宋体" w:cs="宋体"/>
          <w:color w:val="000000" w:themeColor="text1"/>
          <w:sz w:val="24"/>
          <w14:textFill>
            <w14:solidFill>
              <w14:schemeClr w14:val="tx1"/>
            </w14:solidFill>
          </w14:textFill>
        </w:rPr>
      </w:pPr>
      <w:bookmarkStart w:id="29" w:name="_Toc28359082"/>
      <w:bookmarkStart w:id="30" w:name="_Toc28359005"/>
      <w:bookmarkStart w:id="31" w:name="_Toc35393793"/>
      <w:bookmarkStart w:id="32" w:name="_Toc35393624"/>
      <w:r>
        <w:rPr>
          <w:rFonts w:hint="eastAsia" w:ascii="宋体" w:hAnsi="宋体" w:cs="宋体"/>
          <w:color w:val="000000" w:themeColor="text1"/>
          <w:sz w:val="24"/>
          <w14:textFill>
            <w14:solidFill>
              <w14:schemeClr w14:val="tx1"/>
            </w14:solidFill>
          </w14:textFill>
        </w:rPr>
        <w:t>四、响应文件</w:t>
      </w:r>
      <w:bookmarkEnd w:id="29"/>
      <w:bookmarkEnd w:id="30"/>
      <w:r>
        <w:rPr>
          <w:rFonts w:hint="eastAsia" w:ascii="宋体" w:hAnsi="宋体" w:cs="宋体"/>
          <w:color w:val="000000" w:themeColor="text1"/>
          <w:sz w:val="24"/>
          <w14:textFill>
            <w14:solidFill>
              <w14:schemeClr w14:val="tx1"/>
            </w14:solidFill>
          </w14:textFill>
        </w:rPr>
        <w:t>提交时间和地点</w:t>
      </w:r>
      <w:bookmarkEnd w:id="31"/>
      <w:bookmarkEnd w:id="32"/>
    </w:p>
    <w:p w14:paraId="5A9FE163">
      <w:pPr>
        <w:spacing w:line="380" w:lineRule="exact"/>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截止时间：</w:t>
      </w:r>
      <w:r>
        <w:rPr>
          <w:rFonts w:hint="eastAsia" w:ascii="宋体" w:hAnsi="宋体" w:cs="宋体"/>
          <w:color w:val="000000" w:themeColor="text1"/>
          <w:sz w:val="24"/>
          <w14:textFill>
            <w14:solidFill>
              <w14:schemeClr w14:val="tx1"/>
            </w14:solidFill>
          </w14:textFill>
        </w:rPr>
        <w:t>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t>日上午9时30分(</w:t>
      </w:r>
      <w:r>
        <w:rPr>
          <w:rFonts w:hint="eastAsia" w:ascii="宋体" w:hAnsi="宋体" w:cs="宋体"/>
          <w:bCs/>
          <w:color w:val="000000" w:themeColor="text1"/>
          <w:sz w:val="24"/>
          <w14:textFill>
            <w14:solidFill>
              <w14:schemeClr w14:val="tx1"/>
            </w14:solidFill>
          </w14:textFill>
        </w:rPr>
        <w:t>北京时间）。</w:t>
      </w:r>
    </w:p>
    <w:p w14:paraId="42967233">
      <w:pPr>
        <w:spacing w:line="380" w:lineRule="exact"/>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点：通过广西政府采购云平台实行在线响应。</w:t>
      </w:r>
    </w:p>
    <w:p w14:paraId="20A7E333">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五、开启</w:t>
      </w:r>
    </w:p>
    <w:p w14:paraId="63C3D8BE">
      <w:pPr>
        <w:spacing w:line="340" w:lineRule="exact"/>
        <w:ind w:firstLine="576"/>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t>日上午9时30分(北京时间）截标后。</w:t>
      </w:r>
    </w:p>
    <w:p w14:paraId="6B5EDA38">
      <w:pPr>
        <w:spacing w:line="340" w:lineRule="exact"/>
        <w:ind w:firstLine="576"/>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地点：桂林市公共资源交易中心</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号</w:t>
      </w:r>
      <w:r>
        <w:rPr>
          <w:rFonts w:hint="eastAsia" w:ascii="宋体" w:hAnsi="宋体" w:cs="宋体"/>
          <w:color w:val="000000" w:themeColor="text1"/>
          <w:sz w:val="24"/>
          <w14:textFill>
            <w14:solidFill>
              <w14:schemeClr w14:val="tx1"/>
            </w14:solidFill>
          </w14:textFill>
        </w:rPr>
        <w:t>开标仓通过广西政府采购云平台实行在线解密开启。</w:t>
      </w:r>
    </w:p>
    <w:p w14:paraId="30E69772">
      <w:pPr>
        <w:rPr>
          <w:rFonts w:hint="eastAsia" w:ascii="宋体" w:hAnsi="宋体" w:cs="宋体"/>
          <w:color w:val="000000" w:themeColor="text1"/>
          <w:sz w:val="24"/>
          <w14:textFill>
            <w14:solidFill>
              <w14:schemeClr w14:val="tx1"/>
            </w14:solidFill>
          </w14:textFill>
        </w:rPr>
      </w:pPr>
      <w:bookmarkStart w:id="33" w:name="_Toc28359084"/>
      <w:bookmarkStart w:id="34" w:name="_Toc28359007"/>
      <w:bookmarkStart w:id="35" w:name="_Toc35393625"/>
      <w:bookmarkStart w:id="36" w:name="_Toc35393794"/>
      <w:r>
        <w:rPr>
          <w:rFonts w:hint="eastAsia" w:ascii="宋体" w:hAnsi="宋体" w:cs="宋体"/>
          <w:color w:val="000000" w:themeColor="text1"/>
          <w:sz w:val="24"/>
          <w14:textFill>
            <w14:solidFill>
              <w14:schemeClr w14:val="tx1"/>
            </w14:solidFill>
          </w14:textFill>
        </w:rPr>
        <w:t>六、公告期限</w:t>
      </w:r>
      <w:bookmarkEnd w:id="33"/>
      <w:bookmarkEnd w:id="34"/>
      <w:bookmarkEnd w:id="35"/>
      <w:bookmarkEnd w:id="36"/>
    </w:p>
    <w:p w14:paraId="194CC90F">
      <w:pPr>
        <w:spacing w:line="3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自本公告发布之日起5个工作日。</w:t>
      </w:r>
    </w:p>
    <w:p w14:paraId="31C9F35B">
      <w:pPr>
        <w:rPr>
          <w:rFonts w:hint="eastAsia" w:ascii="宋体" w:hAnsi="宋体" w:cs="宋体"/>
          <w:color w:val="000000" w:themeColor="text1"/>
          <w:sz w:val="24"/>
          <w14:textFill>
            <w14:solidFill>
              <w14:schemeClr w14:val="tx1"/>
            </w14:solidFill>
          </w14:textFill>
        </w:rPr>
      </w:pPr>
      <w:bookmarkStart w:id="37" w:name="_Toc35393626"/>
      <w:bookmarkStart w:id="38" w:name="_Toc35393795"/>
      <w:r>
        <w:rPr>
          <w:rFonts w:hint="eastAsia" w:ascii="宋体" w:hAnsi="宋体" w:cs="宋体"/>
          <w:color w:val="000000" w:themeColor="text1"/>
          <w:sz w:val="24"/>
          <w14:textFill>
            <w14:solidFill>
              <w14:schemeClr w14:val="tx1"/>
            </w14:solidFill>
          </w14:textFill>
        </w:rPr>
        <w:t>七、其他补充事宜</w:t>
      </w:r>
      <w:bookmarkEnd w:id="37"/>
      <w:bookmarkEnd w:id="38"/>
    </w:p>
    <w:p w14:paraId="2B89B8A9">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1.本项目无需缴纳磋商保证金。</w:t>
      </w:r>
    </w:p>
    <w:p w14:paraId="5D7DF3A0">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2.本项目信息发布媒体：</w:t>
      </w:r>
    </w:p>
    <w:p w14:paraId="43F81EDC">
      <w:pPr>
        <w:spacing w:line="38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桂林市政府采购网（zfcg.czj.guilin.gov.cn）</w:t>
      </w:r>
    </w:p>
    <w:p w14:paraId="20C4C0AE">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广西壮族自治区政府采购网（www.ccgp-guangxi.gov.cn）</w:t>
      </w:r>
    </w:p>
    <w:p w14:paraId="3720961F">
      <w:pPr>
        <w:pStyle w:val="8"/>
        <w:ind w:firstLine="480" w:firstLineChars="200"/>
      </w:pPr>
      <w:r>
        <w:rPr>
          <w:rFonts w:hint="eastAsia" w:ascii="宋体" w:hAnsi="宋体" w:cs="宋体"/>
          <w:color w:val="000000"/>
          <w:sz w:val="24"/>
        </w:rPr>
        <w:t>中国政府采购网（www.ccgp.gov.cn）</w:t>
      </w:r>
    </w:p>
    <w:p w14:paraId="782C04F7">
      <w:pPr>
        <w:spacing w:line="38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3.磋商响应文件解密时间：截标时间后30分钟内（2025年</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t xml:space="preserve">日上午9时30分至10时00分)磋商供应商可以登录广西政府采购云平台，用“项目采购-开标评标”功能进行解密电子磋商响应文件。    </w:t>
      </w:r>
    </w:p>
    <w:p w14:paraId="4BC7728A">
      <w:pPr>
        <w:spacing w:line="380" w:lineRule="exact"/>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投标文件网上递交截止时间后，各供应商须在解密时限内对上传政采云的投标文件进行解密，所有供应商在规定的解密时限内解密完成或解密时限结束后，我中心开启已解密的响应文件。供应商超过解密时限未解密的，系统默认自动放弃，造成投标无效的后果由供应商自行承担，解密响应文件后，30分钟内在线签字确认，超过时间没有在线签字确认的系统将自动视为供应商认可。</w:t>
      </w:r>
    </w:p>
    <w:p w14:paraId="3D81E6E2">
      <w:pPr>
        <w:spacing w:line="4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八、在线投标响应（电子投标）说明</w:t>
      </w:r>
    </w:p>
    <w:p w14:paraId="3B834245">
      <w:pPr>
        <w:spacing w:line="3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通过广西政府采购云平台实行在线投标响应（电子投标），供应商需要先安装“政采云电子交易客户端”，并按照本磋商文件和广西政府采购云平台的要求，通过“政采云电子交易客户端”编制并加密响应文件。供应商未按规定编制并加密的响应文件，广西政府采购云平台将予以拒收。</w:t>
      </w:r>
    </w:p>
    <w:p w14:paraId="35922690">
      <w:pPr>
        <w:pStyle w:val="25"/>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采云电子交易客户端”请自行前往广西政府采购网下载并安装；电子投标具体操作流程参考《政府采购项目电子交易管理操作指南-供应商》；在使用政采云投标客户端时，建议使用WIN7及以上操作系统,通过广西政府采购云平台参与在线投标时如遇平台技术问题详询95763。</w:t>
      </w:r>
    </w:p>
    <w:p w14:paraId="42DE1F74">
      <w:pPr>
        <w:spacing w:line="340" w:lineRule="exact"/>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确保网上操作合法、有效和安全，磋商供应商应当在磋商截止时间前完成在“广西政府采购云平台”的身份认证，确保在电子投标过程中能够对相关数据电文进行加密和使用电子签章。使用“政采云电子交易客户端”需要提前申领CA数字证书，申领流程请自行前往广西政府采购云平台网站进行查阅；</w:t>
      </w:r>
      <w:r>
        <w:rPr>
          <w:rFonts w:hint="eastAsia" w:ascii="宋体" w:hAnsi="宋体" w:cs="宋体"/>
          <w:b/>
          <w:bCs/>
          <w:color w:val="000000" w:themeColor="text1"/>
          <w:sz w:val="24"/>
          <w14:textFill>
            <w14:solidFill>
              <w14:schemeClr w14:val="tx1"/>
            </w14:solidFill>
          </w14:textFill>
        </w:rPr>
        <w:t>（完成CA数字证书办理预计一周左右，建议供应商获取磋商文件后立即办理。）</w:t>
      </w:r>
    </w:p>
    <w:p w14:paraId="5E69875F">
      <w:pPr>
        <w:spacing w:line="34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117B2660">
      <w:pPr>
        <w:pStyle w:val="25"/>
        <w:ind w:firstLine="480" w:firstLineChars="200"/>
        <w:rPr>
          <w:rFonts w:hint="eastAsia" w:ascii="宋体" w:hAnsi="宋体" w:cs="宋体"/>
          <w:b/>
          <w:bCs/>
          <w:color w:val="000000" w:themeColor="text1"/>
          <w:u w:val="single"/>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4.本项目需要磋商供应商代表在截标当天截标后，按磋商小组要求及时登陆广西政府采购云平台等候在线磋商及提交最后报价。</w:t>
      </w:r>
    </w:p>
    <w:p w14:paraId="3C7BE2B4">
      <w:pPr>
        <w:pStyle w:val="25"/>
        <w:ind w:firstLine="480" w:firstLineChars="200"/>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u w:val="single"/>
          <w14:textFill>
            <w14:solidFill>
              <w14:schemeClr w14:val="tx1"/>
            </w14:solidFill>
          </w14:textFill>
        </w:rPr>
        <w:t>5.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14:paraId="77B4E536">
      <w:pPr>
        <w:spacing w:line="36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九、凡对本次采购提出询问，请按以下方式联系。</w:t>
      </w:r>
      <w:bookmarkEnd w:id="25"/>
      <w:bookmarkEnd w:id="26"/>
      <w:bookmarkEnd w:id="27"/>
      <w:bookmarkEnd w:id="28"/>
    </w:p>
    <w:p w14:paraId="71CA2FF1">
      <w:pPr>
        <w:spacing w:line="360" w:lineRule="exact"/>
        <w:ind w:firstLine="480" w:firstLineChars="200"/>
        <w:rPr>
          <w:rFonts w:hint="eastAsia" w:ascii="宋体" w:hAnsi="宋体" w:cs="宋体"/>
          <w:color w:val="000000" w:themeColor="text1"/>
          <w:sz w:val="24"/>
          <w14:textFill>
            <w14:solidFill>
              <w14:schemeClr w14:val="tx1"/>
            </w14:solidFill>
          </w14:textFill>
        </w:rPr>
      </w:pPr>
      <w:bookmarkStart w:id="39" w:name="_Toc28359019"/>
      <w:bookmarkStart w:id="40" w:name="_Toc35393637"/>
      <w:bookmarkStart w:id="41" w:name="_Toc35393806"/>
      <w:bookmarkStart w:id="42" w:name="_Toc28359096"/>
      <w:r>
        <w:rPr>
          <w:rFonts w:hint="eastAsia" w:ascii="宋体" w:hAnsi="宋体" w:cs="宋体"/>
          <w:color w:val="000000" w:themeColor="text1"/>
          <w:sz w:val="24"/>
          <w14:textFill>
            <w14:solidFill>
              <w14:schemeClr w14:val="tx1"/>
            </w14:solidFill>
          </w14:textFill>
        </w:rPr>
        <w:t>1.采购人信息</w:t>
      </w:r>
      <w:bookmarkEnd w:id="39"/>
      <w:bookmarkEnd w:id="40"/>
      <w:bookmarkEnd w:id="41"/>
      <w:bookmarkEnd w:id="42"/>
    </w:p>
    <w:p w14:paraId="749E1CF8">
      <w:pPr>
        <w:spacing w:line="360" w:lineRule="exact"/>
        <w:ind w:firstLine="480" w:firstLineChars="200"/>
        <w:jc w:val="left"/>
        <w:rPr>
          <w:rFonts w:hint="eastAsia" w:ascii="宋体" w:hAnsi="宋体" w:cs="宋体"/>
          <w:color w:val="000000" w:themeColor="text1"/>
          <w:sz w:val="24"/>
          <w:u w:val="single"/>
          <w14:textFill>
            <w14:solidFill>
              <w14:schemeClr w14:val="tx1"/>
            </w14:solidFill>
          </w14:textFill>
        </w:rPr>
      </w:pPr>
      <w:bookmarkStart w:id="43" w:name="_Toc28359020"/>
      <w:bookmarkStart w:id="44" w:name="_Toc35393638"/>
      <w:bookmarkStart w:id="45" w:name="_Toc35393807"/>
      <w:bookmarkStart w:id="46" w:name="_Toc28359097"/>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桂林国家高新区七星区数字城管应急指挥中心</w:t>
      </w:r>
    </w:p>
    <w:p w14:paraId="70CA5000">
      <w:pPr>
        <w:spacing w:line="360" w:lineRule="exact"/>
        <w:ind w:firstLine="480" w:firstLineChars="200"/>
        <w:jc w:val="left"/>
        <w:rPr>
          <w:rFonts w:hint="eastAsia" w:ascii="宋体" w:hAnsi="宋体" w:cs="宋体"/>
          <w:color w:val="000000" w:themeColor="text1"/>
          <w:sz w:val="24"/>
          <w:highlight w:val="yellow"/>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auto"/>
          <w:sz w:val="24"/>
          <w:highlight w:val="none"/>
          <w:u w:val="single"/>
        </w:rPr>
        <w:t>桂林市七星区骖鸾路26号高新开发大厦</w:t>
      </w:r>
    </w:p>
    <w:p w14:paraId="76048BAC">
      <w:pPr>
        <w:spacing w:line="36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徐工</w:t>
      </w:r>
      <w:r>
        <w:rPr>
          <w:rFonts w:hint="eastAsia" w:ascii="宋体" w:hAnsi="宋体"/>
          <w:color w:val="000000" w:themeColor="text1"/>
          <w:sz w:val="24"/>
          <w:u w:val="single"/>
          <w14:textFill>
            <w14:solidFill>
              <w14:schemeClr w14:val="tx1"/>
            </w14:solidFill>
          </w14:textFill>
        </w:rPr>
        <w:t xml:space="preserve"> 15877029083  </w:t>
      </w:r>
    </w:p>
    <w:p w14:paraId="276F43D1">
      <w:pPr>
        <w:spacing w:line="3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2.采购代理机构信息</w:t>
      </w:r>
      <w:bookmarkEnd w:id="43"/>
      <w:bookmarkEnd w:id="44"/>
      <w:bookmarkEnd w:id="45"/>
      <w:bookmarkEnd w:id="46"/>
    </w:p>
    <w:p w14:paraId="728965FD">
      <w:pPr>
        <w:spacing w:line="360" w:lineRule="exact"/>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 xml:space="preserve"> 桂林市政府集中采购中心　</w:t>
      </w:r>
    </w:p>
    <w:p w14:paraId="1C1A9C8A">
      <w:pPr>
        <w:spacing w:line="36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桂林市临桂区西城中路69号创业大厦西辅楼5楼　</w:t>
      </w:r>
    </w:p>
    <w:p w14:paraId="43F416E6">
      <w:pPr>
        <w:spacing w:line="40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0773-5625166</w:t>
      </w:r>
    </w:p>
    <w:p w14:paraId="061F5B50">
      <w:pPr>
        <w:spacing w:line="400" w:lineRule="exact"/>
        <w:ind w:firstLine="480" w:firstLineChars="200"/>
        <w:rPr>
          <w:rFonts w:hint="eastAsia" w:ascii="宋体" w:hAnsi="宋体" w:cs="宋体"/>
          <w:color w:val="000000" w:themeColor="text1"/>
          <w:sz w:val="24"/>
          <w14:textFill>
            <w14:solidFill>
              <w14:schemeClr w14:val="tx1"/>
            </w14:solidFill>
          </w14:textFill>
        </w:rPr>
      </w:pPr>
      <w:bookmarkStart w:id="47" w:name="_Toc35393639"/>
      <w:bookmarkStart w:id="48" w:name="_Toc28359021"/>
      <w:bookmarkStart w:id="49" w:name="_Toc35393808"/>
      <w:bookmarkStart w:id="50" w:name="_Toc28359098"/>
      <w:r>
        <w:rPr>
          <w:rFonts w:hint="eastAsia" w:ascii="宋体" w:hAnsi="宋体" w:cs="宋体"/>
          <w:color w:val="000000" w:themeColor="text1"/>
          <w:sz w:val="24"/>
          <w14:textFill>
            <w14:solidFill>
              <w14:schemeClr w14:val="tx1"/>
            </w14:solidFill>
          </w14:textFill>
        </w:rPr>
        <w:t>3.项目联系方式</w:t>
      </w:r>
      <w:bookmarkEnd w:id="47"/>
      <w:bookmarkEnd w:id="48"/>
      <w:bookmarkEnd w:id="49"/>
      <w:bookmarkEnd w:id="50"/>
    </w:p>
    <w:p w14:paraId="7BFEB2CC">
      <w:pPr>
        <w:pStyle w:val="11"/>
        <w:spacing w:line="400" w:lineRule="exact"/>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项目联系人：</w:t>
      </w:r>
      <w:r>
        <w:rPr>
          <w:rFonts w:hint="eastAsia" w:hAnsi="宋体" w:cs="宋体"/>
          <w:color w:val="000000" w:themeColor="text1"/>
          <w:sz w:val="24"/>
          <w:szCs w:val="24"/>
          <w:u w:val="single"/>
          <w14:textFill>
            <w14:solidFill>
              <w14:schemeClr w14:val="tx1"/>
            </w14:solidFill>
          </w14:textFill>
        </w:rPr>
        <w:t>欧工</w:t>
      </w:r>
      <w:r>
        <w:rPr>
          <w:rFonts w:hint="eastAsia" w:hAnsi="宋体" w:cs="宋体"/>
          <w:color w:val="000000" w:themeColor="text1"/>
          <w:sz w:val="24"/>
          <w:szCs w:val="24"/>
          <w:u w:val="single"/>
          <w14:textFill>
            <w14:solidFill>
              <w14:schemeClr w14:val="tx1"/>
            </w14:solidFill>
          </w14:textFill>
        </w:rPr>
        <w:tab/>
      </w:r>
    </w:p>
    <w:p w14:paraId="751E38CA">
      <w:pPr>
        <w:spacing w:line="400" w:lineRule="exact"/>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电　　话：</w:t>
      </w:r>
      <w:r>
        <w:rPr>
          <w:rFonts w:hint="eastAsia" w:ascii="宋体" w:hAnsi="宋体" w:cs="宋体"/>
          <w:color w:val="000000" w:themeColor="text1"/>
          <w:sz w:val="24"/>
          <w:u w:val="single"/>
          <w14:textFill>
            <w14:solidFill>
              <w14:schemeClr w14:val="tx1"/>
            </w14:solidFill>
          </w14:textFill>
        </w:rPr>
        <w:t xml:space="preserve"> 0773-5625166</w:t>
      </w:r>
    </w:p>
    <w:p w14:paraId="237580D1">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4.政府采购监督管理机构</w:t>
      </w:r>
    </w:p>
    <w:p w14:paraId="6DDB86E6">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桂林市七星区财政局</w:t>
      </w:r>
    </w:p>
    <w:p w14:paraId="51069BB5">
      <w:pPr>
        <w:spacing w:line="4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0773-5812319 </w:t>
      </w:r>
    </w:p>
    <w:p w14:paraId="0590526A">
      <w:pPr>
        <w:pStyle w:val="8"/>
        <w:rPr>
          <w:rFonts w:hint="eastAsia" w:ascii="宋体" w:hAnsi="宋体" w:cs="宋体"/>
          <w:color w:val="000000" w:themeColor="text1"/>
          <w14:textFill>
            <w14:solidFill>
              <w14:schemeClr w14:val="tx1"/>
            </w14:solidFill>
          </w14:textFill>
        </w:rPr>
      </w:pPr>
    </w:p>
    <w:p w14:paraId="0CB64FF4">
      <w:pPr>
        <w:pStyle w:val="8"/>
        <w:rPr>
          <w:rFonts w:hint="eastAsia" w:ascii="宋体" w:hAnsi="宋体" w:cs="宋体"/>
          <w:color w:val="000000" w:themeColor="text1"/>
          <w14:textFill>
            <w14:solidFill>
              <w14:schemeClr w14:val="tx1"/>
            </w14:solidFill>
          </w14:textFill>
        </w:rPr>
      </w:pPr>
    </w:p>
    <w:p w14:paraId="4925F3E5">
      <w:pPr>
        <w:pStyle w:val="8"/>
        <w:rPr>
          <w:rFonts w:hint="eastAsia" w:ascii="宋体" w:hAnsi="宋体" w:cs="宋体"/>
          <w:color w:val="000000" w:themeColor="text1"/>
          <w14:textFill>
            <w14:solidFill>
              <w14:schemeClr w14:val="tx1"/>
            </w14:solidFill>
          </w14:textFill>
        </w:rPr>
      </w:pPr>
    </w:p>
    <w:p w14:paraId="500A7121">
      <w:pPr>
        <w:pStyle w:val="8"/>
        <w:rPr>
          <w:rFonts w:hint="eastAsia" w:ascii="宋体" w:hAnsi="宋体" w:cs="宋体"/>
          <w:color w:val="000000" w:themeColor="text1"/>
          <w14:textFill>
            <w14:solidFill>
              <w14:schemeClr w14:val="tx1"/>
            </w14:solidFill>
          </w14:textFill>
        </w:rPr>
      </w:pPr>
    </w:p>
    <w:p w14:paraId="3BA2F021">
      <w:pPr>
        <w:pStyle w:val="8"/>
        <w:rPr>
          <w:rFonts w:hint="eastAsia" w:ascii="宋体" w:hAnsi="宋体" w:cs="宋体"/>
          <w:color w:val="000000" w:themeColor="text1"/>
          <w14:textFill>
            <w14:solidFill>
              <w14:schemeClr w14:val="tx1"/>
            </w14:solidFill>
          </w14:textFill>
        </w:rPr>
      </w:pPr>
    </w:p>
    <w:p w14:paraId="74E30677">
      <w:pPr>
        <w:pStyle w:val="8"/>
        <w:rPr>
          <w:rFonts w:hint="eastAsia" w:ascii="宋体" w:hAnsi="宋体" w:cs="宋体"/>
          <w:color w:val="000000" w:themeColor="text1"/>
          <w14:textFill>
            <w14:solidFill>
              <w14:schemeClr w14:val="tx1"/>
            </w14:solidFill>
          </w14:textFill>
        </w:rPr>
      </w:pPr>
    </w:p>
    <w:p w14:paraId="447BF353">
      <w:pPr>
        <w:pStyle w:val="8"/>
        <w:rPr>
          <w:rFonts w:hint="eastAsia" w:ascii="宋体" w:hAnsi="宋体" w:cs="宋体"/>
          <w:color w:val="000000" w:themeColor="text1"/>
          <w14:textFill>
            <w14:solidFill>
              <w14:schemeClr w14:val="tx1"/>
            </w14:solidFill>
          </w14:textFill>
        </w:rPr>
      </w:pPr>
    </w:p>
    <w:p w14:paraId="623286CD">
      <w:pPr>
        <w:pStyle w:val="8"/>
        <w:rPr>
          <w:rFonts w:hint="eastAsia" w:ascii="宋体" w:hAnsi="宋体" w:cs="宋体"/>
          <w:color w:val="000000" w:themeColor="text1"/>
          <w14:textFill>
            <w14:solidFill>
              <w14:schemeClr w14:val="tx1"/>
            </w14:solidFill>
          </w14:textFill>
        </w:rPr>
      </w:pPr>
    </w:p>
    <w:p w14:paraId="476A4389">
      <w:pPr>
        <w:pStyle w:val="8"/>
        <w:rPr>
          <w:rFonts w:hint="eastAsia" w:ascii="宋体" w:hAnsi="宋体" w:cs="宋体"/>
          <w:color w:val="000000" w:themeColor="text1"/>
          <w14:textFill>
            <w14:solidFill>
              <w14:schemeClr w14:val="tx1"/>
            </w14:solidFill>
          </w14:textFill>
        </w:rPr>
      </w:pPr>
    </w:p>
    <w:p w14:paraId="52ADA92C">
      <w:pPr>
        <w:pStyle w:val="8"/>
        <w:rPr>
          <w:rFonts w:hint="eastAsia" w:ascii="宋体" w:hAnsi="宋体" w:cs="宋体"/>
          <w:color w:val="000000" w:themeColor="text1"/>
          <w14:textFill>
            <w14:solidFill>
              <w14:schemeClr w14:val="tx1"/>
            </w14:solidFill>
          </w14:textFill>
        </w:rPr>
      </w:pPr>
    </w:p>
    <w:p w14:paraId="6B3FE4FC">
      <w:pPr>
        <w:pStyle w:val="8"/>
        <w:rPr>
          <w:rFonts w:hint="eastAsia" w:ascii="宋体" w:hAnsi="宋体" w:cs="宋体"/>
          <w:color w:val="000000" w:themeColor="text1"/>
          <w14:textFill>
            <w14:solidFill>
              <w14:schemeClr w14:val="tx1"/>
            </w14:solidFill>
          </w14:textFill>
        </w:rPr>
      </w:pPr>
    </w:p>
    <w:p w14:paraId="0D4075E3">
      <w:pPr>
        <w:pStyle w:val="8"/>
        <w:rPr>
          <w:rFonts w:hint="eastAsia" w:ascii="宋体" w:hAnsi="宋体" w:cs="宋体"/>
          <w:color w:val="000000" w:themeColor="text1"/>
          <w14:textFill>
            <w14:solidFill>
              <w14:schemeClr w14:val="tx1"/>
            </w14:solidFill>
          </w14:textFill>
        </w:rPr>
      </w:pPr>
    </w:p>
    <w:p w14:paraId="7CF72CF3">
      <w:pPr>
        <w:rPr>
          <w:rFonts w:hint="eastAsia" w:ascii="宋体" w:hAnsi="宋体" w:cs="宋体"/>
          <w:color w:val="000000" w:themeColor="text1"/>
          <w14:textFill>
            <w14:solidFill>
              <w14:schemeClr w14:val="tx1"/>
            </w14:solidFill>
          </w14:textFill>
        </w:rPr>
      </w:pPr>
    </w:p>
    <w:p w14:paraId="31845BEA">
      <w:pPr>
        <w:pStyle w:val="2"/>
        <w:rPr>
          <w:rFonts w:hint="eastAsia" w:ascii="宋体" w:hAnsi="宋体" w:cs="宋体"/>
          <w:color w:val="000000" w:themeColor="text1"/>
          <w14:textFill>
            <w14:solidFill>
              <w14:schemeClr w14:val="tx1"/>
            </w14:solidFill>
          </w14:textFill>
        </w:rPr>
      </w:pPr>
    </w:p>
    <w:p w14:paraId="3DC700BE">
      <w:pPr>
        <w:rPr>
          <w:color w:val="000000" w:themeColor="text1"/>
          <w14:textFill>
            <w14:solidFill>
              <w14:schemeClr w14:val="tx1"/>
            </w14:solidFill>
          </w14:textFill>
        </w:rPr>
      </w:pPr>
    </w:p>
    <w:p w14:paraId="16743F9C">
      <w:pPr>
        <w:pStyle w:val="8"/>
        <w:rPr>
          <w:rFonts w:hint="eastAsia" w:ascii="宋体" w:hAnsi="宋体" w:cs="宋体"/>
          <w:color w:val="000000" w:themeColor="text1"/>
          <w14:textFill>
            <w14:solidFill>
              <w14:schemeClr w14:val="tx1"/>
            </w14:solidFill>
          </w14:textFill>
        </w:rPr>
      </w:pPr>
    </w:p>
    <w:p w14:paraId="04B8FB33">
      <w:pPr>
        <w:pStyle w:val="8"/>
        <w:rPr>
          <w:rFonts w:hint="eastAsia" w:ascii="宋体" w:hAnsi="宋体" w:cs="宋体"/>
          <w:color w:val="000000" w:themeColor="text1"/>
          <w14:textFill>
            <w14:solidFill>
              <w14:schemeClr w14:val="tx1"/>
            </w14:solidFill>
          </w14:textFill>
        </w:rPr>
      </w:pPr>
    </w:p>
    <w:p w14:paraId="4789777E">
      <w:pPr>
        <w:pStyle w:val="8"/>
        <w:rPr>
          <w:rFonts w:hint="eastAsia" w:ascii="宋体" w:hAnsi="宋体" w:cs="宋体"/>
          <w:color w:val="000000" w:themeColor="text1"/>
          <w14:textFill>
            <w14:solidFill>
              <w14:schemeClr w14:val="tx1"/>
            </w14:solidFill>
          </w14:textFill>
        </w:rPr>
      </w:pPr>
    </w:p>
    <w:p w14:paraId="7FB9FDCD">
      <w:pPr>
        <w:pStyle w:val="8"/>
        <w:rPr>
          <w:rFonts w:hint="eastAsia" w:ascii="宋体" w:hAnsi="宋体" w:cs="宋体"/>
          <w:color w:val="000000" w:themeColor="text1"/>
          <w14:textFill>
            <w14:solidFill>
              <w14:schemeClr w14:val="tx1"/>
            </w14:solidFill>
          </w14:textFill>
        </w:rPr>
      </w:pPr>
    </w:p>
    <w:p w14:paraId="798487DF">
      <w:pPr>
        <w:pStyle w:val="8"/>
        <w:rPr>
          <w:rFonts w:hint="eastAsia" w:ascii="宋体" w:hAnsi="宋体" w:cs="宋体"/>
          <w:color w:val="000000" w:themeColor="text1"/>
          <w14:textFill>
            <w14:solidFill>
              <w14:schemeClr w14:val="tx1"/>
            </w14:solidFill>
          </w14:textFill>
        </w:rPr>
      </w:pPr>
    </w:p>
    <w:p w14:paraId="6C5D6713">
      <w:pPr>
        <w:pStyle w:val="2"/>
        <w:spacing w:line="240" w:lineRule="auto"/>
        <w:jc w:val="center"/>
        <w:rPr>
          <w:rFonts w:hint="eastAsia" w:ascii="宋体" w:hAnsi="宋体" w:cs="宋体"/>
          <w:color w:val="000000" w:themeColor="text1"/>
          <w:sz w:val="32"/>
          <w:szCs w:val="32"/>
          <w14:textFill>
            <w14:solidFill>
              <w14:schemeClr w14:val="tx1"/>
            </w14:solidFill>
          </w14:textFill>
        </w:rPr>
      </w:pPr>
      <w:bookmarkStart w:id="51" w:name="_Toc24366"/>
      <w:r>
        <w:rPr>
          <w:rFonts w:hint="eastAsia" w:ascii="宋体" w:hAnsi="宋体" w:cs="宋体"/>
          <w:color w:val="000000" w:themeColor="text1"/>
          <w:sz w:val="32"/>
          <w:szCs w:val="32"/>
          <w14:textFill>
            <w14:solidFill>
              <w14:schemeClr w14:val="tx1"/>
            </w14:solidFill>
          </w14:textFill>
        </w:rPr>
        <w:t>第二章 供应商须知</w:t>
      </w:r>
      <w:bookmarkEnd w:id="0"/>
      <w:bookmarkEnd w:id="1"/>
      <w:bookmarkEnd w:id="51"/>
    </w:p>
    <w:p w14:paraId="564847DA">
      <w:pPr>
        <w:pStyle w:val="3"/>
        <w:jc w:val="center"/>
        <w:rPr>
          <w:rFonts w:hint="eastAsia" w:ascii="宋体" w:hAnsi="宋体" w:cs="宋体"/>
          <w:b/>
          <w:bCs w:val="0"/>
          <w:color w:val="000000" w:themeColor="text1"/>
          <w:sz w:val="24"/>
          <w:szCs w:val="24"/>
          <w14:textFill>
            <w14:solidFill>
              <w14:schemeClr w14:val="tx1"/>
            </w14:solidFill>
          </w14:textFill>
        </w:rPr>
      </w:pPr>
      <w:bookmarkStart w:id="52" w:name="_Toc9508"/>
      <w:bookmarkStart w:id="53" w:name="_Toc25063"/>
      <w:bookmarkStart w:id="54" w:name="_Toc13547"/>
      <w:bookmarkStart w:id="55" w:name="_Toc23099"/>
      <w:r>
        <w:rPr>
          <w:rFonts w:hint="eastAsia" w:ascii="宋体" w:hAnsi="宋体" w:cs="宋体"/>
          <w:b/>
          <w:bCs w:val="0"/>
          <w:color w:val="000000" w:themeColor="text1"/>
          <w:sz w:val="24"/>
          <w:szCs w:val="24"/>
          <w14:textFill>
            <w14:solidFill>
              <w14:schemeClr w14:val="tx1"/>
            </w14:solidFill>
          </w14:textFill>
        </w:rPr>
        <w:t>供 应 商 须 知 前 附 表</w:t>
      </w:r>
      <w:bookmarkEnd w:id="52"/>
      <w:bookmarkEnd w:id="53"/>
      <w:bookmarkEnd w:id="54"/>
      <w:bookmarkEnd w:id="55"/>
    </w:p>
    <w:tbl>
      <w:tblPr>
        <w:tblStyle w:val="20"/>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203A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2DF94B1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942" w:type="dxa"/>
            <w:vAlign w:val="center"/>
          </w:tcPr>
          <w:p w14:paraId="4FC2837A">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w:t>
            </w:r>
          </w:p>
        </w:tc>
        <w:tc>
          <w:tcPr>
            <w:tcW w:w="1775" w:type="dxa"/>
            <w:vAlign w:val="center"/>
          </w:tcPr>
          <w:p w14:paraId="743ABC2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条款名称</w:t>
            </w:r>
          </w:p>
        </w:tc>
        <w:tc>
          <w:tcPr>
            <w:tcW w:w="6912" w:type="dxa"/>
            <w:vAlign w:val="center"/>
          </w:tcPr>
          <w:p w14:paraId="0C51266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内容、要求</w:t>
            </w:r>
          </w:p>
        </w:tc>
      </w:tr>
      <w:tr w14:paraId="2E22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08B8294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42" w:type="dxa"/>
            <w:vAlign w:val="center"/>
          </w:tcPr>
          <w:p w14:paraId="1C1372B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775" w:type="dxa"/>
            <w:vAlign w:val="center"/>
          </w:tcPr>
          <w:p w14:paraId="312490A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项目名称及项目编号</w:t>
            </w:r>
          </w:p>
        </w:tc>
        <w:tc>
          <w:tcPr>
            <w:tcW w:w="6912" w:type="dxa"/>
          </w:tcPr>
          <w:p w14:paraId="62CD222A">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项目名称：桂林国家高新区七星区数字城管应急指挥中心高清视频监控456个摄像头线路及平台服务项目</w:t>
            </w:r>
          </w:p>
          <w:p w14:paraId="72A48F81">
            <w:pPr>
              <w:spacing w:line="36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项目编号：GLZC2025-C3-990195-GLSZ</w:t>
            </w:r>
          </w:p>
        </w:tc>
      </w:tr>
      <w:tr w14:paraId="012E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1B562A1">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42" w:type="dxa"/>
            <w:vAlign w:val="center"/>
          </w:tcPr>
          <w:p w14:paraId="5695BB5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775" w:type="dxa"/>
            <w:vAlign w:val="center"/>
          </w:tcPr>
          <w:p w14:paraId="4941C8C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供应商资格</w:t>
            </w:r>
          </w:p>
        </w:tc>
        <w:tc>
          <w:tcPr>
            <w:tcW w:w="6912" w:type="dxa"/>
            <w:vAlign w:val="center"/>
          </w:tcPr>
          <w:p w14:paraId="7BC187DC">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3.1符合《中华人民共和国政府采购法》第二十二条和《政府采购法实施条例》第十八条规定，具备合法资格的供应商；</w:t>
            </w:r>
          </w:p>
          <w:p w14:paraId="4A85FAE2">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3.2本项目不接受联合体参与磋商；</w:t>
            </w:r>
          </w:p>
          <w:p w14:paraId="10F6829A">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BFD00E5">
            <w:pPr>
              <w:spacing w:line="360" w:lineRule="exac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3.4落实政府采购政策需满足的资格要求：无。</w:t>
            </w:r>
          </w:p>
          <w:p w14:paraId="14183ED1">
            <w:pPr>
              <w:spacing w:line="36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3.5本项目的特定资格要求：</w:t>
            </w:r>
            <w:r>
              <w:rPr>
                <w:rFonts w:hint="eastAsia" w:ascii="宋体" w:hAnsi="宋体" w:cs="宋体"/>
                <w:b/>
                <w:bCs/>
                <w:color w:val="000000" w:themeColor="text1"/>
                <w:szCs w:val="21"/>
                <w14:textFill>
                  <w14:solidFill>
                    <w14:schemeClr w14:val="tx1"/>
                  </w14:solidFill>
                </w14:textFill>
              </w:rPr>
              <w:t>无。</w:t>
            </w:r>
          </w:p>
        </w:tc>
      </w:tr>
      <w:tr w14:paraId="440F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7028714A">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42" w:type="dxa"/>
            <w:vAlign w:val="center"/>
          </w:tcPr>
          <w:p w14:paraId="5A8F084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775" w:type="dxa"/>
            <w:vAlign w:val="center"/>
          </w:tcPr>
          <w:p w14:paraId="3C3DCD2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磋商费用</w:t>
            </w:r>
          </w:p>
        </w:tc>
        <w:tc>
          <w:tcPr>
            <w:tcW w:w="6912" w:type="dxa"/>
            <w:vAlign w:val="center"/>
          </w:tcPr>
          <w:p w14:paraId="29F556CC">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不论磋商结果如何，供应商均应自行承担所有与磋商有关的全部费用。 </w:t>
            </w:r>
          </w:p>
        </w:tc>
      </w:tr>
      <w:tr w14:paraId="4A78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2545BFF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42" w:type="dxa"/>
            <w:vAlign w:val="center"/>
          </w:tcPr>
          <w:p w14:paraId="7FE31DE7">
            <w:pPr>
              <w:spacing w:line="360" w:lineRule="auto"/>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13</w:t>
            </w:r>
          </w:p>
        </w:tc>
        <w:tc>
          <w:tcPr>
            <w:tcW w:w="1775" w:type="dxa"/>
            <w:vAlign w:val="center"/>
          </w:tcPr>
          <w:p w14:paraId="46FF34AF">
            <w:pPr>
              <w:spacing w:line="360" w:lineRule="auto"/>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磋商报价及采购预算金额</w:t>
            </w:r>
          </w:p>
        </w:tc>
        <w:tc>
          <w:tcPr>
            <w:tcW w:w="6912" w:type="dxa"/>
            <w:vAlign w:val="center"/>
          </w:tcPr>
          <w:p w14:paraId="4794EA87">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 磋商报价应按磋商文件中相关附表格式填写。</w:t>
            </w:r>
            <w:r>
              <w:rPr>
                <w:rFonts w:hint="eastAsia" w:ascii="宋体" w:hAnsi="宋体" w:cs="宋体"/>
                <w:b/>
                <w:bCs/>
                <w:color w:val="000000" w:themeColor="text1"/>
                <w:szCs w:val="21"/>
                <w14:textFill>
                  <w14:solidFill>
                    <w14:schemeClr w14:val="tx1"/>
                  </w14:solidFill>
                </w14:textFill>
              </w:rPr>
              <w:t>采购预算：预算金额人民币捌拾壹万元整(¥810000.00元)。</w:t>
            </w:r>
            <w:r>
              <w:rPr>
                <w:rFonts w:hint="eastAsia" w:ascii="宋体" w:hAnsi="宋体" w:cs="宋体"/>
                <w:color w:val="000000" w:themeColor="text1"/>
                <w:szCs w:val="21"/>
                <w14:textFill>
                  <w14:solidFill>
                    <w14:schemeClr w14:val="tx1"/>
                  </w14:solidFill>
                </w14:textFill>
              </w:rPr>
              <w:t>供应商报价</w:t>
            </w:r>
            <w:r>
              <w:rPr>
                <w:rFonts w:hint="eastAsia" w:ascii="宋体" w:hAnsi="宋体" w:cs="宋体"/>
                <w:color w:val="000000" w:themeColor="text1"/>
                <w:kern w:val="0"/>
                <w:szCs w:val="21"/>
                <w14:textFill>
                  <w14:solidFill>
                    <w14:schemeClr w14:val="tx1"/>
                  </w14:solidFill>
                </w14:textFill>
              </w:rPr>
              <w:t>超出采购预算金额的，响应文件按无效处理。</w:t>
            </w:r>
          </w:p>
          <w:p w14:paraId="36F6056D">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13.2供应商必须就“采购需求”中所有内容作完整唯一报价，否则，其响应文件无效；响应文件只允许有一个报价，有选择的或有条件的报价将不予接受。</w:t>
            </w:r>
          </w:p>
          <w:p w14:paraId="173AEBE9">
            <w:pPr>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w:t>
            </w:r>
            <w:r>
              <w:rPr>
                <w:rFonts w:hint="eastAsia" w:ascii="宋体" w:hAnsi="宋体" w:cs="宋体"/>
                <w:color w:val="000000" w:themeColor="text1"/>
                <w:kern w:val="0"/>
                <w:szCs w:val="21"/>
                <w14:textFill>
                  <w14:solidFill>
                    <w14:schemeClr w14:val="tx1"/>
                  </w14:solidFill>
                </w14:textFill>
              </w:rPr>
              <w:t>供应商应在规定时间内在政采云系统上提交最后报价，超出评委设定的最后报价时限或其最后报价超出采购预算导致已通过评审的响应文件无效的，按供应商在提交响应文件截止时间后撤回响应文件处理。</w:t>
            </w:r>
          </w:p>
        </w:tc>
      </w:tr>
      <w:tr w14:paraId="1EEE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EAD3EC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42" w:type="dxa"/>
            <w:vAlign w:val="center"/>
          </w:tcPr>
          <w:p w14:paraId="774DE63A">
            <w:pPr>
              <w:spacing w:line="360" w:lineRule="auto"/>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14.1</w:t>
            </w:r>
          </w:p>
        </w:tc>
        <w:tc>
          <w:tcPr>
            <w:tcW w:w="1775" w:type="dxa"/>
            <w:vAlign w:val="center"/>
          </w:tcPr>
          <w:p w14:paraId="02863709">
            <w:pPr>
              <w:spacing w:line="360" w:lineRule="auto"/>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响应文件有效期</w:t>
            </w:r>
          </w:p>
        </w:tc>
        <w:tc>
          <w:tcPr>
            <w:tcW w:w="6912" w:type="dxa"/>
          </w:tcPr>
          <w:p w14:paraId="71FA0066">
            <w:pPr>
              <w:tabs>
                <w:tab w:val="left" w:pos="1305"/>
              </w:tabs>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响应文件递交截止时间之日起90天，有效期不足的响应文件将被拒绝。</w:t>
            </w:r>
          </w:p>
        </w:tc>
      </w:tr>
      <w:tr w14:paraId="0958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66932A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42" w:type="dxa"/>
            <w:vAlign w:val="center"/>
          </w:tcPr>
          <w:p w14:paraId="7CC83EA0">
            <w:pPr>
              <w:spacing w:line="360" w:lineRule="auto"/>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15</w:t>
            </w:r>
          </w:p>
        </w:tc>
        <w:tc>
          <w:tcPr>
            <w:tcW w:w="1775" w:type="dxa"/>
            <w:vAlign w:val="center"/>
          </w:tcPr>
          <w:p w14:paraId="29176ECC">
            <w:pPr>
              <w:spacing w:line="360" w:lineRule="auto"/>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保证金</w:t>
            </w:r>
          </w:p>
        </w:tc>
        <w:tc>
          <w:tcPr>
            <w:tcW w:w="6912" w:type="dxa"/>
          </w:tcPr>
          <w:p w14:paraId="03024687">
            <w:pPr>
              <w:tabs>
                <w:tab w:val="left" w:pos="1305"/>
              </w:tabs>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本项目无需缴纳磋商保证金。</w:t>
            </w:r>
          </w:p>
        </w:tc>
      </w:tr>
      <w:tr w14:paraId="5AAD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FA577B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42" w:type="dxa"/>
            <w:vAlign w:val="center"/>
          </w:tcPr>
          <w:p w14:paraId="29ED6A21">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775" w:type="dxa"/>
            <w:vAlign w:val="center"/>
          </w:tcPr>
          <w:p w14:paraId="140D3E5C">
            <w:pPr>
              <w:pStyle w:val="4"/>
              <w:spacing w:before="0" w:after="0" w:line="360" w:lineRule="auto"/>
              <w:jc w:val="center"/>
              <w:rPr>
                <w:rFonts w:hint="eastAsia" w:ascii="宋体" w:hAnsi="宋体" w:cs="宋体"/>
                <w:b w:val="0"/>
                <w:bCs/>
                <w:color w:val="000000" w:themeColor="text1"/>
                <w:sz w:val="21"/>
                <w:szCs w:val="21"/>
                <w14:textFill>
                  <w14:solidFill>
                    <w14:schemeClr w14:val="tx1"/>
                  </w14:solidFill>
                </w14:textFill>
              </w:rPr>
            </w:pPr>
            <w:bookmarkStart w:id="56" w:name="_Toc32595"/>
            <w:bookmarkStart w:id="57" w:name="_Toc27452"/>
            <w:bookmarkStart w:id="58" w:name="_Toc19911"/>
            <w:r>
              <w:rPr>
                <w:rFonts w:hint="eastAsia" w:ascii="宋体" w:hAnsi="宋体" w:cs="宋体"/>
                <w:b w:val="0"/>
                <w:bCs/>
                <w:color w:val="000000" w:themeColor="text1"/>
                <w:sz w:val="21"/>
                <w:szCs w:val="21"/>
                <w14:textFill>
                  <w14:solidFill>
                    <w14:schemeClr w14:val="tx1"/>
                  </w14:solidFill>
                </w14:textFill>
              </w:rPr>
              <w:t>竞争性磋商响应文件的制作</w:t>
            </w:r>
            <w:bookmarkEnd w:id="56"/>
            <w:bookmarkEnd w:id="57"/>
            <w:bookmarkEnd w:id="58"/>
          </w:p>
          <w:p w14:paraId="5B1DFA64">
            <w:pPr>
              <w:spacing w:line="360" w:lineRule="auto"/>
              <w:jc w:val="center"/>
              <w:rPr>
                <w:rFonts w:hint="eastAsia" w:ascii="宋体" w:hAnsi="宋体" w:cs="宋体"/>
                <w:color w:val="000000" w:themeColor="text1"/>
                <w:szCs w:val="21"/>
                <w14:textFill>
                  <w14:solidFill>
                    <w14:schemeClr w14:val="tx1"/>
                  </w14:solidFill>
                </w14:textFill>
              </w:rPr>
            </w:pPr>
          </w:p>
        </w:tc>
        <w:tc>
          <w:tcPr>
            <w:tcW w:w="6912" w:type="dxa"/>
            <w:vAlign w:val="center"/>
          </w:tcPr>
          <w:p w14:paraId="281BC1E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4BEAAEE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0544DB05">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 磋商响应文件不得涂改，若有修改错漏处，须法定代表人（负责人）或授权委托人签字（或个人CA签章）。磋商响应文件因字迹模糊或表达不清所引起的后果由供应商负责。</w:t>
            </w:r>
          </w:p>
          <w:p w14:paraId="3D92EF09">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16.4磋商前准备 </w:t>
            </w:r>
          </w:p>
          <w:p w14:paraId="48E90A2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16.4.1本项目实行在线磋商，采用电子磋商响应文件。若供应商参与磋商，自行承担磋商一切费用。 </w:t>
            </w:r>
          </w:p>
          <w:p w14:paraId="2F376ADD">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7C0B5AF3">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16.4.3供应商将政采云电子交易客户端下载、安装完成后，可通过账号密码或 CA 登录客户端进行响应文件制作。客户端请至网站下载专区查看，如有问题可拨打政采云客户服务热线 95763 进行咨询。</w:t>
            </w:r>
          </w:p>
        </w:tc>
      </w:tr>
      <w:tr w14:paraId="1A55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3F74FDA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42" w:type="dxa"/>
            <w:vAlign w:val="center"/>
          </w:tcPr>
          <w:p w14:paraId="0633099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w:t>
            </w:r>
          </w:p>
        </w:tc>
        <w:tc>
          <w:tcPr>
            <w:tcW w:w="1775" w:type="dxa"/>
            <w:vAlign w:val="center"/>
          </w:tcPr>
          <w:p w14:paraId="6F04BD1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响应文件递交截止时间</w:t>
            </w:r>
          </w:p>
        </w:tc>
        <w:tc>
          <w:tcPr>
            <w:tcW w:w="6912" w:type="dxa"/>
            <w:vAlign w:val="center"/>
          </w:tcPr>
          <w:p w14:paraId="23D76BF5">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于2025年</w:t>
            </w:r>
            <w:r>
              <w:rPr>
                <w:rFonts w:hint="eastAsia" w:ascii="宋体" w:hAnsi="宋体" w:cs="宋体"/>
                <w:color w:val="000000" w:themeColor="text1"/>
                <w:szCs w:val="21"/>
                <w:u w:val="single"/>
                <w:lang w:val="en-US" w:eastAsia="zh-CN"/>
                <w14:textFill>
                  <w14:solidFill>
                    <w14:schemeClr w14:val="tx1"/>
                  </w14:solidFill>
                </w14:textFill>
              </w:rPr>
              <w:t>7</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16</w:t>
            </w:r>
            <w:r>
              <w:rPr>
                <w:rFonts w:hint="eastAsia" w:ascii="宋体" w:hAnsi="宋体" w:cs="宋体"/>
                <w:color w:val="000000" w:themeColor="text1"/>
                <w:szCs w:val="21"/>
                <w:u w:val="single"/>
                <w14:textFill>
                  <w14:solidFill>
                    <w14:schemeClr w14:val="tx1"/>
                  </w14:solidFill>
                </w14:textFill>
              </w:rPr>
              <w:t>日上午9时30分</w:t>
            </w:r>
            <w:r>
              <w:rPr>
                <w:rFonts w:hint="eastAsia" w:ascii="宋体" w:hAnsi="宋体" w:cs="宋体"/>
                <w:color w:val="000000" w:themeColor="text1"/>
                <w:szCs w:val="21"/>
                <w14:textFill>
                  <w14:solidFill>
                    <w14:schemeClr w14:val="tx1"/>
                  </w14:solidFill>
                </w14:textFill>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tc>
      </w:tr>
      <w:tr w14:paraId="774A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58E497D5">
            <w:pPr>
              <w:spacing w:line="360" w:lineRule="auto"/>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9</w:t>
            </w:r>
          </w:p>
        </w:tc>
        <w:tc>
          <w:tcPr>
            <w:tcW w:w="942" w:type="dxa"/>
            <w:vAlign w:val="center"/>
          </w:tcPr>
          <w:p w14:paraId="54A1A6F6">
            <w:pPr>
              <w:spacing w:line="360" w:lineRule="auto"/>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18.2</w:t>
            </w:r>
          </w:p>
        </w:tc>
        <w:tc>
          <w:tcPr>
            <w:tcW w:w="1775" w:type="dxa"/>
            <w:vAlign w:val="center"/>
          </w:tcPr>
          <w:p w14:paraId="588F0A60">
            <w:pPr>
              <w:spacing w:line="360" w:lineRule="auto"/>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磋商响应文件解密时间及地点</w:t>
            </w:r>
          </w:p>
        </w:tc>
        <w:tc>
          <w:tcPr>
            <w:tcW w:w="6912" w:type="dxa"/>
            <w:vAlign w:val="center"/>
          </w:tcPr>
          <w:p w14:paraId="028DEB02">
            <w:pPr>
              <w:pStyle w:val="7"/>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磋商响应文件解密时间</w:t>
            </w:r>
            <w:r>
              <w:rPr>
                <w:rFonts w:hint="eastAsia" w:ascii="宋体" w:hAnsi="宋体" w:cs="宋体"/>
                <w:color w:val="000000" w:themeColor="text1"/>
                <w14:textFill>
                  <w14:solidFill>
                    <w14:schemeClr w14:val="tx1"/>
                  </w14:solidFill>
                </w14:textFill>
              </w:rPr>
              <w:t>：截标时间后</w:t>
            </w:r>
            <w:r>
              <w:rPr>
                <w:rFonts w:hint="eastAsia" w:ascii="宋体" w:hAnsi="宋体" w:cs="宋体"/>
                <w:color w:val="000000" w:themeColor="text1"/>
                <w:u w:val="single"/>
                <w14:textFill>
                  <w14:solidFill>
                    <w14:schemeClr w14:val="tx1"/>
                  </w14:solidFill>
                </w14:textFill>
              </w:rPr>
              <w:t>30</w:t>
            </w:r>
            <w:r>
              <w:rPr>
                <w:rFonts w:hint="eastAsia" w:ascii="宋体" w:hAnsi="宋体" w:cs="宋体"/>
                <w:color w:val="000000" w:themeColor="text1"/>
                <w14:textFill>
                  <w14:solidFill>
                    <w14:schemeClr w14:val="tx1"/>
                  </w14:solidFill>
                </w14:textFill>
              </w:rPr>
              <w:t>分钟内（</w:t>
            </w:r>
            <w:r>
              <w:rPr>
                <w:rFonts w:hint="eastAsia" w:ascii="宋体" w:hAnsi="宋体" w:cs="宋体"/>
                <w:color w:val="000000" w:themeColor="text1"/>
                <w:szCs w:val="21"/>
                <w:u w:val="single"/>
                <w14:textFill>
                  <w14:solidFill>
                    <w14:schemeClr w14:val="tx1"/>
                  </w14:solidFill>
                </w14:textFill>
              </w:rPr>
              <w:t>2025年</w:t>
            </w:r>
            <w:r>
              <w:rPr>
                <w:rFonts w:hint="eastAsia" w:ascii="宋体" w:hAnsi="宋体" w:cs="宋体"/>
                <w:color w:val="000000" w:themeColor="text1"/>
                <w:szCs w:val="21"/>
                <w:u w:val="single"/>
                <w:lang w:val="en-US" w:eastAsia="zh-CN"/>
                <w14:textFill>
                  <w14:solidFill>
                    <w14:schemeClr w14:val="tx1"/>
                  </w14:solidFill>
                </w14:textFill>
              </w:rPr>
              <w:t>7</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16</w:t>
            </w:r>
            <w:r>
              <w:rPr>
                <w:rFonts w:hint="eastAsia" w:ascii="宋体" w:hAnsi="宋体" w:cs="宋体"/>
                <w:color w:val="000000" w:themeColor="text1"/>
                <w:szCs w:val="21"/>
                <w:u w:val="single"/>
                <w14:textFill>
                  <w14:solidFill>
                    <w14:schemeClr w14:val="tx1"/>
                  </w14:solidFill>
                </w14:textFill>
              </w:rPr>
              <w:t>日上午9时30分</w:t>
            </w:r>
            <w:r>
              <w:rPr>
                <w:rFonts w:hint="eastAsia" w:ascii="宋体" w:hAnsi="宋体" w:cs="宋体"/>
                <w:color w:val="000000" w:themeColor="text1"/>
                <w:u w:val="single"/>
                <w14:textFill>
                  <w14:solidFill>
                    <w14:schemeClr w14:val="tx1"/>
                  </w14:solidFill>
                </w14:textFill>
              </w:rPr>
              <w:t>至10时00分</w:t>
            </w:r>
            <w:r>
              <w:rPr>
                <w:rFonts w:hint="eastAsia" w:ascii="宋体" w:hAnsi="宋体" w:cs="宋体"/>
                <w:color w:val="000000" w:themeColor="text1"/>
                <w14:textFill>
                  <w14:solidFill>
                    <w14:schemeClr w14:val="tx1"/>
                  </w14:solidFill>
                </w14:textFill>
              </w:rPr>
              <w:t>)磋商供应商可以登录广西政府采购云平台，用“项目采购-开标评标”功能进行解密磋商响应文件。</w:t>
            </w:r>
          </w:p>
          <w:p w14:paraId="197D4EF2">
            <w:pPr>
              <w:pStyle w:val="7"/>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投标文件网上递交截止时间后，各供应商须在解密时限内对上传政采云的投标文件进行解密，所有供应商在规定的解密时限内解密完成或解密时限结束后，我中心开启已解密的响应文件。供应商超过解密时限未解密的，系统默认自动放弃，造成投标无效的后果由供应商自行承担，解密响应文件后，30分钟内在线签字确认，超过时间没有在线签字确认的系统将自动视为供应商认可。</w:t>
            </w:r>
          </w:p>
        </w:tc>
      </w:tr>
      <w:tr w14:paraId="7C4D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7AAA056E">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942" w:type="dxa"/>
            <w:vAlign w:val="center"/>
          </w:tcPr>
          <w:p w14:paraId="679F33FC">
            <w:pPr>
              <w:spacing w:line="360" w:lineRule="auto"/>
              <w:ind w:firstLine="105" w:firstLineChars="50"/>
              <w:jc w:val="center"/>
              <w:rPr>
                <w:rFonts w:hint="eastAsia"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19.1</w:t>
            </w:r>
          </w:p>
        </w:tc>
        <w:tc>
          <w:tcPr>
            <w:tcW w:w="1775" w:type="dxa"/>
            <w:vAlign w:val="center"/>
          </w:tcPr>
          <w:p w14:paraId="619A417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磋商小组组成</w:t>
            </w:r>
          </w:p>
        </w:tc>
        <w:tc>
          <w:tcPr>
            <w:tcW w:w="6912" w:type="dxa"/>
            <w:vAlign w:val="center"/>
          </w:tcPr>
          <w:p w14:paraId="75CE0975">
            <w:pPr>
              <w:spacing w:line="360" w:lineRule="auto"/>
              <w:ind w:left="15" w:hanging="14" w:hangingChars="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themeColor="text1"/>
                <w:szCs w:val="21"/>
                <w:u w:val="single"/>
                <w14:textFill>
                  <w14:solidFill>
                    <w14:schemeClr w14:val="tx1"/>
                  </w14:solidFill>
                </w14:textFill>
              </w:rPr>
              <w:t xml:space="preserve">3 </w:t>
            </w:r>
            <w:r>
              <w:rPr>
                <w:rFonts w:hint="eastAsia" w:ascii="宋体" w:hAnsi="宋体" w:cs="宋体"/>
                <w:color w:val="000000" w:themeColor="text1"/>
                <w:szCs w:val="21"/>
                <w14:textFill>
                  <w14:solidFill>
                    <w14:schemeClr w14:val="tx1"/>
                  </w14:solidFill>
                </w14:textFill>
              </w:rPr>
              <w:t>人，其中采购人代表</w:t>
            </w:r>
            <w:r>
              <w:rPr>
                <w:rFonts w:hint="eastAsia" w:ascii="宋体" w:hAnsi="宋体" w:cs="宋体"/>
                <w:color w:val="000000" w:themeColor="text1"/>
                <w:szCs w:val="21"/>
                <w:u w:val="single"/>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人，专家</w:t>
            </w:r>
            <w:r>
              <w:rPr>
                <w:rFonts w:hint="eastAsia" w:ascii="宋体" w:hAnsi="宋体" w:cs="宋体"/>
                <w:color w:val="000000" w:themeColor="text1"/>
                <w:szCs w:val="21"/>
                <w:u w:val="single"/>
                <w14:textFill>
                  <w14:solidFill>
                    <w14:schemeClr w14:val="tx1"/>
                  </w14:solidFill>
                </w14:textFill>
              </w:rPr>
              <w:t xml:space="preserve"> 2 </w:t>
            </w:r>
            <w:r>
              <w:rPr>
                <w:rFonts w:hint="eastAsia" w:ascii="宋体" w:hAnsi="宋体" w:cs="宋体"/>
                <w:color w:val="000000" w:themeColor="text1"/>
                <w:szCs w:val="21"/>
                <w14:textFill>
                  <w14:solidFill>
                    <w14:schemeClr w14:val="tx1"/>
                  </w14:solidFill>
                </w14:textFill>
              </w:rPr>
              <w:t>人。</w:t>
            </w:r>
          </w:p>
        </w:tc>
      </w:tr>
      <w:tr w14:paraId="4871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4BDFD848">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942" w:type="dxa"/>
            <w:vAlign w:val="center"/>
          </w:tcPr>
          <w:p w14:paraId="657923A3">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w:t>
            </w:r>
          </w:p>
        </w:tc>
        <w:tc>
          <w:tcPr>
            <w:tcW w:w="1775" w:type="dxa"/>
            <w:vAlign w:val="center"/>
          </w:tcPr>
          <w:p w14:paraId="73590A1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磋商时间、地点、人员</w:t>
            </w:r>
          </w:p>
        </w:tc>
        <w:tc>
          <w:tcPr>
            <w:tcW w:w="6912" w:type="dxa"/>
          </w:tcPr>
          <w:p w14:paraId="39E5FBF0">
            <w:pPr>
              <w:spacing w:line="360" w:lineRule="auto"/>
              <w:ind w:left="315" w:hanging="315" w:hangingChars="15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19.2.1磋商时间：响应文件递交截止时间后。</w:t>
            </w:r>
          </w:p>
          <w:p w14:paraId="46FEF456">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19.2.2磋商地点：本项目需要磋商供应商代表在截标当天截标后，按磋商小组要求及时登陆广西政府采购云平台等候在线磋商。</w:t>
            </w:r>
          </w:p>
          <w:p w14:paraId="3DF07264">
            <w:pPr>
              <w:spacing w:line="360" w:lineRule="auto"/>
              <w:ind w:left="15" w:hanging="14" w:hangingChars="7"/>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19.2.3磋商参加人员：供应商法定代表人、负责人、自然人或相应的委托代理人持有效身份证原件和供应商广西政府采购云平台CA数字证书参加磋商。请供应商按时到达指定地点等候磋商。</w:t>
            </w:r>
          </w:p>
          <w:p w14:paraId="4C61366D">
            <w:pPr>
              <w:tabs>
                <w:tab w:val="left" w:pos="1140"/>
              </w:tabs>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19.2.4响应文件递交截止时间后，由磋商小组在评标室内线上开启响应文件。</w:t>
            </w:r>
          </w:p>
        </w:tc>
      </w:tr>
      <w:tr w14:paraId="3F42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1E2E7D9">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942" w:type="dxa"/>
            <w:vAlign w:val="center"/>
          </w:tcPr>
          <w:p w14:paraId="08E55A1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w:t>
            </w:r>
          </w:p>
        </w:tc>
        <w:tc>
          <w:tcPr>
            <w:tcW w:w="1775" w:type="dxa"/>
            <w:vAlign w:val="center"/>
          </w:tcPr>
          <w:p w14:paraId="61BDA0D5">
            <w:pPr>
              <w:pStyle w:val="11"/>
              <w:spacing w:line="360" w:lineRule="auto"/>
              <w:jc w:val="center"/>
              <w:rPr>
                <w:rFonts w:hint="eastAsia"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评审办法</w:t>
            </w:r>
          </w:p>
        </w:tc>
        <w:tc>
          <w:tcPr>
            <w:tcW w:w="6912" w:type="dxa"/>
            <w:vAlign w:val="center"/>
          </w:tcPr>
          <w:p w14:paraId="42CFF6FA">
            <w:pPr>
              <w:tabs>
                <w:tab w:val="left" w:pos="1140"/>
              </w:tabs>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具体详见第四章评审办法。</w:t>
            </w:r>
          </w:p>
        </w:tc>
      </w:tr>
      <w:tr w14:paraId="12F6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B41E5E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942" w:type="dxa"/>
            <w:vAlign w:val="center"/>
          </w:tcPr>
          <w:p w14:paraId="2A1EB5C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1775" w:type="dxa"/>
            <w:vAlign w:val="center"/>
          </w:tcPr>
          <w:p w14:paraId="772F5BF1">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信用查询</w:t>
            </w:r>
          </w:p>
        </w:tc>
        <w:tc>
          <w:tcPr>
            <w:tcW w:w="6912" w:type="dxa"/>
            <w:vAlign w:val="center"/>
          </w:tcPr>
          <w:p w14:paraId="6EE71A8B">
            <w:pPr>
              <w:spacing w:line="360" w:lineRule="auto"/>
              <w:ind w:left="15" w:hanging="14" w:hangingChars="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根据《关于做好政府采购有关信用主体标识码登记及在政府采购活动中查询使用信用记录有关问题的通知》（桂财采〔2016〕37</w:t>
            </w:r>
            <w:r>
              <w:rPr>
                <w:rFonts w:hint="eastAsia"/>
                <w:color w:val="000000" w:themeColor="text1"/>
                <w14:textFill>
                  <w14:solidFill>
                    <w14:schemeClr w14:val="tx1"/>
                  </w14:solidFill>
                </w14:textFill>
              </w:rPr>
              <w:t>号</w:t>
            </w:r>
            <w:r>
              <w:rPr>
                <w:rFonts w:hint="eastAsia" w:ascii="宋体" w:hAnsi="宋体" w:cs="宋体"/>
                <w:color w:val="000000" w:themeColor="text1"/>
                <w:szCs w:val="21"/>
                <w14:textFill>
                  <w14:solidFill>
                    <w14:schemeClr w14:val="tx1"/>
                  </w14:solidFill>
                </w14:textFill>
              </w:rPr>
              <w:t>），由采购代理机构对第一成交候选人进行信用查询：</w:t>
            </w:r>
          </w:p>
          <w:p w14:paraId="32F23936">
            <w:pPr>
              <w:spacing w:line="360" w:lineRule="auto"/>
              <w:ind w:left="15" w:hanging="14" w:hangingChars="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⑴查询渠道：“信用中国”网站(www.creditchina.gov.cn)、中国政府采购网(www.ccgp.gov.cn)等；</w:t>
            </w:r>
          </w:p>
          <w:p w14:paraId="1189AA0E">
            <w:pPr>
              <w:spacing w:line="360" w:lineRule="auto"/>
              <w:ind w:left="315" w:hanging="315" w:hangingChars="15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⑵查询时间：成交通知书发出前；</w:t>
            </w:r>
          </w:p>
          <w:p w14:paraId="694DA1F7">
            <w:pPr>
              <w:spacing w:line="360" w:lineRule="auto"/>
              <w:ind w:left="15" w:hanging="14" w:hangingChars="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⑶信用信息查询记录和证据留存方式：在查询网站中直接打印查询记录，打印材料作为采购活动资料保存；</w:t>
            </w:r>
          </w:p>
          <w:p w14:paraId="624B7A7D">
            <w:pPr>
              <w:spacing w:line="360" w:lineRule="auto"/>
              <w:ind w:left="15" w:hanging="14" w:hangingChars="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04A6ED9F">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6A38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1BBB86D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942" w:type="dxa"/>
            <w:vAlign w:val="center"/>
          </w:tcPr>
          <w:p w14:paraId="0430611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1775" w:type="dxa"/>
            <w:vAlign w:val="center"/>
          </w:tcPr>
          <w:p w14:paraId="4F095C5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成交结果公告</w:t>
            </w:r>
          </w:p>
          <w:p w14:paraId="3527424E">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及成交通知书</w:t>
            </w:r>
          </w:p>
        </w:tc>
        <w:tc>
          <w:tcPr>
            <w:tcW w:w="6912" w:type="dxa"/>
          </w:tcPr>
          <w:p w14:paraId="3E276AA0">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9325020">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27.2成交公告发布的同时，采购代理机构在线向成交供应商发出电子成交通知书。</w:t>
            </w:r>
          </w:p>
        </w:tc>
      </w:tr>
      <w:tr w14:paraId="7496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14A62357">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942" w:type="dxa"/>
            <w:vAlign w:val="center"/>
          </w:tcPr>
          <w:p w14:paraId="44A6719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1775" w:type="dxa"/>
            <w:vAlign w:val="center"/>
          </w:tcPr>
          <w:p w14:paraId="40613F9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6912" w:type="dxa"/>
            <w:vAlign w:val="center"/>
          </w:tcPr>
          <w:p w14:paraId="6DD08BF8">
            <w:pPr>
              <w:widowControl/>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本项目无</w:t>
            </w:r>
            <w:r>
              <w:rPr>
                <w:rFonts w:ascii="宋体" w:hAnsi="宋体" w:cs="宋体"/>
                <w:color w:val="000000" w:themeColor="text1"/>
                <w14:textFill>
                  <w14:solidFill>
                    <w14:schemeClr w14:val="tx1"/>
                  </w14:solidFill>
                </w14:textFill>
              </w:rPr>
              <w:t>履约保证金。</w:t>
            </w:r>
          </w:p>
        </w:tc>
      </w:tr>
      <w:tr w14:paraId="58EC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4F51C3B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942" w:type="dxa"/>
            <w:vAlign w:val="center"/>
          </w:tcPr>
          <w:p w14:paraId="0ECF187C">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w:t>
            </w:r>
          </w:p>
        </w:tc>
        <w:tc>
          <w:tcPr>
            <w:tcW w:w="1775" w:type="dxa"/>
            <w:vAlign w:val="center"/>
          </w:tcPr>
          <w:p w14:paraId="39EAF2F6">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w:t>
            </w:r>
          </w:p>
        </w:tc>
        <w:tc>
          <w:tcPr>
            <w:tcW w:w="6912" w:type="dxa"/>
          </w:tcPr>
          <w:p w14:paraId="05779DC3">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成交通知书发出之日起八个工作日内签订合同</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成交供应商收到成交通知书后，应按规定与采购人在“广西政府采购云平台”上在线签订电子合同。</w:t>
            </w:r>
          </w:p>
        </w:tc>
      </w:tr>
      <w:tr w14:paraId="22D8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71AA3984">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942" w:type="dxa"/>
            <w:vAlign w:val="center"/>
          </w:tcPr>
          <w:p w14:paraId="2A6D604F">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29.3</w:t>
            </w:r>
          </w:p>
        </w:tc>
        <w:tc>
          <w:tcPr>
            <w:tcW w:w="1775" w:type="dxa"/>
            <w:vAlign w:val="center"/>
          </w:tcPr>
          <w:p w14:paraId="41148B25">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合同备案存档</w:t>
            </w:r>
          </w:p>
        </w:tc>
        <w:tc>
          <w:tcPr>
            <w:tcW w:w="6912" w:type="dxa"/>
            <w:vAlign w:val="center"/>
          </w:tcPr>
          <w:p w14:paraId="4C2AD91E">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tc>
      </w:tr>
      <w:tr w14:paraId="4BD7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8C74FB2">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942" w:type="dxa"/>
            <w:vAlign w:val="center"/>
          </w:tcPr>
          <w:p w14:paraId="714942CB">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1775" w:type="dxa"/>
            <w:vAlign w:val="center"/>
          </w:tcPr>
          <w:p w14:paraId="22944B80">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采购代理服务费</w:t>
            </w:r>
          </w:p>
        </w:tc>
        <w:tc>
          <w:tcPr>
            <w:tcW w:w="6912" w:type="dxa"/>
          </w:tcPr>
          <w:p w14:paraId="2E213AC1">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本项目不收取采购代理服务费</w:t>
            </w:r>
          </w:p>
        </w:tc>
      </w:tr>
      <w:tr w14:paraId="55A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E544D8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942" w:type="dxa"/>
            <w:vAlign w:val="center"/>
          </w:tcPr>
          <w:p w14:paraId="732FF63B">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1775" w:type="dxa"/>
            <w:vAlign w:val="center"/>
          </w:tcPr>
          <w:p w14:paraId="120637BD">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解释权</w:t>
            </w:r>
          </w:p>
        </w:tc>
        <w:tc>
          <w:tcPr>
            <w:tcW w:w="6912" w:type="dxa"/>
          </w:tcPr>
          <w:p w14:paraId="1394FC5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5C4B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2E2BCF5A">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942" w:type="dxa"/>
            <w:vAlign w:val="center"/>
          </w:tcPr>
          <w:p w14:paraId="61BE8C4E">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w:t>
            </w:r>
          </w:p>
        </w:tc>
        <w:tc>
          <w:tcPr>
            <w:tcW w:w="1775" w:type="dxa"/>
            <w:vAlign w:val="center"/>
          </w:tcPr>
          <w:p w14:paraId="661979A8">
            <w:pPr>
              <w:spacing w:line="360" w:lineRule="auto"/>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监督管理机构</w:t>
            </w:r>
          </w:p>
        </w:tc>
        <w:tc>
          <w:tcPr>
            <w:tcW w:w="6912" w:type="dxa"/>
            <w:vAlign w:val="center"/>
          </w:tcPr>
          <w:p w14:paraId="7A5CFC64">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桂林市</w:t>
            </w:r>
            <w:r>
              <w:rPr>
                <w:rFonts w:hint="eastAsia" w:ascii="宋体" w:hAnsi="宋体" w:cs="宋体"/>
                <w:color w:val="000000" w:themeColor="text1"/>
                <w:szCs w:val="21"/>
                <w:lang w:val="en-US" w:eastAsia="zh-CN"/>
                <w14:textFill>
                  <w14:solidFill>
                    <w14:schemeClr w14:val="tx1"/>
                  </w14:solidFill>
                </w14:textFill>
              </w:rPr>
              <w:t>七星区</w:t>
            </w:r>
            <w:r>
              <w:rPr>
                <w:rFonts w:hint="eastAsia" w:ascii="宋体" w:hAnsi="宋体" w:cs="宋体"/>
                <w:color w:val="000000" w:themeColor="text1"/>
                <w:szCs w:val="21"/>
                <w14:textFill>
                  <w14:solidFill>
                    <w14:schemeClr w14:val="tx1"/>
                  </w14:solidFill>
                </w14:textFill>
              </w:rPr>
              <w:t xml:space="preserve">财政局                         电话：0773-5812319 </w:t>
            </w:r>
          </w:p>
        </w:tc>
      </w:tr>
    </w:tbl>
    <w:p w14:paraId="5917D746">
      <w:pPr>
        <w:pStyle w:val="19"/>
        <w:ind w:left="0" w:leftChars="0" w:firstLine="0" w:firstLineChars="0"/>
        <w:rPr>
          <w:rFonts w:hint="eastAsia" w:ascii="宋体" w:hAnsi="宋体" w:cs="宋体"/>
          <w:b/>
          <w:color w:val="000000" w:themeColor="text1"/>
          <w:sz w:val="28"/>
          <w:szCs w:val="28"/>
          <w14:textFill>
            <w14:solidFill>
              <w14:schemeClr w14:val="tx1"/>
            </w14:solidFill>
          </w14:textFill>
        </w:rPr>
      </w:pPr>
    </w:p>
    <w:p w14:paraId="02AA7040">
      <w:pPr>
        <w:pStyle w:val="3"/>
        <w:ind w:left="0" w:firstLine="0"/>
        <w:rPr>
          <w:rFonts w:hint="eastAsia" w:ascii="宋体" w:hAnsi="宋体" w:cs="宋体"/>
          <w:b/>
          <w:bCs w:val="0"/>
          <w:color w:val="000000" w:themeColor="text1"/>
          <w:szCs w:val="28"/>
          <w14:textFill>
            <w14:solidFill>
              <w14:schemeClr w14:val="tx1"/>
            </w14:solidFill>
          </w14:textFill>
        </w:rPr>
      </w:pPr>
    </w:p>
    <w:p w14:paraId="5FA0F63A">
      <w:pPr>
        <w:rPr>
          <w:color w:val="000000" w:themeColor="text1"/>
          <w14:textFill>
            <w14:solidFill>
              <w14:schemeClr w14:val="tx1"/>
            </w14:solidFill>
          </w14:textFill>
        </w:rPr>
      </w:pPr>
    </w:p>
    <w:p w14:paraId="3D130B01">
      <w:pPr>
        <w:rPr>
          <w:rFonts w:hint="eastAsia" w:ascii="宋体" w:hAnsi="宋体" w:cs="宋体"/>
          <w:color w:val="000000" w:themeColor="text1"/>
          <w14:textFill>
            <w14:solidFill>
              <w14:schemeClr w14:val="tx1"/>
            </w14:solidFill>
          </w14:textFill>
        </w:rPr>
      </w:pPr>
    </w:p>
    <w:p w14:paraId="1E9A007A">
      <w:pPr>
        <w:pStyle w:val="3"/>
        <w:rPr>
          <w:rFonts w:hint="eastAsia" w:ascii="宋体" w:hAnsi="宋体" w:cs="宋体"/>
          <w:color w:val="000000" w:themeColor="text1"/>
          <w14:textFill>
            <w14:solidFill>
              <w14:schemeClr w14:val="tx1"/>
            </w14:solidFill>
          </w14:textFill>
        </w:rPr>
      </w:pPr>
    </w:p>
    <w:p w14:paraId="15111D5E"/>
    <w:p w14:paraId="4CA058D8"/>
    <w:p w14:paraId="3E7D2B10">
      <w:pPr>
        <w:pStyle w:val="3"/>
        <w:jc w:val="center"/>
        <w:rPr>
          <w:rFonts w:hint="eastAsia" w:ascii="宋体" w:hAnsi="宋体" w:cs="宋体"/>
          <w:b/>
          <w:bCs w:val="0"/>
          <w:color w:val="000000" w:themeColor="text1"/>
          <w:szCs w:val="28"/>
          <w14:textFill>
            <w14:solidFill>
              <w14:schemeClr w14:val="tx1"/>
            </w14:solidFill>
          </w14:textFill>
        </w:rPr>
      </w:pPr>
      <w:bookmarkStart w:id="59" w:name="_Toc7741"/>
      <w:bookmarkStart w:id="60" w:name="_Toc22792"/>
      <w:r>
        <w:rPr>
          <w:rFonts w:hint="eastAsia" w:ascii="宋体" w:hAnsi="宋体" w:cs="宋体"/>
          <w:b/>
          <w:bCs w:val="0"/>
          <w:color w:val="000000" w:themeColor="text1"/>
          <w:szCs w:val="28"/>
          <w14:textFill>
            <w14:solidFill>
              <w14:schemeClr w14:val="tx1"/>
            </w14:solidFill>
          </w14:textFill>
        </w:rPr>
        <w:t>一、总则</w:t>
      </w:r>
      <w:bookmarkEnd w:id="59"/>
      <w:bookmarkEnd w:id="60"/>
    </w:p>
    <w:p w14:paraId="62E9E16C">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61" w:name="_Toc25627"/>
      <w:bookmarkStart w:id="62" w:name="_Toc6626"/>
      <w:r>
        <w:rPr>
          <w:rFonts w:hint="eastAsia" w:ascii="宋体" w:hAnsi="宋体" w:cs="宋体"/>
          <w:color w:val="000000" w:themeColor="text1"/>
          <w:sz w:val="21"/>
          <w:szCs w:val="21"/>
          <w14:textFill>
            <w14:solidFill>
              <w14:schemeClr w14:val="tx1"/>
            </w14:solidFill>
          </w14:textFill>
        </w:rPr>
        <w:t>1. 适应范围</w:t>
      </w:r>
      <w:bookmarkEnd w:id="61"/>
      <w:bookmarkEnd w:id="62"/>
    </w:p>
    <w:p w14:paraId="4179D98E">
      <w:pPr>
        <w:spacing w:line="36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  项目名称及项目编号：</w:t>
      </w:r>
    </w:p>
    <w:p w14:paraId="7A9BF6F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项目名称：桂林国家高新区七星区数字城管应急指挥中心高清视频监控456个摄像头线路及平台服务项目</w:t>
      </w:r>
    </w:p>
    <w:p w14:paraId="4C5DA45D">
      <w:pPr>
        <w:spacing w:line="360" w:lineRule="auto"/>
        <w:ind w:firstLine="420" w:firstLineChars="200"/>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项目编号：GLZC2025-C3-990195-GLSZ</w:t>
      </w:r>
    </w:p>
    <w:p w14:paraId="3F7766C4">
      <w:pPr>
        <w:spacing w:line="360" w:lineRule="exact"/>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1.2本竞争性磋商文件（以下简称磋商文件）适用于本磋商项目的磋商、评审、合同履约、验收、付款等行为（法律、法规另有规定的，从其规定）。</w:t>
      </w:r>
    </w:p>
    <w:p w14:paraId="62AE4504">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63" w:name="_Toc28336"/>
      <w:bookmarkStart w:id="64" w:name="_Toc799"/>
      <w:r>
        <w:rPr>
          <w:rFonts w:hint="eastAsia" w:ascii="宋体" w:hAnsi="宋体" w:cs="宋体"/>
          <w:color w:val="000000" w:themeColor="text1"/>
          <w:sz w:val="21"/>
          <w:szCs w:val="21"/>
          <w14:textFill>
            <w14:solidFill>
              <w14:schemeClr w14:val="tx1"/>
            </w14:solidFill>
          </w14:textFill>
        </w:rPr>
        <w:t>2. 定义</w:t>
      </w:r>
      <w:bookmarkEnd w:id="63"/>
      <w:bookmarkEnd w:id="64"/>
    </w:p>
    <w:p w14:paraId="529AA629">
      <w:pPr>
        <w:spacing w:line="36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2.1“供应商”是指符合本次采购项目的供应商资格并提交响应文件、参加磋商的供应商。如果该供应商在本次磋商中成交，即成为“成交供应商”。</w:t>
      </w:r>
    </w:p>
    <w:p w14:paraId="11E54877">
      <w:pPr>
        <w:spacing w:line="36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2.2“货物”系指按磋商文件规定，供应商须向采购人提供的一切设备、保险、税金、备品备件、工具、手册及其它有关技术资料和材料。</w:t>
      </w:r>
    </w:p>
    <w:p w14:paraId="2419C158">
      <w:pPr>
        <w:spacing w:line="36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2.3“服务”系指按磋商文件规定，供应商须承担的安装、调试、技术协助、校准、培训、技术指导以及其他类似的义务。</w:t>
      </w:r>
    </w:p>
    <w:p w14:paraId="0B1B04B8">
      <w:pPr>
        <w:spacing w:line="36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2.4“项目”系指供应商按磋商文件规定向采购人提供的货物和服务。</w:t>
      </w:r>
    </w:p>
    <w:p w14:paraId="2690BFB7">
      <w:pPr>
        <w:spacing w:line="36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2.5“书面形式”包括信函、传真、电报等。</w:t>
      </w:r>
    </w:p>
    <w:p w14:paraId="1A17A427">
      <w:pPr>
        <w:spacing w:line="360" w:lineRule="exact"/>
        <w:ind w:firstLine="435"/>
        <w:rPr>
          <w:rFonts w:hint="eastAsia" w:ascii="宋体" w:hAnsi="宋体" w:cs="宋体"/>
          <w:b/>
          <w:color w:val="000000" w:themeColor="text1"/>
          <w:sz w:val="24"/>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2.6实质性要求：“采购需求”</w:t>
      </w:r>
      <w:r>
        <w:rPr>
          <w:rFonts w:hint="eastAsia" w:ascii="宋体" w:hAnsi="宋体" w:cs="宋体"/>
          <w:b/>
          <w:color w:val="000000"/>
          <w:szCs w:val="21"/>
        </w:rPr>
        <w:t>均为实质性要求</w:t>
      </w:r>
      <w:r>
        <w:rPr>
          <w:rFonts w:hint="eastAsia" w:ascii="宋体" w:hAnsi="宋体" w:cs="宋体"/>
          <w:b/>
          <w:bCs/>
          <w:color w:val="000000" w:themeColor="text1"/>
          <w:szCs w:val="21"/>
          <w14:textFill>
            <w14:solidFill>
              <w14:schemeClr w14:val="tx1"/>
            </w14:solidFill>
          </w14:textFill>
        </w:rPr>
        <w:t>，不允许负偏离，否则投标无效。</w:t>
      </w:r>
    </w:p>
    <w:p w14:paraId="18012963">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65" w:name="_Toc25441"/>
      <w:bookmarkStart w:id="66" w:name="_Toc2792"/>
      <w:r>
        <w:rPr>
          <w:rFonts w:hint="eastAsia" w:ascii="宋体" w:hAnsi="宋体" w:cs="宋体"/>
          <w:color w:val="000000" w:themeColor="text1"/>
          <w:sz w:val="21"/>
          <w:szCs w:val="21"/>
          <w14:textFill>
            <w14:solidFill>
              <w14:schemeClr w14:val="tx1"/>
            </w14:solidFill>
          </w14:textFill>
        </w:rPr>
        <w:t>3. 供应商资格</w:t>
      </w:r>
      <w:bookmarkEnd w:id="65"/>
      <w:bookmarkEnd w:id="66"/>
    </w:p>
    <w:p w14:paraId="7F9D7DCC">
      <w:pPr>
        <w:spacing w:line="360" w:lineRule="exact"/>
        <w:ind w:firstLine="435"/>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3.1符合《中华人民共和国政府采购法》第二十二条和《政府采购法实施条例》第十八条规定，具备合法资格的供应商；</w:t>
      </w:r>
    </w:p>
    <w:p w14:paraId="57EFFC36">
      <w:pPr>
        <w:spacing w:line="360" w:lineRule="exact"/>
        <w:ind w:firstLine="435"/>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3.2本项目不接受联合体参与磋商；</w:t>
      </w:r>
    </w:p>
    <w:p w14:paraId="2CAB7C42">
      <w:pPr>
        <w:spacing w:line="360" w:lineRule="exact"/>
        <w:ind w:firstLine="435"/>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9CAC53F">
      <w:pPr>
        <w:spacing w:line="360" w:lineRule="exact"/>
        <w:ind w:firstLine="420" w:firstLineChars="200"/>
        <w:rPr>
          <w:rFonts w:hint="eastAsia" w:ascii="宋体" w:hAnsi="宋体" w:cs="宋体"/>
          <w:b/>
          <w:bCs/>
          <w:color w:val="000000" w:themeColor="text1"/>
          <w:szCs w:val="21"/>
          <w14:textFill>
            <w14:solidFill>
              <w14:schemeClr w14:val="tx1"/>
            </w14:solidFill>
          </w14:textFill>
        </w:rPr>
      </w:pPr>
      <w:bookmarkStart w:id="67" w:name="_Toc16496"/>
      <w:r>
        <w:rPr>
          <w:rFonts w:hint="eastAsia" w:ascii="宋体" w:hAnsi="宋体" w:cs="宋体"/>
          <w:color w:val="000000" w:themeColor="text1"/>
          <w:szCs w:val="21"/>
          <w14:textFill>
            <w14:solidFill>
              <w14:schemeClr w14:val="tx1"/>
            </w14:solidFill>
          </w14:textFill>
        </w:rPr>
        <w:t>3.4落实政府采购政策需满足的资格要求：</w:t>
      </w:r>
      <w:r>
        <w:rPr>
          <w:rFonts w:hint="eastAsia" w:ascii="宋体" w:hAnsi="宋体" w:cs="宋体"/>
          <w:b/>
          <w:bCs/>
          <w:color w:val="000000" w:themeColor="text1"/>
          <w:szCs w:val="21"/>
          <w14:textFill>
            <w14:solidFill>
              <w14:schemeClr w14:val="tx1"/>
            </w14:solidFill>
          </w14:textFill>
        </w:rPr>
        <w:t>无。</w:t>
      </w:r>
    </w:p>
    <w:p w14:paraId="02FDD07E">
      <w:pPr>
        <w:spacing w:line="360" w:lineRule="exact"/>
        <w:ind w:firstLine="420" w:firstLineChars="200"/>
        <w:rPr>
          <w:rFonts w:hint="eastAsia" w:ascii="宋体" w:hAnsi="宋体" w:cs="宋体"/>
          <w:color w:val="000000" w:themeColor="text1"/>
          <w:szCs w:val="21"/>
          <w14:textFill>
            <w14:solidFill>
              <w14:schemeClr w14:val="tx1"/>
            </w14:solidFill>
          </w14:textFill>
        </w:rPr>
      </w:pPr>
      <w:bookmarkStart w:id="68" w:name="_Toc4527"/>
      <w:bookmarkStart w:id="69" w:name="_Toc11280"/>
      <w:bookmarkStart w:id="70" w:name="_Toc24827"/>
      <w:bookmarkStart w:id="71" w:name="_Toc5736"/>
      <w:r>
        <w:rPr>
          <w:rFonts w:hint="eastAsia" w:ascii="宋体" w:hAnsi="宋体" w:cs="宋体"/>
          <w:color w:val="000000" w:themeColor="text1"/>
          <w:szCs w:val="21"/>
          <w14:textFill>
            <w14:solidFill>
              <w14:schemeClr w14:val="tx1"/>
            </w14:solidFill>
          </w14:textFill>
        </w:rPr>
        <w:t>3.5本项目的特定资格要求：</w:t>
      </w:r>
      <w:r>
        <w:rPr>
          <w:rFonts w:hint="eastAsia" w:ascii="宋体" w:hAnsi="宋体" w:cs="宋体"/>
          <w:b/>
          <w:bCs/>
          <w:color w:val="000000" w:themeColor="text1"/>
          <w:szCs w:val="21"/>
          <w14:textFill>
            <w14:solidFill>
              <w14:schemeClr w14:val="tx1"/>
            </w14:solidFill>
          </w14:textFill>
        </w:rPr>
        <w:t>无。</w:t>
      </w:r>
      <w:bookmarkEnd w:id="68"/>
      <w:bookmarkEnd w:id="69"/>
      <w:bookmarkEnd w:id="70"/>
      <w:bookmarkEnd w:id="71"/>
    </w:p>
    <w:p w14:paraId="5E3413A4">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72" w:name="_Toc684"/>
      <w:r>
        <w:rPr>
          <w:rFonts w:hint="eastAsia" w:ascii="宋体" w:hAnsi="宋体" w:cs="宋体"/>
          <w:color w:val="000000" w:themeColor="text1"/>
          <w:sz w:val="21"/>
          <w:szCs w:val="21"/>
          <w14:textFill>
            <w14:solidFill>
              <w14:schemeClr w14:val="tx1"/>
            </w14:solidFill>
          </w14:textFill>
        </w:rPr>
        <w:t>4. 磋商费用</w:t>
      </w:r>
      <w:bookmarkEnd w:id="67"/>
      <w:bookmarkEnd w:id="72"/>
    </w:p>
    <w:p w14:paraId="0EE25852">
      <w:pPr>
        <w:tabs>
          <w:tab w:val="left" w:pos="1635"/>
        </w:tabs>
        <w:spacing w:line="360" w:lineRule="exact"/>
        <w:ind w:firstLine="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不论磋商结果如何，供应商均应自行承担所有与磋商有关的全部费用。</w:t>
      </w:r>
    </w:p>
    <w:p w14:paraId="1C62EED3">
      <w:pPr>
        <w:pStyle w:val="4"/>
        <w:numPr>
          <w:ilvl w:val="0"/>
          <w:numId w:val="2"/>
        </w:numPr>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73" w:name="_Toc11600"/>
      <w:bookmarkStart w:id="74" w:name="_Toc31376"/>
      <w:r>
        <w:rPr>
          <w:rFonts w:hint="eastAsia" w:ascii="宋体" w:hAnsi="宋体" w:cs="宋体"/>
          <w:color w:val="000000" w:themeColor="text1"/>
          <w:sz w:val="21"/>
          <w:szCs w:val="21"/>
          <w14:textFill>
            <w14:solidFill>
              <w14:schemeClr w14:val="tx1"/>
            </w14:solidFill>
          </w14:textFill>
        </w:rPr>
        <w:t>联合体要求</w:t>
      </w:r>
      <w:bookmarkEnd w:id="73"/>
      <w:bookmarkEnd w:id="74"/>
    </w:p>
    <w:p w14:paraId="1A70CE80">
      <w:pPr>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本项目不接受联合体参与磋商</w:t>
      </w:r>
      <w:bookmarkStart w:id="75" w:name="_Toc6998"/>
    </w:p>
    <w:p w14:paraId="74AEC0AA">
      <w:pPr>
        <w:pStyle w:val="4"/>
        <w:numPr>
          <w:ilvl w:val="0"/>
          <w:numId w:val="2"/>
        </w:numPr>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76" w:name="_Toc19438"/>
      <w:r>
        <w:rPr>
          <w:rFonts w:hint="eastAsia" w:ascii="宋体" w:hAnsi="宋体" w:cs="宋体"/>
          <w:color w:val="000000" w:themeColor="text1"/>
          <w:sz w:val="21"/>
          <w:szCs w:val="21"/>
          <w14:textFill>
            <w14:solidFill>
              <w14:schemeClr w14:val="tx1"/>
            </w14:solidFill>
          </w14:textFill>
        </w:rPr>
        <w:t>转包与分包</w:t>
      </w:r>
      <w:bookmarkEnd w:id="75"/>
      <w:bookmarkEnd w:id="76"/>
    </w:p>
    <w:p w14:paraId="6F22347D">
      <w:pPr>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6.1 本项目不允许转包。</w:t>
      </w:r>
    </w:p>
    <w:p w14:paraId="0E448DA2">
      <w:pPr>
        <w:ind w:firstLine="420" w:firstLineChars="200"/>
        <w:rPr>
          <w:rFonts w:hint="eastAsia" w:ascii="宋体" w:hAnsi="宋体" w:cs="宋体"/>
          <w:bCs/>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6.2 </w:t>
      </w:r>
      <w:r>
        <w:rPr>
          <w:rFonts w:hint="eastAsia"/>
          <w:color w:val="000000" w:themeColor="text1"/>
          <w14:textFill>
            <w14:solidFill>
              <w14:schemeClr w14:val="tx1"/>
            </w14:solidFill>
          </w14:textFill>
        </w:rPr>
        <w:t>本项目不可以分包。</w:t>
      </w:r>
    </w:p>
    <w:p w14:paraId="76FA3AD1">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77" w:name="_Toc27497"/>
      <w:bookmarkStart w:id="78" w:name="_Toc4152"/>
      <w:r>
        <w:rPr>
          <w:rFonts w:hint="eastAsia" w:ascii="宋体" w:hAnsi="宋体" w:cs="宋体"/>
          <w:color w:val="000000" w:themeColor="text1"/>
          <w:sz w:val="21"/>
          <w:szCs w:val="21"/>
          <w14:textFill>
            <w14:solidFill>
              <w14:schemeClr w14:val="tx1"/>
            </w14:solidFill>
          </w14:textFill>
        </w:rPr>
        <w:t>7. 质疑和投诉</w:t>
      </w:r>
      <w:bookmarkEnd w:id="77"/>
      <w:bookmarkEnd w:id="78"/>
      <w:r>
        <w:rPr>
          <w:rFonts w:hint="eastAsia" w:ascii="宋体" w:hAnsi="宋体" w:cs="宋体"/>
          <w:color w:val="000000" w:themeColor="text1"/>
          <w:sz w:val="21"/>
          <w:szCs w:val="21"/>
          <w14:textFill>
            <w14:solidFill>
              <w14:schemeClr w14:val="tx1"/>
            </w14:solidFill>
          </w14:textFill>
        </w:rPr>
        <w:tab/>
      </w:r>
    </w:p>
    <w:p w14:paraId="78AF6240">
      <w:pPr>
        <w:pStyle w:val="25"/>
        <w:ind w:firstLine="420" w:firstLineChars="200"/>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成交）公告期限届满之日起七个工作日内，以书面形式向采购人或桂林市政府集中采购中心提出质疑。</w:t>
      </w:r>
    </w:p>
    <w:p w14:paraId="7B593B0A">
      <w:pPr>
        <w:pStyle w:val="25"/>
        <w:ind w:firstLine="420" w:firstLineChars="200"/>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接收质疑函方式：以书面形式（原件）提交。</w:t>
      </w:r>
    </w:p>
    <w:p w14:paraId="293AF056">
      <w:pPr>
        <w:pStyle w:val="25"/>
        <w:ind w:firstLine="420" w:firstLineChars="200"/>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质疑联系人：桂林市政府集中采购中心，联系电话：0773-5625162</w:t>
      </w:r>
    </w:p>
    <w:p w14:paraId="5522D6E7">
      <w:pPr>
        <w:pStyle w:val="25"/>
        <w:ind w:firstLine="420" w:firstLineChars="200"/>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通讯地址：桂林市临桂区西城中路69号创业大厦西辅楼5楼574室</w:t>
      </w:r>
    </w:p>
    <w:p w14:paraId="349B3695">
      <w:pPr>
        <w:pStyle w:val="25"/>
        <w:ind w:firstLine="420" w:firstLineChars="200"/>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7.2收到供应商书面质疑函后，采购人应当在七个工作日内对质疑事项作出答复（答复内容不得涉及商业秘密），并委托采购代理机构以书面形式通知质疑供应商，在财政部门指定的媒体发布质疑答复公告。</w:t>
      </w:r>
    </w:p>
    <w:p w14:paraId="4189C3BA">
      <w:pPr>
        <w:pStyle w:val="25"/>
        <w:ind w:firstLine="420" w:firstLineChars="200"/>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7.3供应商对采购人或采购代理机构的答复不满意，或者采购人或采购代理机构未在规定的时间内作出答复的，可以在答复期满后十五个工作日内向本级财政部门投诉。</w:t>
      </w:r>
    </w:p>
    <w:p w14:paraId="5D2688FD">
      <w:pPr>
        <w:pStyle w:val="25"/>
        <w:ind w:firstLine="420" w:firstLineChars="200"/>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7.4质疑、投诉应当采用书面形式，质疑书、投诉书实行实名制，均应明确阐述招标文件、招标过程或中标结果中使自己合法权益受到损害的实质性内容，并提供必要的证明材料。</w:t>
      </w:r>
    </w:p>
    <w:p w14:paraId="2A624A9F">
      <w:pPr>
        <w:pStyle w:val="25"/>
        <w:ind w:firstLine="420" w:firstLineChars="200"/>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7.5供应商在法定质疑期内应当一次性提出针对同一采购程序环节的质疑。</w:t>
      </w:r>
    </w:p>
    <w:p w14:paraId="17D58124">
      <w:pPr>
        <w:pStyle w:val="25"/>
        <w:ind w:firstLine="420" w:firstLineChars="200"/>
        <w:rPr>
          <w:rFonts w:hint="eastAsia"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7.6 不在法定质疑期内提出的质疑函可以拒收。不符合要求的质疑函在法定质疑期内及时补充完整，否则作质疑不成立处理。</w:t>
      </w:r>
    </w:p>
    <w:p w14:paraId="74C81193">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79" w:name="_Toc22055"/>
      <w:bookmarkStart w:id="80" w:name="_Toc3368"/>
      <w:r>
        <w:rPr>
          <w:rFonts w:hint="eastAsia" w:ascii="宋体" w:hAnsi="宋体" w:cs="宋体"/>
          <w:color w:val="000000" w:themeColor="text1"/>
          <w:sz w:val="21"/>
          <w:szCs w:val="21"/>
          <w14:textFill>
            <w14:solidFill>
              <w14:schemeClr w14:val="tx1"/>
            </w14:solidFill>
          </w14:textFill>
        </w:rPr>
        <w:t>8. 特别说明</w:t>
      </w:r>
      <w:bookmarkEnd w:id="79"/>
      <w:bookmarkEnd w:id="80"/>
    </w:p>
    <w:p w14:paraId="3A5729E4">
      <w:pPr>
        <w:tabs>
          <w:tab w:val="left" w:pos="1635"/>
        </w:tabs>
        <w:spacing w:line="36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8.1关联供应商不得参加同一合同项下政府采购活动，否则响应文件将被视为无效：</w:t>
      </w:r>
    </w:p>
    <w:p w14:paraId="3CEEE279">
      <w:pPr>
        <w:tabs>
          <w:tab w:val="left" w:pos="1635"/>
        </w:tabs>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（1）单位负责人为同一人或者存在直接控股、管理关系的，不得参加同一合同项下的政府采购活动。</w:t>
      </w:r>
    </w:p>
    <w:p w14:paraId="33732336">
      <w:pPr>
        <w:tabs>
          <w:tab w:val="left" w:pos="1635"/>
        </w:tabs>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（2）为本采购项目提供整体设计、规范编制或者项目管理、监理、检测等服务的供应商，不得再参加本次采购活动。</w:t>
      </w:r>
    </w:p>
    <w:p w14:paraId="631A8DA1">
      <w:pPr>
        <w:tabs>
          <w:tab w:val="left" w:pos="1635"/>
        </w:tabs>
        <w:spacing w:line="360" w:lineRule="exact"/>
        <w:ind w:firstLine="435"/>
        <w:rPr>
          <w:rFonts w:hint="eastAsia"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8.2</w:t>
      </w:r>
      <w:r>
        <w:rPr>
          <w:rFonts w:hint="eastAsia" w:ascii="宋体" w:hAnsi="宋体" w:cs="宋体"/>
          <w:b/>
          <w:bCs/>
          <w:color w:val="000000" w:themeColor="text1"/>
          <w:szCs w:val="21"/>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0CB8507A">
      <w:pPr>
        <w:pStyle w:val="8"/>
        <w:rPr>
          <w:rFonts w:hint="eastAsia" w:ascii="宋体" w:hAnsi="宋体" w:cs="宋体"/>
          <w:color w:val="000000" w:themeColor="text1"/>
          <w14:textFill>
            <w14:solidFill>
              <w14:schemeClr w14:val="tx1"/>
            </w14:solidFill>
          </w14:textFill>
        </w:rPr>
      </w:pPr>
    </w:p>
    <w:p w14:paraId="15F41CE2">
      <w:pPr>
        <w:pStyle w:val="3"/>
        <w:jc w:val="center"/>
        <w:rPr>
          <w:rFonts w:hint="eastAsia" w:ascii="宋体" w:hAnsi="宋体" w:cs="宋体"/>
          <w:b/>
          <w:bCs w:val="0"/>
          <w:color w:val="000000" w:themeColor="text1"/>
          <w:szCs w:val="28"/>
          <w14:textFill>
            <w14:solidFill>
              <w14:schemeClr w14:val="tx1"/>
            </w14:solidFill>
          </w14:textFill>
        </w:rPr>
      </w:pPr>
      <w:bookmarkStart w:id="81" w:name="_Toc22498"/>
      <w:bookmarkStart w:id="82" w:name="_Toc18634"/>
      <w:r>
        <w:rPr>
          <w:rFonts w:hint="eastAsia" w:ascii="宋体" w:hAnsi="宋体" w:cs="宋体"/>
          <w:b/>
          <w:bCs w:val="0"/>
          <w:color w:val="000000" w:themeColor="text1"/>
          <w:szCs w:val="28"/>
          <w14:textFill>
            <w14:solidFill>
              <w14:schemeClr w14:val="tx1"/>
            </w14:solidFill>
          </w14:textFill>
        </w:rPr>
        <w:t>二、磋商文件</w:t>
      </w:r>
      <w:bookmarkEnd w:id="81"/>
      <w:bookmarkEnd w:id="82"/>
    </w:p>
    <w:p w14:paraId="5104C54B">
      <w:pPr>
        <w:pStyle w:val="4"/>
        <w:spacing w:before="0" w:after="0" w:line="360" w:lineRule="auto"/>
        <w:ind w:firstLine="420" w:firstLineChars="200"/>
        <w:rPr>
          <w:rFonts w:hint="eastAsia" w:ascii="宋体" w:hAnsi="宋体" w:cs="宋体"/>
          <w:color w:val="000000" w:themeColor="text1"/>
          <w:sz w:val="21"/>
          <w:szCs w:val="21"/>
          <w:lang w:val="pt-BR"/>
          <w14:textFill>
            <w14:solidFill>
              <w14:schemeClr w14:val="tx1"/>
            </w14:solidFill>
          </w14:textFill>
        </w:rPr>
      </w:pPr>
      <w:bookmarkStart w:id="83" w:name="_Toc27899"/>
      <w:bookmarkStart w:id="84" w:name="_Toc18964"/>
      <w:r>
        <w:rPr>
          <w:rFonts w:hint="eastAsia" w:ascii="宋体" w:hAnsi="宋体" w:cs="宋体"/>
          <w:color w:val="000000" w:themeColor="text1"/>
          <w:sz w:val="21"/>
          <w:szCs w:val="21"/>
          <w:lang w:val="pt-BR"/>
          <w14:textFill>
            <w14:solidFill>
              <w14:schemeClr w14:val="tx1"/>
            </w14:solidFill>
          </w14:textFill>
        </w:rPr>
        <w:t xml:space="preserve">9. </w:t>
      </w:r>
      <w:r>
        <w:rPr>
          <w:rFonts w:hint="eastAsia" w:ascii="宋体" w:hAnsi="宋体" w:cs="宋体"/>
          <w:color w:val="000000" w:themeColor="text1"/>
          <w:sz w:val="21"/>
          <w:szCs w:val="21"/>
          <w14:textFill>
            <w14:solidFill>
              <w14:schemeClr w14:val="tx1"/>
            </w14:solidFill>
          </w14:textFill>
        </w:rPr>
        <w:t>磋商文件的构成</w:t>
      </w:r>
      <w:bookmarkEnd w:id="83"/>
      <w:bookmarkEnd w:id="84"/>
    </w:p>
    <w:p w14:paraId="3F11BB1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（1）竞争性磋商公告；</w:t>
      </w:r>
    </w:p>
    <w:p w14:paraId="264444D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（2）供应商须知；</w:t>
      </w:r>
    </w:p>
    <w:p w14:paraId="2410D461">
      <w:pPr>
        <w:spacing w:line="360" w:lineRule="auto"/>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（3）采购需求</w:t>
      </w:r>
      <w:r>
        <w:rPr>
          <w:rFonts w:hint="eastAsia" w:ascii="宋体" w:hAnsi="宋体" w:cs="宋体"/>
          <w:bCs/>
          <w:color w:val="000000" w:themeColor="text1"/>
          <w:szCs w:val="21"/>
          <w14:textFill>
            <w14:solidFill>
              <w14:schemeClr w14:val="tx1"/>
            </w14:solidFill>
          </w14:textFill>
        </w:rPr>
        <w:t>；</w:t>
      </w:r>
    </w:p>
    <w:p w14:paraId="34B0478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（4）评审办法；</w:t>
      </w:r>
    </w:p>
    <w:p w14:paraId="69B5126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（5）采购合同（合同主要条款及格式）；</w:t>
      </w:r>
    </w:p>
    <w:p w14:paraId="628F1B9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（6）响应文件（格式）。</w:t>
      </w:r>
    </w:p>
    <w:p w14:paraId="2722F9A1">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85" w:name="_Toc9103"/>
      <w:bookmarkStart w:id="86" w:name="_Toc3601"/>
      <w:r>
        <w:rPr>
          <w:rFonts w:hint="eastAsia" w:ascii="宋体" w:hAnsi="宋体" w:cs="宋体"/>
          <w:color w:val="000000" w:themeColor="text1"/>
          <w:sz w:val="21"/>
          <w:szCs w:val="21"/>
          <w14:textFill>
            <w14:solidFill>
              <w14:schemeClr w14:val="tx1"/>
            </w14:solidFill>
          </w14:textFill>
        </w:rPr>
        <w:t>10. 磋商文件的澄清与修改</w:t>
      </w:r>
      <w:bookmarkEnd w:id="85"/>
      <w:bookmarkEnd w:id="86"/>
    </w:p>
    <w:p w14:paraId="03CF53AF">
      <w:pPr>
        <w:spacing w:line="360" w:lineRule="auto"/>
        <w:ind w:left="420" w:left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 提交首次响应文件截止之日前，采购代理机构可以对已发出的磋商文件进行必要澄清、答复、修改或</w:t>
      </w:r>
    </w:p>
    <w:p w14:paraId="43CA0AE9">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000000" w:themeColor="text1"/>
          <w:szCs w:val="21"/>
          <w14:textFill>
            <w14:solidFill>
              <w14:schemeClr w14:val="tx1"/>
            </w14:solidFill>
          </w14:textFill>
        </w:rPr>
        <w:t>五日</w:t>
      </w:r>
      <w:r>
        <w:rPr>
          <w:rFonts w:hint="eastAsia" w:ascii="宋体" w:hAnsi="宋体" w:cs="宋体"/>
          <w:color w:val="000000" w:themeColor="text1"/>
          <w:szCs w:val="21"/>
          <w14:textFill>
            <w14:solidFill>
              <w14:schemeClr w14:val="tx1"/>
            </w14:solidFill>
          </w14:textFill>
        </w:rPr>
        <w:t>前在本项目竞争性磋商公告发布的同一媒体上发布更正公告，不足</w:t>
      </w:r>
      <w:r>
        <w:rPr>
          <w:rFonts w:hint="eastAsia" w:ascii="宋体" w:hAnsi="宋体" w:cs="宋体"/>
          <w:b/>
          <w:bCs/>
          <w:color w:val="000000" w:themeColor="text1"/>
          <w:szCs w:val="21"/>
          <w14:textFill>
            <w14:solidFill>
              <w14:schemeClr w14:val="tx1"/>
            </w14:solidFill>
          </w14:textFill>
        </w:rPr>
        <w:t>五日</w:t>
      </w:r>
      <w:r>
        <w:rPr>
          <w:rFonts w:hint="eastAsia" w:ascii="宋体" w:hAnsi="宋体" w:cs="宋体"/>
          <w:color w:val="000000" w:themeColor="text1"/>
          <w:szCs w:val="21"/>
          <w14:textFill>
            <w14:solidFill>
              <w14:schemeClr w14:val="tx1"/>
            </w14:solidFill>
          </w14:textFill>
        </w:rPr>
        <w:t>的，应当顺延首次响应文件递交截止时间。</w:t>
      </w:r>
    </w:p>
    <w:p w14:paraId="3911582C">
      <w:pPr>
        <w:spacing w:line="360" w:lineRule="auto"/>
        <w:ind w:left="420" w:left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w:t>
      </w:r>
      <w:r>
        <w:rPr>
          <w:rFonts w:hint="eastAsia" w:ascii="宋体" w:hAnsi="宋体" w:cs="宋体"/>
          <w:b/>
          <w:bCs/>
          <w:color w:val="000000" w:themeColor="text1"/>
          <w:szCs w:val="21"/>
          <w14:textFill>
            <w14:solidFill>
              <w14:schemeClr w14:val="tx1"/>
            </w14:solidFill>
          </w14:textFill>
        </w:rPr>
        <w:t>供应商应实时关注本项目信息公告发布媒体相关网站了解澄清、修改等与项目有关的内容，如因供应</w:t>
      </w:r>
    </w:p>
    <w:p w14:paraId="69706D6B">
      <w:pPr>
        <w:spacing w:line="360" w:lineRule="auto"/>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商未及时登录相关网站了解澄清、修改等与项目有关的内容，从而导致响应文件无效的，由供应商自行承担责任。</w:t>
      </w:r>
    </w:p>
    <w:p w14:paraId="19228F1F">
      <w:pPr>
        <w:spacing w:line="360" w:lineRule="auto"/>
        <w:ind w:left="420" w:left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10.3澄清或者修改的内容为磋商文件的组成部分。当澄清或者修改通知就同一内容的表述不一致时，以最</w:t>
      </w:r>
    </w:p>
    <w:p w14:paraId="5DD9454B">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后发出的文件为准。</w:t>
      </w:r>
    </w:p>
    <w:p w14:paraId="73442E74">
      <w:pPr>
        <w:spacing w:line="360" w:lineRule="auto"/>
        <w:ind w:left="420" w:left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10.4 磋商文件的澄清或者修改都应该通过本项目采购代理机构以法定形式发布，采购人非通过本机构，不</w:t>
      </w:r>
    </w:p>
    <w:p w14:paraId="19B6FAAD">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得擅自澄清或者修改磋商文件。</w:t>
      </w:r>
    </w:p>
    <w:p w14:paraId="1BBB6CEE">
      <w:pPr>
        <w:spacing w:line="360" w:lineRule="auto"/>
        <w:ind w:left="420" w:left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10.5采购单位可以视采购具体情况，延长响应文件截止时间和磋商时间，在本项目竞争性磋商公告发布的</w:t>
      </w:r>
    </w:p>
    <w:p w14:paraId="004EB524">
      <w:pPr>
        <w:spacing w:line="360" w:lineRule="auto"/>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同一媒体上发布变更公告。</w:t>
      </w:r>
    </w:p>
    <w:p w14:paraId="6687CEE9">
      <w:pPr>
        <w:pStyle w:val="25"/>
        <w:rPr>
          <w:rFonts w:hint="eastAsia" w:ascii="宋体" w:hAnsi="宋体" w:cs="宋体"/>
          <w:color w:val="000000" w:themeColor="text1"/>
          <w14:textFill>
            <w14:solidFill>
              <w14:schemeClr w14:val="tx1"/>
            </w14:solidFill>
          </w14:textFill>
        </w:rPr>
      </w:pPr>
    </w:p>
    <w:p w14:paraId="0319C0A1">
      <w:pPr>
        <w:pStyle w:val="3"/>
        <w:jc w:val="center"/>
        <w:rPr>
          <w:rFonts w:hint="eastAsia" w:ascii="宋体" w:hAnsi="宋体" w:cs="宋体"/>
          <w:b/>
          <w:bCs w:val="0"/>
          <w:color w:val="000000" w:themeColor="text1"/>
          <w:szCs w:val="28"/>
          <w14:textFill>
            <w14:solidFill>
              <w14:schemeClr w14:val="tx1"/>
            </w14:solidFill>
          </w14:textFill>
        </w:rPr>
      </w:pPr>
      <w:bookmarkStart w:id="87" w:name="_Toc15364"/>
      <w:bookmarkStart w:id="88" w:name="_Toc20830"/>
      <w:r>
        <w:rPr>
          <w:rFonts w:hint="eastAsia" w:ascii="宋体" w:hAnsi="宋体" w:cs="宋体"/>
          <w:b/>
          <w:bCs w:val="0"/>
          <w:color w:val="000000" w:themeColor="text1"/>
          <w:szCs w:val="28"/>
          <w14:textFill>
            <w14:solidFill>
              <w14:schemeClr w14:val="tx1"/>
            </w14:solidFill>
          </w14:textFill>
        </w:rPr>
        <w:t>三、竞争性磋商响应文件的编制</w:t>
      </w:r>
      <w:bookmarkEnd w:id="87"/>
      <w:bookmarkEnd w:id="88"/>
    </w:p>
    <w:p w14:paraId="0DFF8548">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89" w:name="_Toc4090"/>
      <w:r>
        <w:rPr>
          <w:rFonts w:hint="eastAsia" w:ascii="宋体" w:hAnsi="宋体" w:cs="宋体"/>
          <w:color w:val="000000" w:themeColor="text1"/>
          <w:sz w:val="21"/>
          <w:szCs w:val="21"/>
          <w14:textFill>
            <w14:solidFill>
              <w14:schemeClr w14:val="tx1"/>
            </w14:solidFill>
          </w14:textFill>
        </w:rPr>
        <w:t>11.竞争性磋商响应文件编制基本要求</w:t>
      </w:r>
      <w:bookmarkEnd w:id="89"/>
    </w:p>
    <w:p w14:paraId="1EA8D5C1">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11.1 本项目实行电子投标，供应商应准备电子磋商响应文件：</w:t>
      </w:r>
    </w:p>
    <w:p w14:paraId="4E1D193D">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11.1.1 电子响应文件按广西政府采购云平台要求及本磋商文件要求制作、加密并递交。具体操作流程可参考《政府采购项目电子交易管理操作指南-供应商》，指南可在广西政府采购云平台下载。 </w:t>
      </w:r>
    </w:p>
    <w:p w14:paraId="4D5E27FB">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11.2竞争性磋商响应文件（以下简称响应文件）的组成及要求</w:t>
      </w:r>
    </w:p>
    <w:p w14:paraId="30309476">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11.2.1响应文件组成【格式见第六章“响应文件（格式）”】</w:t>
      </w:r>
    </w:p>
    <w:p w14:paraId="52BC494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11.2.1.1资格性响应证明材料：</w:t>
      </w:r>
    </w:p>
    <w:p w14:paraId="1C53536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bookmarkStart w:id="90" w:name="OLE_LINK15"/>
      <w:r>
        <w:rPr>
          <w:rFonts w:hint="eastAsia" w:ascii="宋体" w:hAnsi="宋体" w:cs="宋体"/>
          <w:color w:val="000000" w:themeColor="text1"/>
          <w:szCs w:val="21"/>
          <w14:textFill>
            <w14:solidFill>
              <w14:schemeClr w14:val="tx1"/>
            </w14:solidFill>
          </w14:textFill>
        </w:rPr>
        <w:t>供应商相应的法定代表人、负责人、自然人身份证正反两面</w:t>
      </w:r>
      <w:bookmarkEnd w:id="90"/>
      <w:r>
        <w:rPr>
          <w:rFonts w:hint="eastAsia" w:ascii="宋体" w:hAnsi="宋体" w:cs="宋体"/>
          <w:color w:val="000000" w:themeColor="text1"/>
          <w:szCs w:val="21"/>
          <w14:textFill>
            <w14:solidFill>
              <w14:schemeClr w14:val="tx1"/>
            </w14:solidFill>
          </w14:textFill>
        </w:rPr>
        <w:t>扫描件</w:t>
      </w:r>
      <w:r>
        <w:rPr>
          <w:rFonts w:hint="eastAsia" w:ascii="宋体" w:hAnsi="宋体" w:cs="宋体"/>
          <w:b/>
          <w:bCs/>
          <w:color w:val="000000" w:themeColor="text1"/>
          <w:szCs w:val="21"/>
          <w14:textFill>
            <w14:solidFill>
              <w14:schemeClr w14:val="tx1"/>
            </w14:solidFill>
          </w14:textFill>
        </w:rPr>
        <w:t>（必须提供）</w:t>
      </w:r>
      <w:r>
        <w:rPr>
          <w:rFonts w:hint="eastAsia" w:ascii="宋体" w:hAnsi="宋体" w:cs="宋体"/>
          <w:color w:val="000000" w:themeColor="text1"/>
          <w:szCs w:val="21"/>
          <w14:textFill>
            <w14:solidFill>
              <w14:schemeClr w14:val="tx1"/>
            </w14:solidFill>
          </w14:textFill>
        </w:rPr>
        <w:t>；</w:t>
      </w:r>
    </w:p>
    <w:p w14:paraId="43B2610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的授权委托书原件、委托代理人身份证正反面扫描件以及由县级以上（含县级）社会养老保险经办机构出具的供应商为委托代理人交纳的响应文件递交截止时间前三个月内任意一个月养老保险证明扫描件，</w:t>
      </w:r>
      <w:bookmarkStart w:id="91" w:name="OLE_LINK16"/>
      <w:r>
        <w:rPr>
          <w:rFonts w:hint="eastAsia" w:ascii="宋体" w:hAnsi="宋体" w:cs="宋体"/>
          <w:color w:val="000000" w:themeColor="text1"/>
          <w:szCs w:val="21"/>
          <w14:textFill>
            <w14:solidFill>
              <w14:schemeClr w14:val="tx1"/>
            </w14:solidFill>
          </w14:textFill>
        </w:rPr>
        <w:t>除供应商为以下四种情形的：</w:t>
      </w:r>
    </w:p>
    <w:p w14:paraId="2D40B9C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①如供应商为截标时间前60日以内成立的公司，可以提供供应商与委托代理人签订的劳动合同扫描件代替养老保险证明扫描件；</w:t>
      </w:r>
    </w:p>
    <w:p w14:paraId="27250E7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②如供应商为事业单位，可以提供事业单位机构编制管理证扫描件或事业单位机构为其发放工资的工资条扫描件代替养老保险证明扫描件；</w:t>
      </w:r>
    </w:p>
    <w:p w14:paraId="53A9DEE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③如委托代理人为免缴纳养老保险人员，提供免缴纳养老保险的证明材料扫描件及供应商与委托代理人签订的劳动合同扫描件代替养老保险证明扫描件。</w:t>
      </w:r>
    </w:p>
    <w:p w14:paraId="36D80ED1">
      <w:pPr>
        <w:spacing w:line="40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bookmarkEnd w:id="91"/>
    <w:p w14:paraId="19BD40CB">
      <w:pPr>
        <w:spacing w:line="360" w:lineRule="auto"/>
        <w:ind w:firstLine="420" w:firstLineChars="200"/>
        <w:jc w:val="left"/>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属自然人的应提供由县级以上（含县级）社会养老保险经办机构出具的自然人本人及委托代理人所交纳的响应文件递交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（委托代理时必须提供；如为联合体的，授权委托书原件须由牵头人出具）</w:t>
      </w:r>
    </w:p>
    <w:p w14:paraId="0C6B6F8F">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b/>
          <w:bCs/>
          <w:color w:val="000000" w:themeColor="text1"/>
          <w:szCs w:val="21"/>
          <w14:textFill>
            <w14:solidFill>
              <w14:schemeClr w14:val="tx1"/>
            </w14:solidFill>
          </w14:textFill>
        </w:rPr>
        <w:t>）投标人参加政府采购活动前3年内在经营活动中没有重大违法记录及有关信用信息的书面声明或专项信用报告（必须提供）。</w:t>
      </w:r>
    </w:p>
    <w:p w14:paraId="10A38330">
      <w:pPr>
        <w:spacing w:line="360" w:lineRule="auto"/>
        <w:ind w:firstLine="420" w:firstLineChars="20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6BEC91CA">
      <w:pPr>
        <w:numPr>
          <w:ilvl w:val="0"/>
          <w:numId w:val="3"/>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供应商的法人或者其他组织营业执照等证明文件扫描件</w:t>
      </w:r>
      <w:r>
        <w:rPr>
          <w:rFonts w:hint="eastAsia" w:ascii="宋体" w:hAnsi="宋体" w:cs="宋体"/>
          <w:b/>
          <w:bCs/>
          <w:color w:val="000000" w:themeColor="text1"/>
          <w:szCs w:val="21"/>
          <w14:textFill>
            <w14:solidFill>
              <w14:schemeClr w14:val="tx1"/>
            </w14:solidFill>
          </w14:textFill>
        </w:rPr>
        <w:t>（必须提供，自然人除外）；</w:t>
      </w:r>
    </w:p>
    <w:p w14:paraId="6DA1EBEA">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市场监督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7E461D2">
      <w:pPr>
        <w:numPr>
          <w:ilvl w:val="0"/>
          <w:numId w:val="3"/>
        </w:num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财务状况报告</w:t>
      </w:r>
      <w:r>
        <w:rPr>
          <w:rFonts w:hint="eastAsia" w:ascii="宋体" w:hAnsi="宋体" w:cs="宋体"/>
          <w:b/>
          <w:bCs/>
          <w:color w:val="000000" w:themeColor="text1"/>
          <w:szCs w:val="21"/>
          <w14:textFill>
            <w14:solidFill>
              <w14:schemeClr w14:val="tx1"/>
            </w14:solidFill>
          </w14:textFill>
        </w:rPr>
        <w:t>（格式自拟，必须提供）</w:t>
      </w:r>
      <w:r>
        <w:rPr>
          <w:rFonts w:hint="eastAsia" w:ascii="宋体" w:hAnsi="宋体" w:cs="宋体"/>
          <w:color w:val="000000" w:themeColor="text1"/>
          <w:szCs w:val="21"/>
          <w14:textFill>
            <w14:solidFill>
              <w14:schemeClr w14:val="tx1"/>
            </w14:solidFill>
          </w14:textFill>
        </w:rPr>
        <w:t>；</w:t>
      </w:r>
    </w:p>
    <w:p w14:paraId="0F89B233">
      <w:pPr>
        <w:numPr>
          <w:ilvl w:val="0"/>
          <w:numId w:val="3"/>
        </w:numPr>
        <w:spacing w:line="360" w:lineRule="auto"/>
        <w:ind w:firstLine="420" w:firstLineChars="200"/>
        <w:rPr>
          <w:rFonts w:hint="eastAsia" w:ascii="宋体" w:hAnsi="宋体" w:cs="宋体"/>
          <w:color w:val="000000" w:themeColor="text1"/>
          <w14:textFill>
            <w14:solidFill>
              <w14:schemeClr w14:val="tx1"/>
            </w14:solidFill>
          </w14:textFill>
        </w:rPr>
      </w:pPr>
      <w:bookmarkStart w:id="92" w:name="OLE_LINK17"/>
      <w:r>
        <w:rPr>
          <w:rFonts w:hint="eastAsia" w:ascii="宋体" w:hAnsi="宋体" w:cs="宋体"/>
          <w:color w:val="000000" w:themeColor="text1"/>
          <w:szCs w:val="21"/>
          <w14:textFill>
            <w14:solidFill>
              <w14:schemeClr w14:val="tx1"/>
            </w14:solidFill>
          </w14:textFill>
        </w:rPr>
        <w:t>供应商在磋商当天前近半年内任意一个月或任一季度依法缴纳税收的证明材料【增值税发票(税收完税证明)或企业所得税完税证明或税务部门出具的免税证明】</w:t>
      </w:r>
      <w:bookmarkEnd w:id="92"/>
      <w:r>
        <w:rPr>
          <w:rFonts w:hint="eastAsia" w:ascii="宋体" w:hAnsi="宋体" w:cs="宋体"/>
          <w:color w:val="000000" w:themeColor="text1"/>
          <w:szCs w:val="21"/>
          <w14:textFill>
            <w14:solidFill>
              <w14:schemeClr w14:val="tx1"/>
            </w14:solidFill>
          </w14:textFill>
        </w:rPr>
        <w:t>扫描件</w:t>
      </w:r>
      <w:r>
        <w:rPr>
          <w:rFonts w:hint="eastAsia" w:ascii="宋体" w:hAnsi="宋体" w:cs="宋体"/>
          <w:b/>
          <w:bCs/>
          <w:color w:val="000000" w:themeColor="text1"/>
          <w:szCs w:val="21"/>
          <w14:textFill>
            <w14:solidFill>
              <w14:schemeClr w14:val="tx1"/>
            </w14:solidFill>
          </w14:textFill>
        </w:rPr>
        <w:t>（必须提供）；</w:t>
      </w:r>
    </w:p>
    <w:p w14:paraId="3085FA36">
      <w:pPr>
        <w:pStyle w:val="19"/>
        <w:ind w:left="0" w:leftChars="0" w:firstLine="422"/>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11.2.1.2符合性响应证明材料：</w:t>
      </w:r>
    </w:p>
    <w:p w14:paraId="1EDCBF7D">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93" w:name="_Toc16312"/>
      <w:bookmarkStart w:id="94" w:name="_Toc2809"/>
      <w:bookmarkStart w:id="95" w:name="_Toc28932"/>
      <w:r>
        <w:rPr>
          <w:rFonts w:hint="eastAsia" w:ascii="宋体" w:hAnsi="宋体" w:cs="宋体"/>
          <w:color w:val="000000" w:themeColor="text1"/>
          <w:szCs w:val="21"/>
          <w14:textFill>
            <w14:solidFill>
              <w14:schemeClr w14:val="tx1"/>
            </w14:solidFill>
          </w14:textFill>
        </w:rPr>
        <w:t>（1）响应函（格式见附件）</w:t>
      </w:r>
      <w:r>
        <w:rPr>
          <w:rFonts w:hint="eastAsia" w:ascii="宋体" w:hAnsi="宋体" w:cs="宋体"/>
          <w:b/>
          <w:color w:val="000000" w:themeColor="text1"/>
          <w:szCs w:val="21"/>
          <w14:textFill>
            <w14:solidFill>
              <w14:schemeClr w14:val="tx1"/>
            </w14:solidFill>
          </w14:textFill>
        </w:rPr>
        <w:t>（必须提供）</w:t>
      </w:r>
      <w:bookmarkEnd w:id="93"/>
      <w:r>
        <w:rPr>
          <w:rFonts w:hint="eastAsia" w:ascii="宋体" w:hAnsi="宋体" w:cs="宋体"/>
          <w:b/>
          <w:color w:val="000000" w:themeColor="text1"/>
          <w:szCs w:val="21"/>
          <w14:textFill>
            <w14:solidFill>
              <w14:schemeClr w14:val="tx1"/>
            </w14:solidFill>
          </w14:textFill>
        </w:rPr>
        <w:t>；</w:t>
      </w:r>
      <w:bookmarkEnd w:id="94"/>
      <w:bookmarkEnd w:id="95"/>
    </w:p>
    <w:p w14:paraId="15AAD808">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（2）磋商报价表（格式见附件）</w:t>
      </w:r>
      <w:r>
        <w:rPr>
          <w:rFonts w:hint="eastAsia" w:ascii="宋体" w:hAnsi="宋体" w:cs="宋体"/>
          <w:b/>
          <w:bCs/>
          <w:color w:val="000000" w:themeColor="text1"/>
          <w:szCs w:val="21"/>
          <w14:textFill>
            <w14:solidFill>
              <w14:schemeClr w14:val="tx1"/>
            </w14:solidFill>
          </w14:textFill>
        </w:rPr>
        <w:t>（必须提供）；</w:t>
      </w:r>
    </w:p>
    <w:p w14:paraId="562E7888">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（3）服务（技术）响应、商务偏离情况说明表（格式见附件）</w:t>
      </w:r>
      <w:r>
        <w:rPr>
          <w:rFonts w:hint="eastAsia" w:ascii="宋体" w:hAnsi="宋体" w:cs="宋体"/>
          <w:b/>
          <w:bCs/>
          <w:color w:val="000000" w:themeColor="text1"/>
          <w:szCs w:val="21"/>
          <w14:textFill>
            <w14:solidFill>
              <w14:schemeClr w14:val="tx1"/>
            </w14:solidFill>
          </w14:textFill>
        </w:rPr>
        <w:t>(必须提供)；</w:t>
      </w:r>
    </w:p>
    <w:p w14:paraId="4FD2DA2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（4）服务承诺书（由供应商根据本项目采购需求、特点及供应商自身的处理能力自行编写，承诺书内容至少应包括“采购需求”中的所有服务条款）（格式见附件）</w:t>
      </w:r>
      <w:r>
        <w:rPr>
          <w:rFonts w:hint="eastAsia" w:ascii="宋体" w:hAnsi="宋体" w:cs="宋体"/>
          <w:b/>
          <w:bCs/>
          <w:color w:val="000000" w:themeColor="text1"/>
          <w:szCs w:val="21"/>
          <w14:textFill>
            <w14:solidFill>
              <w14:schemeClr w14:val="tx1"/>
            </w14:solidFill>
          </w14:textFill>
        </w:rPr>
        <w:t>（必须提供）；</w:t>
      </w:r>
    </w:p>
    <w:p w14:paraId="67075DA9">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（5）针对本项目的服务方案（格式见附件）</w:t>
      </w:r>
      <w:r>
        <w:rPr>
          <w:rFonts w:hint="eastAsia" w:ascii="宋体" w:hAnsi="宋体" w:cs="宋体"/>
          <w:b/>
          <w:bCs/>
          <w:color w:val="000000" w:themeColor="text1"/>
          <w:szCs w:val="21"/>
          <w14:textFill>
            <w14:solidFill>
              <w14:schemeClr w14:val="tx1"/>
            </w14:solidFill>
          </w14:textFill>
        </w:rPr>
        <w:t>（必须提供）。</w:t>
      </w:r>
    </w:p>
    <w:p w14:paraId="20A0FA48">
      <w:pPr>
        <w:pStyle w:val="19"/>
        <w:ind w:left="0" w:leftChars="0" w:firstLine="422"/>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11.2.1.3其他有效证明材料</w:t>
      </w:r>
    </w:p>
    <w:p w14:paraId="5AAE667C">
      <w:pPr>
        <w:numPr>
          <w:ilvl w:val="0"/>
          <w:numId w:val="4"/>
        </w:num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项目实施人员一览表（格式见附件）</w:t>
      </w:r>
      <w:r>
        <w:rPr>
          <w:rFonts w:hint="eastAsia" w:ascii="宋体" w:hAnsi="宋体" w:cs="宋体"/>
          <w:b/>
          <w:bCs/>
          <w:color w:val="000000" w:themeColor="text1"/>
          <w:szCs w:val="21"/>
          <w14:textFill>
            <w14:solidFill>
              <w14:schemeClr w14:val="tx1"/>
            </w14:solidFill>
          </w14:textFill>
        </w:rPr>
        <w:t>（如有，请提供）；</w:t>
      </w:r>
    </w:p>
    <w:p w14:paraId="6F9E8414">
      <w:pPr>
        <w:numPr>
          <w:ilvl w:val="255"/>
          <w:numId w:val="0"/>
        </w:num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（2）“采购需求”需提供的有效证明文件</w:t>
      </w:r>
      <w:r>
        <w:rPr>
          <w:rFonts w:hint="eastAsia" w:ascii="宋体" w:hAnsi="宋体" w:cs="宋体"/>
          <w:b/>
          <w:bCs/>
          <w:color w:val="000000" w:themeColor="text1"/>
          <w:szCs w:val="21"/>
          <w14:textFill>
            <w14:solidFill>
              <w14:schemeClr w14:val="tx1"/>
            </w14:solidFill>
          </w14:textFill>
        </w:rPr>
        <w:t>（如有，请提供）；</w:t>
      </w:r>
    </w:p>
    <w:p w14:paraId="5934A144">
      <w:pPr>
        <w:pStyle w:val="7"/>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eastAsia="zh-CN"/>
        </w:rPr>
        <w:t>自2023年1月1日以来同类业绩的相关证明材料（以中标、成交通知书或签订的采购合同扫描件为准，并能清晰反映所提供的服务类型、种类、金额）</w:t>
      </w:r>
      <w:r>
        <w:rPr>
          <w:rFonts w:hint="eastAsia" w:ascii="宋体" w:hAnsi="宋体" w:cs="宋体"/>
          <w:b/>
          <w:bCs/>
          <w:color w:val="auto"/>
          <w:szCs w:val="21"/>
          <w:highlight w:val="none"/>
        </w:rPr>
        <w:t>（如有，请提供）；</w:t>
      </w:r>
    </w:p>
    <w:p w14:paraId="723CE7C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（4）供应商可结合本项目的评审办法视自身情况自行提交其它相关证明材料。</w:t>
      </w:r>
    </w:p>
    <w:p w14:paraId="2593D73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（5）《中小企业声明函》（见附件）</w:t>
      </w:r>
      <w:r>
        <w:rPr>
          <w:rFonts w:hint="eastAsia" w:ascii="宋体" w:hAnsi="宋体" w:cs="宋体"/>
          <w:b/>
          <w:bCs/>
          <w:color w:val="000000" w:themeColor="text1"/>
          <w:szCs w:val="21"/>
          <w14:textFill>
            <w14:solidFill>
              <w14:schemeClr w14:val="tx1"/>
            </w14:solidFill>
          </w14:textFill>
        </w:rPr>
        <w:t>（除监狱企业及残疾人福利性单位外，如有，请提供）；</w:t>
      </w:r>
    </w:p>
    <w:p w14:paraId="33B53061">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（6）如提供服务的供应商属于监狱企业的，应当提供由省级以上监狱管理局、戒毒管理局等（含新疆生产建设兵团）出具的属于监狱企业的证明文件, 否则不予享受优惠政策</w:t>
      </w:r>
      <w:r>
        <w:rPr>
          <w:rFonts w:hint="eastAsia" w:ascii="宋体" w:hAnsi="宋体" w:cs="宋体"/>
          <w:b/>
          <w:bCs/>
          <w:color w:val="000000" w:themeColor="text1"/>
          <w:szCs w:val="21"/>
          <w14:textFill>
            <w14:solidFill>
              <w14:schemeClr w14:val="tx1"/>
            </w14:solidFill>
          </w14:textFill>
        </w:rPr>
        <w:t>（如供应商属于监狱企业的，如有，请提供）；</w:t>
      </w:r>
    </w:p>
    <w:p w14:paraId="490DBE52">
      <w:pPr>
        <w:spacing w:line="360" w:lineRule="auto"/>
        <w:ind w:firstLine="420" w:firstLineChars="200"/>
      </w:pPr>
      <w:r>
        <w:rPr>
          <w:rFonts w:hint="eastAsia" w:ascii="宋体" w:hAnsi="宋体" w:cs="宋体"/>
          <w:color w:val="000000" w:themeColor="text1"/>
          <w:szCs w:val="21"/>
          <w14:textFill>
            <w14:solidFill>
              <w14:schemeClr w14:val="tx1"/>
            </w14:solidFill>
          </w14:textFill>
        </w:rPr>
        <w:t>（7）符合条件的残疾人福利性单位在参加政府采购活动时，应当提供《残疾人福利性单位声明函》（见附件），并对声明的真实性负责；</w:t>
      </w:r>
      <w:r>
        <w:rPr>
          <w:rFonts w:hint="eastAsia" w:ascii="宋体" w:hAnsi="宋体" w:cs="宋体"/>
          <w:b/>
          <w:bCs/>
          <w:color w:val="000000" w:themeColor="text1"/>
          <w:szCs w:val="21"/>
          <w14:textFill>
            <w14:solidFill>
              <w14:schemeClr w14:val="tx1"/>
            </w14:solidFill>
          </w14:textFill>
        </w:rPr>
        <w:t>（如供应商属于残疾人福利性单位的，如有，请提供）。</w:t>
      </w:r>
    </w:p>
    <w:p w14:paraId="2F4B3BC3">
      <w:pPr>
        <w:spacing w:line="400" w:lineRule="exact"/>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供应商</w:t>
      </w:r>
      <w:r>
        <w:rPr>
          <w:rFonts w:hint="eastAsia" w:ascii="宋体" w:hAnsi="宋体" w:cs="宋体"/>
          <w:b/>
          <w:bCs/>
          <w:color w:val="000000" w:themeColor="text1"/>
          <w14:textFill>
            <w14:solidFill>
              <w14:schemeClr w14:val="tx1"/>
            </w14:solidFill>
          </w14:textFill>
        </w:rPr>
        <w:t>提供的以上相关证明材料属于“必须提供”的文件应加盖磋商供应商公章（CA签章）/自然人签字或个人CA签章，否则响应无效。</w:t>
      </w:r>
    </w:p>
    <w:p w14:paraId="744077D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11.3 供应商应按竞争性磋商文件第六章“响应文件（格式）”编制响应文件。</w:t>
      </w:r>
    </w:p>
    <w:p w14:paraId="684332D3">
      <w:pPr>
        <w:spacing w:line="360" w:lineRule="exact"/>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特别说明：</w:t>
      </w:r>
    </w:p>
    <w:p w14:paraId="7501A4E3">
      <w:pPr>
        <w:spacing w:line="36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（1）响</w:t>
      </w:r>
      <w:r>
        <w:rPr>
          <w:rFonts w:hint="eastAsia" w:ascii="宋体" w:hAnsi="宋体" w:cs="宋体"/>
          <w:b/>
          <w:color w:val="000000" w:themeColor="text1"/>
          <w:szCs w:val="21"/>
          <w14:textFill>
            <w14:solidFill>
              <w14:schemeClr w14:val="tx1"/>
            </w14:solidFill>
          </w14:textFill>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5B1F894E">
      <w:pPr>
        <w:numPr>
          <w:ilvl w:val="0"/>
          <w:numId w:val="5"/>
        </w:numPr>
        <w:spacing w:line="36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磋商文件要求法定代表人（负责人）或委托代理人签字的部分必须签字然后扫描或者拍照做成 pdf 格式上传（或加盖个人CA签章），无签字的视为响应无效。</w:t>
      </w:r>
    </w:p>
    <w:p w14:paraId="63E36474">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96" w:name="_Toc2180"/>
      <w:bookmarkStart w:id="97" w:name="_Toc1626"/>
      <w:r>
        <w:rPr>
          <w:rFonts w:hint="eastAsia" w:ascii="宋体" w:hAnsi="宋体" w:cs="宋体"/>
          <w:color w:val="000000" w:themeColor="text1"/>
          <w:sz w:val="21"/>
          <w:szCs w:val="21"/>
          <w14:textFill>
            <w14:solidFill>
              <w14:schemeClr w14:val="tx1"/>
            </w14:solidFill>
          </w14:textFill>
        </w:rPr>
        <w:t>12. 响应文件的语言及计量</w:t>
      </w:r>
      <w:bookmarkEnd w:id="96"/>
      <w:bookmarkEnd w:id="97"/>
    </w:p>
    <w:p w14:paraId="25919E4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5E72692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14:paraId="6638E910">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98" w:name="_Toc26980"/>
      <w:bookmarkStart w:id="99" w:name="_Toc10838"/>
      <w:r>
        <w:rPr>
          <w:rFonts w:hint="eastAsia" w:ascii="宋体" w:hAnsi="宋体" w:cs="宋体"/>
          <w:color w:val="000000" w:themeColor="text1"/>
          <w:sz w:val="21"/>
          <w:szCs w:val="21"/>
          <w14:textFill>
            <w14:solidFill>
              <w14:schemeClr w14:val="tx1"/>
            </w14:solidFill>
          </w14:textFill>
        </w:rPr>
        <w:t>13. 磋商报价及采购预算金额</w:t>
      </w:r>
      <w:bookmarkEnd w:id="98"/>
      <w:bookmarkEnd w:id="99"/>
    </w:p>
    <w:p w14:paraId="3051FA3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 磋商报价应按磋商文件中相关附表格式填写。采购预算金额（人民币）：</w:t>
      </w:r>
      <w:r>
        <w:rPr>
          <w:rFonts w:hint="eastAsia" w:ascii="宋体" w:hAnsi="宋体" w:cs="宋体"/>
          <w:b/>
          <w:bCs/>
          <w:color w:val="000000" w:themeColor="text1"/>
          <w:szCs w:val="21"/>
          <w14:textFill>
            <w14:solidFill>
              <w14:schemeClr w14:val="tx1"/>
            </w14:solidFill>
          </w14:textFill>
        </w:rPr>
        <w:t>预算金额人民币捌拾壹万元整(¥810000.00元)</w:t>
      </w:r>
      <w:r>
        <w:rPr>
          <w:rFonts w:hint="eastAsia" w:ascii="宋体" w:hAnsi="宋体" w:cs="宋体"/>
          <w:color w:val="000000" w:themeColor="text1"/>
          <w:szCs w:val="21"/>
          <w14:textFill>
            <w14:solidFill>
              <w14:schemeClr w14:val="tx1"/>
            </w14:solidFill>
          </w14:textFill>
        </w:rPr>
        <w:t>。报价超过相应采购预算金额的，响应文件按无效处理。</w:t>
      </w:r>
    </w:p>
    <w:p w14:paraId="53F9871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13.2供应商必须就“采购需求”中所竞所有内容作完整唯一报价，否则，其响应文件无效。响应文件只允许有一个报价，有选择的或有条件的报价将不予接受。</w:t>
      </w:r>
    </w:p>
    <w:p w14:paraId="26C07F8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 磋商报价应包括本次采购范围内货物价款、货物随配标准附件、包装、运输、装卸、保险、税金、货到位以及调试、检验、售后服务、培训、保修及其他所有成本费用的总和；供应商综合考虑在报价中。</w:t>
      </w:r>
    </w:p>
    <w:p w14:paraId="41E86542">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14:paraId="0B817650">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00" w:name="_Toc26881"/>
      <w:bookmarkStart w:id="101" w:name="_Toc22268"/>
      <w:r>
        <w:rPr>
          <w:rFonts w:hint="eastAsia" w:ascii="宋体" w:hAnsi="宋体" w:cs="宋体"/>
          <w:color w:val="000000" w:themeColor="text1"/>
          <w:sz w:val="21"/>
          <w:szCs w:val="21"/>
          <w14:textFill>
            <w14:solidFill>
              <w14:schemeClr w14:val="tx1"/>
            </w14:solidFill>
          </w14:textFill>
        </w:rPr>
        <w:t>14. 响应文件有效期</w:t>
      </w:r>
      <w:bookmarkEnd w:id="100"/>
      <w:bookmarkEnd w:id="101"/>
    </w:p>
    <w:p w14:paraId="00A48CA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 响应文件有效期：响应文件递交截止时间之日起90天，有效期不足的响应文件将被拒绝。</w:t>
      </w:r>
    </w:p>
    <w:p w14:paraId="43B5390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 出现特殊情况下，需要延长响应文件有效期的，采购代理机构书面通知供应商延长响应文件有效期。供应商同意延长的，但不能修改响应文件。供应商拒绝延长的，其响应文件无效。</w:t>
      </w:r>
    </w:p>
    <w:p w14:paraId="1A5A01F6">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02" w:name="_Toc22602"/>
      <w:bookmarkStart w:id="103" w:name="_Toc20097"/>
      <w:r>
        <w:rPr>
          <w:rFonts w:hint="eastAsia" w:ascii="宋体" w:hAnsi="宋体" w:cs="宋体"/>
          <w:color w:val="000000" w:themeColor="text1"/>
          <w:sz w:val="21"/>
          <w:szCs w:val="21"/>
          <w14:textFill>
            <w14:solidFill>
              <w14:schemeClr w14:val="tx1"/>
            </w14:solidFill>
          </w14:textFill>
        </w:rPr>
        <w:t>15. 磋商保证金</w:t>
      </w:r>
      <w:bookmarkEnd w:id="102"/>
      <w:bookmarkEnd w:id="103"/>
    </w:p>
    <w:p w14:paraId="0A0A0AB2">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本项目无需缴纳磋商保证金。</w:t>
      </w:r>
    </w:p>
    <w:p w14:paraId="3E48F75A">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04" w:name="_Toc387"/>
      <w:bookmarkStart w:id="105" w:name="_Toc22971"/>
      <w:r>
        <w:rPr>
          <w:rFonts w:hint="eastAsia" w:ascii="宋体" w:hAnsi="宋体" w:cs="宋体"/>
          <w:color w:val="000000" w:themeColor="text1"/>
          <w:sz w:val="21"/>
          <w:szCs w:val="21"/>
          <w14:textFill>
            <w14:solidFill>
              <w14:schemeClr w14:val="tx1"/>
            </w14:solidFill>
          </w14:textFill>
        </w:rPr>
        <w:t>16. 竞争性磋商响应文件的</w:t>
      </w:r>
      <w:bookmarkEnd w:id="104"/>
      <w:r>
        <w:rPr>
          <w:rFonts w:hint="eastAsia" w:ascii="宋体" w:hAnsi="宋体" w:cs="宋体"/>
          <w:color w:val="000000" w:themeColor="text1"/>
          <w:sz w:val="21"/>
          <w:szCs w:val="21"/>
          <w14:textFill>
            <w14:solidFill>
              <w14:schemeClr w14:val="tx1"/>
            </w14:solidFill>
          </w14:textFill>
        </w:rPr>
        <w:t>制作</w:t>
      </w:r>
      <w:bookmarkEnd w:id="105"/>
    </w:p>
    <w:p w14:paraId="1046036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68FC3EE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14:paraId="3005491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 磋商响应文件不得涂改，若有修改错漏处，须法定代表人（负责人）或授权委托人签字（或个人CA签章）。磋商响应文件因字迹模糊或表达不清所引起的后果由供应商负责。</w:t>
      </w:r>
    </w:p>
    <w:p w14:paraId="55D264F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16.4磋商前准备 </w:t>
      </w:r>
    </w:p>
    <w:p w14:paraId="0377BDC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16.4.1本项目实行在线磋商，采用电子磋商响应文件。若供应商参与磋商，自行承担磋商一切费用。 </w:t>
      </w:r>
    </w:p>
    <w:p w14:paraId="23B9678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1AC5316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16.4.3供应商将政采云电子交易客户端下载、安装完成后，可通过账号密码或 CA 登录客户端进行响应文件制作。客户端请至网站下载专区查看，如有问题可拨打政采云客户服务热线 95763 进行咨询。</w:t>
      </w:r>
    </w:p>
    <w:p w14:paraId="1A063A2E">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06" w:name="_Toc2721"/>
      <w:r>
        <w:rPr>
          <w:rFonts w:hint="eastAsia" w:ascii="宋体" w:hAnsi="宋体" w:cs="宋体"/>
          <w:color w:val="000000" w:themeColor="text1"/>
          <w:sz w:val="21"/>
          <w:szCs w:val="21"/>
          <w14:textFill>
            <w14:solidFill>
              <w14:schemeClr w14:val="tx1"/>
            </w14:solidFill>
          </w14:textFill>
        </w:rPr>
        <w:t>17. 响应文件的修改和撤回</w:t>
      </w:r>
      <w:bookmarkEnd w:id="106"/>
    </w:p>
    <w:p w14:paraId="7BF2BBC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2A1B46B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 在响应文件递交截止时间后的响应文件有效期内，供应商不得撤回其响应文件。</w:t>
      </w:r>
    </w:p>
    <w:p w14:paraId="7374D0F0">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07" w:name="_Toc30156"/>
      <w:bookmarkStart w:id="108" w:name="_Toc18530"/>
      <w:r>
        <w:rPr>
          <w:rFonts w:hint="eastAsia" w:ascii="宋体" w:hAnsi="宋体" w:cs="宋体"/>
          <w:color w:val="000000" w:themeColor="text1"/>
          <w:sz w:val="21"/>
          <w:szCs w:val="21"/>
          <w14:textFill>
            <w14:solidFill>
              <w14:schemeClr w14:val="tx1"/>
            </w14:solidFill>
          </w14:textFill>
        </w:rPr>
        <w:t>18. 响应文件的递交和解密</w:t>
      </w:r>
      <w:bookmarkEnd w:id="107"/>
      <w:bookmarkEnd w:id="108"/>
    </w:p>
    <w:p w14:paraId="63808E0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18.1响应文件递交截止时间：于</w:t>
      </w:r>
      <w:r>
        <w:rPr>
          <w:rFonts w:hint="eastAsia" w:ascii="宋体" w:hAnsi="宋体" w:cs="宋体"/>
          <w:color w:val="000000" w:themeColor="text1"/>
          <w:szCs w:val="21"/>
          <w:u w:val="single"/>
          <w14:textFill>
            <w14:solidFill>
              <w14:schemeClr w14:val="tx1"/>
            </w14:solidFill>
          </w14:textFill>
        </w:rPr>
        <w:t>2025年</w:t>
      </w:r>
      <w:r>
        <w:rPr>
          <w:rFonts w:hint="eastAsia" w:ascii="宋体" w:hAnsi="宋体" w:cs="宋体"/>
          <w:color w:val="000000" w:themeColor="text1"/>
          <w:szCs w:val="21"/>
          <w:u w:val="single"/>
          <w:lang w:val="en-US" w:eastAsia="zh-CN"/>
          <w14:textFill>
            <w14:solidFill>
              <w14:schemeClr w14:val="tx1"/>
            </w14:solidFill>
          </w14:textFill>
        </w:rPr>
        <w:t>7</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16</w:t>
      </w:r>
      <w:r>
        <w:rPr>
          <w:rFonts w:hint="eastAsia" w:ascii="宋体" w:hAnsi="宋体" w:cs="宋体"/>
          <w:color w:val="000000" w:themeColor="text1"/>
          <w:szCs w:val="21"/>
          <w:u w:val="single"/>
          <w14:textFill>
            <w14:solidFill>
              <w14:schemeClr w14:val="tx1"/>
            </w14:solidFill>
          </w14:textFill>
        </w:rPr>
        <w:t>日上午9时30分</w:t>
      </w:r>
      <w:r>
        <w:rPr>
          <w:rFonts w:hint="eastAsia" w:ascii="宋体" w:hAnsi="宋体" w:cs="宋体"/>
          <w:color w:val="000000" w:themeColor="text1"/>
          <w:szCs w:val="21"/>
          <w14:textFill>
            <w14:solidFill>
              <w14:schemeClr w14:val="tx1"/>
            </w14:solidFill>
          </w14:textFill>
        </w:rPr>
        <w:t>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p w14:paraId="55D6AD7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18.2磋商响应文件解密时间：截标时间后</w:t>
      </w:r>
      <w:r>
        <w:rPr>
          <w:rFonts w:hint="eastAsia"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分钟内（</w:t>
      </w:r>
      <w:r>
        <w:rPr>
          <w:rFonts w:hint="eastAsia" w:ascii="宋体" w:hAnsi="宋体" w:cs="宋体"/>
          <w:color w:val="000000" w:themeColor="text1"/>
          <w:szCs w:val="21"/>
          <w:u w:val="single"/>
          <w14:textFill>
            <w14:solidFill>
              <w14:schemeClr w14:val="tx1"/>
            </w14:solidFill>
          </w14:textFill>
        </w:rPr>
        <w:t>2025年</w:t>
      </w:r>
      <w:r>
        <w:rPr>
          <w:rFonts w:hint="eastAsia" w:ascii="宋体" w:hAnsi="宋体" w:cs="宋体"/>
          <w:color w:val="000000" w:themeColor="text1"/>
          <w:szCs w:val="21"/>
          <w:u w:val="single"/>
          <w:lang w:val="en-US" w:eastAsia="zh-CN"/>
          <w14:textFill>
            <w14:solidFill>
              <w14:schemeClr w14:val="tx1"/>
            </w14:solidFill>
          </w14:textFill>
        </w:rPr>
        <w:t>7</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16</w:t>
      </w:r>
      <w:r>
        <w:rPr>
          <w:rFonts w:hint="eastAsia" w:ascii="宋体" w:hAnsi="宋体" w:cs="宋体"/>
          <w:color w:val="000000" w:themeColor="text1"/>
          <w:szCs w:val="21"/>
          <w:u w:val="single"/>
          <w14:textFill>
            <w14:solidFill>
              <w14:schemeClr w14:val="tx1"/>
            </w14:solidFill>
          </w14:textFill>
        </w:rPr>
        <w:t>日上午9时30分至10时00分</w:t>
      </w:r>
      <w:r>
        <w:rPr>
          <w:rFonts w:hint="eastAsia" w:ascii="宋体" w:hAnsi="宋体" w:cs="宋体"/>
          <w:color w:val="000000" w:themeColor="text1"/>
          <w:szCs w:val="21"/>
          <w14:textFill>
            <w14:solidFill>
              <w14:schemeClr w14:val="tx1"/>
            </w14:solidFill>
          </w14:textFill>
        </w:rPr>
        <w:t>)磋商供应商可以登录广西政府采购云平台，用“项目采购-开标评标”功能进行解密磋商文件。</w:t>
      </w:r>
    </w:p>
    <w:p w14:paraId="27CA7EA9">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投标文件网上递交截止时间后，各供应商须在解密时限内对上传政采云的投标文件进行解密，所有供应商在规定的解密时限内解密完成或解密时限结束后，我中心开启已解密的响应文件。供应商超过解密时限未解密的，系统默认自动放弃，造成投标无效的后果由供应商自行承担，解密响应文件后，30分钟内在线签字确认，超过时间没有在线签字确认的系统将自动视为供应商认可。</w:t>
      </w:r>
    </w:p>
    <w:p w14:paraId="1E69E29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 除竞争性磋商文件另有规定外，供应商所递交的响应文件不予退还。</w:t>
      </w:r>
    </w:p>
    <w:p w14:paraId="5F26F32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18.4 电子响应文件的相关说明</w:t>
      </w:r>
    </w:p>
    <w:p w14:paraId="744BFF4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228C4EC3">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（2）如有特殊情况，采购代理机构延长截止时间和开标时间，采购代理机构和供应商的权利和义务将受到新的截止时间和开标时间的约束。</w:t>
      </w:r>
    </w:p>
    <w:p w14:paraId="7BB642E9">
      <w:pPr>
        <w:pStyle w:val="3"/>
        <w:jc w:val="center"/>
        <w:rPr>
          <w:rFonts w:hint="eastAsia" w:ascii="宋体" w:hAnsi="宋体" w:cs="宋体"/>
          <w:b/>
          <w:bCs w:val="0"/>
          <w:color w:val="000000" w:themeColor="text1"/>
          <w:szCs w:val="28"/>
          <w14:textFill>
            <w14:solidFill>
              <w14:schemeClr w14:val="tx1"/>
            </w14:solidFill>
          </w14:textFill>
        </w:rPr>
      </w:pPr>
      <w:bookmarkStart w:id="109" w:name="_Toc1333"/>
      <w:bookmarkStart w:id="110" w:name="_Toc2433"/>
      <w:r>
        <w:rPr>
          <w:rFonts w:hint="eastAsia" w:ascii="宋体" w:hAnsi="宋体" w:cs="宋体"/>
          <w:b/>
          <w:bCs w:val="0"/>
          <w:color w:val="000000" w:themeColor="text1"/>
          <w:szCs w:val="28"/>
          <w14:textFill>
            <w14:solidFill>
              <w14:schemeClr w14:val="tx1"/>
            </w14:solidFill>
          </w14:textFill>
        </w:rPr>
        <w:t>四、竞争性磋商（简称磋商）与评审</w:t>
      </w:r>
      <w:bookmarkEnd w:id="109"/>
      <w:bookmarkEnd w:id="110"/>
    </w:p>
    <w:p w14:paraId="1A31EE11">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11" w:name="_Toc30249"/>
      <w:bookmarkStart w:id="112" w:name="_Toc31588"/>
      <w:r>
        <w:rPr>
          <w:rFonts w:hint="eastAsia" w:ascii="宋体" w:hAnsi="宋体" w:cs="宋体"/>
          <w:color w:val="000000" w:themeColor="text1"/>
          <w:sz w:val="21"/>
          <w:szCs w:val="21"/>
          <w14:textFill>
            <w14:solidFill>
              <w14:schemeClr w14:val="tx1"/>
            </w14:solidFill>
          </w14:textFill>
        </w:rPr>
        <w:t>19. 磋商小组组成及磋商时间、地点、人员</w:t>
      </w:r>
      <w:bookmarkEnd w:id="111"/>
      <w:bookmarkEnd w:id="112"/>
    </w:p>
    <w:p w14:paraId="0886BAC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19.1 磋商小组组成：</w:t>
      </w:r>
    </w:p>
    <w:p w14:paraId="33B7108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磋商及评审工作由采购代理机构负责组织，具体磋商、评审工作由依法组建的磋商小组负责，磋商小组由采购人代表和评审专家组成。磋商小组的构成：</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人，其中采购人代表</w:t>
      </w:r>
      <w:r>
        <w:rPr>
          <w:rFonts w:hint="eastAsia" w:ascii="宋体" w:hAnsi="宋体" w:cs="宋体"/>
          <w:color w:val="000000" w:themeColor="text1"/>
          <w:szCs w:val="21"/>
          <w:u w:val="single"/>
          <w14:textFill>
            <w14:solidFill>
              <w14:schemeClr w14:val="tx1"/>
            </w14:solidFill>
          </w14:textFill>
        </w:rPr>
        <w:t xml:space="preserve"> 1 </w:t>
      </w:r>
      <w:r>
        <w:rPr>
          <w:rFonts w:hint="eastAsia" w:ascii="宋体" w:hAnsi="宋体" w:cs="宋体"/>
          <w:color w:val="000000" w:themeColor="text1"/>
          <w:szCs w:val="21"/>
          <w14:textFill>
            <w14:solidFill>
              <w14:schemeClr w14:val="tx1"/>
            </w14:solidFill>
          </w14:textFill>
        </w:rPr>
        <w:t>人， 专家</w:t>
      </w:r>
      <w:r>
        <w:rPr>
          <w:rFonts w:hint="eastAsia" w:ascii="宋体" w:hAnsi="宋体" w:cs="宋体"/>
          <w:color w:val="000000" w:themeColor="text1"/>
          <w:szCs w:val="21"/>
          <w:u w:val="single"/>
          <w14:textFill>
            <w14:solidFill>
              <w14:schemeClr w14:val="tx1"/>
            </w14:solidFill>
          </w14:textFill>
        </w:rPr>
        <w:t xml:space="preserve"> 2 </w:t>
      </w:r>
      <w:r>
        <w:rPr>
          <w:rFonts w:hint="eastAsia" w:ascii="宋体" w:hAnsi="宋体" w:cs="宋体"/>
          <w:color w:val="000000" w:themeColor="text1"/>
          <w:szCs w:val="21"/>
          <w14:textFill>
            <w14:solidFill>
              <w14:schemeClr w14:val="tx1"/>
            </w14:solidFill>
          </w14:textFill>
        </w:rPr>
        <w:t>人。</w:t>
      </w:r>
    </w:p>
    <w:p w14:paraId="1102989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19.2 磋商时间、地点、人员：</w:t>
      </w:r>
    </w:p>
    <w:p w14:paraId="2BA38DA7">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113" w:name="_Toc9878"/>
      <w:r>
        <w:rPr>
          <w:rFonts w:hint="eastAsia" w:ascii="宋体" w:hAnsi="宋体" w:cs="宋体"/>
          <w:color w:val="000000" w:themeColor="text1"/>
          <w:szCs w:val="21"/>
          <w14:textFill>
            <w14:solidFill>
              <w14:schemeClr w14:val="tx1"/>
            </w14:solidFill>
          </w14:textFill>
        </w:rPr>
        <w:t>19.2.1磋商时间：响应文件递交截止时间后。</w:t>
      </w:r>
      <w:bookmarkEnd w:id="113"/>
    </w:p>
    <w:p w14:paraId="3C7E0221">
      <w:pPr>
        <w:spacing w:line="360" w:lineRule="auto"/>
        <w:ind w:firstLine="420" w:firstLineChars="200"/>
        <w:rPr>
          <w:rFonts w:hint="eastAsia" w:ascii="宋体" w:hAnsi="宋体" w:cs="宋体"/>
          <w:color w:val="000000" w:themeColor="text1"/>
          <w:szCs w:val="21"/>
          <w14:textFill>
            <w14:solidFill>
              <w14:schemeClr w14:val="tx1"/>
            </w14:solidFill>
          </w14:textFill>
        </w:rPr>
      </w:pPr>
      <w:bookmarkStart w:id="114" w:name="_Toc29268"/>
      <w:r>
        <w:rPr>
          <w:rFonts w:hint="eastAsia" w:ascii="宋体" w:hAnsi="宋体" w:cs="宋体"/>
          <w:color w:val="000000" w:themeColor="text1"/>
          <w:szCs w:val="21"/>
          <w14:textFill>
            <w14:solidFill>
              <w14:schemeClr w14:val="tx1"/>
            </w14:solidFill>
          </w14:textFill>
        </w:rPr>
        <w:t>19.2.2磋商地点：</w:t>
      </w:r>
      <w:bookmarkEnd w:id="114"/>
      <w:r>
        <w:rPr>
          <w:rFonts w:hint="eastAsia" w:ascii="宋体" w:hAnsi="宋体" w:cs="宋体"/>
          <w:color w:val="000000" w:themeColor="text1"/>
          <w:szCs w:val="21"/>
          <w14:textFill>
            <w14:solidFill>
              <w14:schemeClr w14:val="tx1"/>
            </w14:solidFill>
          </w14:textFill>
        </w:rPr>
        <w:t>本项目需要磋商供应商代表在截标当天截标后，按磋商小组要求及时登陆广西政府采购云平台等候在线磋商。</w:t>
      </w:r>
    </w:p>
    <w:p w14:paraId="49248A3F">
      <w:pPr>
        <w:spacing w:line="360" w:lineRule="auto"/>
        <w:ind w:firstLine="420" w:firstLineChars="200"/>
        <w:rPr>
          <w:rFonts w:hint="eastAsia" w:ascii="宋体" w:hAnsi="宋体" w:cs="宋体"/>
          <w:bCs/>
          <w:color w:val="000000" w:themeColor="text1"/>
          <w:szCs w:val="21"/>
          <w14:textFill>
            <w14:solidFill>
              <w14:schemeClr w14:val="tx1"/>
            </w14:solidFill>
          </w14:textFill>
        </w:rPr>
      </w:pPr>
      <w:bookmarkStart w:id="115" w:name="_Toc21307"/>
      <w:r>
        <w:rPr>
          <w:rFonts w:hint="eastAsia" w:ascii="宋体" w:hAnsi="宋体" w:cs="宋体"/>
          <w:color w:val="000000" w:themeColor="text1"/>
          <w:szCs w:val="21"/>
          <w14:textFill>
            <w14:solidFill>
              <w14:schemeClr w14:val="tx1"/>
            </w14:solidFill>
          </w14:textFill>
        </w:rPr>
        <w:t>19</w:t>
      </w:r>
      <w:r>
        <w:rPr>
          <w:rFonts w:hint="eastAsia" w:ascii="宋体" w:hAnsi="宋体" w:cs="宋体"/>
          <w:bCs/>
          <w:color w:val="000000" w:themeColor="text1"/>
          <w:szCs w:val="21"/>
          <w14:textFill>
            <w14:solidFill>
              <w14:schemeClr w14:val="tx1"/>
            </w14:solidFill>
          </w14:textFill>
        </w:rPr>
        <w:t>.2.3磋商参加人员：供应商法定代表人、负责人、自然人或相应的委托代理人持</w:t>
      </w:r>
      <w:r>
        <w:rPr>
          <w:rFonts w:hint="eastAsia" w:ascii="宋体" w:hAnsi="宋体" w:cs="宋体"/>
          <w:bCs/>
          <w:color w:val="000000" w:themeColor="text1"/>
          <w:szCs w:val="21"/>
          <w:u w:val="single"/>
          <w14:textFill>
            <w14:solidFill>
              <w14:schemeClr w14:val="tx1"/>
            </w14:solidFill>
          </w14:textFill>
        </w:rPr>
        <w:t>有效身份证原件</w:t>
      </w:r>
      <w:r>
        <w:rPr>
          <w:rFonts w:hint="eastAsia" w:ascii="宋体" w:hAnsi="宋体" w:cs="宋体"/>
          <w:bCs/>
          <w:color w:val="000000" w:themeColor="text1"/>
          <w:szCs w:val="21"/>
          <w14:textFill>
            <w14:solidFill>
              <w14:schemeClr w14:val="tx1"/>
            </w14:solidFill>
          </w14:textFill>
        </w:rPr>
        <w:t>和供应商</w:t>
      </w:r>
      <w:r>
        <w:rPr>
          <w:rFonts w:hint="eastAsia" w:ascii="宋体" w:hAnsi="宋体" w:cs="宋体"/>
          <w:bCs/>
          <w:color w:val="000000" w:themeColor="text1"/>
          <w:szCs w:val="21"/>
          <w:u w:val="single"/>
          <w14:textFill>
            <w14:solidFill>
              <w14:schemeClr w14:val="tx1"/>
            </w14:solidFill>
          </w14:textFill>
        </w:rPr>
        <w:t>广西政府采购云平台CA数字证书</w:t>
      </w:r>
      <w:r>
        <w:rPr>
          <w:rFonts w:hint="eastAsia" w:ascii="宋体" w:hAnsi="宋体" w:cs="宋体"/>
          <w:bCs/>
          <w:color w:val="000000" w:themeColor="text1"/>
          <w:szCs w:val="21"/>
          <w14:textFill>
            <w14:solidFill>
              <w14:schemeClr w14:val="tx1"/>
            </w14:solidFill>
          </w14:textFill>
        </w:rPr>
        <w:t>参加磋商。请供应商在广西政府采购云平台在线等候磋商。</w:t>
      </w:r>
      <w:bookmarkEnd w:id="115"/>
    </w:p>
    <w:p w14:paraId="19D8800F">
      <w:pPr>
        <w:spacing w:line="360" w:lineRule="auto"/>
        <w:ind w:firstLine="420" w:firstLineChars="200"/>
        <w:rPr>
          <w:rFonts w:hint="eastAsia" w:ascii="宋体" w:hAnsi="宋体" w:cs="宋体"/>
          <w:bCs/>
          <w:color w:val="000000" w:themeColor="text1"/>
          <w:szCs w:val="21"/>
          <w14:textFill>
            <w14:solidFill>
              <w14:schemeClr w14:val="tx1"/>
            </w14:solidFill>
          </w14:textFill>
        </w:rPr>
      </w:pPr>
      <w:bookmarkStart w:id="116" w:name="_Toc6288"/>
      <w:r>
        <w:rPr>
          <w:rFonts w:hint="eastAsia" w:ascii="宋体" w:hAnsi="宋体" w:cs="宋体"/>
          <w:bCs/>
          <w:color w:val="000000" w:themeColor="text1"/>
          <w:szCs w:val="21"/>
          <w14:textFill>
            <w14:solidFill>
              <w14:schemeClr w14:val="tx1"/>
            </w14:solidFill>
          </w14:textFill>
        </w:rPr>
        <w:t>19.2.4响应文件递交截止时间后，由磋商小组在评标室内线上开启响应文件。</w:t>
      </w:r>
      <w:bookmarkEnd w:id="116"/>
    </w:p>
    <w:p w14:paraId="21B58BE1">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17" w:name="_Toc20472"/>
      <w:bookmarkStart w:id="118" w:name="_Toc25258"/>
      <w:r>
        <w:rPr>
          <w:rFonts w:hint="eastAsia" w:ascii="宋体" w:hAnsi="宋体" w:cs="宋体"/>
          <w:color w:val="000000" w:themeColor="text1"/>
          <w:sz w:val="21"/>
          <w:szCs w:val="21"/>
          <w14:textFill>
            <w14:solidFill>
              <w14:schemeClr w14:val="tx1"/>
            </w14:solidFill>
          </w14:textFill>
        </w:rPr>
        <w:t>20. 评审原则</w:t>
      </w:r>
      <w:bookmarkEnd w:id="117"/>
      <w:bookmarkEnd w:id="118"/>
    </w:p>
    <w:p w14:paraId="4CC3F4B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 磋商小组必须坚持公平、公正、科学和择优的原则。</w:t>
      </w:r>
    </w:p>
    <w:p w14:paraId="148F7F8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20.2 评审办法：综合评分法，具体详见第四章评审办法。</w:t>
      </w:r>
    </w:p>
    <w:p w14:paraId="601CF5C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20.3 磋商小组应按磋商文件进行评审，不得擅自更改评审办法。</w:t>
      </w:r>
    </w:p>
    <w:p w14:paraId="520CA31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20.4 在评审过程中，磋商小组任何人不得对某个供应商发表任何倾向性意见，不得向其他磋商小组成员明示或者暗示自己的评审意见。</w:t>
      </w:r>
    </w:p>
    <w:p w14:paraId="49D86E42">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14:paraId="0F0AC4D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20.6 响应文件最后报价出现前后不一致的，除竞争性磋商文件另有规定外，按照下列规定修正：</w:t>
      </w:r>
    </w:p>
    <w:p w14:paraId="2B2DAD3E">
      <w:pPr>
        <w:pStyle w:val="26"/>
        <w:tabs>
          <w:tab w:val="left" w:pos="1099"/>
        </w:tabs>
        <w:spacing w:before="130"/>
        <w:ind w:left="420" w:leftChars="200" w:firstLine="0" w:firstLineChars="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 </w:t>
      </w:r>
      <w:r>
        <w:rPr>
          <w:rFonts w:hint="eastAsia" w:ascii="宋体" w:hAnsi="宋体" w:cs="宋体"/>
          <w:color w:val="000000" w:themeColor="text1"/>
          <w14:textFill>
            <w14:solidFill>
              <w14:schemeClr w14:val="tx1"/>
            </w14:solidFill>
          </w14:textFill>
        </w:rPr>
        <w:t>响应文件中磋商报价表内容与响应文件中相应内容不一致的，以最后磋商报价表为准；</w:t>
      </w:r>
    </w:p>
    <w:p w14:paraId="125BEE28">
      <w:pPr>
        <w:pStyle w:val="26"/>
        <w:tabs>
          <w:tab w:val="left" w:pos="1099"/>
        </w:tabs>
        <w:spacing w:before="130"/>
        <w:ind w:left="420" w:leftChars="200" w:firstLine="0" w:firstLineChars="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大写金额和小写金额不一致的，以大写金额为准；</w:t>
      </w:r>
    </w:p>
    <w:p w14:paraId="6BCC24B5">
      <w:pPr>
        <w:pStyle w:val="26"/>
        <w:tabs>
          <w:tab w:val="left" w:pos="1099"/>
        </w:tabs>
        <w:spacing w:before="130"/>
        <w:ind w:left="420" w:leftChars="200" w:firstLine="0" w:firstLineChars="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单价金额小数点或者百分比有明显错位的，以报价表的总价为准，并修改单价；</w:t>
      </w:r>
    </w:p>
    <w:p w14:paraId="11A92C18">
      <w:pPr>
        <w:pStyle w:val="26"/>
        <w:tabs>
          <w:tab w:val="left" w:pos="1099"/>
        </w:tabs>
        <w:spacing w:before="130"/>
        <w:ind w:left="420" w:leftChars="200" w:firstLine="0" w:firstLineChars="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 </w:t>
      </w:r>
      <w:r>
        <w:rPr>
          <w:rFonts w:hint="eastAsia" w:ascii="宋体" w:hAnsi="宋体" w:cs="宋体"/>
          <w:color w:val="000000" w:themeColor="text1"/>
          <w14:textFill>
            <w14:solidFill>
              <w14:schemeClr w14:val="tx1"/>
            </w14:solidFill>
          </w14:textFill>
        </w:rPr>
        <w:t>总价金额与按单价汇总金额不一致的，以单价金额计算结果为准。</w:t>
      </w:r>
    </w:p>
    <w:p w14:paraId="220D3D6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70F98A75">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19" w:name="_Toc5046"/>
      <w:bookmarkStart w:id="120" w:name="_Toc27193"/>
      <w:r>
        <w:rPr>
          <w:rFonts w:hint="eastAsia" w:ascii="宋体" w:hAnsi="宋体" w:cs="宋体"/>
          <w:color w:val="000000" w:themeColor="text1"/>
          <w:sz w:val="21"/>
          <w:szCs w:val="21"/>
          <w14:textFill>
            <w14:solidFill>
              <w14:schemeClr w14:val="tx1"/>
            </w14:solidFill>
          </w14:textFill>
        </w:rPr>
        <w:t>21. 评审程序及磋商要求</w:t>
      </w:r>
      <w:bookmarkEnd w:id="119"/>
      <w:bookmarkEnd w:id="120"/>
    </w:p>
    <w:p w14:paraId="304195E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21.1磋商小组成员的通讯工具或相关电子设备交由桂林市公共资源交易中心统一保管后到达评标室，采购 </w:t>
      </w:r>
    </w:p>
    <w:p w14:paraId="5F1F9774">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代理机构核实磋商小组成员身份，告知回避要求，宣布评审工作纪律和程序，推选磋商小组组长。</w:t>
      </w:r>
    </w:p>
    <w:p w14:paraId="5A02184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D694AA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6B61EF16">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271E19F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21.4.1 查询渠道：《国家企业信用信息公示系统》（网址：www.gsxt.gov.cn/index.html）</w:t>
      </w:r>
    </w:p>
    <w:p w14:paraId="48D65BF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21.4.2 审查流程：</w:t>
      </w:r>
    </w:p>
    <w:p w14:paraId="6292E0A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（1）进入《国家企业信用信息公示系统》（网址：www.gsxt.gov.cn/index.html），输入企业名称，进入企业信息主页面；</w:t>
      </w:r>
    </w:p>
    <w:p w14:paraId="37C1634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（2）查看主页“股东及出资信息”栏，或年报中的“股东及出资信息”栏信息；</w:t>
      </w:r>
    </w:p>
    <w:p w14:paraId="110A50E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（3）将各供应商的股东及出资信息进行比对，得出审查结论；</w:t>
      </w:r>
    </w:p>
    <w:p w14:paraId="53CE1A3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（4）将相关资料作为评审资料打印存档。</w:t>
      </w:r>
    </w:p>
    <w:p w14:paraId="24D06C3A">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21.5 磋商小组如发现供应商提供的证明文件不齐全或不符合规定格式的，应一次性告知供应商，供应</w:t>
      </w:r>
    </w:p>
    <w:p w14:paraId="6AD4A20B">
      <w:pPr>
        <w:spacing w:line="360"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商应在规定的时间内线上补正或更正。</w:t>
      </w:r>
    </w:p>
    <w:p w14:paraId="7A5969F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21.6 磋商小组在对响应文件的有效性、完整性和响应程度进行审查时，可以要求供应商对响应文件中含义 </w:t>
      </w:r>
    </w:p>
    <w:p w14:paraId="53423CC2">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不明确、同类问题表述不一致或者有明显文字和计算错误的内容等作出必要的澄清、说明或者更正。供应商的 </w:t>
      </w:r>
    </w:p>
    <w:p w14:paraId="2F21C235">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澄清、说明或者更正不得超出响应文件的范围或者改变响应文件的实质性内容。澄清、说明或者更正应由其法 </w:t>
      </w:r>
    </w:p>
    <w:p w14:paraId="3D243C07">
      <w:pPr>
        <w:pStyle w:val="7"/>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定代表人或相应的授权委托代表签字（</w:t>
      </w:r>
      <w:r>
        <w:rPr>
          <w:rFonts w:hint="eastAsia" w:ascii="宋体" w:hAnsi="宋体" w:cs="宋体"/>
          <w:color w:val="000000" w:themeColor="text1"/>
          <w14:textFill>
            <w14:solidFill>
              <w14:schemeClr w14:val="tx1"/>
            </w14:solidFill>
          </w14:textFill>
        </w:rPr>
        <w:t>个人CA签章)</w:t>
      </w:r>
      <w:r>
        <w:rPr>
          <w:rFonts w:hint="eastAsia" w:ascii="宋体" w:hAnsi="宋体" w:cs="宋体"/>
          <w:color w:val="000000" w:themeColor="text1"/>
          <w:szCs w:val="21"/>
          <w14:textFill>
            <w14:solidFill>
              <w14:schemeClr w14:val="tx1"/>
            </w14:solidFill>
          </w14:textFill>
        </w:rPr>
        <w:t>或者加盖供应商公章(CA签章)。</w:t>
      </w:r>
    </w:p>
    <w:p w14:paraId="321FAB0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根据磋商文件规定的程序、评定成交的标准等事项与实质性响应竞争性磋商文件要求的供应商进行磋商。 </w:t>
      </w:r>
    </w:p>
    <w:p w14:paraId="03F177F4">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未实质性响应磋商文件的响应文件按无效处理，磋商小组应当告知有关供应商。 </w:t>
      </w:r>
    </w:p>
    <w:p w14:paraId="61936C8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磋商小组所有成员应当按已确定的磋商顺序集中与单一供应商分别进行磋商，并给予所有实质性响应竞争 </w:t>
      </w:r>
    </w:p>
    <w:p w14:paraId="6FB793A4">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性磋商文件要求的供应商平等的磋商机会。 </w:t>
      </w:r>
    </w:p>
    <w:p w14:paraId="70A7EC8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磋商中，磋商小组不得透露与磋商有关的其他供应商的技术资料、价格和其他信息。 </w:t>
      </w:r>
    </w:p>
    <w:p w14:paraId="752A74F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磋商小组对磋商过程和重要磋商内容进行记录，磋商双方在记录上签字确认。 </w:t>
      </w:r>
    </w:p>
    <w:p w14:paraId="78D6649F">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53DF24D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21.8 在磋商过程中，磋商小组可以根据磋商文件和磋商情况实质性变动项目需求中的技术、服务要求以及 </w:t>
      </w:r>
    </w:p>
    <w:p w14:paraId="329445E9">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合同草案条款，但不得变动磋商文件中的其他内容。实质性变动的内容，须经采购人代表确认。 </w:t>
      </w:r>
    </w:p>
    <w:p w14:paraId="7D4AC944">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对磋商文件作出的实质性变动是磋商文件的有效组成部分，磋商小组应当及时通过广西政府采购云平台同时通知所有参加磋商的供应商。 </w:t>
      </w:r>
    </w:p>
    <w:p w14:paraId="39183CC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71E14B2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21.9 第二轮磋商</w:t>
      </w:r>
    </w:p>
    <w:p w14:paraId="6B0C15D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磋商小组集中就重新提交的响应文件或磋商小组提出的磋商意见与单一响应供应商分别进行磋商。磋商小组对磋商过程和重要磋商内容进行记录，磋商双方在记录上签字确认（CA签章确认）。</w:t>
      </w:r>
    </w:p>
    <w:p w14:paraId="49AEC5D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磋商后，供应商根据磋商小组统一整理的书面磋商记录要求做出书面承诺，并由其法定代表人或授权代表签字或者加盖公章（CA签章）后按时线上提交。</w:t>
      </w:r>
    </w:p>
    <w:p w14:paraId="50E81F12">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73FCD33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21.10 在采购过程中符合竞争要求的供应商或者报价未超过采购预算的供应商不足 3 家的，采购人或者采购代理机构应当终止竞争性磋商采购活动。 </w:t>
      </w:r>
    </w:p>
    <w:p w14:paraId="453F275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21.11 最后报价 </w:t>
      </w:r>
    </w:p>
    <w:p w14:paraId="22D4158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3D4AEAB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7E1AF598">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6B4CD23C">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21.11.4 根据《政府采购竞争性磋商采购方式管理暂行办法》(财库〔2014〕214 号)的规定：</w:t>
      </w:r>
      <w:r>
        <w:rPr>
          <w:rFonts w:hint="eastAsia" w:ascii="宋体" w:hAnsi="宋体" w:cs="宋体"/>
          <w:b/>
          <w:bCs/>
          <w:color w:val="000000" w:themeColor="text1"/>
          <w:szCs w:val="21"/>
          <w14:textFill>
            <w14:solidFill>
              <w14:schemeClr w14:val="tx1"/>
            </w14:solidFill>
          </w14:textFill>
        </w:rPr>
        <w:t xml:space="preserve">最后报价是供应商响应文件的有效组成部分。 </w:t>
      </w:r>
      <w:r>
        <w:rPr>
          <w:rFonts w:hint="eastAsia" w:ascii="宋体" w:hAnsi="宋体" w:cs="宋体"/>
          <w:color w:val="000000" w:themeColor="text1"/>
          <w:szCs w:val="21"/>
          <w14:textFill>
            <w14:solidFill>
              <w14:schemeClr w14:val="tx1"/>
            </w14:solidFill>
          </w14:textFill>
        </w:rPr>
        <w:t>符合本办法(财库〔2014〕214号)第三条第四项情形的，提交最后报价的供应商可以为2家。</w:t>
      </w:r>
      <w:r>
        <w:rPr>
          <w:rFonts w:hint="eastAsia" w:ascii="宋体" w:hAnsi="宋体" w:cs="宋体"/>
          <w:b/>
          <w:bCs/>
          <w:color w:val="000000" w:themeColor="text1"/>
          <w:szCs w:val="21"/>
          <w14:textFill>
            <w14:solidFill>
              <w14:schemeClr w14:val="tx1"/>
            </w14:solidFill>
          </w14:textFill>
        </w:rPr>
        <w:t>（财库〔2014〕214号文第三条第四项：市场竞争不充分的科研项目，以及需要扶持的科技成果转化项目。）</w:t>
      </w:r>
    </w:p>
    <w:p w14:paraId="7D2A381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21.12 已提交响应文件的供应商，在提交最后报价之前，可以根据磋商情况书面退出磋商。 </w:t>
      </w:r>
    </w:p>
    <w:p w14:paraId="57B7952A">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未书面退出磋商的供应商在规定时间内线上提交最后报价，其最后报价超出采购预算导致已通过评审的响 </w:t>
      </w:r>
    </w:p>
    <w:p w14:paraId="38E24400">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应文件无效的，按供应商在提交响应文件截止时间后撤回响应文件处理。 </w:t>
      </w:r>
    </w:p>
    <w:p w14:paraId="5B57826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21.13 评审报告 </w:t>
      </w:r>
    </w:p>
    <w:p w14:paraId="4731769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14:paraId="4F9E5C6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21.14 在评审过程中出现法律法规和磋商文件均没有明确规定的情形时，由磋商小组现场协商解决，协商 </w:t>
      </w:r>
    </w:p>
    <w:p w14:paraId="094C09C8">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不一致的，由全体磋商小组投票表决，以得票率二分之一以上磋商小组成员的意见为准。 </w:t>
      </w:r>
    </w:p>
    <w:p w14:paraId="451FE4C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21.15 采购代理机构发现磋商小组有明显的违规倾向或歧视现象，或不按评审办法进行，或其他不正常行 </w:t>
      </w:r>
    </w:p>
    <w:p w14:paraId="73982C5C">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为的，应当及时制止。如制止无效，应及时向桂林市政府采购监督管理机构报告。</w:t>
      </w:r>
    </w:p>
    <w:p w14:paraId="2FEABA9C">
      <w:pPr>
        <w:spacing w:line="360" w:lineRule="auto"/>
        <w:ind w:firstLine="420" w:firstLineChars="200"/>
        <w:rPr>
          <w:rFonts w:hint="eastAsia" w:ascii="宋体" w:hAnsi="宋体" w:cs="宋体"/>
          <w:b/>
          <w:bCs/>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21.16 本采购项目的评审依据为竞争性磋商文件和竞争性磋商响应文件，采用的评审方法为</w:t>
      </w:r>
      <w:r>
        <w:rPr>
          <w:rFonts w:hint="eastAsia" w:ascii="宋体" w:hAnsi="宋体" w:cs="宋体"/>
          <w:b/>
          <w:bCs/>
          <w:color w:val="000000" w:themeColor="text1"/>
          <w:szCs w:val="21"/>
          <w14:textFill>
            <w14:solidFill>
              <w14:schemeClr w14:val="tx1"/>
            </w14:solidFill>
          </w14:textFill>
        </w:rPr>
        <w:t>综合评分法。</w:t>
      </w:r>
    </w:p>
    <w:p w14:paraId="5B05CFCE">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21" w:name="_Toc3944"/>
      <w:bookmarkStart w:id="122" w:name="_Toc32470"/>
      <w:r>
        <w:rPr>
          <w:rFonts w:hint="eastAsia" w:ascii="宋体" w:hAnsi="宋体" w:cs="宋体"/>
          <w:color w:val="000000" w:themeColor="text1"/>
          <w:sz w:val="21"/>
          <w:szCs w:val="21"/>
          <w14:textFill>
            <w14:solidFill>
              <w14:schemeClr w14:val="tx1"/>
            </w14:solidFill>
          </w14:textFill>
        </w:rPr>
        <w:t>22. 确定成交供应商</w:t>
      </w:r>
      <w:bookmarkEnd w:id="121"/>
      <w:bookmarkEnd w:id="122"/>
    </w:p>
    <w:p w14:paraId="0902099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2E3609EB">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22.2采购单位应当确定磋商小组推荐排名第一的成交候选人为成交供应商。</w:t>
      </w:r>
    </w:p>
    <w:p w14:paraId="6A275B14">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02DDFEE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22.4排名第二的成交候选人因前款规定的同样原因不能签订合同的，采购单位可以确定排名第三的成交候选人为成交供应商。</w:t>
      </w:r>
    </w:p>
    <w:p w14:paraId="1987FE2B">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23" w:name="_Toc22589"/>
      <w:bookmarkStart w:id="124" w:name="_Toc21715"/>
      <w:r>
        <w:rPr>
          <w:rFonts w:hint="eastAsia" w:ascii="宋体" w:hAnsi="宋体" w:cs="宋体"/>
          <w:color w:val="000000" w:themeColor="text1"/>
          <w:sz w:val="21"/>
          <w:szCs w:val="21"/>
          <w14:textFill>
            <w14:solidFill>
              <w14:schemeClr w14:val="tx1"/>
            </w14:solidFill>
          </w14:textFill>
        </w:rPr>
        <w:t>23. 属于下列情况之一者，响应文件无效</w:t>
      </w:r>
      <w:bookmarkEnd w:id="123"/>
      <w:bookmarkEnd w:id="124"/>
    </w:p>
    <w:p w14:paraId="112E77D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（1）未按磋商文件规定完整线上提交响应文件或未按规定要求线上签字、签章的；</w:t>
      </w:r>
    </w:p>
    <w:p w14:paraId="3EB830C6">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（2）不具备磋商文件规定的资格要求的；</w:t>
      </w:r>
    </w:p>
    <w:p w14:paraId="3B33E23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（3）响应文件未按磋商文件的内容和要求编制，或提供虚假材料的；</w:t>
      </w:r>
    </w:p>
    <w:p w14:paraId="507A19F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（4）响应文件有效期、交货时间、免费保修期（升级、维护）期/维护期、售后服务不能满足磋商文件要求的；</w:t>
      </w:r>
    </w:p>
    <w:p w14:paraId="7744001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（5）供应商未就“采购需求”中的所有内容作完整唯一报价的，或报价超出采购预算总金额的；</w:t>
      </w:r>
    </w:p>
    <w:p w14:paraId="06C42B8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（6）未在磋商小组规定的时间内提交响应文件(包括最后报价)的；</w:t>
      </w:r>
    </w:p>
    <w:p w14:paraId="2EC6A44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（7）超越了按照法律法规规定必须获得行政许可或者行政审批的经营范围的；</w:t>
      </w:r>
    </w:p>
    <w:p w14:paraId="1599D1AD">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（8）未满足磋商文件实质性要求的或者响应文件有采购人不能接受的附加条件的；</w:t>
      </w:r>
    </w:p>
    <w:p w14:paraId="490D9A10">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（9）响应文件实质性要求未做变动，供应商最后报价高于第一次报价的；</w:t>
      </w:r>
    </w:p>
    <w:p w14:paraId="29DC24D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（10）不符合法律、法规和磋商文件规定的其他实质性要求和条件的。</w:t>
      </w:r>
    </w:p>
    <w:p w14:paraId="7D7E1B73">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供应商有下列情形之一的视为供应商相互串通磋商，响应文件将被视为无效</w:t>
      </w:r>
    </w:p>
    <w:p w14:paraId="69F018B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（1）不同供应商的响应文件由同一单位或者个人编制；或不同供应商报名的IP地址一致的；</w:t>
      </w:r>
    </w:p>
    <w:p w14:paraId="3AF0195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（2）不同供应商委托同一单位或者个人办理磋商事宜；</w:t>
      </w:r>
    </w:p>
    <w:p w14:paraId="2808ECA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（3）不同的供应商的响应文件载明的项目管理员为同一个人；</w:t>
      </w:r>
    </w:p>
    <w:p w14:paraId="796CB36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（4）不同供应商的响应文件异常一致或竞标报价呈规律性差异；</w:t>
      </w:r>
    </w:p>
    <w:p w14:paraId="5A2AD78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（5）不同供应商的响应文件相互混编；</w:t>
      </w:r>
    </w:p>
    <w:p w14:paraId="389BF5FE">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（6）不同供应商的磋商保证金从同一单位或者个人账户转出。</w:t>
      </w:r>
    </w:p>
    <w:p w14:paraId="5238ECD6">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25" w:name="_Toc22512"/>
      <w:bookmarkStart w:id="126" w:name="_Toc5714"/>
      <w:r>
        <w:rPr>
          <w:rFonts w:hint="eastAsia" w:ascii="宋体" w:hAnsi="宋体" w:cs="宋体"/>
          <w:color w:val="000000" w:themeColor="text1"/>
          <w:sz w:val="21"/>
          <w:szCs w:val="21"/>
          <w14:textFill>
            <w14:solidFill>
              <w14:schemeClr w14:val="tx1"/>
            </w14:solidFill>
          </w14:textFill>
        </w:rPr>
        <w:t>24. 出现下列情形之一的，采购人或者采购代理机构应当终止竞争性磋商采购活动，发布项目终止公告并说明原因，重新开展采购活动</w:t>
      </w:r>
      <w:bookmarkEnd w:id="125"/>
      <w:bookmarkEnd w:id="126"/>
    </w:p>
    <w:p w14:paraId="6CE2A63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（1）因情况变化，不再符合规定的竞争性磋商采购方式适用情形的；</w:t>
      </w:r>
    </w:p>
    <w:p w14:paraId="4E10132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（2）出现影响采购公正的违法、违规行为的； </w:t>
      </w:r>
    </w:p>
    <w:p w14:paraId="59BAAFD4">
      <w:pPr>
        <w:spacing w:line="360"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（3）在采购过程中符合竞争要求的供应商或者报价未超过采购预算的供应商不足3家的。</w:t>
      </w:r>
      <w:r>
        <w:rPr>
          <w:rFonts w:hint="eastAsia" w:ascii="宋体" w:hAnsi="宋体" w:cs="宋体"/>
          <w:b/>
          <w:bCs/>
          <w:color w:val="000000" w:themeColor="text1"/>
          <w:szCs w:val="21"/>
          <w14:textFill>
            <w14:solidFill>
              <w14:schemeClr w14:val="tx1"/>
            </w14:solidFill>
          </w14:textFill>
        </w:rPr>
        <w:t xml:space="preserve">（除财库〔2014〕214 号《政府采购竞争性磋商采购方式管理暂行办法》第二十一条第三款规定的情形外） </w:t>
      </w:r>
    </w:p>
    <w:p w14:paraId="69F845DC">
      <w:pPr>
        <w:pStyle w:val="4"/>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27" w:name="_Toc24696"/>
      <w:bookmarkStart w:id="128" w:name="_Toc19105"/>
      <w:r>
        <w:rPr>
          <w:rFonts w:hint="eastAsia" w:ascii="宋体" w:hAnsi="宋体" w:cs="宋体"/>
          <w:color w:val="000000" w:themeColor="text1"/>
          <w:sz w:val="21"/>
          <w:szCs w:val="21"/>
          <w14:textFill>
            <w14:solidFill>
              <w14:schemeClr w14:val="tx1"/>
            </w14:solidFill>
          </w14:textFill>
        </w:rPr>
        <w:t>25. 磋商过程的监控</w:t>
      </w:r>
      <w:bookmarkEnd w:id="127"/>
      <w:bookmarkEnd w:id="128"/>
    </w:p>
    <w:p w14:paraId="749CEDB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本项目磋商过程实行全程录音、录像监控，供应商在磋商过程中所进行的试图影响磋商结果的不公正活动，可能导致其磋商被拒绝。</w:t>
      </w:r>
    </w:p>
    <w:p w14:paraId="4357D1A1">
      <w:pPr>
        <w:pStyle w:val="4"/>
        <w:numPr>
          <w:ilvl w:val="0"/>
          <w:numId w:val="6"/>
        </w:numPr>
        <w:spacing w:before="0" w:after="0" w:line="360" w:lineRule="auto"/>
        <w:ind w:firstLine="420" w:firstLineChars="200"/>
        <w:rPr>
          <w:rFonts w:hint="eastAsia" w:ascii="宋体" w:hAnsi="宋体" w:cs="宋体"/>
          <w:color w:val="000000" w:themeColor="text1"/>
          <w:sz w:val="21"/>
          <w:szCs w:val="21"/>
          <w14:textFill>
            <w14:solidFill>
              <w14:schemeClr w14:val="tx1"/>
            </w14:solidFill>
          </w14:textFill>
        </w:rPr>
      </w:pPr>
      <w:bookmarkStart w:id="129" w:name="_Toc11630"/>
      <w:bookmarkStart w:id="130" w:name="_Toc14787"/>
      <w:r>
        <w:rPr>
          <w:rFonts w:hint="eastAsia" w:ascii="宋体" w:hAnsi="宋体" w:cs="宋体"/>
          <w:color w:val="000000" w:themeColor="text1"/>
          <w:sz w:val="21"/>
          <w:szCs w:val="21"/>
          <w14:textFill>
            <w14:solidFill>
              <w14:schemeClr w14:val="tx1"/>
            </w14:solidFill>
          </w14:textFill>
        </w:rPr>
        <w:t>信用查询</w:t>
      </w:r>
      <w:bookmarkEnd w:id="129"/>
      <w:bookmarkEnd w:id="130"/>
    </w:p>
    <w:p w14:paraId="1B11F305">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根据《关于做好政府采购有关信用主体标识码登记及在政府采购活动中查询使用信用记录有关问题的通知》（桂财采〔2016〕37号</w:t>
      </w:r>
      <w:r>
        <w:rPr>
          <w:rFonts w:hint="eastAsia"/>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，采购代理机构对成交人的成交资格进行信用查询：</w:t>
      </w:r>
    </w:p>
    <w:p w14:paraId="1AA4BF04">
      <w:pPr>
        <w:spacing w:line="360" w:lineRule="auto"/>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（1）查询渠道：“信用中国”网站(www.creditchina.gov.cn)、中国政府采购网(www.ccgp.gov.cn)等；</w:t>
      </w:r>
    </w:p>
    <w:p w14:paraId="3D40B8C5">
      <w:pPr>
        <w:spacing w:line="360" w:lineRule="auto"/>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（2）查询时间：成交通知书发出前；</w:t>
      </w:r>
    </w:p>
    <w:p w14:paraId="76FD3FDF">
      <w:pPr>
        <w:spacing w:line="360" w:lineRule="auto"/>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（3）信用信息查询记录和证据留存方式：在查询网站中直接打印查询记录，打印材料作为采购活动资料保存。</w:t>
      </w:r>
    </w:p>
    <w:p w14:paraId="6C8833D6">
      <w:pPr>
        <w:spacing w:line="360" w:lineRule="auto"/>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0399340">
      <w:pPr>
        <w:spacing w:line="288"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BD2D77C">
      <w:pPr>
        <w:pStyle w:val="4"/>
        <w:spacing w:before="0" w:after="0" w:line="288" w:lineRule="auto"/>
        <w:ind w:firstLine="420" w:firstLineChars="200"/>
        <w:rPr>
          <w:rFonts w:hint="eastAsia" w:ascii="宋体" w:hAnsi="宋体" w:cs="宋体"/>
          <w:color w:val="000000" w:themeColor="text1"/>
          <w:sz w:val="21"/>
          <w:szCs w:val="21"/>
          <w14:textFill>
            <w14:solidFill>
              <w14:schemeClr w14:val="tx1"/>
            </w14:solidFill>
          </w14:textFill>
        </w:rPr>
      </w:pPr>
      <w:bookmarkStart w:id="131" w:name="_Toc9438"/>
      <w:bookmarkStart w:id="132" w:name="_Toc23185"/>
      <w:r>
        <w:rPr>
          <w:rFonts w:hint="eastAsia" w:ascii="宋体" w:hAnsi="宋体" w:cs="宋体"/>
          <w:color w:val="000000" w:themeColor="text1"/>
          <w:sz w:val="21"/>
          <w:szCs w:val="21"/>
          <w14:textFill>
            <w14:solidFill>
              <w14:schemeClr w14:val="tx1"/>
            </w14:solidFill>
          </w14:textFill>
        </w:rPr>
        <w:t>27. 成交结果公告及成交通知书</w:t>
      </w:r>
      <w:bookmarkEnd w:id="131"/>
      <w:bookmarkEnd w:id="132"/>
    </w:p>
    <w:p w14:paraId="62A1BD0F">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1DEE2F4">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27.2 成交公告发布的同时，采购代理机构在线向成交供应商发出电子成交通知书。</w:t>
      </w:r>
    </w:p>
    <w:p w14:paraId="0EB5AA2C">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27.3 采购代理机构无义务向未成交的供应商解释未成交原因和退还响应文件。</w:t>
      </w:r>
    </w:p>
    <w:p w14:paraId="6A4E1374">
      <w:pPr>
        <w:pStyle w:val="3"/>
        <w:spacing w:line="288" w:lineRule="auto"/>
        <w:jc w:val="center"/>
        <w:rPr>
          <w:rFonts w:hint="eastAsia" w:ascii="宋体" w:hAnsi="宋体" w:cs="宋体"/>
          <w:b/>
          <w:bCs w:val="0"/>
          <w:color w:val="000000" w:themeColor="text1"/>
          <w:szCs w:val="28"/>
          <w14:textFill>
            <w14:solidFill>
              <w14:schemeClr w14:val="tx1"/>
            </w14:solidFill>
          </w14:textFill>
        </w:rPr>
      </w:pPr>
      <w:bookmarkStart w:id="133" w:name="_Toc25593"/>
      <w:bookmarkStart w:id="134" w:name="_Toc6"/>
      <w:r>
        <w:rPr>
          <w:rFonts w:hint="eastAsia" w:ascii="宋体" w:hAnsi="宋体" w:cs="宋体"/>
          <w:b/>
          <w:bCs w:val="0"/>
          <w:color w:val="000000" w:themeColor="text1"/>
          <w:szCs w:val="28"/>
          <w14:textFill>
            <w14:solidFill>
              <w14:schemeClr w14:val="tx1"/>
            </w14:solidFill>
          </w14:textFill>
        </w:rPr>
        <w:t>五、</w:t>
      </w:r>
      <w:r>
        <w:rPr>
          <w:rFonts w:hint="eastAsia" w:ascii="宋体" w:hAnsi="宋体" w:cs="宋体"/>
          <w:b/>
          <w:color w:val="000000" w:themeColor="text1"/>
          <w:szCs w:val="28"/>
          <w14:textFill>
            <w14:solidFill>
              <w14:schemeClr w14:val="tx1"/>
            </w14:solidFill>
          </w14:textFill>
        </w:rPr>
        <w:t>履约保证金及</w:t>
      </w:r>
      <w:r>
        <w:rPr>
          <w:rFonts w:hint="eastAsia" w:ascii="宋体" w:hAnsi="宋体" w:cs="宋体"/>
          <w:b/>
          <w:bCs w:val="0"/>
          <w:color w:val="000000" w:themeColor="text1"/>
          <w:szCs w:val="28"/>
          <w14:textFill>
            <w14:solidFill>
              <w14:schemeClr w14:val="tx1"/>
            </w14:solidFill>
          </w14:textFill>
        </w:rPr>
        <w:t>签订合同</w:t>
      </w:r>
      <w:bookmarkEnd w:id="133"/>
      <w:bookmarkEnd w:id="134"/>
    </w:p>
    <w:p w14:paraId="504D2F31">
      <w:pPr>
        <w:pStyle w:val="4"/>
        <w:spacing w:before="0" w:after="0" w:line="288" w:lineRule="auto"/>
        <w:ind w:firstLine="420" w:firstLineChars="200"/>
        <w:rPr>
          <w:rFonts w:hint="eastAsia" w:ascii="宋体" w:hAnsi="宋体" w:cs="宋体"/>
          <w:color w:val="000000" w:themeColor="text1"/>
          <w14:textFill>
            <w14:solidFill>
              <w14:schemeClr w14:val="tx1"/>
            </w14:solidFill>
          </w14:textFill>
        </w:rPr>
      </w:pPr>
      <w:bookmarkStart w:id="135" w:name="_Toc3642"/>
      <w:bookmarkStart w:id="136" w:name="_Toc26520"/>
      <w:r>
        <w:rPr>
          <w:rFonts w:hint="eastAsia" w:ascii="宋体" w:hAnsi="宋体" w:cs="宋体"/>
          <w:color w:val="000000" w:themeColor="text1"/>
          <w:sz w:val="21"/>
          <w:szCs w:val="21"/>
          <w14:textFill>
            <w14:solidFill>
              <w14:schemeClr w14:val="tx1"/>
            </w14:solidFill>
          </w14:textFill>
        </w:rPr>
        <w:t>28. 履约保证金</w:t>
      </w:r>
      <w:bookmarkEnd w:id="135"/>
      <w:bookmarkEnd w:id="136"/>
    </w:p>
    <w:p w14:paraId="3C1853C7">
      <w:pPr>
        <w:pStyle w:val="4"/>
        <w:spacing w:before="0" w:after="0" w:line="288" w:lineRule="auto"/>
        <w:ind w:firstLine="420" w:firstLineChars="200"/>
        <w:rPr>
          <w:rFonts w:hint="eastAsia" w:ascii="宋体" w:hAnsi="宋体" w:cs="宋体"/>
          <w:color w:val="000000" w:themeColor="text1"/>
          <w:sz w:val="21"/>
          <w:szCs w:val="21"/>
          <w14:textFill>
            <w14:solidFill>
              <w14:schemeClr w14:val="tx1"/>
            </w14:solidFill>
          </w14:textFill>
        </w:rPr>
      </w:pPr>
      <w:bookmarkStart w:id="137" w:name="_Toc16644"/>
      <w:bookmarkStart w:id="138" w:name="_Toc6233"/>
      <w:bookmarkStart w:id="139" w:name="_Toc4956"/>
      <w:r>
        <w:rPr>
          <w:rFonts w:hint="eastAsia" w:ascii="宋体" w:hAnsi="宋体" w:cs="宋体"/>
          <w:color w:val="000000" w:themeColor="text1"/>
          <w:sz w:val="21"/>
          <w14:textFill>
            <w14:solidFill>
              <w14:schemeClr w14:val="tx1"/>
            </w14:solidFill>
          </w14:textFill>
        </w:rPr>
        <w:t>本项目无</w:t>
      </w:r>
      <w:r>
        <w:rPr>
          <w:rFonts w:ascii="宋体" w:hAnsi="宋体" w:cs="宋体"/>
          <w:color w:val="000000" w:themeColor="text1"/>
          <w:sz w:val="21"/>
          <w14:textFill>
            <w14:solidFill>
              <w14:schemeClr w14:val="tx1"/>
            </w14:solidFill>
          </w14:textFill>
        </w:rPr>
        <w:t>履约保证金。</w:t>
      </w:r>
      <w:bookmarkEnd w:id="137"/>
      <w:bookmarkEnd w:id="138"/>
    </w:p>
    <w:p w14:paraId="0C52BF21">
      <w:pPr>
        <w:pStyle w:val="4"/>
        <w:spacing w:before="0" w:after="0" w:line="288" w:lineRule="auto"/>
        <w:ind w:firstLine="420" w:firstLineChars="200"/>
        <w:rPr>
          <w:rFonts w:hint="eastAsia" w:ascii="宋体" w:hAnsi="宋体" w:cs="宋体"/>
          <w:color w:val="000000" w:themeColor="text1"/>
          <w:sz w:val="21"/>
          <w:szCs w:val="21"/>
          <w14:textFill>
            <w14:solidFill>
              <w14:schemeClr w14:val="tx1"/>
            </w14:solidFill>
          </w14:textFill>
        </w:rPr>
      </w:pPr>
      <w:bookmarkStart w:id="140" w:name="_Toc2680"/>
      <w:r>
        <w:rPr>
          <w:rFonts w:hint="eastAsia" w:ascii="宋体" w:hAnsi="宋体" w:cs="宋体"/>
          <w:color w:val="000000" w:themeColor="text1"/>
          <w:sz w:val="21"/>
          <w:szCs w:val="21"/>
          <w14:textFill>
            <w14:solidFill>
              <w14:schemeClr w14:val="tx1"/>
            </w14:solidFill>
          </w14:textFill>
        </w:rPr>
        <w:t>29. 签订合同</w:t>
      </w:r>
      <w:bookmarkEnd w:id="139"/>
      <w:bookmarkEnd w:id="140"/>
    </w:p>
    <w:p w14:paraId="5D7B138D">
      <w:pPr>
        <w:spacing w:line="288" w:lineRule="auto"/>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29.1 签订合同时间：成交通知书发出之日起八个工作日内签订合同。成交供应商收到成交通知书后，应按规定与采购人在“广西政府采购云平台”上在线签订电子合同。</w:t>
      </w:r>
    </w:p>
    <w:p w14:paraId="55A9FBC3">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52C451F">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（1）成交后不与采购人签订合同的（不可抗力除外）；</w:t>
      </w:r>
    </w:p>
    <w:p w14:paraId="3E64BBEF">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（2）将成交项目转让给他人，或者在响应文件中未说明，且未经采购人同意，将成交项目分包给他人的；</w:t>
      </w:r>
    </w:p>
    <w:p w14:paraId="398A9B76">
      <w:pPr>
        <w:spacing w:line="288"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（3）拒绝履行合同义务的。</w:t>
      </w:r>
    </w:p>
    <w:p w14:paraId="157ADD54">
      <w:pPr>
        <w:spacing w:line="288"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29.3 合同备案存档：</w:t>
      </w:r>
      <w:r>
        <w:rPr>
          <w:rFonts w:hint="eastAsia" w:ascii="宋体" w:hAnsi="宋体" w:cs="宋体"/>
          <w:color w:val="000000" w:themeColor="text1"/>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p w14:paraId="2589A2BA">
      <w:pPr>
        <w:pStyle w:val="3"/>
        <w:spacing w:line="288" w:lineRule="auto"/>
        <w:jc w:val="center"/>
        <w:rPr>
          <w:rFonts w:hint="eastAsia" w:ascii="宋体" w:hAnsi="宋体" w:cs="宋体"/>
          <w:b/>
          <w:bCs w:val="0"/>
          <w:color w:val="000000" w:themeColor="text1"/>
          <w:szCs w:val="28"/>
          <w14:textFill>
            <w14:solidFill>
              <w14:schemeClr w14:val="tx1"/>
            </w14:solidFill>
          </w14:textFill>
        </w:rPr>
      </w:pPr>
      <w:bookmarkStart w:id="141" w:name="_Toc13974"/>
      <w:bookmarkStart w:id="142" w:name="_Toc16348"/>
      <w:r>
        <w:rPr>
          <w:rFonts w:hint="eastAsia" w:ascii="宋体" w:hAnsi="宋体" w:cs="宋体"/>
          <w:b/>
          <w:bCs w:val="0"/>
          <w:color w:val="000000" w:themeColor="text1"/>
          <w:szCs w:val="28"/>
          <w14:textFill>
            <w14:solidFill>
              <w14:schemeClr w14:val="tx1"/>
            </w14:solidFill>
          </w14:textFill>
        </w:rPr>
        <w:t>六、其他事项</w:t>
      </w:r>
      <w:bookmarkEnd w:id="141"/>
      <w:bookmarkEnd w:id="142"/>
    </w:p>
    <w:p w14:paraId="2C3490CA">
      <w:pPr>
        <w:pStyle w:val="4"/>
        <w:spacing w:before="0" w:after="0" w:line="288" w:lineRule="auto"/>
        <w:ind w:firstLine="420" w:firstLineChars="200"/>
        <w:rPr>
          <w:rFonts w:hint="eastAsia" w:ascii="宋体" w:hAnsi="宋体" w:cs="宋体"/>
          <w:color w:val="000000" w:themeColor="text1"/>
          <w:sz w:val="21"/>
          <w:szCs w:val="21"/>
          <w14:textFill>
            <w14:solidFill>
              <w14:schemeClr w14:val="tx1"/>
            </w14:solidFill>
          </w14:textFill>
        </w:rPr>
      </w:pPr>
      <w:bookmarkStart w:id="143" w:name="_Toc28647"/>
      <w:bookmarkStart w:id="144" w:name="_Toc775"/>
      <w:r>
        <w:rPr>
          <w:rFonts w:hint="eastAsia" w:ascii="宋体" w:hAnsi="宋体" w:cs="宋体"/>
          <w:color w:val="000000" w:themeColor="text1"/>
          <w:sz w:val="21"/>
          <w:szCs w:val="21"/>
          <w14:textFill>
            <w14:solidFill>
              <w14:schemeClr w14:val="tx1"/>
            </w14:solidFill>
          </w14:textFill>
        </w:rPr>
        <w:t>30. 采购代理服务费</w:t>
      </w:r>
      <w:bookmarkEnd w:id="143"/>
      <w:bookmarkEnd w:id="144"/>
    </w:p>
    <w:p w14:paraId="77A35957">
      <w:pPr>
        <w:pStyle w:val="19"/>
        <w:spacing w:line="288" w:lineRule="auto"/>
        <w:ind w:left="0" w:left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本项目不收采购取代理服务费。</w:t>
      </w:r>
    </w:p>
    <w:p w14:paraId="50A75524">
      <w:pPr>
        <w:numPr>
          <w:ilvl w:val="0"/>
          <w:numId w:val="7"/>
        </w:numPr>
        <w:spacing w:line="288" w:lineRule="auto"/>
        <w:ind w:firstLine="420" w:firstLineChars="200"/>
        <w:rPr>
          <w:color w:val="000000" w:themeColor="text1"/>
          <w14:textFill>
            <w14:solidFill>
              <w14:schemeClr w14:val="tx1"/>
            </w14:solidFill>
          </w14:textFill>
        </w:rPr>
      </w:pPr>
      <w:bookmarkStart w:id="145" w:name="_Toc12374"/>
      <w:bookmarkStart w:id="146" w:name="_Toc13548"/>
      <w:r>
        <w:rPr>
          <w:rStyle w:val="27"/>
          <w:rFonts w:hint="eastAsia" w:ascii="宋体" w:hAnsi="宋体" w:cs="宋体"/>
          <w:color w:val="000000" w:themeColor="text1"/>
          <w:sz w:val="21"/>
          <w:szCs w:val="21"/>
          <w14:textFill>
            <w14:solidFill>
              <w14:schemeClr w14:val="tx1"/>
            </w14:solidFill>
          </w14:textFill>
        </w:rPr>
        <w:t>解释权</w:t>
      </w:r>
      <w:bookmarkEnd w:id="145"/>
      <w:bookmarkEnd w:id="146"/>
    </w:p>
    <w:p w14:paraId="3E7A2DB4">
      <w:pPr>
        <w:spacing w:line="288" w:lineRule="auto"/>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7038343F">
      <w:pPr>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bookmarkStart w:id="147" w:name="_Toc9215"/>
      <w:r>
        <w:rPr>
          <w:rStyle w:val="27"/>
          <w:rFonts w:hint="eastAsia" w:ascii="宋体" w:hAnsi="宋体" w:cs="宋体"/>
          <w:color w:val="000000" w:themeColor="text1"/>
          <w:sz w:val="21"/>
          <w:szCs w:val="21"/>
          <w14:textFill>
            <w14:solidFill>
              <w14:schemeClr w14:val="tx1"/>
            </w14:solidFill>
          </w14:textFill>
        </w:rPr>
        <w:t>32. 监督管理机构</w:t>
      </w:r>
      <w:bookmarkEnd w:id="147"/>
      <w:r>
        <w:rPr>
          <w:rFonts w:hint="eastAsia" w:ascii="宋体" w:hAnsi="宋体" w:cs="宋体"/>
          <w:color w:val="000000" w:themeColor="text1"/>
          <w:szCs w:val="21"/>
          <w14:textFill>
            <w14:solidFill>
              <w14:schemeClr w14:val="tx1"/>
            </w14:solidFill>
          </w14:textFill>
        </w:rPr>
        <w:t>：桂林市</w:t>
      </w:r>
      <w:r>
        <w:rPr>
          <w:rFonts w:hint="eastAsia" w:ascii="宋体" w:hAnsi="宋体" w:cs="宋体"/>
          <w:color w:val="000000" w:themeColor="text1"/>
          <w:szCs w:val="21"/>
          <w:lang w:val="en-US" w:eastAsia="zh-CN"/>
          <w14:textFill>
            <w14:solidFill>
              <w14:schemeClr w14:val="tx1"/>
            </w14:solidFill>
          </w14:textFill>
        </w:rPr>
        <w:t>七星区</w:t>
      </w:r>
      <w:r>
        <w:rPr>
          <w:rFonts w:hint="eastAsia" w:ascii="宋体" w:hAnsi="宋体" w:cs="宋体"/>
          <w:color w:val="000000" w:themeColor="text1"/>
          <w:szCs w:val="21"/>
          <w14:textFill>
            <w14:solidFill>
              <w14:schemeClr w14:val="tx1"/>
            </w14:solidFill>
          </w14:textFill>
        </w:rPr>
        <w:t>财政局   电话：0773-5812319。</w:t>
      </w:r>
    </w:p>
    <w:p w14:paraId="37393745">
      <w:pPr>
        <w:snapToGrid w:val="0"/>
        <w:spacing w:line="288" w:lineRule="auto"/>
        <w:ind w:firstLine="420" w:firstLineChars="200"/>
        <w:rPr>
          <w:color w:val="000000" w:themeColor="text1"/>
          <w14:textFill>
            <w14:solidFill>
              <w14:schemeClr w14:val="tx1"/>
            </w14:solidFill>
          </w14:textFill>
        </w:rPr>
      </w:pPr>
    </w:p>
    <w:p w14:paraId="290A1893">
      <w:pPr>
        <w:pStyle w:val="8"/>
        <w:rPr>
          <w:rFonts w:hint="eastAsia" w:ascii="宋体" w:hAnsi="宋体" w:cs="宋体"/>
          <w:color w:val="000000" w:themeColor="text1"/>
          <w:sz w:val="32"/>
          <w:szCs w:val="32"/>
          <w14:textFill>
            <w14:solidFill>
              <w14:schemeClr w14:val="tx1"/>
            </w14:solidFill>
          </w14:textFill>
        </w:rPr>
      </w:pPr>
    </w:p>
    <w:p w14:paraId="035D9653">
      <w:pPr>
        <w:rPr>
          <w:rFonts w:hint="eastAsia" w:ascii="宋体" w:hAnsi="宋体" w:cs="宋体"/>
          <w:color w:val="000000" w:themeColor="text1"/>
          <w:sz w:val="32"/>
          <w:szCs w:val="32"/>
          <w14:textFill>
            <w14:solidFill>
              <w14:schemeClr w14:val="tx1"/>
            </w14:solidFill>
          </w14:textFill>
        </w:rPr>
      </w:pPr>
    </w:p>
    <w:p w14:paraId="161C2A0E">
      <w:pPr>
        <w:rPr>
          <w:rFonts w:hint="eastAsia" w:eastAsia="宋体"/>
          <w:color w:val="000000" w:themeColor="text1"/>
          <w:lang w:eastAsia="zh-CN"/>
          <w14:textFill>
            <w14:solidFill>
              <w14:schemeClr w14:val="tx1"/>
            </w14:solidFill>
          </w14:textFill>
        </w:rPr>
      </w:pPr>
    </w:p>
    <w:p w14:paraId="51861947">
      <w:pPr>
        <w:pStyle w:val="2"/>
        <w:tabs>
          <w:tab w:val="left" w:pos="0"/>
        </w:tabs>
        <w:autoSpaceDE w:val="0"/>
        <w:autoSpaceDN w:val="0"/>
        <w:adjustRightInd w:val="0"/>
        <w:spacing w:before="0" w:after="0" w:line="360" w:lineRule="auto"/>
        <w:jc w:val="center"/>
        <w:rPr>
          <w:rFonts w:hint="eastAsia" w:ascii="宋体" w:hAnsi="宋体" w:cs="宋体"/>
          <w:color w:val="000000" w:themeColor="text1"/>
          <w:sz w:val="32"/>
          <w:szCs w:val="32"/>
          <w14:textFill>
            <w14:solidFill>
              <w14:schemeClr w14:val="tx1"/>
            </w14:solidFill>
          </w14:textFill>
        </w:rPr>
      </w:pPr>
      <w:bookmarkStart w:id="148" w:name="_Toc15277"/>
      <w:r>
        <w:rPr>
          <w:rFonts w:hint="eastAsia" w:ascii="宋体" w:hAnsi="宋体" w:cs="宋体"/>
          <w:color w:val="000000" w:themeColor="text1"/>
          <w:sz w:val="32"/>
          <w:szCs w:val="32"/>
          <w14:textFill>
            <w14:solidFill>
              <w14:schemeClr w14:val="tx1"/>
            </w14:solidFill>
          </w14:textFill>
        </w:rPr>
        <w:t xml:space="preserve">第三章 </w:t>
      </w:r>
      <w:bookmarkStart w:id="149" w:name="_Toc24601"/>
      <w:bookmarkStart w:id="150" w:name="_Toc22353"/>
      <w:r>
        <w:rPr>
          <w:rFonts w:hint="eastAsia" w:ascii="宋体" w:hAnsi="宋体" w:cs="宋体"/>
          <w:color w:val="000000" w:themeColor="text1"/>
          <w:sz w:val="32"/>
          <w:szCs w:val="32"/>
          <w14:textFill>
            <w14:solidFill>
              <w14:schemeClr w14:val="tx1"/>
            </w14:solidFill>
          </w14:textFill>
        </w:rPr>
        <w:t>采购需求</w:t>
      </w:r>
      <w:bookmarkEnd w:id="148"/>
      <w:bookmarkEnd w:id="149"/>
      <w:bookmarkEnd w:id="150"/>
    </w:p>
    <w:p w14:paraId="2084897E">
      <w:pPr>
        <w:pStyle w:val="2"/>
        <w:tabs>
          <w:tab w:val="left" w:pos="0"/>
        </w:tabs>
        <w:autoSpaceDE w:val="0"/>
        <w:autoSpaceDN w:val="0"/>
        <w:adjustRightInd w:val="0"/>
        <w:spacing w:before="0" w:after="0" w:line="360" w:lineRule="auto"/>
        <w:rPr>
          <w:color w:val="000000" w:themeColor="text1"/>
          <w14:textFill>
            <w14:solidFill>
              <w14:schemeClr w14:val="tx1"/>
            </w14:solidFill>
          </w14:textFill>
        </w:rPr>
      </w:pPr>
      <w:bookmarkStart w:id="151" w:name="_Toc11359"/>
      <w:bookmarkStart w:id="152" w:name="_Toc26022"/>
      <w:bookmarkStart w:id="153" w:name="_Toc2989"/>
      <w:r>
        <w:rPr>
          <w:rFonts w:hint="eastAsia" w:ascii="宋体" w:hAnsi="宋体" w:cs="宋体"/>
          <w:color w:val="000000" w:themeColor="text1"/>
          <w:sz w:val="21"/>
          <w:szCs w:val="21"/>
          <w14:textFill>
            <w14:solidFill>
              <w14:schemeClr w14:val="tx1"/>
            </w14:solidFill>
          </w14:textFill>
        </w:rPr>
        <w:t>注：“采购需求”均为实质性要求，不允许负偏离，否则投标无效</w:t>
      </w:r>
      <w:bookmarkEnd w:id="151"/>
      <w:bookmarkEnd w:id="152"/>
      <w:r>
        <w:rPr>
          <w:rFonts w:hint="eastAsia" w:ascii="宋体" w:hAnsi="宋体" w:cs="宋体"/>
          <w:color w:val="000000" w:themeColor="text1"/>
          <w:sz w:val="21"/>
          <w:szCs w:val="21"/>
          <w14:textFill>
            <w14:solidFill>
              <w14:schemeClr w14:val="tx1"/>
            </w14:solidFill>
          </w14:textFill>
        </w:rPr>
        <w:t>，标注“▲”号的条款系指与项目实际紧密相关的功能条款、技术指标，作为服务性能评审依据。</w:t>
      </w:r>
    </w:p>
    <w:tbl>
      <w:tblPr>
        <w:tblStyle w:val="20"/>
        <w:tblW w:w="10242" w:type="dxa"/>
        <w:jc w:val="center"/>
        <w:tblLayout w:type="fixed"/>
        <w:tblCellMar>
          <w:top w:w="0" w:type="dxa"/>
          <w:left w:w="108" w:type="dxa"/>
          <w:bottom w:w="0" w:type="dxa"/>
          <w:right w:w="108" w:type="dxa"/>
        </w:tblCellMar>
      </w:tblPr>
      <w:tblGrid>
        <w:gridCol w:w="611"/>
        <w:gridCol w:w="1091"/>
        <w:gridCol w:w="6868"/>
        <w:gridCol w:w="892"/>
        <w:gridCol w:w="780"/>
      </w:tblGrid>
      <w:tr w14:paraId="2E324718">
        <w:tblPrEx>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vAlign w:val="center"/>
          </w:tcPr>
          <w:p w14:paraId="179B724E">
            <w:pPr>
              <w:widowControl/>
              <w:spacing w:line="360" w:lineRule="auto"/>
              <w:jc w:val="center"/>
              <w:rPr>
                <w:rFonts w:hint="eastAsia" w:ascii="宋体" w:hAnsi="宋体" w:cs="宋体"/>
                <w:b/>
                <w:bCs/>
                <w:kern w:val="0"/>
                <w:szCs w:val="21"/>
              </w:rPr>
            </w:pPr>
            <w:r>
              <w:rPr>
                <w:rFonts w:hint="eastAsia" w:ascii="宋体" w:hAnsi="宋体" w:cs="宋体"/>
                <w:b/>
                <w:bCs/>
                <w:kern w:val="0"/>
                <w:szCs w:val="21"/>
              </w:rPr>
              <w:t>序号</w:t>
            </w:r>
          </w:p>
        </w:tc>
        <w:tc>
          <w:tcPr>
            <w:tcW w:w="1091" w:type="dxa"/>
            <w:tcBorders>
              <w:top w:val="single" w:color="auto" w:sz="4" w:space="0"/>
              <w:left w:val="nil"/>
              <w:bottom w:val="single" w:color="auto" w:sz="4" w:space="0"/>
              <w:right w:val="single" w:color="auto" w:sz="4" w:space="0"/>
            </w:tcBorders>
            <w:vAlign w:val="center"/>
          </w:tcPr>
          <w:p w14:paraId="417CD169">
            <w:pPr>
              <w:widowControl/>
              <w:spacing w:line="360" w:lineRule="auto"/>
              <w:jc w:val="center"/>
              <w:rPr>
                <w:rFonts w:hint="eastAsia" w:ascii="宋体" w:hAnsi="宋体" w:cs="宋体"/>
                <w:b/>
                <w:bCs/>
                <w:kern w:val="0"/>
                <w:szCs w:val="21"/>
              </w:rPr>
            </w:pPr>
            <w:r>
              <w:rPr>
                <w:rFonts w:hint="eastAsia" w:ascii="宋体" w:hAnsi="宋体" w:cs="宋体"/>
                <w:b/>
                <w:bCs/>
                <w:kern w:val="0"/>
                <w:szCs w:val="21"/>
              </w:rPr>
              <w:t>标的名称</w:t>
            </w:r>
          </w:p>
        </w:tc>
        <w:tc>
          <w:tcPr>
            <w:tcW w:w="6868" w:type="dxa"/>
            <w:tcBorders>
              <w:top w:val="single" w:color="auto" w:sz="4" w:space="0"/>
              <w:left w:val="nil"/>
              <w:bottom w:val="single" w:color="auto" w:sz="4" w:space="0"/>
              <w:right w:val="single" w:color="auto" w:sz="4" w:space="0"/>
            </w:tcBorders>
            <w:vAlign w:val="center"/>
          </w:tcPr>
          <w:p w14:paraId="6C7A7006">
            <w:pPr>
              <w:widowControl/>
              <w:spacing w:line="360" w:lineRule="auto"/>
              <w:jc w:val="center"/>
              <w:rPr>
                <w:rFonts w:hint="eastAsia" w:ascii="宋体" w:hAnsi="宋体" w:cs="宋体"/>
                <w:b/>
                <w:bCs/>
                <w:kern w:val="0"/>
                <w:szCs w:val="21"/>
              </w:rPr>
            </w:pPr>
            <w:r>
              <w:rPr>
                <w:rFonts w:hint="eastAsia" w:ascii="宋体" w:hAnsi="宋体" w:cs="宋体"/>
                <w:b/>
                <w:bCs/>
                <w:kern w:val="0"/>
                <w:szCs w:val="21"/>
              </w:rPr>
              <w:t>配套服务相关性能参数</w:t>
            </w:r>
          </w:p>
        </w:tc>
        <w:tc>
          <w:tcPr>
            <w:tcW w:w="892" w:type="dxa"/>
            <w:tcBorders>
              <w:top w:val="single" w:color="auto" w:sz="4" w:space="0"/>
              <w:left w:val="nil"/>
              <w:bottom w:val="single" w:color="auto" w:sz="4" w:space="0"/>
              <w:right w:val="single" w:color="auto" w:sz="4" w:space="0"/>
            </w:tcBorders>
            <w:vAlign w:val="center"/>
          </w:tcPr>
          <w:p w14:paraId="30288FF1">
            <w:pPr>
              <w:widowControl/>
              <w:spacing w:line="360" w:lineRule="auto"/>
              <w:jc w:val="center"/>
              <w:rPr>
                <w:rFonts w:hint="eastAsia" w:ascii="宋体" w:hAnsi="宋体" w:cs="宋体"/>
                <w:b/>
                <w:bCs/>
                <w:kern w:val="0"/>
                <w:szCs w:val="21"/>
              </w:rPr>
            </w:pPr>
            <w:r>
              <w:rPr>
                <w:rFonts w:hint="eastAsia" w:ascii="宋体" w:hAnsi="宋体" w:cs="宋体"/>
                <w:b/>
                <w:bCs/>
                <w:kern w:val="0"/>
                <w:szCs w:val="21"/>
              </w:rPr>
              <w:t>单位</w:t>
            </w:r>
          </w:p>
        </w:tc>
        <w:tc>
          <w:tcPr>
            <w:tcW w:w="780" w:type="dxa"/>
            <w:tcBorders>
              <w:top w:val="single" w:color="auto" w:sz="4" w:space="0"/>
              <w:left w:val="nil"/>
              <w:bottom w:val="single" w:color="auto" w:sz="4" w:space="0"/>
              <w:right w:val="single" w:color="auto" w:sz="4" w:space="0"/>
            </w:tcBorders>
            <w:vAlign w:val="center"/>
          </w:tcPr>
          <w:p w14:paraId="1F26CA79">
            <w:pPr>
              <w:widowControl/>
              <w:spacing w:line="360" w:lineRule="auto"/>
              <w:jc w:val="center"/>
              <w:rPr>
                <w:rFonts w:hint="eastAsia" w:ascii="宋体" w:hAnsi="宋体" w:cs="宋体"/>
                <w:b/>
                <w:bCs/>
                <w:kern w:val="0"/>
                <w:szCs w:val="21"/>
              </w:rPr>
            </w:pPr>
            <w:r>
              <w:rPr>
                <w:rFonts w:hint="eastAsia" w:ascii="宋体" w:hAnsi="宋体" w:cs="宋体"/>
                <w:b/>
                <w:bCs/>
                <w:kern w:val="0"/>
                <w:szCs w:val="21"/>
              </w:rPr>
              <w:t>数量</w:t>
            </w:r>
          </w:p>
        </w:tc>
      </w:tr>
      <w:tr w14:paraId="761E19EA">
        <w:tblPrEx>
          <w:tblCellMar>
            <w:top w:w="0" w:type="dxa"/>
            <w:left w:w="108" w:type="dxa"/>
            <w:bottom w:w="0" w:type="dxa"/>
            <w:right w:w="108" w:type="dxa"/>
          </w:tblCellMar>
        </w:tblPrEx>
        <w:trPr>
          <w:jc w:val="center"/>
        </w:trPr>
        <w:tc>
          <w:tcPr>
            <w:tcW w:w="611" w:type="dxa"/>
            <w:tcBorders>
              <w:top w:val="single" w:color="auto" w:sz="4" w:space="0"/>
              <w:left w:val="single" w:color="auto" w:sz="4" w:space="0"/>
              <w:bottom w:val="single" w:color="auto" w:sz="4" w:space="0"/>
              <w:right w:val="single" w:color="auto" w:sz="4" w:space="0"/>
            </w:tcBorders>
            <w:vAlign w:val="center"/>
          </w:tcPr>
          <w:p w14:paraId="59DE33F7">
            <w:pPr>
              <w:widowControl/>
              <w:spacing w:line="360" w:lineRule="auto"/>
              <w:jc w:val="center"/>
              <w:rPr>
                <w:rFonts w:hint="eastAsia" w:ascii="宋体" w:hAnsi="宋体" w:cs="宋体"/>
                <w:kern w:val="0"/>
                <w:szCs w:val="21"/>
              </w:rPr>
            </w:pPr>
            <w:r>
              <w:rPr>
                <w:rFonts w:hint="eastAsia" w:ascii="宋体" w:hAnsi="宋体" w:cs="宋体"/>
                <w:kern w:val="0"/>
                <w:szCs w:val="21"/>
              </w:rPr>
              <w:t>1</w:t>
            </w:r>
          </w:p>
        </w:tc>
        <w:tc>
          <w:tcPr>
            <w:tcW w:w="1091" w:type="dxa"/>
            <w:tcBorders>
              <w:top w:val="single" w:color="auto" w:sz="4" w:space="0"/>
              <w:left w:val="nil"/>
              <w:bottom w:val="single" w:color="auto" w:sz="4" w:space="0"/>
              <w:right w:val="single" w:color="auto" w:sz="4" w:space="0"/>
            </w:tcBorders>
            <w:vAlign w:val="center"/>
          </w:tcPr>
          <w:p w14:paraId="3C7C792D">
            <w:pPr>
              <w:widowControl/>
              <w:spacing w:line="360" w:lineRule="auto"/>
              <w:jc w:val="left"/>
              <w:rPr>
                <w:rFonts w:hint="eastAsia" w:ascii="宋体" w:hAnsi="宋体" w:cs="宋体"/>
                <w:szCs w:val="21"/>
              </w:rPr>
            </w:pPr>
            <w:r>
              <w:rPr>
                <w:rFonts w:hint="eastAsia" w:ascii="宋体" w:hAnsi="宋体" w:cs="宋体"/>
                <w:szCs w:val="21"/>
              </w:rPr>
              <w:t>高清视频监控456个摄像头线路及平台服务</w:t>
            </w:r>
          </w:p>
        </w:tc>
        <w:tc>
          <w:tcPr>
            <w:tcW w:w="6868" w:type="dxa"/>
            <w:tcBorders>
              <w:top w:val="single" w:color="auto" w:sz="4" w:space="0"/>
              <w:left w:val="nil"/>
              <w:bottom w:val="single" w:color="auto" w:sz="4" w:space="0"/>
              <w:right w:val="single" w:color="auto" w:sz="4" w:space="0"/>
            </w:tcBorders>
            <w:vAlign w:val="center"/>
          </w:tcPr>
          <w:p w14:paraId="0E418326">
            <w:pPr>
              <w:widowControl/>
              <w:spacing w:line="360" w:lineRule="auto"/>
              <w:jc w:val="left"/>
              <w:rPr>
                <w:rFonts w:hint="eastAsia" w:ascii="宋体" w:hAnsi="宋体" w:cs="宋体"/>
                <w:szCs w:val="21"/>
              </w:rPr>
            </w:pPr>
            <w:r>
              <w:rPr>
                <w:rFonts w:hint="eastAsia" w:ascii="宋体" w:hAnsi="宋体" w:cs="宋体"/>
                <w:b/>
                <w:bCs/>
                <w:szCs w:val="21"/>
              </w:rPr>
              <w:t>一、监控前端建设及数据采集服务-456路原有视频监控点视频图像采集服务</w:t>
            </w:r>
          </w:p>
          <w:p w14:paraId="02510D71">
            <w:pPr>
              <w:widowControl/>
              <w:numPr>
                <w:ilvl w:val="0"/>
                <w:numId w:val="8"/>
              </w:numPr>
              <w:spacing w:line="360" w:lineRule="auto"/>
              <w:jc w:val="left"/>
              <w:rPr>
                <w:rFonts w:hint="eastAsia" w:ascii="宋体" w:hAnsi="宋体" w:cs="宋体"/>
                <w:szCs w:val="21"/>
              </w:rPr>
            </w:pPr>
            <w:r>
              <w:rPr>
                <w:rFonts w:hint="eastAsia" w:ascii="宋体" w:hAnsi="宋体" w:cs="宋体"/>
                <w:b/>
                <w:bCs/>
                <w:szCs w:val="21"/>
              </w:rPr>
              <w:t>本次在桂林市七星区内优化456路原有视频监控点，</w:t>
            </w:r>
            <w:r>
              <w:rPr>
                <w:rFonts w:hint="eastAsia" w:ascii="宋体" w:hAnsi="宋体" w:cs="宋体"/>
                <w:szCs w:val="21"/>
              </w:rPr>
              <w:t>所有点位实现24小时全实时监控,并实现联网功能,可进行远程录像及观看，主要是加强各个区域的安全监控工作，能够满足安全保卫和治安防范的需要需要。提供七星区内456路监控画面的故障处理及保养服务，服务内容主要分别为故障检修、维护保养及定期巡检三个部分</w:t>
            </w:r>
          </w:p>
          <w:p w14:paraId="7A7D6A36">
            <w:pPr>
              <w:pStyle w:val="12"/>
              <w:spacing w:line="360" w:lineRule="auto"/>
              <w:rPr>
                <w:rFonts w:hint="eastAsia" w:ascii="宋体" w:hAnsi="宋体" w:cs="宋体"/>
                <w:sz w:val="21"/>
                <w:szCs w:val="21"/>
              </w:rPr>
            </w:pPr>
          </w:p>
          <w:p w14:paraId="3860825F">
            <w:pPr>
              <w:widowControl/>
              <w:spacing w:line="360" w:lineRule="auto"/>
              <w:jc w:val="left"/>
              <w:rPr>
                <w:rFonts w:hint="eastAsia" w:ascii="宋体" w:hAnsi="宋体" w:cs="宋体"/>
                <w:b/>
                <w:bCs/>
                <w:szCs w:val="21"/>
              </w:rPr>
            </w:pPr>
            <w:r>
              <w:rPr>
                <w:rFonts w:hint="eastAsia" w:ascii="宋体" w:hAnsi="宋体" w:cs="宋体"/>
                <w:b/>
                <w:bCs/>
                <w:szCs w:val="21"/>
              </w:rPr>
              <w:t>二、综合应用平台</w:t>
            </w:r>
            <w:r>
              <w:rPr>
                <w:rFonts w:ascii="宋体" w:hAnsi="宋体" w:cs="宋体"/>
                <w:b/>
                <w:bCs/>
                <w:szCs w:val="21"/>
              </w:rPr>
              <w:t>总体数据</w:t>
            </w:r>
            <w:r>
              <w:rPr>
                <w:rFonts w:hint="eastAsia" w:ascii="宋体" w:hAnsi="宋体" w:cs="宋体"/>
                <w:b/>
                <w:bCs/>
                <w:szCs w:val="21"/>
              </w:rPr>
              <w:t>看板</w:t>
            </w:r>
            <w:r>
              <w:rPr>
                <w:rFonts w:ascii="宋体" w:hAnsi="宋体" w:cs="宋体"/>
                <w:b/>
                <w:bCs/>
                <w:szCs w:val="21"/>
              </w:rPr>
              <w:t>展示服</w:t>
            </w:r>
            <w:r>
              <w:rPr>
                <w:rFonts w:hint="eastAsia" w:ascii="宋体" w:hAnsi="宋体" w:cs="宋体"/>
                <w:b/>
                <w:bCs/>
                <w:szCs w:val="21"/>
              </w:rPr>
              <w:t>务</w:t>
            </w:r>
          </w:p>
          <w:p w14:paraId="69763E84">
            <w:pPr>
              <w:widowControl/>
              <w:spacing w:line="360" w:lineRule="auto"/>
              <w:jc w:val="left"/>
              <w:rPr>
                <w:rFonts w:hint="eastAsia" w:ascii="宋体" w:hAnsi="宋体" w:cs="宋体"/>
                <w:b/>
                <w:bCs/>
                <w:szCs w:val="21"/>
              </w:rPr>
            </w:pPr>
            <w:r>
              <w:rPr>
                <w:rFonts w:hint="eastAsia" w:ascii="宋体" w:hAnsi="宋体" w:cs="宋体"/>
                <w:b/>
                <w:bCs/>
                <w:szCs w:val="21"/>
              </w:rPr>
              <w:t>（一）综合应用平台</w:t>
            </w:r>
            <w:r>
              <w:rPr>
                <w:rFonts w:ascii="宋体" w:hAnsi="宋体" w:cs="宋体"/>
                <w:b/>
                <w:bCs/>
                <w:szCs w:val="21"/>
              </w:rPr>
              <w:t>总体数据</w:t>
            </w:r>
            <w:r>
              <w:rPr>
                <w:rFonts w:hint="eastAsia" w:ascii="宋体" w:hAnsi="宋体" w:cs="宋体"/>
                <w:b/>
                <w:bCs/>
                <w:szCs w:val="21"/>
              </w:rPr>
              <w:t>看板</w:t>
            </w:r>
            <w:r>
              <w:rPr>
                <w:rFonts w:ascii="宋体" w:hAnsi="宋体" w:cs="宋体"/>
                <w:b/>
                <w:bCs/>
                <w:szCs w:val="21"/>
              </w:rPr>
              <w:t>展示服</w:t>
            </w:r>
            <w:r>
              <w:rPr>
                <w:rFonts w:hint="eastAsia" w:ascii="宋体" w:hAnsi="宋体" w:cs="宋体"/>
                <w:b/>
                <w:bCs/>
                <w:szCs w:val="21"/>
              </w:rPr>
              <w:t>务</w:t>
            </w:r>
            <w:r>
              <w:rPr>
                <w:rFonts w:ascii="宋体" w:hAnsi="宋体" w:cs="宋体"/>
                <w:b/>
                <w:bCs/>
                <w:szCs w:val="21"/>
              </w:rPr>
              <w:t>：</w:t>
            </w:r>
          </w:p>
          <w:p w14:paraId="78493D25">
            <w:pPr>
              <w:widowControl/>
              <w:numPr>
                <w:ilvl w:val="0"/>
                <w:numId w:val="9"/>
              </w:numPr>
              <w:spacing w:line="360" w:lineRule="auto"/>
              <w:ind w:firstLine="420" w:firstLineChars="200"/>
              <w:jc w:val="left"/>
              <w:rPr>
                <w:rFonts w:hint="eastAsia" w:ascii="宋体" w:hAnsi="宋体" w:cs="宋体"/>
                <w:szCs w:val="21"/>
              </w:rPr>
            </w:pPr>
            <w:r>
              <w:rPr>
                <w:rFonts w:hint="eastAsia" w:ascii="宋体" w:hAnsi="宋体" w:cs="宋体"/>
                <w:szCs w:val="21"/>
              </w:rPr>
              <w:t>可提供</w:t>
            </w:r>
            <w:r>
              <w:rPr>
                <w:rFonts w:ascii="宋体" w:hAnsi="宋体" w:cs="宋体"/>
                <w:szCs w:val="21"/>
              </w:rPr>
              <w:t>地图展示：展现</w:t>
            </w:r>
            <w:r>
              <w:rPr>
                <w:rFonts w:hint="eastAsia" w:ascii="宋体" w:hAnsi="宋体" w:cs="宋体"/>
                <w:szCs w:val="21"/>
              </w:rPr>
              <w:t>全域</w:t>
            </w:r>
            <w:r>
              <w:rPr>
                <w:rFonts w:ascii="宋体" w:hAnsi="宋体" w:cs="宋体"/>
                <w:szCs w:val="21"/>
              </w:rPr>
              <w:t>地图，通过切换不同组织机构可以展示对应的机构数据。</w:t>
            </w:r>
          </w:p>
          <w:p w14:paraId="2CBBA390">
            <w:pPr>
              <w:widowControl/>
              <w:numPr>
                <w:ilvl w:val="0"/>
                <w:numId w:val="9"/>
              </w:numPr>
              <w:spacing w:line="360" w:lineRule="auto"/>
              <w:ind w:firstLine="420" w:firstLineChars="200"/>
              <w:jc w:val="left"/>
              <w:rPr>
                <w:rFonts w:hint="eastAsia" w:ascii="宋体" w:hAnsi="宋体" w:cs="宋体"/>
                <w:szCs w:val="21"/>
              </w:rPr>
            </w:pPr>
            <w:r>
              <w:rPr>
                <w:rFonts w:hint="eastAsia" w:ascii="宋体" w:hAnsi="宋体" w:cs="宋体"/>
                <w:szCs w:val="21"/>
              </w:rPr>
              <w:t>可提供</w:t>
            </w:r>
            <w:r>
              <w:rPr>
                <w:rFonts w:ascii="宋体" w:hAnsi="宋体" w:cs="宋体"/>
                <w:szCs w:val="21"/>
              </w:rPr>
              <w:t>基础数据：可看到管辖区域内的数据（视频监控总路数、视频监控点位列表、重点区域视频监控、在线设备数、离线设备数、设备类型统计等）</w:t>
            </w:r>
            <w:r>
              <w:rPr>
                <w:rFonts w:hint="eastAsia" w:ascii="宋体" w:hAnsi="宋体" w:cs="宋体"/>
                <w:szCs w:val="21"/>
              </w:rPr>
              <w:t>硬件运行</w:t>
            </w:r>
            <w:r>
              <w:rPr>
                <w:rFonts w:ascii="宋体" w:hAnsi="宋体" w:cs="宋体"/>
                <w:szCs w:val="21"/>
              </w:rPr>
              <w:t>等数据汇总，数据实时、动态更新。</w:t>
            </w:r>
          </w:p>
          <w:p w14:paraId="357E8D2D">
            <w:pPr>
              <w:pStyle w:val="12"/>
            </w:pPr>
          </w:p>
          <w:p w14:paraId="52FAC439">
            <w:pPr>
              <w:widowControl/>
              <w:spacing w:line="360" w:lineRule="auto"/>
              <w:jc w:val="left"/>
              <w:rPr>
                <w:rFonts w:hint="eastAsia" w:ascii="宋体" w:hAnsi="宋体" w:cs="宋体"/>
                <w:szCs w:val="21"/>
              </w:rPr>
            </w:pPr>
            <w:r>
              <w:rPr>
                <w:rFonts w:hint="eastAsia" w:ascii="宋体" w:hAnsi="宋体" w:cs="宋体"/>
                <w:b/>
                <w:bCs/>
                <w:szCs w:val="21"/>
              </w:rPr>
              <w:t>三、综合应用平台使用及配套服务</w:t>
            </w:r>
          </w:p>
          <w:p w14:paraId="7946A67B">
            <w:pPr>
              <w:widowControl/>
              <w:spacing w:line="360" w:lineRule="auto"/>
              <w:jc w:val="left"/>
              <w:rPr>
                <w:rFonts w:hint="eastAsia" w:ascii="宋体" w:hAnsi="宋体" w:cs="宋体"/>
                <w:szCs w:val="21"/>
              </w:rPr>
            </w:pPr>
            <w:r>
              <w:rPr>
                <w:rFonts w:hint="eastAsia" w:ascii="宋体" w:hAnsi="宋体" w:cs="宋体"/>
                <w:b/>
                <w:bCs/>
                <w:szCs w:val="21"/>
              </w:rPr>
              <w:t>（一）提供综合监控应用平台使用服务1项</w:t>
            </w:r>
            <w:r>
              <w:rPr>
                <w:rFonts w:hint="eastAsia" w:ascii="宋体" w:hAnsi="宋体" w:cs="宋体"/>
                <w:szCs w:val="21"/>
              </w:rPr>
              <w:t>，并将本期456个及原有100个合计556个分散、独立的视频图像采集点进行联网、画面查看、录像调阅，实现跨区域、全网范围内的统一监控、统一存储、统一管理和资源共享，支</w:t>
            </w:r>
            <w:r>
              <w:rPr>
                <w:rFonts w:hint="eastAsia" w:ascii="宋体" w:hAnsi="宋体" w:cs="宋体"/>
                <w:color w:val="auto"/>
                <w:szCs w:val="21"/>
              </w:rPr>
              <w:t>持标准SDK、ONVIF、GB28181 协议的IPC、网络存储设备等对接，平台满足接入并管理至少5000路视频，单台视频接入网关提供</w:t>
            </w:r>
            <w:r>
              <w:rPr>
                <w:rFonts w:hint="eastAsia" w:ascii="宋体" w:hAnsi="宋体" w:cs="宋体"/>
                <w:color w:val="auto"/>
                <w:szCs w:val="21"/>
                <w:highlight w:val="none"/>
              </w:rPr>
              <w:t>2000台</w:t>
            </w:r>
            <w:r>
              <w:rPr>
                <w:rFonts w:hint="eastAsia" w:ascii="宋体" w:hAnsi="宋体" w:cs="宋体"/>
                <w:color w:val="auto"/>
                <w:szCs w:val="21"/>
              </w:rPr>
              <w:t>IP视频编码设备的超强接入能力同时开放接口供第三方厂家接入，支持大屏配置，大屏拼接，大屏轮巡计划。监控应用平台系统</w:t>
            </w:r>
            <w:r>
              <w:rPr>
                <w:rFonts w:hint="eastAsia" w:ascii="宋体" w:hAnsi="宋体" w:cs="宋体"/>
                <w:szCs w:val="21"/>
              </w:rPr>
              <w:t>集视频采集分析、图片存储以及数据检索的分析和应用，可以对实时视频及历史视频进行检索与调用。提供配套设备的系统集成服务、安装、维护服务，服务期限为1年。综合监控应用平台服务应包含以下功能：</w:t>
            </w:r>
          </w:p>
          <w:p w14:paraId="266DAC7A">
            <w:pPr>
              <w:widowControl/>
              <w:spacing w:line="360" w:lineRule="auto"/>
              <w:jc w:val="left"/>
              <w:rPr>
                <w:rFonts w:hint="eastAsia" w:ascii="宋体" w:hAnsi="宋体" w:cs="宋体"/>
                <w:szCs w:val="21"/>
              </w:rPr>
            </w:pPr>
            <w:r>
              <w:rPr>
                <w:rFonts w:hint="eastAsia" w:ascii="宋体" w:hAnsi="宋体" w:cs="宋体"/>
                <w:szCs w:val="21"/>
              </w:rPr>
              <w:t>1、快速播放服务：支持进度条缩放，支持在时间轴上切换画面播放时间；</w:t>
            </w:r>
          </w:p>
          <w:p w14:paraId="587E9E75">
            <w:pPr>
              <w:widowControl/>
              <w:spacing w:line="360" w:lineRule="auto"/>
              <w:jc w:val="left"/>
              <w:rPr>
                <w:rFonts w:hint="eastAsia" w:ascii="宋体" w:hAnsi="宋体" w:cs="宋体"/>
                <w:szCs w:val="21"/>
              </w:rPr>
            </w:pPr>
            <w:r>
              <w:rPr>
                <w:rFonts w:hint="eastAsia" w:ascii="宋体" w:hAnsi="宋体" w:cs="宋体"/>
                <w:szCs w:val="21"/>
              </w:rPr>
              <w:t>2、视频融合服务：支持视频技术与智能采集、智能分析及大数据分析技术的融合功能，实现人脸采集的大数据分析、查询、布控、比对功能；</w:t>
            </w:r>
          </w:p>
          <w:p w14:paraId="0C91DC0D">
            <w:pPr>
              <w:widowControl/>
              <w:spacing w:line="360" w:lineRule="auto"/>
              <w:jc w:val="left"/>
              <w:rPr>
                <w:rFonts w:hint="eastAsia" w:ascii="宋体" w:hAnsi="宋体" w:cs="宋体"/>
                <w:szCs w:val="21"/>
              </w:rPr>
            </w:pPr>
            <w:r>
              <w:rPr>
                <w:rFonts w:hint="eastAsia" w:ascii="宋体" w:hAnsi="宋体" w:cs="宋体"/>
                <w:szCs w:val="21"/>
              </w:rPr>
              <w:t>3、平台登录保护服务：支持防暴力破解登录，遇到暴力破解时支持自动锁定用户ip。当用户连续登录失败次数超过3次时，需要输入验证码；当用户连续登录失败次数超过5次时，用户将被暂时锁定；</w:t>
            </w:r>
          </w:p>
          <w:p w14:paraId="52B3A7A1">
            <w:pPr>
              <w:widowControl/>
              <w:spacing w:line="360" w:lineRule="auto"/>
              <w:jc w:val="left"/>
              <w:rPr>
                <w:rFonts w:hint="eastAsia" w:ascii="宋体" w:hAnsi="宋体" w:cs="宋体"/>
                <w:szCs w:val="21"/>
              </w:rPr>
            </w:pPr>
            <w:r>
              <w:rPr>
                <w:rFonts w:hint="eastAsia" w:ascii="宋体" w:hAnsi="宋体" w:cs="宋体"/>
                <w:szCs w:val="21"/>
              </w:rPr>
              <w:t>4、支持移动客户端，进行远程预览、回放等功能，平台支持300 用户同时登陆预览。</w:t>
            </w:r>
          </w:p>
          <w:p w14:paraId="51329B36">
            <w:pPr>
              <w:widowControl/>
              <w:spacing w:line="360" w:lineRule="auto"/>
              <w:jc w:val="left"/>
              <w:rPr>
                <w:rFonts w:hint="eastAsia" w:ascii="宋体" w:hAnsi="宋体" w:cs="宋体"/>
                <w:szCs w:val="21"/>
              </w:rPr>
            </w:pPr>
            <w:r>
              <w:rPr>
                <w:rFonts w:hint="eastAsia" w:ascii="宋体" w:hAnsi="宋体" w:cs="宋体"/>
                <w:szCs w:val="21"/>
              </w:rPr>
              <w:t>5、预案服务：支持预案功能，支持创建公有预案及私有预案，新增预案时需配置预案详细信息，编辑预案简介、分组类型、预案类型及轮巡时间；</w:t>
            </w:r>
          </w:p>
          <w:p w14:paraId="1D794AA6">
            <w:pPr>
              <w:widowControl/>
              <w:spacing w:line="360" w:lineRule="auto"/>
              <w:jc w:val="left"/>
              <w:rPr>
                <w:rFonts w:hint="eastAsia" w:ascii="宋体" w:hAnsi="宋体" w:cs="宋体"/>
                <w:szCs w:val="21"/>
              </w:rPr>
            </w:pPr>
            <w:r>
              <w:rPr>
                <w:rFonts w:hint="eastAsia" w:ascii="宋体" w:hAnsi="宋体" w:cs="宋体"/>
                <w:szCs w:val="21"/>
              </w:rPr>
              <w:t>6、常规应用服务：支持画面抓图、录像、电子放大、3D放大、音频播放、对讲，抓图时支持上传至暂存架；</w:t>
            </w:r>
          </w:p>
          <w:p w14:paraId="51318896">
            <w:pPr>
              <w:widowControl/>
              <w:spacing w:line="360" w:lineRule="auto"/>
              <w:jc w:val="left"/>
              <w:rPr>
                <w:rFonts w:hint="eastAsia" w:ascii="宋体" w:hAnsi="宋体" w:cs="宋体"/>
                <w:szCs w:val="21"/>
              </w:rPr>
            </w:pPr>
            <w:r>
              <w:rPr>
                <w:rFonts w:hint="eastAsia" w:ascii="宋体" w:hAnsi="宋体" w:cs="宋体"/>
                <w:szCs w:val="21"/>
              </w:rPr>
              <w:t xml:space="preserve">7、录像回放服务：支持录像分段回放功能，可以将录像文件等分成多个片段同时回放，通过分割点的图像差异，快速确定回放关键录像时段，支持多画面同步播放，可针对多个画面进行统一的时间控制；也支持多画面异步播放，即多个画面播放时间不一致，可分别控制，支持针对一段录像进行标签标注； </w:t>
            </w:r>
          </w:p>
          <w:p w14:paraId="7451CADD">
            <w:pPr>
              <w:widowControl/>
              <w:spacing w:line="360" w:lineRule="auto"/>
              <w:jc w:val="left"/>
              <w:rPr>
                <w:rFonts w:hint="eastAsia" w:ascii="宋体" w:hAnsi="宋体" w:cs="宋体"/>
                <w:szCs w:val="21"/>
              </w:rPr>
            </w:pPr>
            <w:r>
              <w:rPr>
                <w:rFonts w:hint="eastAsia" w:ascii="宋体" w:hAnsi="宋体" w:cs="宋体"/>
                <w:szCs w:val="21"/>
              </w:rPr>
              <w:t>8、基础视频服务：支持基础视频应用，实现视频预览、回放、视频预案等服务，实现视频资源全面监控与集中统一管理；</w:t>
            </w:r>
          </w:p>
          <w:p w14:paraId="00E08177">
            <w:pPr>
              <w:widowControl/>
              <w:spacing w:line="360" w:lineRule="auto"/>
              <w:jc w:val="left"/>
              <w:rPr>
                <w:rFonts w:hint="eastAsia" w:ascii="宋体" w:hAnsi="宋体" w:cs="宋体"/>
                <w:szCs w:val="21"/>
              </w:rPr>
            </w:pPr>
            <w:r>
              <w:rPr>
                <w:rFonts w:hint="eastAsia" w:ascii="宋体" w:hAnsi="宋体" w:cs="宋体"/>
                <w:szCs w:val="21"/>
              </w:rPr>
              <w:t>9、多画面服务：支持多画面同时抓图，同时录像、同时关闭等功能；</w:t>
            </w:r>
          </w:p>
          <w:p w14:paraId="3FD36B67">
            <w:pPr>
              <w:widowControl/>
              <w:spacing w:line="360" w:lineRule="auto"/>
              <w:jc w:val="left"/>
              <w:rPr>
                <w:rFonts w:hint="eastAsia" w:ascii="宋体" w:hAnsi="宋体" w:cs="宋体"/>
                <w:szCs w:val="21"/>
              </w:rPr>
            </w:pPr>
            <w:r>
              <w:rPr>
                <w:rFonts w:hint="eastAsia" w:ascii="宋体" w:hAnsi="宋体" w:cs="宋体"/>
                <w:szCs w:val="21"/>
              </w:rPr>
              <w:t>10、高速回放服务：支持设置是否开启直连云存储高倍速回放，开启后点位可支持16倍、32倍高倍速播放；</w:t>
            </w:r>
          </w:p>
          <w:p w14:paraId="2CCC189A">
            <w:pPr>
              <w:widowControl/>
              <w:spacing w:line="360" w:lineRule="auto"/>
              <w:jc w:val="left"/>
              <w:rPr>
                <w:rFonts w:hint="eastAsia" w:ascii="宋体" w:hAnsi="宋体" w:cs="宋体"/>
                <w:szCs w:val="21"/>
              </w:rPr>
            </w:pPr>
            <w:r>
              <w:rPr>
                <w:rFonts w:hint="eastAsia" w:ascii="宋体" w:hAnsi="宋体" w:cs="宋体"/>
                <w:szCs w:val="21"/>
              </w:rPr>
              <w:t xml:space="preserve">11、资源管理及可视化服务：支持查看基础目录及自定义的业务目录树下，监控点、卡口、探针、报警设备、报警输入/输出、移动探针、车载、单兵、无人机等类型资源，同时支持查看目录树及收藏夹中资源的地图定位；支持拓扑可视化展示物联资源联网下，本级域及上下级点位资源共享情况，支持查看各级资源共享详情、信令服务详情以及媒体服务详情； </w:t>
            </w:r>
          </w:p>
          <w:p w14:paraId="2CD88425">
            <w:pPr>
              <w:widowControl/>
              <w:spacing w:line="360" w:lineRule="auto"/>
              <w:jc w:val="left"/>
              <w:rPr>
                <w:rFonts w:hint="eastAsia" w:ascii="宋体" w:hAnsi="宋体" w:cs="宋体"/>
                <w:szCs w:val="21"/>
              </w:rPr>
            </w:pPr>
            <w:r>
              <w:rPr>
                <w:rFonts w:hint="eastAsia" w:ascii="宋体" w:hAnsi="宋体" w:cs="宋体"/>
                <w:szCs w:val="21"/>
              </w:rPr>
              <w:t>12、视频追踪服务：支持视频追踪功能，支持在地图上指定相应的追踪中心点，搜索出周边最近的监控点，并调用播放器进行实时预览，完成追踪操作后，点击“显示轨迹”按钮，可以将多次追踪形成有起点和终点的轨迹；</w:t>
            </w:r>
          </w:p>
          <w:p w14:paraId="09523BC3">
            <w:pPr>
              <w:widowControl/>
              <w:spacing w:line="360" w:lineRule="auto"/>
              <w:jc w:val="left"/>
              <w:rPr>
                <w:rFonts w:hint="eastAsia" w:ascii="宋体" w:hAnsi="宋体" w:cs="宋体"/>
                <w:szCs w:val="21"/>
              </w:rPr>
            </w:pPr>
            <w:r>
              <w:rPr>
                <w:rFonts w:hint="eastAsia" w:ascii="宋体" w:hAnsi="宋体" w:cs="宋体"/>
                <w:szCs w:val="21"/>
              </w:rPr>
              <w:t xml:space="preserve">13、算法调度服务：支持针对系统点位进行算法调度配置及视频结构化处理，包括人脸识别。 </w:t>
            </w:r>
          </w:p>
          <w:p w14:paraId="32CB63C9">
            <w:pPr>
              <w:widowControl/>
              <w:spacing w:line="360" w:lineRule="auto"/>
              <w:jc w:val="left"/>
              <w:rPr>
                <w:rFonts w:hint="eastAsia" w:ascii="宋体" w:hAnsi="宋体" w:cs="宋体"/>
                <w:szCs w:val="21"/>
              </w:rPr>
            </w:pPr>
            <w:r>
              <w:rPr>
                <w:rFonts w:hint="eastAsia" w:ascii="宋体" w:hAnsi="宋体" w:cs="宋体"/>
                <w:szCs w:val="21"/>
              </w:rPr>
              <w:t>14、以图搜图服务：支持以图搜图与属性查询结合，当属性查询类别与图片检索类别一致时，查询结果取两者的交集；当属性条件类别与图片检索内容不一致时，查询结果取并集。例如当输入一张人脸图片的同时设置了人脸属性条件时，查询结果显示匹配人脸图片，同时满足属性条件的结果对象；</w:t>
            </w:r>
          </w:p>
          <w:p w14:paraId="3FBFD57C">
            <w:pPr>
              <w:widowControl/>
              <w:spacing w:line="360" w:lineRule="auto"/>
              <w:jc w:val="left"/>
              <w:rPr>
                <w:rFonts w:hint="eastAsia" w:ascii="宋体" w:hAnsi="宋体" w:cs="宋体"/>
                <w:szCs w:val="21"/>
              </w:rPr>
            </w:pPr>
            <w:r>
              <w:rPr>
                <w:rFonts w:hint="eastAsia" w:ascii="宋体" w:hAnsi="宋体" w:cs="宋体"/>
                <w:szCs w:val="21"/>
              </w:rPr>
              <w:t>15、视频可视化展示服务：支持可视化展示所选区域下监控点总数、监控点在线率、图像正常率、录像完整率等数据概况，支持可视化展示近24小时、近一周、近一月内所选区域下监控点在线率及图像正常率数据；</w:t>
            </w:r>
          </w:p>
          <w:p w14:paraId="3D6DCA1E">
            <w:pPr>
              <w:widowControl/>
              <w:spacing w:line="360" w:lineRule="auto"/>
              <w:jc w:val="left"/>
              <w:rPr>
                <w:rFonts w:hint="eastAsia" w:ascii="宋体" w:hAnsi="宋体" w:cs="宋体"/>
                <w:szCs w:val="21"/>
              </w:rPr>
            </w:pPr>
            <w:r>
              <w:rPr>
                <w:rFonts w:hint="eastAsia" w:ascii="宋体" w:hAnsi="宋体" w:cs="宋体"/>
                <w:szCs w:val="21"/>
              </w:rPr>
              <w:t>16、视频巡检服务：支持针对所选区域下的监控点状态、录像巡检状态、视频诊断状态及点播状态进行一键巡检，并展示异常状态及在线状态数据，同时支持巡检数据导出，同时支持依照所选区域及其子区域的巡检得分排名；</w:t>
            </w:r>
          </w:p>
          <w:p w14:paraId="37EFB318">
            <w:pPr>
              <w:widowControl/>
              <w:spacing w:line="360" w:lineRule="auto"/>
              <w:jc w:val="left"/>
              <w:rPr>
                <w:rFonts w:hint="eastAsia" w:ascii="宋体" w:hAnsi="宋体" w:cs="宋体"/>
                <w:szCs w:val="21"/>
              </w:rPr>
            </w:pPr>
            <w:r>
              <w:rPr>
                <w:rFonts w:hint="eastAsia" w:ascii="宋体" w:hAnsi="宋体" w:cs="宋体"/>
                <w:szCs w:val="21"/>
              </w:rPr>
              <w:t>17、监控点统计服务：支持针对监控点进行在线检测，支持查看监控点总数、在线数、离线数、未检测数、在线率等信息，支持查看监控点状态及详情。同时支持统计结果导出，支持监控点在线状态重巡；</w:t>
            </w:r>
          </w:p>
          <w:p w14:paraId="01B68387">
            <w:pPr>
              <w:widowControl/>
              <w:spacing w:line="360" w:lineRule="auto"/>
              <w:jc w:val="left"/>
              <w:rPr>
                <w:rFonts w:hint="eastAsia" w:ascii="宋体" w:hAnsi="宋体" w:cs="宋体"/>
                <w:szCs w:val="21"/>
              </w:rPr>
            </w:pPr>
            <w:r>
              <w:rPr>
                <w:rFonts w:hint="eastAsia" w:ascii="宋体" w:hAnsi="宋体" w:cs="宋体"/>
                <w:szCs w:val="21"/>
              </w:rPr>
              <w:t xml:space="preserve">18、监控点取流诊断服务：支持监控点取流链路诊断，支持图形化展示监控取流链路诊断结果，并显示错误信息以及错误解决建议，同时支持展示设备最近告警信息及监控点最近告警信息； </w:t>
            </w:r>
          </w:p>
          <w:p w14:paraId="51E0836C">
            <w:pPr>
              <w:widowControl/>
              <w:spacing w:line="360" w:lineRule="auto"/>
              <w:jc w:val="left"/>
              <w:rPr>
                <w:rFonts w:hint="eastAsia" w:ascii="宋体" w:hAnsi="宋体" w:cs="宋体"/>
                <w:szCs w:val="21"/>
              </w:rPr>
            </w:pPr>
            <w:r>
              <w:rPr>
                <w:rFonts w:hint="eastAsia" w:ascii="宋体" w:hAnsi="宋体" w:cs="宋体"/>
                <w:szCs w:val="21"/>
              </w:rPr>
              <w:t>19、视频整合服务：支持通过GB/T 28181-2016、Onvif、厂商SDK整合前端各类监控资源，支持手动或自动读取满足GB/T 28181-2016协议的设备的通道名称和通道编号的功能，同时支持批量导入导出编码设备；</w:t>
            </w:r>
          </w:p>
          <w:p w14:paraId="2D1E949D">
            <w:pPr>
              <w:widowControl/>
              <w:spacing w:line="360" w:lineRule="auto"/>
              <w:jc w:val="left"/>
              <w:rPr>
                <w:rFonts w:hint="eastAsia" w:ascii="宋体" w:hAnsi="宋体" w:cs="宋体"/>
                <w:szCs w:val="21"/>
              </w:rPr>
            </w:pPr>
            <w:r>
              <w:rPr>
                <w:rFonts w:hint="eastAsia" w:ascii="宋体" w:hAnsi="宋体" w:cs="宋体"/>
                <w:szCs w:val="21"/>
              </w:rPr>
              <w:t>20、支持移动终端应用服务：Android 客户端支持启用定位上报服务，可实现每隔相应时间上报给后台当前手机所处的经纬度信息；</w:t>
            </w:r>
          </w:p>
          <w:p w14:paraId="0938155E">
            <w:pPr>
              <w:widowControl/>
              <w:spacing w:line="360" w:lineRule="auto"/>
              <w:jc w:val="left"/>
              <w:rPr>
                <w:rFonts w:hint="eastAsia" w:ascii="宋体" w:hAnsi="宋体" w:cs="宋体"/>
                <w:szCs w:val="21"/>
              </w:rPr>
            </w:pPr>
            <w:r>
              <w:rPr>
                <w:rFonts w:hint="eastAsia" w:ascii="宋体" w:hAnsi="宋体" w:cs="宋体"/>
                <w:szCs w:val="21"/>
              </w:rPr>
              <w:t>21、组件化服务：支持微服务组件化，支持整个系统的健康状况概览，可视化界面展示监控服务器及组件服务数量、运行状态、资源状态及告警状态，并支持以颜色区分节点及服务器连接的告警紧急程度；</w:t>
            </w:r>
          </w:p>
          <w:p w14:paraId="479871D1">
            <w:pPr>
              <w:widowControl/>
              <w:spacing w:line="360" w:lineRule="auto"/>
              <w:jc w:val="left"/>
              <w:rPr>
                <w:rFonts w:hint="eastAsia" w:ascii="宋体" w:hAnsi="宋体" w:cs="宋体"/>
                <w:szCs w:val="21"/>
              </w:rPr>
            </w:pPr>
            <w:r>
              <w:rPr>
                <w:rFonts w:hint="eastAsia" w:ascii="宋体" w:hAnsi="宋体" w:cs="宋体"/>
                <w:szCs w:val="21"/>
              </w:rPr>
              <w:t>22、高速检索服务： 1000亿数据规模下，根据条件过滤的结果，10个用户并发进行人脸以图搜图，后台响应时间不超过2秒；1000亿数据规模下，10个用户并发进行人脸检索，后台响应时间不超过1秒；</w:t>
            </w:r>
          </w:p>
          <w:p w14:paraId="3E534162">
            <w:pPr>
              <w:pStyle w:val="3"/>
              <w:ind w:left="0" w:firstLine="0"/>
              <w:rPr>
                <w:rFonts w:hint="eastAsia" w:ascii="宋体" w:hAnsi="宋体" w:cs="宋体"/>
                <w:bCs w:val="0"/>
                <w:color w:val="auto"/>
                <w:sz w:val="21"/>
                <w:szCs w:val="21"/>
                <w:highlight w:val="none"/>
                <w:lang w:val="en-US"/>
              </w:rPr>
            </w:pPr>
            <w:r>
              <w:rPr>
                <w:rFonts w:hint="eastAsia" w:ascii="宋体" w:hAnsi="宋体" w:cs="宋体"/>
                <w:bCs w:val="0"/>
                <w:color w:val="auto"/>
                <w:sz w:val="21"/>
                <w:szCs w:val="21"/>
                <w:highlight w:val="none"/>
                <w:lang w:val="en-US"/>
              </w:rPr>
              <w:t>▲23、动态水印技术应用：采用可见 / 隐形双模式，帧级嵌入账号信息、时间戳，通过先进算法实现水印与视频深度融合，支持编辑处理后检测；水印验证技术可追溯泄露源及操作人员，保障视频数据可追溯性。</w:t>
            </w:r>
          </w:p>
          <w:p w14:paraId="1B001A01">
            <w:pPr>
              <w:pStyle w:val="3"/>
              <w:ind w:left="0" w:firstLine="0"/>
              <w:rPr>
                <w:rFonts w:hint="eastAsia" w:ascii="宋体" w:hAnsi="宋体" w:cs="宋体"/>
                <w:bCs w:val="0"/>
                <w:color w:val="auto"/>
                <w:sz w:val="21"/>
                <w:szCs w:val="21"/>
                <w:highlight w:val="none"/>
                <w:lang w:val="en-US"/>
              </w:rPr>
            </w:pPr>
            <w:r>
              <w:rPr>
                <w:rFonts w:hint="eastAsia" w:ascii="宋体" w:hAnsi="宋体" w:cs="宋体"/>
                <w:bCs w:val="0"/>
                <w:color w:val="auto"/>
                <w:sz w:val="21"/>
                <w:szCs w:val="21"/>
                <w:highlight w:val="none"/>
                <w:lang w:val="en-US"/>
              </w:rPr>
              <w:t>▲24、端到端加密技术保障：基于国密 SM4 算法对外发视频加密，生成唯一密钥授权解密；支持设置查阅次数上限，达预设次数自动失效，确保传输存储安全及外发视频访问可控。</w:t>
            </w:r>
          </w:p>
          <w:p w14:paraId="6DF26430">
            <w:pPr>
              <w:pStyle w:val="3"/>
              <w:ind w:left="0" w:firstLine="0"/>
              <w:rPr>
                <w:rFonts w:hint="eastAsia" w:ascii="宋体" w:hAnsi="宋体" w:cs="宋体"/>
                <w:bCs w:val="0"/>
                <w:color w:val="auto"/>
                <w:sz w:val="21"/>
                <w:szCs w:val="21"/>
                <w:highlight w:val="none"/>
                <w:lang w:val="en-US"/>
              </w:rPr>
            </w:pPr>
            <w:r>
              <w:rPr>
                <w:rFonts w:hint="eastAsia" w:ascii="宋体" w:hAnsi="宋体" w:cs="宋体"/>
                <w:bCs w:val="0"/>
                <w:color w:val="auto"/>
                <w:sz w:val="21"/>
                <w:szCs w:val="21"/>
                <w:highlight w:val="none"/>
                <w:lang w:val="en-US"/>
              </w:rPr>
              <w:t>▲25、视频大模型智能识别：（1）训练模块生成时序视频帧语义知识库；（2）识别模块精确定位 8s 视频段不良信息；（3）采用三维卷积、多尺度特征提取、时序建模提升识别能力；（4）通过正则化、维度增强保障模型泛化性；（5）支持持续学习实现自适应更新；（6）底层接口接收视频段数据并反馈审计结果；（7）预处理切片后识别涉黄 / 暴恐类不良信息，单卡处理≥8 条切片 /s，训练集准确率≥85%。</w:t>
            </w:r>
          </w:p>
          <w:p w14:paraId="06FA7EC0">
            <w:pPr>
              <w:widowControl/>
              <w:spacing w:line="360" w:lineRule="auto"/>
              <w:jc w:val="left"/>
              <w:rPr>
                <w:rFonts w:hint="eastAsia" w:ascii="宋体" w:hAnsi="宋体" w:cs="宋体"/>
                <w:szCs w:val="21"/>
              </w:rPr>
            </w:pPr>
            <w:r>
              <w:rPr>
                <w:rFonts w:hint="eastAsia" w:ascii="宋体" w:hAnsi="宋体" w:cs="宋体"/>
                <w:b/>
                <w:bCs/>
                <w:szCs w:val="21"/>
                <w:highlight w:val="none"/>
              </w:rPr>
              <w:t>（二）提供摄像机视频云存储处理服务1项</w:t>
            </w:r>
            <w:r>
              <w:rPr>
                <w:rFonts w:hint="eastAsia" w:ascii="宋体" w:hAnsi="宋体" w:cs="宋体"/>
                <w:szCs w:val="21"/>
                <w:highlight w:val="none"/>
              </w:rPr>
              <w:t>，该服务需提供一套监控中心视频云存储平台系统，该系统基于云计算、海量数据，满足556路监控点的接入应用、满足本期556台摄像机30 天数据（400万图像传感器，H.265 编码格式，</w:t>
            </w:r>
            <w:r>
              <w:rPr>
                <w:rFonts w:hint="eastAsia" w:ascii="宋体" w:hAnsi="宋体" w:cs="宋体"/>
                <w:color w:val="auto"/>
                <w:szCs w:val="21"/>
                <w:highlight w:val="none"/>
              </w:rPr>
              <w:t>8M 码流</w:t>
            </w:r>
            <w:r>
              <w:rPr>
                <w:rFonts w:hint="eastAsia" w:ascii="宋体" w:hAnsi="宋体" w:cs="宋体"/>
                <w:szCs w:val="21"/>
                <w:highlight w:val="none"/>
              </w:rPr>
              <w:t>）24小时连续存储需求；提供的海量数据存储,安全和高可靠的云存储服务,存储容</w:t>
            </w:r>
            <w:r>
              <w:rPr>
                <w:rFonts w:hint="eastAsia" w:ascii="宋体" w:hAnsi="宋体" w:cs="宋体"/>
                <w:szCs w:val="21"/>
              </w:rPr>
              <w:t>量和处理能力的弹性扩展,音视频转码,内容加速分发,归档服务等多种数据服务,可用性不低于80%。提供配套设备的系统集成服务、安装、维护服务，服务期限为1年，单台设备具体参数如下：</w:t>
            </w:r>
            <w:r>
              <w:rPr>
                <w:rFonts w:hint="eastAsia" w:ascii="宋体" w:hAnsi="宋体" w:cs="宋体"/>
                <w:szCs w:val="21"/>
              </w:rPr>
              <w:br w:type="textWrapping"/>
            </w:r>
            <w:r>
              <w:rPr>
                <w:rFonts w:hint="eastAsia" w:ascii="宋体" w:hAnsi="宋体" w:cs="宋体"/>
                <w:szCs w:val="21"/>
              </w:rPr>
              <w:t>1、支持≥1颗64位多核处理器，≥16GB内存，内存支持扩展到≥128GB。</w:t>
            </w:r>
            <w:r>
              <w:rPr>
                <w:rFonts w:hint="eastAsia" w:ascii="宋体" w:hAnsi="宋体" w:cs="宋体"/>
                <w:szCs w:val="21"/>
              </w:rPr>
              <w:br w:type="textWrapping"/>
            </w:r>
            <w:r>
              <w:rPr>
                <w:rFonts w:hint="eastAsia" w:ascii="宋体" w:hAnsi="宋体" w:cs="宋体"/>
                <w:szCs w:val="21"/>
              </w:rPr>
              <w:t>2、支持≥48盘位，内置≥48块8T的企业级硬盘，接入带宽≥1536Mbps，≥2个千兆网口，支持冗余电源，机箱具备防尘滤网和双立柱。</w:t>
            </w:r>
            <w:r>
              <w:rPr>
                <w:rFonts w:hint="eastAsia" w:ascii="宋体" w:hAnsi="宋体" w:cs="宋体"/>
                <w:szCs w:val="21"/>
              </w:rPr>
              <w:br w:type="textWrapping"/>
            </w:r>
            <w:r>
              <w:rPr>
                <w:rFonts w:hint="eastAsia" w:ascii="宋体" w:hAnsi="宋体" w:cs="宋体"/>
                <w:szCs w:val="21"/>
              </w:rPr>
              <w:t>3、支持纠删码技术，多台存储设备组建网络RAID，设置为负载均衡，任意1-4个存储设备故障，数据应不丢失，存储服务不中断，单台或多台存储设备组建网络RAID，允许每组RAID中任意1-12个磁盘发生故障，数据不丢失，存储服务不中断，允许每组RAID中任意≥18块硬盘发生故障，业务不中断。</w:t>
            </w:r>
            <w:r>
              <w:rPr>
                <w:rFonts w:hint="eastAsia" w:ascii="宋体" w:hAnsi="宋体" w:cs="宋体"/>
                <w:szCs w:val="21"/>
              </w:rPr>
              <w:br w:type="textWrapping"/>
            </w:r>
            <w:r>
              <w:rPr>
                <w:rFonts w:hint="eastAsia" w:ascii="宋体" w:hAnsi="宋体" w:cs="宋体"/>
                <w:szCs w:val="21"/>
              </w:rPr>
              <w:t>▲4、支持延时摄影功能，可将长时间录制的视频图像合成为短视频，并支持延时摄影视频预览及下载，设备支持版本回退功能，在当前版本出现故障或操作失误后，可进行回退到历史版本，回退后录像正常回放，且历史录像完整。</w:t>
            </w:r>
            <w:r>
              <w:rPr>
                <w:rFonts w:hint="eastAsia" w:ascii="宋体" w:hAnsi="宋体" w:cs="宋体"/>
                <w:szCs w:val="21"/>
              </w:rPr>
              <w:br w:type="textWrapping"/>
            </w:r>
            <w:r>
              <w:rPr>
                <w:rFonts w:hint="eastAsia" w:ascii="宋体" w:hAnsi="宋体" w:cs="宋体"/>
                <w:szCs w:val="21"/>
              </w:rPr>
              <w:t>5、支持不低于1536Mbps图片转发，支持不低于1536Mbps图片并发输入，同时不低于1536Mbps图片并发输出。</w:t>
            </w:r>
            <w:r>
              <w:rPr>
                <w:rFonts w:hint="eastAsia" w:ascii="宋体" w:hAnsi="宋体" w:cs="宋体"/>
                <w:szCs w:val="21"/>
              </w:rPr>
              <w:br w:type="textWrapping"/>
            </w:r>
            <w:r>
              <w:rPr>
                <w:rFonts w:hint="eastAsia" w:ascii="宋体" w:hAnsi="宋体" w:cs="宋体"/>
                <w:szCs w:val="21"/>
              </w:rPr>
              <w:t>6、应能接入并存储≥3072Mbps视频图像，同时转发≥3072Mbps的视频图像，同时下载≥3072Mbps的视频图像，同时回放≥600Mbps的视频图像。</w:t>
            </w:r>
            <w:r>
              <w:rPr>
                <w:rFonts w:hint="eastAsia" w:ascii="宋体" w:hAnsi="宋体" w:cs="宋体"/>
                <w:szCs w:val="21"/>
              </w:rPr>
              <w:br w:type="textWrapping"/>
            </w:r>
            <w:r>
              <w:rPr>
                <w:rFonts w:hint="eastAsia" w:ascii="宋体" w:hAnsi="宋体" w:cs="宋体"/>
                <w:szCs w:val="21"/>
              </w:rPr>
              <w:t>7、云存储集群节点之间高可靠负载均衡(节点容量 TB 级及以上)，各个节点之间的容量波动差距比例在千分之一以内。容量波动差距=（最大剩余容量-最小剩余容量）/最小容量。</w:t>
            </w:r>
            <w:r>
              <w:rPr>
                <w:rFonts w:hint="eastAsia" w:ascii="宋体" w:hAnsi="宋体" w:cs="宋体"/>
                <w:szCs w:val="21"/>
              </w:rPr>
              <w:br w:type="textWrapping"/>
            </w:r>
            <w:r>
              <w:rPr>
                <w:rFonts w:hint="eastAsia" w:ascii="宋体" w:hAnsi="宋体" w:cs="宋体"/>
                <w:szCs w:val="21"/>
              </w:rPr>
              <w:t>▲8、存储业务模块可存放在不同容器中，业务之间互相隔离，一个业务模块发生故障时，不影响其它业务模块，当一个业务模块异常，系统可自动重启业务模块并恢复原有业务，可配置3～6个容器；更换系统盘并配置好信息后，再次开机无需人工介入，可自动恢复业务，历史数据不应丢失。</w:t>
            </w:r>
            <w:r>
              <w:rPr>
                <w:rFonts w:hint="eastAsia" w:ascii="宋体" w:hAnsi="宋体" w:cs="宋体"/>
                <w:szCs w:val="21"/>
              </w:rPr>
              <w:br w:type="textWrapping"/>
            </w:r>
            <w:r>
              <w:rPr>
                <w:rFonts w:hint="eastAsia" w:ascii="宋体" w:hAnsi="宋体" w:cs="宋体"/>
                <w:szCs w:val="21"/>
              </w:rPr>
              <w:t>9、支持硬盘热插拔设备在读写数据时，热插拔设备内的任意块硬盘，设备正常运行不宕机，硬盘不损坏，数据不丢失，业务不中断。</w:t>
            </w:r>
            <w:r>
              <w:rPr>
                <w:rFonts w:hint="eastAsia" w:ascii="宋体" w:hAnsi="宋体" w:cs="宋体"/>
                <w:szCs w:val="21"/>
              </w:rPr>
              <w:br w:type="textWrapping"/>
            </w:r>
            <w:r>
              <w:rPr>
                <w:rFonts w:hint="eastAsia" w:ascii="宋体" w:hAnsi="宋体" w:cs="宋体"/>
                <w:szCs w:val="21"/>
              </w:rPr>
              <w:t>10、可对视音频、图片、结构化数据、对象等文件进行混合存储，并可通过http和https方式下载，支持视音频、图片、智能数据流进行混合直存，无须存储服务器和图片服务器的参与，平台服务器宕机时，存储业务正常。</w:t>
            </w:r>
            <w:r>
              <w:rPr>
                <w:rFonts w:hint="eastAsia" w:ascii="宋体" w:hAnsi="宋体" w:cs="宋体"/>
                <w:szCs w:val="21"/>
              </w:rPr>
              <w:br w:type="textWrapping"/>
            </w:r>
            <w:r>
              <w:rPr>
                <w:rFonts w:hint="eastAsia" w:ascii="宋体" w:hAnsi="宋体" w:cs="宋体"/>
                <w:szCs w:val="21"/>
              </w:rPr>
              <w:t>▲11、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硬盘体检报告打印输出，支持查看硬盘体检的历史记录、硬盘健康状态，并对硬盘健康状态进行分级分类，包括健康（良好、正常）、亚健康（警告、即将损坏）、故障（错误、损坏）等。</w:t>
            </w:r>
            <w:r>
              <w:rPr>
                <w:rFonts w:hint="eastAsia" w:ascii="宋体" w:hAnsi="宋体" w:cs="宋体"/>
                <w:szCs w:val="21"/>
              </w:rPr>
              <w:br w:type="textWrapping"/>
            </w:r>
            <w:r>
              <w:rPr>
                <w:rFonts w:hint="eastAsia" w:ascii="宋体" w:hAnsi="宋体" w:cs="宋体"/>
                <w:szCs w:val="21"/>
              </w:rPr>
              <w:t>12、支持配备独立元数据系统、支持元数据系统组成RAID和网络RAID（N+M配置，且M≥8），一组RAID故障时其业务可自动切换至其他网络RAID组。</w:t>
            </w:r>
            <w:r>
              <w:rPr>
                <w:rFonts w:hint="eastAsia" w:ascii="宋体" w:hAnsi="宋体" w:cs="宋体"/>
                <w:szCs w:val="21"/>
              </w:rPr>
              <w:br w:type="textWrapping"/>
            </w:r>
            <w:r>
              <w:rPr>
                <w:rFonts w:hint="eastAsia" w:ascii="宋体" w:hAnsi="宋体" w:cs="宋体"/>
                <w:szCs w:val="21"/>
              </w:rPr>
              <w:t>13、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w:t>
            </w:r>
            <w:r>
              <w:rPr>
                <w:rFonts w:hint="eastAsia" w:ascii="宋体" w:hAnsi="宋体" w:cs="宋体"/>
                <w:szCs w:val="21"/>
              </w:rPr>
              <w:br w:type="textWrapping"/>
            </w:r>
            <w:r>
              <w:rPr>
                <w:rFonts w:hint="eastAsia" w:ascii="宋体" w:hAnsi="宋体" w:cs="宋体"/>
                <w:szCs w:val="21"/>
              </w:rPr>
              <w:t>▲14、支持红灯/蓝灯报警，可根据故障紧急程度分级报警，不同级别闪烁不同颜色保养灯，保养灯闪烁时长、频率可设；设备具有多个系统镜像，当主用系统出现故障时，备用系统可接替主用系统工作，且支持通过任一备用系统对原主用系统进行修复。</w:t>
            </w:r>
            <w:r>
              <w:rPr>
                <w:rFonts w:hint="eastAsia" w:ascii="宋体" w:hAnsi="宋体" w:cs="宋体"/>
                <w:szCs w:val="21"/>
              </w:rPr>
              <w:br w:type="textWrapping"/>
            </w:r>
            <w:r>
              <w:rPr>
                <w:rFonts w:hint="eastAsia" w:ascii="宋体" w:hAnsi="宋体" w:cs="宋体"/>
                <w:szCs w:val="21"/>
              </w:rPr>
              <w:t>15、支持网络中断后重新恢复，可续存断网期间存储在前端设备中的录像文件，并可通过IE浏览器设置自动回传和手动回传，支持≥256路4Mbps的录像回传。</w:t>
            </w:r>
            <w:r>
              <w:rPr>
                <w:rFonts w:hint="eastAsia" w:ascii="宋体" w:hAnsi="宋体" w:cs="宋体"/>
                <w:szCs w:val="21"/>
              </w:rPr>
              <w:br w:type="textWrapping"/>
            </w:r>
            <w:r>
              <w:rPr>
                <w:rFonts w:hint="eastAsia" w:ascii="宋体" w:hAnsi="宋体" w:cs="宋体"/>
                <w:szCs w:val="21"/>
              </w:rPr>
              <w:t>16、可在KVM虚拟化环境下进行U盘等硬件热插拔，可对虚机镜像进行异常监控，可在无独立显卡情况下，使用主板CPU集成显卡为虚拟机提供视频图像显示能力。</w:t>
            </w:r>
            <w:r>
              <w:rPr>
                <w:rFonts w:hint="eastAsia" w:ascii="宋体" w:hAnsi="宋体" w:cs="宋体"/>
                <w:szCs w:val="21"/>
              </w:rPr>
              <w:br w:type="textWrapping"/>
            </w:r>
            <w:r>
              <w:rPr>
                <w:rFonts w:hint="eastAsia" w:ascii="宋体" w:hAnsi="宋体" w:cs="宋体"/>
                <w:szCs w:val="21"/>
              </w:rPr>
              <w:t>17、支持容器镜像管理，包括容器镜像启动/暂停、业务升级/回退、上传/删除，支持添加新业务，支持修改容器镜像IP地址、业务参数，支持查看容器镜像中业务信息。</w:t>
            </w:r>
          </w:p>
          <w:p w14:paraId="467F8F0A">
            <w:pPr>
              <w:widowControl/>
              <w:spacing w:line="360" w:lineRule="auto"/>
              <w:jc w:val="left"/>
              <w:rPr>
                <w:rFonts w:hint="eastAsia" w:ascii="宋体" w:hAnsi="宋体" w:cs="宋体"/>
                <w:szCs w:val="21"/>
              </w:rPr>
            </w:pPr>
            <w:r>
              <w:rPr>
                <w:rFonts w:hint="eastAsia" w:ascii="宋体" w:hAnsi="宋体" w:cs="宋体"/>
                <w:b/>
                <w:bCs/>
                <w:szCs w:val="21"/>
              </w:rPr>
              <w:t>（三）提供摄像机图片数据存储处理服务1项</w:t>
            </w:r>
            <w:r>
              <w:rPr>
                <w:rFonts w:hint="eastAsia" w:ascii="宋体" w:hAnsi="宋体" w:cs="宋体"/>
                <w:szCs w:val="21"/>
              </w:rPr>
              <w:t>，满足人像图片24小时连续存储需求7天（1000张/路/天）存储数据分析和图像检索各种应用的需要；提供的海量数据存储,安全和高可靠的云存储服务,存储容量和处理能力的弹性扩展,提供图片处理,音视频转码,内容加速分发,归档服务等多种数据服务,可用性不低于80%。提供配套设备的系统集成服务、安装、维护服务，服务期限为1年，服务内容主要分别为故障检修、维护保养及定期巡检三个部分，保证系统的稳定性以及视频图像信息的可看、可调、可查、可放等应用，单台设备具体参数如下：</w:t>
            </w:r>
            <w:r>
              <w:rPr>
                <w:rFonts w:hint="eastAsia" w:ascii="宋体" w:hAnsi="宋体" w:cs="宋体"/>
                <w:szCs w:val="21"/>
              </w:rPr>
              <w:br w:type="textWrapping"/>
            </w:r>
            <w:r>
              <w:rPr>
                <w:rFonts w:hint="eastAsia" w:ascii="宋体" w:hAnsi="宋体" w:cs="宋体"/>
                <w:szCs w:val="21"/>
              </w:rPr>
              <w:t>1、支持≥2颗64位多核处理器，≥64GB内存，内存支持扩展到≥256GB。</w:t>
            </w:r>
            <w:r>
              <w:rPr>
                <w:rFonts w:hint="eastAsia" w:ascii="宋体" w:hAnsi="宋体" w:cs="宋体"/>
                <w:szCs w:val="21"/>
              </w:rPr>
              <w:br w:type="textWrapping"/>
            </w:r>
            <w:r>
              <w:rPr>
                <w:rFonts w:hint="eastAsia" w:ascii="宋体" w:hAnsi="宋体" w:cs="宋体"/>
                <w:szCs w:val="21"/>
              </w:rPr>
              <w:t>2、支持≥24盘位，内置≥24块4T企业级硬盘，接入带宽≥1900Mbps，≥2个千兆网口，支持冗余电源，机箱具备防尘滤网和双立柱。</w:t>
            </w:r>
            <w:r>
              <w:rPr>
                <w:rFonts w:hint="eastAsia" w:ascii="宋体" w:hAnsi="宋体" w:cs="宋体"/>
                <w:szCs w:val="21"/>
              </w:rPr>
              <w:br w:type="textWrapping"/>
            </w:r>
            <w:r>
              <w:rPr>
                <w:rFonts w:hint="eastAsia" w:ascii="宋体" w:hAnsi="宋体" w:cs="宋体"/>
                <w:szCs w:val="21"/>
              </w:rPr>
              <w:t>3、支持纠删码技术，多台存储设备组建网络RAID，设置为负载均衡，任意1-4个存储设备故障，数据应不丢失，存储服务不中断，单台或多台存储设备组建网络RAID，允许每组RAID中任意1-12个磁盘发生故障，数据不丢失，存储服务不中断，允许每组RAID中任意≥18块硬盘发生故障，业务不中断。</w:t>
            </w:r>
            <w:r>
              <w:rPr>
                <w:rFonts w:hint="eastAsia" w:ascii="宋体" w:hAnsi="宋体" w:cs="宋体"/>
                <w:szCs w:val="21"/>
              </w:rPr>
              <w:br w:type="textWrapping"/>
            </w:r>
            <w:r>
              <w:rPr>
                <w:rFonts w:hint="eastAsia" w:ascii="宋体" w:hAnsi="宋体" w:cs="宋体"/>
                <w:szCs w:val="21"/>
              </w:rPr>
              <w:t>4、存储节点具有防偶发死机的措施（如硬件或软件SNMP、或定时自动起启动等），死机后的自愈恢复时间应≤3min。</w:t>
            </w:r>
            <w:r>
              <w:rPr>
                <w:rFonts w:hint="eastAsia" w:ascii="宋体" w:hAnsi="宋体" w:cs="宋体"/>
                <w:szCs w:val="21"/>
              </w:rPr>
              <w:br w:type="textWrapping"/>
            </w:r>
            <w:r>
              <w:rPr>
                <w:rFonts w:hint="eastAsia" w:ascii="宋体" w:hAnsi="宋体" w:cs="宋体"/>
                <w:szCs w:val="21"/>
              </w:rPr>
              <w:t>5、支持磁盘故障预测，通过对硬盘SMART信息进行周期性检测，监测会导致硬盘故障的关键指标，通过分析关键指标的变化趋势实现硬盘故障预测。</w:t>
            </w:r>
            <w:r>
              <w:rPr>
                <w:rFonts w:hint="eastAsia" w:ascii="宋体" w:hAnsi="宋体" w:cs="宋体"/>
                <w:szCs w:val="21"/>
              </w:rPr>
              <w:br w:type="textWrapping"/>
            </w:r>
            <w:r>
              <w:rPr>
                <w:rFonts w:hint="eastAsia" w:ascii="宋体" w:hAnsi="宋体" w:cs="宋体"/>
                <w:szCs w:val="21"/>
              </w:rPr>
              <w:t>6、支持硬盘热插拔设备在读写数据时，热插拔设备内的任意块硬盘，设备正常运行不宕机，硬盘不损坏，数据不丢失，业务不中断。</w:t>
            </w:r>
            <w:r>
              <w:rPr>
                <w:rFonts w:hint="eastAsia" w:ascii="宋体" w:hAnsi="宋体" w:cs="宋体"/>
                <w:szCs w:val="21"/>
              </w:rPr>
              <w:br w:type="textWrapping"/>
            </w:r>
            <w:r>
              <w:rPr>
                <w:rFonts w:hint="eastAsia" w:ascii="宋体" w:hAnsi="宋体" w:cs="宋体"/>
                <w:szCs w:val="21"/>
              </w:rPr>
              <w:t>7、可对视音频、图片、结构化数据、对象等文件进行混合存储，并可通过http和https方式下载，支持视音频、图片、智能数据流进行混合直存，无须存储服务器和图片服务器的参与，平台服务器宕机时，存储业务正常。</w:t>
            </w:r>
            <w:r>
              <w:rPr>
                <w:rFonts w:hint="eastAsia" w:ascii="宋体" w:hAnsi="宋体" w:cs="宋体"/>
                <w:szCs w:val="21"/>
              </w:rPr>
              <w:br w:type="textWrapping"/>
            </w:r>
            <w:r>
              <w:rPr>
                <w:rFonts w:hint="eastAsia" w:ascii="宋体" w:hAnsi="宋体" w:cs="宋体"/>
                <w:szCs w:val="21"/>
              </w:rPr>
              <w:t>8、支持配备独立元数据系统、支持元数据系统组成RAID和网络RAID（N+M配置，且M≥8），一组RAID故障时其业务可自动切换至其他网络RAID组。</w:t>
            </w:r>
            <w:r>
              <w:rPr>
                <w:rFonts w:hint="eastAsia" w:ascii="宋体" w:hAnsi="宋体" w:cs="宋体"/>
                <w:szCs w:val="21"/>
              </w:rPr>
              <w:br w:type="textWrapping"/>
            </w:r>
            <w:r>
              <w:rPr>
                <w:rFonts w:hint="eastAsia" w:ascii="宋体" w:hAnsi="宋体" w:cs="宋体"/>
                <w:szCs w:val="21"/>
              </w:rPr>
              <w:t>9、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w:t>
            </w:r>
            <w:r>
              <w:rPr>
                <w:rFonts w:hint="eastAsia" w:ascii="宋体" w:hAnsi="宋体" w:cs="宋体"/>
                <w:szCs w:val="21"/>
              </w:rPr>
              <w:br w:type="textWrapping"/>
            </w:r>
            <w:r>
              <w:rPr>
                <w:rFonts w:hint="eastAsia" w:ascii="宋体" w:hAnsi="宋体" w:cs="宋体"/>
                <w:szCs w:val="21"/>
              </w:rPr>
              <w:t>10、支持网络中断后重新恢复，可续存断网期间存储在前端设备中的录像文件，并可通过IE浏览器设置自动回传和手动回传，支持≥256路4Mbps的录像回传。</w:t>
            </w:r>
            <w:r>
              <w:rPr>
                <w:rFonts w:hint="eastAsia" w:ascii="宋体" w:hAnsi="宋体" w:cs="宋体"/>
                <w:szCs w:val="21"/>
              </w:rPr>
              <w:br w:type="textWrapping"/>
            </w:r>
            <w:r>
              <w:rPr>
                <w:rFonts w:hint="eastAsia" w:ascii="宋体" w:hAnsi="宋体" w:cs="宋体"/>
                <w:szCs w:val="21"/>
              </w:rPr>
              <w:t>11、可在KVM虚拟化环境下进行U盘等硬件热插拔，可对虚机镜像进行异常监控，可在无独立显卡情况下，使用主板CPU集成显卡为虚拟机提供视频图像显示能力。</w:t>
            </w:r>
            <w:r>
              <w:rPr>
                <w:rFonts w:hint="eastAsia" w:ascii="宋体" w:hAnsi="宋体" w:cs="宋体"/>
                <w:szCs w:val="21"/>
              </w:rPr>
              <w:br w:type="textWrapping"/>
            </w:r>
            <w:r>
              <w:rPr>
                <w:rFonts w:hint="eastAsia" w:ascii="宋体" w:hAnsi="宋体" w:cs="宋体"/>
                <w:szCs w:val="21"/>
              </w:rPr>
              <w:t>12、支持容器镜像管理，包括容器镜像启动/暂停、业务升级/回退、上传/删除，支持添加新业务，支持修改容器镜像IP地址、业务参数，支持查看容器镜像中业务信息。</w:t>
            </w:r>
          </w:p>
          <w:p w14:paraId="269F4FD8">
            <w:pPr>
              <w:widowControl/>
              <w:spacing w:line="360" w:lineRule="auto"/>
              <w:jc w:val="left"/>
              <w:rPr>
                <w:rFonts w:hint="eastAsia" w:ascii="宋体" w:hAnsi="宋体" w:cs="宋体"/>
                <w:szCs w:val="21"/>
              </w:rPr>
            </w:pPr>
            <w:r>
              <w:rPr>
                <w:rFonts w:hint="eastAsia" w:ascii="宋体" w:hAnsi="宋体" w:cs="宋体"/>
                <w:b/>
                <w:bCs/>
                <w:szCs w:val="21"/>
              </w:rPr>
              <w:t>（四）提供视频云结构化终端服务1项</w:t>
            </w:r>
            <w:r>
              <w:rPr>
                <w:rFonts w:hint="eastAsia" w:ascii="宋体" w:hAnsi="宋体" w:cs="宋体"/>
                <w:szCs w:val="21"/>
              </w:rPr>
              <w:t>，平台满足图片分析服务、满足人像图片24小时连续分析需求（1000张/路/天）以及存储数据分析和图像检索各种应用的需要，产品性能：智能分析性能（以下人脸分析、视频结构化性能、治安场景图片分析性能为“或”的关系）：人脸分析：图片640张/秒 或 视频128路（1080P）（支持100W黑名单，最多支持16个库）；视频结构化： 128路（1080P）；治安场景图片分析性能（车辆、人体）： 320张/秒（200W）或160张/秒（500W-800W）；支持集群部署；产品应用：支持性别、年龄段、是否戴眼镜识别；支持1V1比对功能；集人脸分析、车辆分析、视频结构化分析于一体可根据场景任务需要灵活切换智能算法支持算法仓库和中心调度功能。提供配套设备的系统集成服务、安装、维护服务，服务期限为3年。单台设备具体参数如下：</w:t>
            </w:r>
            <w:r>
              <w:rPr>
                <w:rFonts w:hint="eastAsia" w:ascii="宋体" w:hAnsi="宋体" w:cs="宋体"/>
                <w:szCs w:val="21"/>
              </w:rPr>
              <w:br w:type="textWrapping"/>
            </w:r>
            <w:r>
              <w:rPr>
                <w:rFonts w:hint="eastAsia" w:ascii="宋体" w:hAnsi="宋体" w:cs="宋体"/>
                <w:szCs w:val="21"/>
              </w:rPr>
              <w:t>1、约19英寸标准机箱，集成专业级GPU芯片，采用高性能CPU处理器，处理器性能不低于：8核，16线程，2.8GHZ，内存≥16GB DDR4 * 2，硬盘≥240G SSD * 1（系统盘）。</w:t>
            </w:r>
          </w:p>
          <w:p w14:paraId="48C6E9CF">
            <w:pPr>
              <w:widowControl/>
              <w:spacing w:line="360" w:lineRule="auto"/>
              <w:jc w:val="left"/>
              <w:rPr>
                <w:rFonts w:hint="eastAsia" w:ascii="宋体" w:hAnsi="宋体" w:cs="宋体"/>
                <w:szCs w:val="21"/>
              </w:rPr>
            </w:pPr>
            <w:r>
              <w:rPr>
                <w:rFonts w:hint="eastAsia" w:ascii="宋体" w:hAnsi="宋体" w:cs="宋体"/>
                <w:szCs w:val="21"/>
              </w:rPr>
              <w:t>2、数据接口数量不少于：4个千兆网口、1个VGA接口、6个USB接口。</w:t>
            </w:r>
          </w:p>
          <w:p w14:paraId="120489F6">
            <w:pPr>
              <w:widowControl/>
              <w:spacing w:line="360" w:lineRule="auto"/>
              <w:jc w:val="left"/>
              <w:rPr>
                <w:rFonts w:hint="eastAsia" w:ascii="宋体" w:hAnsi="宋体" w:cs="宋体"/>
                <w:szCs w:val="21"/>
              </w:rPr>
            </w:pPr>
            <w:r>
              <w:rPr>
                <w:rFonts w:hint="eastAsia" w:ascii="宋体" w:hAnsi="宋体" w:cs="宋体"/>
                <w:szCs w:val="21"/>
              </w:rPr>
              <w:t>3、支持 jpg、jpeg、png、gif、bmp、tif图片格式。</w:t>
            </w:r>
          </w:p>
          <w:p w14:paraId="532D5B16">
            <w:pPr>
              <w:widowControl/>
              <w:spacing w:line="360" w:lineRule="auto"/>
              <w:jc w:val="left"/>
              <w:rPr>
                <w:rFonts w:hint="eastAsia" w:ascii="宋体" w:hAnsi="宋体" w:cs="宋体"/>
                <w:szCs w:val="21"/>
              </w:rPr>
            </w:pPr>
            <w:r>
              <w:rPr>
                <w:rFonts w:hint="eastAsia" w:ascii="宋体" w:hAnsi="宋体" w:cs="宋体"/>
                <w:szCs w:val="21"/>
              </w:rPr>
              <w:t>4、内置图像增强算法，支持图片增强功能，对雾霾、强光照、大角度、低照度等进行图像增强处理。</w:t>
            </w:r>
          </w:p>
          <w:p w14:paraId="0E0C4817">
            <w:pPr>
              <w:widowControl/>
              <w:spacing w:line="360" w:lineRule="auto"/>
              <w:jc w:val="left"/>
              <w:rPr>
                <w:rFonts w:hint="eastAsia" w:ascii="宋体" w:hAnsi="宋体" w:cs="宋体"/>
                <w:szCs w:val="21"/>
              </w:rPr>
            </w:pPr>
            <w:r>
              <w:rPr>
                <w:rFonts w:hint="eastAsia" w:ascii="宋体" w:hAnsi="宋体" w:cs="宋体"/>
                <w:szCs w:val="21"/>
              </w:rPr>
              <w:t>5、支持通过深度学习算法，自动识别画面中的人、机动车和非机动车，按照人、机动车、非机动车的目标进行识别和分类。</w:t>
            </w:r>
          </w:p>
          <w:p w14:paraId="08365FD1">
            <w:pPr>
              <w:widowControl/>
              <w:spacing w:line="360" w:lineRule="auto"/>
              <w:jc w:val="left"/>
              <w:rPr>
                <w:rFonts w:hint="eastAsia" w:ascii="宋体" w:hAnsi="宋体" w:cs="宋体"/>
                <w:szCs w:val="21"/>
              </w:rPr>
            </w:pPr>
            <w:r>
              <w:rPr>
                <w:rFonts w:hint="eastAsia" w:ascii="宋体" w:hAnsi="宋体" w:cs="宋体"/>
                <w:szCs w:val="21"/>
              </w:rPr>
              <w:t>6、支持人脸评分功能，具有人脸评分参数设置功能，包括评分模式、特征置信度、左右角、灰阶度、正面评分、瞳距、人脸矩形框姿态、灰度均值、平面旋转角、可见性评分、俯仰角、彩色置信度、灰色均方差、姿态置信度、清晰度等对等≥15项因素。</w:t>
            </w:r>
          </w:p>
          <w:p w14:paraId="29069704">
            <w:pPr>
              <w:widowControl/>
              <w:spacing w:line="360" w:lineRule="auto"/>
              <w:jc w:val="left"/>
              <w:rPr>
                <w:rFonts w:hint="eastAsia" w:ascii="宋体" w:hAnsi="宋体" w:cs="宋体"/>
                <w:szCs w:val="21"/>
              </w:rPr>
            </w:pPr>
            <w:r>
              <w:rPr>
                <w:rFonts w:hint="eastAsia" w:ascii="宋体" w:hAnsi="宋体" w:cs="宋体"/>
                <w:szCs w:val="21"/>
              </w:rPr>
              <w:t>▲7、支持对人脸图片在人脸被遮挡住半边脸的情况下，可正确检测人脸，检出率不小于99% ，检出率=正检/ (正检+漏检）。</w:t>
            </w:r>
          </w:p>
          <w:p w14:paraId="7CDC2FDE">
            <w:pPr>
              <w:widowControl/>
              <w:spacing w:line="360" w:lineRule="auto"/>
              <w:jc w:val="left"/>
              <w:rPr>
                <w:rFonts w:hint="eastAsia" w:ascii="宋体" w:hAnsi="宋体" w:cs="宋体"/>
                <w:szCs w:val="21"/>
              </w:rPr>
            </w:pPr>
            <w:r>
              <w:rPr>
                <w:rFonts w:hint="eastAsia" w:ascii="宋体" w:hAnsi="宋体" w:cs="宋体"/>
                <w:szCs w:val="21"/>
              </w:rPr>
              <w:t>8、支持对已存储的人脸抓拍库进行历史过人记录查询，用于对历史的人脸抓拍记录进行回溯。</w:t>
            </w:r>
          </w:p>
          <w:p w14:paraId="2625596D">
            <w:pPr>
              <w:widowControl/>
              <w:spacing w:line="360" w:lineRule="auto"/>
              <w:jc w:val="left"/>
              <w:rPr>
                <w:rFonts w:hint="eastAsia" w:ascii="宋体" w:hAnsi="宋体" w:cs="宋体"/>
                <w:szCs w:val="21"/>
              </w:rPr>
            </w:pPr>
            <w:r>
              <w:rPr>
                <w:rFonts w:hint="eastAsia" w:ascii="宋体" w:hAnsi="宋体" w:cs="宋体"/>
                <w:szCs w:val="21"/>
              </w:rPr>
              <w:t>9、支持从视频中提取车辆信息，包括车牌号码、车辆品牌、型号、年款、类型、颜色、具体特征等信息。</w:t>
            </w:r>
          </w:p>
          <w:p w14:paraId="01E47528">
            <w:pPr>
              <w:widowControl/>
              <w:spacing w:line="360" w:lineRule="auto"/>
              <w:jc w:val="left"/>
              <w:rPr>
                <w:rFonts w:hint="eastAsia" w:ascii="宋体" w:hAnsi="宋体" w:cs="宋体"/>
                <w:szCs w:val="21"/>
              </w:rPr>
            </w:pPr>
            <w:r>
              <w:rPr>
                <w:rFonts w:hint="eastAsia" w:ascii="宋体" w:hAnsi="宋体" w:cs="宋体"/>
                <w:szCs w:val="21"/>
              </w:rPr>
              <w:t>▲10、支持一个画面中两眼瞳距15像素点以上的102张人脸同时进行检测；单个人脸识别平均时间不超过0.5秒；光线正常，人脸图片的检出率不低于99%；人脸检测后台响应时间不超过1秒；支持检测两眼瞳距不小于10像素点的人脸图片；支持比对水平转动不超过60度，俯仰角度不超过45度的人脸。</w:t>
            </w:r>
          </w:p>
          <w:p w14:paraId="346F28BE">
            <w:pPr>
              <w:widowControl/>
              <w:spacing w:line="360" w:lineRule="auto"/>
              <w:jc w:val="left"/>
              <w:rPr>
                <w:rFonts w:hint="eastAsia" w:ascii="宋体" w:hAnsi="宋体" w:cs="宋体"/>
                <w:szCs w:val="21"/>
              </w:rPr>
            </w:pPr>
            <w:r>
              <w:rPr>
                <w:rFonts w:hint="eastAsia" w:ascii="宋体" w:hAnsi="宋体" w:cs="宋体"/>
                <w:szCs w:val="21"/>
              </w:rPr>
              <w:t>11、支持通过卷积神经网络模型检测和识别摄像机抓拍画面中的人体图片，实现对人员的年龄段、性别、携带物、上下衣颜色、上下衣款式、发型等属性信息的识别。</w:t>
            </w:r>
          </w:p>
          <w:p w14:paraId="277AD71F">
            <w:pPr>
              <w:widowControl/>
              <w:spacing w:line="360" w:lineRule="auto"/>
              <w:jc w:val="left"/>
              <w:rPr>
                <w:rFonts w:hint="eastAsia" w:ascii="宋体" w:hAnsi="宋体" w:cs="宋体"/>
                <w:szCs w:val="21"/>
              </w:rPr>
            </w:pPr>
            <w:r>
              <w:rPr>
                <w:rFonts w:hint="eastAsia" w:ascii="宋体" w:hAnsi="宋体" w:cs="宋体"/>
                <w:szCs w:val="21"/>
              </w:rPr>
              <w:t>▲12、支持对视频和图片中车辆的类型进行识别；图片识别支持大型客车、大货车、轿车、皮卡、面包车、小货车、SUV/MPV、中型客车、二轮车/三轮车9种车型的识别；视频识别支持客车、大货车、轿车、面包车、小货车、SUV、中型客车7种车型的识别；光线正常，图片车辆类型识别正向准确率不低于99%，背向准确率不低于99%。</w:t>
            </w:r>
          </w:p>
          <w:p w14:paraId="2E9B7F6D">
            <w:pPr>
              <w:widowControl/>
              <w:spacing w:line="360" w:lineRule="auto"/>
              <w:jc w:val="left"/>
              <w:rPr>
                <w:rFonts w:hint="eastAsia" w:ascii="宋体" w:hAnsi="宋体" w:cs="宋体"/>
                <w:szCs w:val="21"/>
              </w:rPr>
            </w:pPr>
            <w:r>
              <w:rPr>
                <w:rFonts w:hint="eastAsia" w:ascii="宋体" w:hAnsi="宋体" w:cs="宋体"/>
                <w:szCs w:val="21"/>
              </w:rPr>
              <w:t>13、支持对人脸图片识别人脸是否戴眼镜；人脸图片戴眼镜检出率≥99%；人脸图片戴眼镜识别准确率≥99%。</w:t>
            </w:r>
          </w:p>
          <w:p w14:paraId="1E745729">
            <w:pPr>
              <w:widowControl/>
              <w:spacing w:line="360" w:lineRule="auto"/>
              <w:jc w:val="left"/>
              <w:rPr>
                <w:rFonts w:hint="eastAsia" w:ascii="宋体" w:hAnsi="宋体" w:cs="宋体"/>
                <w:szCs w:val="21"/>
              </w:rPr>
            </w:pPr>
            <w:r>
              <w:rPr>
                <w:rFonts w:hint="eastAsia" w:ascii="宋体" w:hAnsi="宋体" w:cs="宋体"/>
                <w:szCs w:val="21"/>
              </w:rPr>
              <w:t>14、支持黑名单报警：设备对抓拍的人脸图片进行分析，将分析后的结果与关联的黑名单库进行比较，比对成功时触发报警，并产生报警提示。</w:t>
            </w:r>
          </w:p>
          <w:p w14:paraId="70407C36">
            <w:pPr>
              <w:widowControl/>
              <w:spacing w:line="360" w:lineRule="auto"/>
              <w:jc w:val="left"/>
              <w:rPr>
                <w:rFonts w:hint="eastAsia" w:ascii="宋体" w:hAnsi="宋体" w:cs="宋体"/>
                <w:szCs w:val="21"/>
              </w:rPr>
            </w:pPr>
            <w:r>
              <w:rPr>
                <w:rFonts w:hint="eastAsia" w:ascii="宋体" w:hAnsi="宋体" w:cs="宋体"/>
                <w:szCs w:val="21"/>
              </w:rPr>
              <w:t>15、支持识别102×126~1600万像素人脸图片；支持识别图片大小≤8MB的人脸图片。</w:t>
            </w:r>
          </w:p>
          <w:p w14:paraId="74EA05EC">
            <w:pPr>
              <w:widowControl/>
              <w:spacing w:line="360" w:lineRule="auto"/>
              <w:jc w:val="left"/>
              <w:rPr>
                <w:rFonts w:hint="eastAsia" w:ascii="宋体" w:hAnsi="宋体" w:cs="宋体"/>
                <w:szCs w:val="21"/>
              </w:rPr>
            </w:pPr>
            <w:r>
              <w:rPr>
                <w:rFonts w:hint="eastAsia" w:ascii="宋体" w:hAnsi="宋体" w:cs="宋体"/>
                <w:szCs w:val="21"/>
              </w:rPr>
              <w:t>▲16、支持通过深度学习算法模型，自动识别画面中的人、机动车和非机动车，按照人、机动车、非机动车的目标进行识别和分类；白天光照正常、夜间补光正常、车辆特征可辨识的情况下 （1）车头方向：支持不少于6000种车辆子品牌及年款的识别 （2）车尾方向：支持不少于4400种车辆子品牌及年款的识别。</w:t>
            </w:r>
          </w:p>
          <w:p w14:paraId="50F21490">
            <w:pPr>
              <w:rPr>
                <w:rFonts w:hint="eastAsia" w:ascii="宋体" w:hAnsi="宋体" w:cs="宋体"/>
                <w:b/>
                <w:bCs/>
                <w:szCs w:val="21"/>
              </w:rPr>
            </w:pPr>
            <w:r>
              <w:rPr>
                <w:rFonts w:hint="eastAsia" w:ascii="宋体" w:hAnsi="宋体" w:cs="宋体"/>
                <w:b/>
                <w:bCs/>
                <w:szCs w:val="21"/>
              </w:rPr>
              <w:t>（五）提供视频云存储管理平台服务1项。</w:t>
            </w:r>
          </w:p>
          <w:p w14:paraId="720BAC74">
            <w:pPr>
              <w:widowControl/>
              <w:spacing w:line="360" w:lineRule="auto"/>
              <w:jc w:val="left"/>
              <w:rPr>
                <w:rFonts w:hint="eastAsia" w:ascii="宋体" w:hAnsi="宋体" w:cs="宋体"/>
                <w:szCs w:val="21"/>
              </w:rPr>
            </w:pPr>
            <w:r>
              <w:rPr>
                <w:rFonts w:hint="eastAsia" w:ascii="宋体" w:hAnsi="宋体" w:cs="宋体"/>
                <w:szCs w:val="21"/>
              </w:rPr>
              <w:t>1、支持够556路存储时长的授权设备数量，支持管理≥3台、存储虚拟化≥900TB，1项缓存加速服务（SSD、内存）授权。</w:t>
            </w:r>
            <w:r>
              <w:rPr>
                <w:rFonts w:hint="eastAsia" w:ascii="宋体" w:hAnsi="宋体" w:cs="宋体"/>
                <w:szCs w:val="21"/>
              </w:rPr>
              <w:br w:type="textWrapping"/>
            </w:r>
            <w:r>
              <w:rPr>
                <w:rFonts w:hint="eastAsia" w:ascii="宋体" w:hAnsi="宋体" w:cs="宋体"/>
                <w:szCs w:val="21"/>
              </w:rPr>
              <w:t>2、通过平台下发的录像计划，从前端编码器获取实时视频数据并完成录像存储。</w:t>
            </w:r>
            <w:r>
              <w:rPr>
                <w:rFonts w:hint="eastAsia" w:ascii="宋体" w:hAnsi="宋体" w:cs="宋体"/>
                <w:szCs w:val="21"/>
              </w:rPr>
              <w:br w:type="textWrapping"/>
            </w:r>
            <w:r>
              <w:rPr>
                <w:rFonts w:hint="eastAsia" w:ascii="宋体" w:hAnsi="宋体" w:cs="宋体"/>
                <w:szCs w:val="21"/>
              </w:rPr>
              <w:t>3、平台下发录像计划后，可通过事件脉冲方式通知云存储进行事件录像。</w:t>
            </w:r>
            <w:r>
              <w:rPr>
                <w:rFonts w:hint="eastAsia" w:ascii="宋体" w:hAnsi="宋体" w:cs="宋体"/>
                <w:szCs w:val="21"/>
              </w:rPr>
              <w:br w:type="textWrapping"/>
            </w:r>
            <w:r>
              <w:rPr>
                <w:rFonts w:hint="eastAsia" w:ascii="宋体" w:hAnsi="宋体" w:cs="宋体"/>
                <w:szCs w:val="21"/>
              </w:rPr>
              <w:t>4、支持对定时/手动/事件录像/移动侦测录像进行预录，开启视频预录时需配置预录时长。</w:t>
            </w:r>
            <w:r>
              <w:rPr>
                <w:rFonts w:hint="eastAsia" w:ascii="宋体" w:hAnsi="宋体" w:cs="宋体"/>
                <w:szCs w:val="21"/>
              </w:rPr>
              <w:br w:type="textWrapping"/>
            </w:r>
            <w:r>
              <w:rPr>
                <w:rFonts w:hint="eastAsia" w:ascii="宋体" w:hAnsi="宋体" w:cs="宋体"/>
                <w:szCs w:val="21"/>
              </w:rPr>
              <w:t>5、手动录像开启到停止期间，因存储与IPC之间网络异常导致缺失的录像段可在网络恢复后自动将其补录完整，达到保障录像完整性。</w:t>
            </w:r>
            <w:r>
              <w:rPr>
                <w:rFonts w:hint="eastAsia" w:ascii="宋体" w:hAnsi="宋体" w:cs="宋体"/>
                <w:szCs w:val="21"/>
              </w:rPr>
              <w:br w:type="textWrapping"/>
            </w:r>
            <w:r>
              <w:rPr>
                <w:rFonts w:hint="eastAsia" w:ascii="宋体" w:hAnsi="宋体" w:cs="宋体"/>
                <w:szCs w:val="21"/>
              </w:rPr>
              <w:t>▲6、支持图片流直存，抓拍图片无需经过任何转发服务器/虚拟机即可实现前端数据直接存储至云存储系统；支持设置资源池自动分流策略，策略包含按图片大小、图片类型(类型包含人脸、人体、车辆、电动车等)。支持将同一点位产生的多种不同大小、不同类型的图片数据按策略自动分池存储到不同存储资源池中。</w:t>
            </w:r>
            <w:r>
              <w:rPr>
                <w:rFonts w:hint="eastAsia" w:ascii="宋体" w:hAnsi="宋体" w:cs="宋体"/>
                <w:szCs w:val="21"/>
              </w:rPr>
              <w:br w:type="textWrapping"/>
            </w:r>
            <w:r>
              <w:rPr>
                <w:rFonts w:hint="eastAsia" w:ascii="宋体" w:hAnsi="宋体" w:cs="宋体"/>
                <w:szCs w:val="21"/>
              </w:rPr>
              <w:t>7、支持历史流录像数据进行帧分析后存储，实现历史流视频倍速/定位/倒放/缩略图等视频回放应用。</w:t>
            </w:r>
            <w:r>
              <w:rPr>
                <w:rFonts w:hint="eastAsia" w:ascii="宋体" w:hAnsi="宋体" w:cs="宋体"/>
                <w:szCs w:val="21"/>
              </w:rPr>
              <w:br w:type="textWrapping"/>
            </w:r>
            <w:r>
              <w:rPr>
                <w:rFonts w:hint="eastAsia" w:ascii="宋体" w:hAnsi="宋体" w:cs="宋体"/>
                <w:szCs w:val="21"/>
              </w:rPr>
              <w:t>8、按监控点编号、录像类型、时间组合、锁定等条件查询录像数据。</w:t>
            </w:r>
            <w:r>
              <w:rPr>
                <w:rFonts w:hint="eastAsia" w:ascii="宋体" w:hAnsi="宋体" w:cs="宋体"/>
                <w:szCs w:val="21"/>
              </w:rPr>
              <w:br w:type="textWrapping"/>
            </w:r>
            <w:r>
              <w:rPr>
                <w:rFonts w:hint="eastAsia" w:ascii="宋体" w:hAnsi="宋体" w:cs="宋体"/>
                <w:szCs w:val="21"/>
              </w:rPr>
              <w:t>9、支持流式数据按监控点编号、开始时间、结束时间下载为MP4封装格式，便于第三方在线通过浏览器无插件在线点播。</w:t>
            </w:r>
            <w:r>
              <w:rPr>
                <w:rFonts w:hint="eastAsia" w:ascii="宋体" w:hAnsi="宋体" w:cs="宋体"/>
                <w:szCs w:val="21"/>
              </w:rPr>
              <w:br w:type="textWrapping"/>
            </w:r>
            <w:r>
              <w:rPr>
                <w:rFonts w:hint="eastAsia" w:ascii="宋体" w:hAnsi="宋体" w:cs="宋体"/>
                <w:szCs w:val="21"/>
              </w:rPr>
              <w:t>10、支持流式视频数据（视频文件、视频流）备份为对象文件片段，便于上层平台管理和使用。</w:t>
            </w:r>
            <w:r>
              <w:rPr>
                <w:rFonts w:hint="eastAsia" w:ascii="宋体" w:hAnsi="宋体" w:cs="宋体"/>
                <w:szCs w:val="21"/>
              </w:rPr>
              <w:br w:type="textWrapping"/>
            </w:r>
            <w:r>
              <w:rPr>
                <w:rFonts w:hint="eastAsia" w:ascii="宋体" w:hAnsi="宋体" w:cs="宋体"/>
                <w:szCs w:val="21"/>
              </w:rPr>
              <w:t>11、支持视频数据按编码器+时间段方式，直接通用云存储节点归档到磁带库进行归档存储。</w:t>
            </w:r>
            <w:r>
              <w:rPr>
                <w:rFonts w:hint="eastAsia" w:ascii="宋体" w:hAnsi="宋体" w:cs="宋体"/>
                <w:szCs w:val="21"/>
              </w:rPr>
              <w:br w:type="textWrapping"/>
            </w:r>
            <w:r>
              <w:rPr>
                <w:rFonts w:hint="eastAsia" w:ascii="宋体" w:hAnsi="宋体" w:cs="宋体"/>
                <w:szCs w:val="21"/>
              </w:rPr>
              <w:t>12、支持图片数量统计，支持在运维界面上展示对应编码器时间段内图片张数、所有图片大小统计。</w:t>
            </w:r>
            <w:r>
              <w:rPr>
                <w:rFonts w:hint="eastAsia" w:ascii="宋体" w:hAnsi="宋体" w:cs="宋体"/>
                <w:szCs w:val="21"/>
              </w:rPr>
              <w:br w:type="textWrapping"/>
            </w:r>
            <w:r>
              <w:rPr>
                <w:rFonts w:hint="eastAsia" w:ascii="宋体" w:hAnsi="宋体" w:cs="宋体"/>
                <w:szCs w:val="21"/>
              </w:rPr>
              <w:t>▲13、系统支持多级加速：支持对不同规格图片数据分级加速存储，小图支持SSD缓存加速，大图支持内存加速；系统支持自定义设置内存加速缓存大小、SSD缓存加速池容量大小，可最高针对4096 KB 图片加速提取。</w:t>
            </w:r>
            <w:r>
              <w:rPr>
                <w:rFonts w:hint="eastAsia" w:ascii="宋体" w:hAnsi="宋体" w:cs="宋体"/>
                <w:szCs w:val="21"/>
              </w:rPr>
              <w:br w:type="textWrapping"/>
            </w:r>
            <w:r>
              <w:rPr>
                <w:rFonts w:hint="eastAsia" w:ascii="宋体" w:hAnsi="宋体" w:cs="宋体"/>
                <w:szCs w:val="21"/>
              </w:rPr>
              <w:t>14、支持视频流和图片流数据进行加密存储，加密类型支持软件加密和加密卡加密。</w:t>
            </w:r>
            <w:r>
              <w:rPr>
                <w:rFonts w:hint="eastAsia" w:ascii="宋体" w:hAnsi="宋体" w:cs="宋体"/>
                <w:szCs w:val="21"/>
              </w:rPr>
              <w:br w:type="textWrapping"/>
            </w:r>
            <w:r>
              <w:rPr>
                <w:rFonts w:hint="eastAsia" w:ascii="宋体" w:hAnsi="宋体" w:cs="宋体"/>
                <w:szCs w:val="21"/>
              </w:rPr>
              <w:t>15、支持系统组管理，在域内进行组划分，优先保障条带资源分配在同一组内，实现条带数据快速读写。</w:t>
            </w:r>
            <w:r>
              <w:rPr>
                <w:rFonts w:hint="eastAsia" w:ascii="宋体" w:hAnsi="宋体" w:cs="宋体"/>
                <w:szCs w:val="21"/>
              </w:rPr>
              <w:br w:type="textWrapping"/>
            </w:r>
            <w:r>
              <w:rPr>
                <w:rFonts w:hint="eastAsia" w:ascii="宋体" w:hAnsi="宋体" w:cs="宋体"/>
                <w:szCs w:val="21"/>
              </w:rPr>
              <w:t>16、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r>
              <w:rPr>
                <w:rFonts w:hint="eastAsia" w:ascii="宋体" w:hAnsi="宋体" w:cs="宋体"/>
                <w:szCs w:val="21"/>
              </w:rPr>
              <w:br w:type="textWrapping"/>
            </w:r>
            <w:r>
              <w:rPr>
                <w:rFonts w:hint="eastAsia" w:ascii="宋体" w:hAnsi="宋体" w:cs="宋体"/>
                <w:szCs w:val="21"/>
              </w:rPr>
              <w:t>17、支持硬盘在节点间的漫游，将正常或异常状态的存储节点上的正常磁盘插入其他数据节点中，数据仍可继续使用。</w:t>
            </w:r>
            <w:r>
              <w:rPr>
                <w:rFonts w:hint="eastAsia" w:ascii="宋体" w:hAnsi="宋体" w:cs="宋体"/>
                <w:szCs w:val="21"/>
              </w:rPr>
              <w:br w:type="textWrapping"/>
            </w:r>
            <w:r>
              <w:rPr>
                <w:rFonts w:hint="eastAsia" w:ascii="宋体" w:hAnsi="宋体" w:cs="宋体"/>
                <w:szCs w:val="21"/>
              </w:rPr>
              <w:t>18、支持一个文件有多种N+M:K容错机制，能自适应调整N+M:K，系统根据当前节点情况自动配置使用哪种容错算法以达到最可靠的容错，以实现最大化节点容错能力。</w:t>
            </w:r>
          </w:p>
          <w:p w14:paraId="44E3DDAB">
            <w:pPr>
              <w:pStyle w:val="12"/>
              <w:rPr>
                <w:rFonts w:hint="eastAsia" w:ascii="宋体" w:hAnsi="宋体" w:cs="宋体"/>
                <w:sz w:val="21"/>
                <w:szCs w:val="21"/>
              </w:rPr>
            </w:pPr>
          </w:p>
          <w:p w14:paraId="74BBC8F4">
            <w:pPr>
              <w:widowControl/>
              <w:spacing w:line="360" w:lineRule="auto"/>
              <w:jc w:val="left"/>
              <w:rPr>
                <w:rFonts w:hint="eastAsia" w:ascii="宋体" w:hAnsi="宋体" w:cs="宋体"/>
                <w:b/>
                <w:bCs/>
                <w:szCs w:val="21"/>
              </w:rPr>
            </w:pPr>
            <w:r>
              <w:rPr>
                <w:rFonts w:hint="eastAsia" w:ascii="宋体" w:hAnsi="宋体" w:cs="宋体"/>
                <w:b/>
                <w:bCs/>
                <w:szCs w:val="21"/>
              </w:rPr>
              <w:t>四、网络传输及网络保障服务</w:t>
            </w:r>
          </w:p>
          <w:p w14:paraId="63191EB1">
            <w:pPr>
              <w:widowControl/>
              <w:numPr>
                <w:ilvl w:val="0"/>
                <w:numId w:val="10"/>
              </w:numPr>
              <w:spacing w:line="360" w:lineRule="auto"/>
              <w:jc w:val="left"/>
              <w:rPr>
                <w:rFonts w:hint="eastAsia" w:ascii="宋体" w:hAnsi="宋体" w:cs="宋体"/>
                <w:b/>
                <w:bCs/>
                <w:szCs w:val="21"/>
              </w:rPr>
            </w:pPr>
            <w:r>
              <w:rPr>
                <w:rFonts w:hint="eastAsia" w:ascii="宋体" w:hAnsi="宋体" w:cs="宋体"/>
                <w:b/>
                <w:bCs/>
                <w:szCs w:val="21"/>
              </w:rPr>
              <w:t>前端点位光纤电路使用服务</w:t>
            </w:r>
          </w:p>
          <w:p w14:paraId="55BB556D">
            <w:pPr>
              <w:widowControl/>
              <w:spacing w:line="360" w:lineRule="auto"/>
              <w:jc w:val="left"/>
              <w:rPr>
                <w:rFonts w:hint="eastAsia" w:ascii="宋体" w:hAnsi="宋体" w:cs="宋体"/>
                <w:szCs w:val="21"/>
              </w:rPr>
            </w:pPr>
            <w:r>
              <w:rPr>
                <w:rFonts w:hint="eastAsia" w:ascii="宋体" w:hAnsi="宋体" w:cs="宋体"/>
                <w:szCs w:val="21"/>
              </w:rPr>
              <w:t>1、提供前端456路监控点位数字光纤链路接入到综合监控应用平台机房（各链路传输速率≥20M），提供456个雪亮专网固定IP地址用户视频传输；提供1条100M数字光纤链路接入服务，接入至桂林国家高新区七星区数字城管应急指挥中心；提供10个雪亮专网固定IP地址用于电脑端视频平台访问。</w:t>
            </w:r>
          </w:p>
          <w:p w14:paraId="0EC90A5F">
            <w:pPr>
              <w:widowControl/>
              <w:spacing w:line="360" w:lineRule="auto"/>
              <w:jc w:val="left"/>
              <w:rPr>
                <w:rFonts w:hint="eastAsia" w:ascii="宋体" w:hAnsi="宋体" w:cs="宋体"/>
                <w:szCs w:val="21"/>
              </w:rPr>
            </w:pPr>
            <w:r>
              <w:rPr>
                <w:rFonts w:hint="eastAsia" w:ascii="宋体" w:hAnsi="宋体" w:cs="宋体"/>
                <w:szCs w:val="21"/>
              </w:rPr>
              <w:t>2、网络需要扩展或升级时，竞标人免费提供相应解决方案等技术支持。</w:t>
            </w:r>
            <w:r>
              <w:rPr>
                <w:rFonts w:hint="eastAsia" w:ascii="宋体" w:hAnsi="宋体" w:cs="宋体"/>
                <w:szCs w:val="21"/>
              </w:rPr>
              <w:br w:type="textWrapping"/>
            </w:r>
            <w:r>
              <w:rPr>
                <w:rFonts w:hint="eastAsia" w:ascii="宋体" w:hAnsi="宋体" w:cs="宋体"/>
                <w:szCs w:val="21"/>
              </w:rPr>
              <w:t>3、竞标人提供线路的延时要求：终端网络接入ping测1M报文时间小于10毫秒。</w:t>
            </w:r>
            <w:r>
              <w:rPr>
                <w:rFonts w:hint="eastAsia" w:ascii="宋体" w:hAnsi="宋体" w:cs="宋体"/>
                <w:szCs w:val="21"/>
              </w:rPr>
              <w:br w:type="textWrapping"/>
            </w:r>
            <w:r>
              <w:rPr>
                <w:rFonts w:hint="eastAsia" w:ascii="宋体" w:hAnsi="宋体" w:cs="宋体"/>
                <w:szCs w:val="21"/>
              </w:rPr>
              <w:t>4、线路丢帧率：小于0.5%，且不允许出现连续丢包。</w:t>
            </w:r>
            <w:r>
              <w:rPr>
                <w:rFonts w:hint="eastAsia" w:ascii="宋体" w:hAnsi="宋体" w:cs="宋体"/>
                <w:szCs w:val="21"/>
              </w:rPr>
              <w:br w:type="textWrapping"/>
            </w:r>
            <w:r>
              <w:rPr>
                <w:rFonts w:hint="eastAsia" w:ascii="宋体" w:hAnsi="宋体" w:cs="宋体"/>
                <w:szCs w:val="21"/>
              </w:rPr>
              <w:t>5、提供的专线传输设备必须能满足后续扩容的需求。</w:t>
            </w:r>
            <w:r>
              <w:rPr>
                <w:rFonts w:hint="eastAsia" w:ascii="宋体" w:hAnsi="宋体" w:cs="宋体"/>
                <w:szCs w:val="21"/>
              </w:rPr>
              <w:br w:type="textWrapping"/>
            </w:r>
            <w:r>
              <w:rPr>
                <w:rFonts w:hint="eastAsia" w:ascii="宋体" w:hAnsi="宋体" w:cs="宋体"/>
                <w:szCs w:val="21"/>
              </w:rPr>
              <w:t>6、供应商不得将线路宽带与其他单位共用。</w:t>
            </w:r>
            <w:r>
              <w:rPr>
                <w:rFonts w:hint="eastAsia" w:ascii="宋体" w:hAnsi="宋体" w:cs="宋体"/>
                <w:szCs w:val="21"/>
              </w:rPr>
              <w:br w:type="textWrapping"/>
            </w:r>
            <w:r>
              <w:rPr>
                <w:rFonts w:hint="eastAsia" w:ascii="宋体" w:hAnsi="宋体" w:cs="宋体"/>
                <w:szCs w:val="21"/>
              </w:rPr>
              <w:t>7、因施工、网络割接等原因影响宽带网络运行的，应当提前二天通知使用人。</w:t>
            </w:r>
          </w:p>
          <w:p w14:paraId="519F94D6">
            <w:pPr>
              <w:widowControl/>
              <w:spacing w:line="360" w:lineRule="auto"/>
              <w:jc w:val="left"/>
              <w:rPr>
                <w:rFonts w:hint="eastAsia" w:ascii="宋体" w:hAnsi="宋体" w:cs="宋体"/>
                <w:szCs w:val="21"/>
              </w:rPr>
            </w:pPr>
            <w:r>
              <w:rPr>
                <w:rFonts w:hint="eastAsia" w:ascii="宋体" w:hAnsi="宋体" w:cs="宋体"/>
                <w:szCs w:val="21"/>
              </w:rPr>
              <w:t>8、前端点位光纤电路使用服务使用为1年。</w:t>
            </w:r>
          </w:p>
          <w:p w14:paraId="721DA3AA">
            <w:pPr>
              <w:widowControl/>
              <w:numPr>
                <w:ilvl w:val="0"/>
                <w:numId w:val="10"/>
              </w:numPr>
              <w:spacing w:line="360" w:lineRule="auto"/>
              <w:jc w:val="left"/>
              <w:rPr>
                <w:rFonts w:hint="eastAsia" w:ascii="宋体" w:hAnsi="宋体" w:cs="宋体"/>
                <w:szCs w:val="21"/>
              </w:rPr>
            </w:pPr>
            <w:r>
              <w:rPr>
                <w:rFonts w:hint="eastAsia" w:ascii="宋体" w:hAnsi="宋体" w:cs="宋体"/>
                <w:b/>
                <w:bCs/>
                <w:szCs w:val="21"/>
              </w:rPr>
              <w:t>提供5G应急保障服务</w:t>
            </w:r>
            <w:r>
              <w:rPr>
                <w:rFonts w:hint="eastAsia" w:ascii="宋体" w:hAnsi="宋体" w:cs="宋体"/>
                <w:szCs w:val="21"/>
              </w:rPr>
              <w:br w:type="textWrapping"/>
            </w:r>
            <w:r>
              <w:rPr>
                <w:rFonts w:hint="eastAsia" w:ascii="宋体" w:hAnsi="宋体" w:cs="宋体"/>
                <w:szCs w:val="21"/>
              </w:rPr>
              <w:t>合作期内根据采购人临时需求，提供1套5G网关用于视频传输，5G流量不限量，月达300G限速至10M，1T限速至1M，提供管理平台，并且提供本地业务保障。</w:t>
            </w:r>
            <w:r>
              <w:rPr>
                <w:rFonts w:hint="eastAsia" w:ascii="宋体" w:hAnsi="宋体" w:cs="宋体"/>
                <w:szCs w:val="21"/>
              </w:rPr>
              <w:br w:type="textWrapping"/>
            </w:r>
          </w:p>
          <w:p w14:paraId="761CAD5C">
            <w:pPr>
              <w:widowControl/>
              <w:numPr>
                <w:ilvl w:val="0"/>
                <w:numId w:val="10"/>
              </w:numPr>
              <w:spacing w:line="360" w:lineRule="auto"/>
              <w:jc w:val="left"/>
              <w:rPr>
                <w:rFonts w:hint="eastAsia" w:ascii="宋体" w:hAnsi="宋体" w:cs="宋体"/>
                <w:b/>
                <w:bCs/>
                <w:szCs w:val="21"/>
              </w:rPr>
            </w:pPr>
            <w:r>
              <w:rPr>
                <w:rFonts w:hint="eastAsia" w:ascii="宋体" w:hAnsi="宋体" w:cs="宋体"/>
                <w:b/>
                <w:bCs/>
                <w:szCs w:val="21"/>
              </w:rPr>
              <w:t>提供视频联级推送服务1项</w:t>
            </w:r>
          </w:p>
          <w:p w14:paraId="22A9B32B">
            <w:pPr>
              <w:widowControl/>
              <w:numPr>
                <w:ilvl w:val="0"/>
                <w:numId w:val="11"/>
              </w:numPr>
              <w:spacing w:line="360" w:lineRule="auto"/>
              <w:jc w:val="left"/>
              <w:rPr>
                <w:rFonts w:hint="eastAsia" w:ascii="宋体" w:hAnsi="宋体" w:cs="宋体"/>
                <w:szCs w:val="21"/>
              </w:rPr>
            </w:pPr>
            <w:r>
              <w:rPr>
                <w:rFonts w:hint="eastAsia" w:ascii="宋体" w:hAnsi="宋体" w:cs="宋体"/>
                <w:szCs w:val="21"/>
              </w:rPr>
              <w:t>将前端视频图像通过安全边界推送到桂林市公安局视频专网、视频监控管理平台。</w:t>
            </w:r>
            <w:r>
              <w:rPr>
                <w:rFonts w:hint="eastAsia" w:ascii="宋体" w:hAnsi="宋体" w:cs="宋体"/>
                <w:szCs w:val="21"/>
              </w:rPr>
              <w:br w:type="textWrapping"/>
            </w:r>
            <w:r>
              <w:rPr>
                <w:rFonts w:hint="eastAsia" w:ascii="宋体" w:hAnsi="宋体" w:cs="宋体"/>
                <w:szCs w:val="21"/>
              </w:rPr>
              <w:t>2、提供556路视频推送1年服务。</w:t>
            </w:r>
          </w:p>
          <w:p w14:paraId="64C46BBA">
            <w:pPr>
              <w:widowControl/>
              <w:numPr>
                <w:ilvl w:val="0"/>
                <w:numId w:val="0"/>
              </w:numPr>
              <w:spacing w:line="360" w:lineRule="auto"/>
              <w:jc w:val="left"/>
              <w:rPr>
                <w:rFonts w:hint="default" w:ascii="宋体" w:hAnsi="宋体" w:cs="宋体"/>
                <w:b/>
                <w:bCs/>
                <w:szCs w:val="21"/>
                <w:lang w:val="en-US" w:eastAsia="zh-CN"/>
              </w:rPr>
            </w:pPr>
          </w:p>
        </w:tc>
        <w:tc>
          <w:tcPr>
            <w:tcW w:w="892" w:type="dxa"/>
            <w:tcBorders>
              <w:top w:val="single" w:color="000000" w:sz="4" w:space="0"/>
              <w:left w:val="single" w:color="000000" w:sz="4" w:space="0"/>
              <w:bottom w:val="single" w:color="000000" w:sz="4" w:space="0"/>
              <w:right w:val="single" w:color="000000" w:sz="4" w:space="0"/>
            </w:tcBorders>
            <w:vAlign w:val="center"/>
          </w:tcPr>
          <w:p w14:paraId="695A2137">
            <w:pPr>
              <w:widowControl/>
              <w:spacing w:line="360" w:lineRule="auto"/>
              <w:jc w:val="center"/>
              <w:rPr>
                <w:rFonts w:hint="eastAsia" w:ascii="宋体" w:hAnsi="宋体" w:cs="宋体"/>
                <w:szCs w:val="21"/>
              </w:rPr>
            </w:pPr>
            <w:r>
              <w:rPr>
                <w:rFonts w:hint="eastAsia" w:ascii="宋体" w:hAnsi="宋体" w:cs="宋体"/>
                <w:szCs w:val="21"/>
              </w:rPr>
              <w:t>1</w:t>
            </w:r>
          </w:p>
        </w:tc>
        <w:tc>
          <w:tcPr>
            <w:tcW w:w="780" w:type="dxa"/>
            <w:tcBorders>
              <w:top w:val="single" w:color="000000" w:sz="4" w:space="0"/>
              <w:left w:val="single" w:color="000000" w:sz="4" w:space="0"/>
              <w:bottom w:val="single" w:color="000000" w:sz="4" w:space="0"/>
              <w:right w:val="single" w:color="000000" w:sz="4" w:space="0"/>
            </w:tcBorders>
            <w:vAlign w:val="center"/>
          </w:tcPr>
          <w:p w14:paraId="41B9206F">
            <w:pPr>
              <w:widowControl/>
              <w:spacing w:line="360" w:lineRule="auto"/>
              <w:jc w:val="center"/>
              <w:rPr>
                <w:rFonts w:hint="eastAsia" w:ascii="宋体" w:hAnsi="宋体" w:cs="宋体"/>
                <w:szCs w:val="21"/>
              </w:rPr>
            </w:pPr>
            <w:r>
              <w:rPr>
                <w:rFonts w:hint="eastAsia" w:ascii="宋体" w:hAnsi="宋体" w:cs="宋体"/>
                <w:szCs w:val="21"/>
              </w:rPr>
              <w:t>项</w:t>
            </w:r>
          </w:p>
        </w:tc>
      </w:tr>
      <w:tr w14:paraId="6FA7D5C9">
        <w:tblPrEx>
          <w:tblCellMar>
            <w:top w:w="0" w:type="dxa"/>
            <w:left w:w="108" w:type="dxa"/>
            <w:bottom w:w="0" w:type="dxa"/>
            <w:right w:w="108" w:type="dxa"/>
          </w:tblCellMar>
        </w:tblPrEx>
        <w:trPr>
          <w:jc w:val="center"/>
        </w:trPr>
        <w:tc>
          <w:tcPr>
            <w:tcW w:w="10242" w:type="dxa"/>
            <w:gridSpan w:val="5"/>
            <w:tcBorders>
              <w:top w:val="single" w:color="auto" w:sz="4" w:space="0"/>
              <w:left w:val="single" w:color="auto" w:sz="4" w:space="0"/>
              <w:bottom w:val="single" w:color="auto" w:sz="4" w:space="0"/>
              <w:right w:val="single" w:color="000000" w:sz="4" w:space="0"/>
            </w:tcBorders>
            <w:vAlign w:val="center"/>
          </w:tcPr>
          <w:p w14:paraId="7BD50CCE">
            <w:pPr>
              <w:widowControl/>
              <w:spacing w:line="360" w:lineRule="auto"/>
              <w:jc w:val="left"/>
              <w:rPr>
                <w:rFonts w:hint="eastAsia" w:ascii="宋体" w:hAnsi="宋体" w:cs="宋体"/>
                <w:szCs w:val="21"/>
              </w:rPr>
            </w:pPr>
            <w:r>
              <w:rPr>
                <w:rFonts w:hint="eastAsia" w:ascii="宋体" w:hAnsi="宋体" w:cs="宋体"/>
                <w:b/>
                <w:bCs/>
                <w:kern w:val="0"/>
                <w:szCs w:val="21"/>
              </w:rPr>
              <w:t>商务要求</w:t>
            </w:r>
          </w:p>
        </w:tc>
      </w:tr>
      <w:tr w14:paraId="514CBC83">
        <w:tblPrEx>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4C172BD">
            <w:pPr>
              <w:spacing w:line="360" w:lineRule="auto"/>
              <w:jc w:val="center"/>
              <w:rPr>
                <w:rFonts w:hint="eastAsia" w:ascii="宋体" w:hAnsi="宋体" w:cs="宋体"/>
                <w:szCs w:val="21"/>
              </w:rPr>
            </w:pPr>
            <w:r>
              <w:rPr>
                <w:rFonts w:hint="eastAsia" w:ascii="宋体" w:hAnsi="宋体" w:cs="宋体"/>
                <w:b/>
                <w:bCs/>
                <w:kern w:val="0"/>
                <w:szCs w:val="21"/>
              </w:rPr>
              <w:t>★</w:t>
            </w:r>
            <w:r>
              <w:rPr>
                <w:rFonts w:hint="eastAsia" w:ascii="宋体" w:hAnsi="宋体" w:cs="宋体"/>
                <w:szCs w:val="21"/>
              </w:rPr>
              <w:t>服务要求</w:t>
            </w:r>
          </w:p>
        </w:tc>
        <w:tc>
          <w:tcPr>
            <w:tcW w:w="8540" w:type="dxa"/>
            <w:gridSpan w:val="3"/>
            <w:tcBorders>
              <w:top w:val="single" w:color="auto" w:sz="4" w:space="0"/>
              <w:left w:val="nil"/>
              <w:bottom w:val="single" w:color="auto" w:sz="4" w:space="0"/>
              <w:right w:val="single" w:color="000000" w:sz="4" w:space="0"/>
            </w:tcBorders>
            <w:vAlign w:val="center"/>
          </w:tcPr>
          <w:p w14:paraId="4877D399">
            <w:pPr>
              <w:adjustRightInd w:val="0"/>
              <w:snapToGrid w:val="0"/>
              <w:spacing w:line="360" w:lineRule="auto"/>
              <w:rPr>
                <w:rFonts w:hint="eastAsia" w:ascii="宋体" w:hAnsi="宋体" w:cs="宋体"/>
                <w:szCs w:val="21"/>
              </w:rPr>
            </w:pPr>
            <w:r>
              <w:rPr>
                <w:rFonts w:hint="eastAsia" w:ascii="宋体" w:hAnsi="宋体" w:cs="宋体"/>
                <w:szCs w:val="21"/>
              </w:rPr>
              <w:t>1、定期进行回访并对今后系统升级改造后的软硬件继续提供技术支持。</w:t>
            </w:r>
          </w:p>
          <w:p w14:paraId="47F27DD6">
            <w:pPr>
              <w:adjustRightInd w:val="0"/>
              <w:snapToGrid w:val="0"/>
              <w:spacing w:line="360" w:lineRule="auto"/>
              <w:rPr>
                <w:rFonts w:hint="eastAsia" w:ascii="宋体" w:hAnsi="宋体" w:cs="宋体"/>
                <w:szCs w:val="21"/>
                <w:highlight w:val="none"/>
              </w:rPr>
            </w:pPr>
            <w:r>
              <w:rPr>
                <w:rFonts w:hint="eastAsia" w:ascii="宋体" w:hAnsi="宋体" w:cs="宋体"/>
                <w:szCs w:val="21"/>
              </w:rPr>
              <w:t>2、应急响应服务：提供7×24小时热线电话服务，接采购人报故障电话2小时内响应，产品生产厂</w:t>
            </w:r>
            <w:r>
              <w:rPr>
                <w:rFonts w:hint="eastAsia" w:ascii="宋体" w:hAnsi="宋体" w:cs="宋体"/>
                <w:szCs w:val="21"/>
                <w:highlight w:val="none"/>
              </w:rPr>
              <w:t>家或其授权工程师需在4小时内抵达现场。</w:t>
            </w:r>
          </w:p>
          <w:p w14:paraId="23855FC7">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3、</w:t>
            </w:r>
            <w:r>
              <w:rPr>
                <w:rFonts w:hint="eastAsia" w:ascii="宋体" w:hAnsi="宋体"/>
                <w:szCs w:val="21"/>
                <w:highlight w:val="none"/>
              </w:rPr>
              <w:t>成交供应商</w:t>
            </w:r>
            <w:r>
              <w:rPr>
                <w:rFonts w:hint="eastAsia" w:ascii="宋体" w:hAnsi="宋体"/>
                <w:color w:val="auto"/>
                <w:szCs w:val="21"/>
                <w:highlight w:val="none"/>
              </w:rPr>
              <w:t>签订合同后</w:t>
            </w:r>
            <w:r>
              <w:rPr>
                <w:rFonts w:hint="eastAsia" w:ascii="宋体" w:hAnsi="宋体"/>
                <w:szCs w:val="21"/>
                <w:highlight w:val="none"/>
              </w:rPr>
              <w:t>5个工作日内演示综合监控应用平台的</w:t>
            </w:r>
            <w:r>
              <w:rPr>
                <w:rFonts w:hint="eastAsia" w:ascii="宋体" w:hAnsi="宋体" w:cs="宋体"/>
                <w:szCs w:val="21"/>
                <w:highlight w:val="none"/>
              </w:rPr>
              <w:t>相关功能，</w:t>
            </w:r>
            <w:r>
              <w:rPr>
                <w:rFonts w:hint="eastAsia" w:ascii="宋体" w:hAnsi="宋体"/>
                <w:szCs w:val="21"/>
                <w:highlight w:val="none"/>
              </w:rPr>
              <w:t>按采购要求的技术参数及功能逐一进行演示，如演示结果不满足采购要求，视为虚假应标，其投标无效,采购人有权终止合同并同时报有关监督管理部门处理备案，由此造成采购人的经济损失由中标供应商全部承担赔偿。</w:t>
            </w:r>
          </w:p>
          <w:p w14:paraId="275F0ABF">
            <w:pPr>
              <w:spacing w:line="360" w:lineRule="auto"/>
              <w:rPr>
                <w:rFonts w:hint="eastAsia" w:ascii="宋体" w:hAnsi="宋体" w:cs="宋体"/>
                <w:szCs w:val="21"/>
                <w:highlight w:val="none"/>
              </w:rPr>
            </w:pPr>
            <w:r>
              <w:rPr>
                <w:rFonts w:hint="eastAsia" w:ascii="宋体" w:hAnsi="宋体" w:cs="宋体"/>
                <w:szCs w:val="21"/>
                <w:highlight w:val="none"/>
              </w:rPr>
              <w:t>4、供应商须在离采购人尽可能近的地方提供技术服务人员和服务点，以便缩短服务响应时间和服务满意度。</w:t>
            </w:r>
          </w:p>
          <w:p w14:paraId="12A66720">
            <w:pPr>
              <w:widowControl/>
              <w:spacing w:line="360" w:lineRule="auto"/>
              <w:jc w:val="left"/>
              <w:rPr>
                <w:rFonts w:hint="eastAsia" w:ascii="宋体" w:hAnsi="宋体"/>
                <w:szCs w:val="21"/>
                <w:highlight w:val="none"/>
              </w:rPr>
            </w:pPr>
            <w:r>
              <w:rPr>
                <w:rFonts w:hint="eastAsia" w:ascii="宋体" w:hAnsi="宋体" w:cs="宋体"/>
                <w:szCs w:val="21"/>
                <w:highlight w:val="none"/>
              </w:rPr>
              <w:t>5、</w:t>
            </w:r>
            <w:r>
              <w:rPr>
                <w:rFonts w:hint="eastAsia" w:ascii="宋体" w:hAnsi="宋体"/>
                <w:szCs w:val="21"/>
                <w:highlight w:val="none"/>
              </w:rPr>
              <w:t>项目实施人员要求：实施项目经理1人，其他实施人员≥8人。</w:t>
            </w:r>
          </w:p>
          <w:p w14:paraId="6EF33DCC">
            <w:pPr>
              <w:pStyle w:val="3"/>
              <w:ind w:left="0" w:leftChars="0" w:firstLine="0" w:firstLineChars="0"/>
              <w:rPr>
                <w:rFonts w:hint="default" w:eastAsia="宋体"/>
                <w:lang w:val="en-US" w:eastAsia="zh-CN"/>
              </w:rPr>
            </w:pPr>
            <w:r>
              <w:rPr>
                <w:rFonts w:hint="eastAsia" w:ascii="宋体" w:hAnsi="宋体" w:cs="宋体"/>
                <w:bCs w:val="0"/>
                <w:color w:val="auto"/>
                <w:sz w:val="21"/>
                <w:szCs w:val="21"/>
                <w:lang w:val="en-US"/>
              </w:rPr>
              <w:t>6、服务期限：一年</w:t>
            </w:r>
          </w:p>
        </w:tc>
      </w:tr>
      <w:tr w14:paraId="76531622">
        <w:tblPrEx>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6F17A26">
            <w:pPr>
              <w:spacing w:line="360" w:lineRule="auto"/>
              <w:jc w:val="center"/>
              <w:rPr>
                <w:rFonts w:hint="eastAsia" w:ascii="宋体" w:hAnsi="宋体" w:eastAsia="宋体" w:cs="宋体"/>
                <w:szCs w:val="21"/>
                <w:lang w:val="en-US" w:eastAsia="zh-CN"/>
              </w:rPr>
            </w:pPr>
            <w:r>
              <w:rPr>
                <w:rFonts w:hint="eastAsia" w:ascii="宋体" w:hAnsi="宋体" w:cs="宋体"/>
                <w:b/>
                <w:bCs/>
                <w:kern w:val="0"/>
                <w:szCs w:val="21"/>
              </w:rPr>
              <w:t>★</w:t>
            </w:r>
            <w:r>
              <w:rPr>
                <w:rFonts w:hint="eastAsia" w:ascii="宋体" w:hAnsi="宋体" w:cs="宋体"/>
                <w:kern w:val="0"/>
                <w:szCs w:val="21"/>
              </w:rPr>
              <w:t>售后服务要</w:t>
            </w:r>
            <w:r>
              <w:rPr>
                <w:rFonts w:hint="eastAsia" w:ascii="宋体" w:hAnsi="宋体" w:cs="宋体"/>
                <w:kern w:val="0"/>
                <w:szCs w:val="21"/>
                <w:lang w:val="en-US" w:eastAsia="zh-CN"/>
              </w:rPr>
              <w:t>求</w:t>
            </w:r>
          </w:p>
        </w:tc>
        <w:tc>
          <w:tcPr>
            <w:tcW w:w="8540" w:type="dxa"/>
            <w:gridSpan w:val="3"/>
            <w:tcBorders>
              <w:top w:val="single" w:color="auto" w:sz="4" w:space="0"/>
              <w:left w:val="nil"/>
              <w:bottom w:val="single" w:color="auto" w:sz="4" w:space="0"/>
              <w:right w:val="single" w:color="000000" w:sz="4" w:space="0"/>
            </w:tcBorders>
            <w:vAlign w:val="center"/>
          </w:tcPr>
          <w:p w14:paraId="69A730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售后服务人员要求：项目服务经理1人，服务团队人员≥8人。</w:t>
            </w:r>
          </w:p>
          <w:p w14:paraId="5A372B64">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2、系统平台维保服务要求</w:t>
            </w:r>
          </w:p>
          <w:p w14:paraId="443042E1">
            <w:pPr>
              <w:widowControl/>
              <w:spacing w:line="360" w:lineRule="auto"/>
              <w:jc w:val="left"/>
              <w:rPr>
                <w:rFonts w:hint="eastAsia"/>
                <w:lang w:val="en-US" w:eastAsia="zh-CN"/>
              </w:rPr>
            </w:pPr>
            <w:r>
              <w:rPr>
                <w:rFonts w:hint="eastAsia" w:ascii="宋体" w:hAnsi="宋体" w:cs="宋体"/>
                <w:color w:val="auto"/>
                <w:szCs w:val="21"/>
                <w:highlight w:val="none"/>
              </w:rPr>
              <w:t>（1）要求针对本项目提供配套设备的维护服务，服务期限为1年，服务内容主要分别为故障检修、维护保养及定期巡检三个部分，保证系统的稳定性以及视频图像信息的可看、可调、可查、可放等应用功能服务。</w:t>
            </w:r>
            <w:r>
              <w:rPr>
                <w:rFonts w:hint="eastAsia" w:ascii="宋体" w:hAnsi="宋体" w:cs="宋体"/>
                <w:color w:val="auto"/>
                <w:szCs w:val="21"/>
                <w:highlight w:val="none"/>
              </w:rPr>
              <w:br w:type="textWrapping"/>
            </w:r>
            <w:r>
              <w:rPr>
                <w:rFonts w:hint="eastAsia" w:ascii="宋体" w:hAnsi="宋体" w:cs="宋体"/>
                <w:color w:val="auto"/>
                <w:szCs w:val="21"/>
                <w:highlight w:val="none"/>
              </w:rPr>
              <w:t>（2）日常维护：每天在后台对系统运行情况进行巡检一次；每半个月对前端设备进行一次巡检，发现问题及时处理；每个月对系统前端摄像机进行一次除尘；每个季度对系统进行一次全面的检测、检查，发现问题及时处理，包括系统的优化和升级。</w:t>
            </w:r>
            <w:r>
              <w:rPr>
                <w:rFonts w:hint="eastAsia" w:ascii="宋体" w:hAnsi="宋体" w:cs="宋体"/>
                <w:color w:val="auto"/>
                <w:szCs w:val="21"/>
                <w:highlight w:val="none"/>
              </w:rPr>
              <w:br w:type="textWrapping"/>
            </w:r>
            <w:r>
              <w:rPr>
                <w:rFonts w:hint="eastAsia" w:ascii="宋体" w:hAnsi="宋体" w:cs="宋体"/>
                <w:color w:val="auto"/>
                <w:szCs w:val="21"/>
                <w:highlight w:val="none"/>
              </w:rPr>
              <w:t>（3）接到故障电话2小时内响应，4小时内技术人员到达故障现场，重大故障恢复时间小于12小时，一般故障恢复时间小于24小时，提供巡检保养维护服务，提供7×24小时热线电话服务。</w:t>
            </w:r>
            <w:r>
              <w:rPr>
                <w:rFonts w:hint="eastAsia" w:ascii="宋体" w:hAnsi="宋体" w:cs="宋体"/>
                <w:color w:val="auto"/>
                <w:szCs w:val="21"/>
                <w:highlight w:val="none"/>
              </w:rPr>
              <w:br w:type="textWrapping"/>
            </w:r>
            <w:r>
              <w:rPr>
                <w:rFonts w:hint="eastAsia" w:ascii="宋体" w:hAnsi="宋体" w:cs="宋体"/>
                <w:color w:val="auto"/>
                <w:szCs w:val="21"/>
                <w:highlight w:val="none"/>
              </w:rPr>
              <w:t>（4）所有设备（包括前端摄像机、交换机、电源、设备箱、后端平台、服务器、硬盘、交换机等）在维护期内能维修的提供维修服务；本期项目中损坏无法修复的监控摄像机，由采购人负责提供可用替换摄像机，中标供应商负责完成更换工作；中标供应商负责本期前端监控设备及网络传输设备产生的电费，确保系统正常使用。</w:t>
            </w:r>
            <w:r>
              <w:rPr>
                <w:rFonts w:hint="eastAsia" w:ascii="宋体" w:hAnsi="宋体" w:cs="宋体"/>
                <w:color w:val="auto"/>
                <w:szCs w:val="21"/>
                <w:highlight w:val="none"/>
              </w:rPr>
              <w:br w:type="textWrapping"/>
            </w:r>
            <w:r>
              <w:rPr>
                <w:rFonts w:hint="eastAsia" w:ascii="宋体" w:hAnsi="宋体" w:cs="宋体"/>
                <w:color w:val="auto"/>
                <w:szCs w:val="21"/>
                <w:highlight w:val="none"/>
              </w:rPr>
              <w:t>（5）配备大于3辆汽车对线路、前端点位及平台设备进行日常保障性维护。</w:t>
            </w:r>
          </w:p>
        </w:tc>
      </w:tr>
      <w:tr w14:paraId="28A9AED3">
        <w:tblPrEx>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377666E">
            <w:pPr>
              <w:spacing w:line="360" w:lineRule="auto"/>
              <w:jc w:val="center"/>
              <w:rPr>
                <w:rFonts w:hint="eastAsia" w:ascii="宋体" w:hAnsi="宋体" w:cs="宋体"/>
                <w:szCs w:val="21"/>
              </w:rPr>
            </w:pPr>
            <w:r>
              <w:rPr>
                <w:rFonts w:hint="eastAsia" w:ascii="宋体" w:hAnsi="宋体" w:cs="宋体"/>
                <w:b/>
                <w:bCs/>
                <w:kern w:val="0"/>
                <w:szCs w:val="21"/>
              </w:rPr>
              <w:t>★</w:t>
            </w:r>
            <w:r>
              <w:rPr>
                <w:rFonts w:hint="eastAsia" w:ascii="宋体" w:hAnsi="宋体" w:cs="宋体"/>
                <w:szCs w:val="21"/>
              </w:rPr>
              <w:t>验收标准、规范</w:t>
            </w:r>
          </w:p>
        </w:tc>
        <w:tc>
          <w:tcPr>
            <w:tcW w:w="8540" w:type="dxa"/>
            <w:gridSpan w:val="3"/>
            <w:tcBorders>
              <w:top w:val="single" w:color="auto" w:sz="4" w:space="0"/>
              <w:left w:val="nil"/>
              <w:bottom w:val="single" w:color="auto" w:sz="4" w:space="0"/>
              <w:right w:val="single" w:color="000000" w:sz="4" w:space="0"/>
            </w:tcBorders>
            <w:vAlign w:val="center"/>
          </w:tcPr>
          <w:p w14:paraId="5AF65CF7">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1、符合合同要求及国家相关标准；</w:t>
            </w:r>
          </w:p>
          <w:p w14:paraId="4DEB9FE2">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2、服务内容符合或优于合同要求；</w:t>
            </w:r>
          </w:p>
          <w:p w14:paraId="6776F8B7">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3、供应商提供所招标采购的服务、配套设备、所属装置等有关技术资料作为验收的参考依据；</w:t>
            </w:r>
          </w:p>
          <w:p w14:paraId="4E07B6D3">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4、验收过程中所产生的一切费用均由供应商承担，供应商报价时应考虑相关费用；</w:t>
            </w:r>
          </w:p>
          <w:p w14:paraId="27B32369">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5、供应商在服务成果验收时由采购单位对照采购文件的服务参数全面核对检验，对所有要求出具的证明文件的原件进行核查，如不符合采购文件的服务需求以及提供虚假承诺的，按相关规定作违约处理，供应商承担所有责任和费用，采购人保留进一步追究责任的权利；</w:t>
            </w:r>
          </w:p>
          <w:p w14:paraId="50E9892A">
            <w:pPr>
              <w:spacing w:line="360" w:lineRule="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6、采购标的需执行国家标准、行业标准、地方标准或者其他标准、规范，如有最新的按最新的执行；</w:t>
            </w:r>
          </w:p>
          <w:p w14:paraId="34668CA2">
            <w:pPr>
              <w:pStyle w:val="3"/>
              <w:ind w:left="0" w:leftChars="0" w:firstLine="0" w:firstLineChars="0"/>
              <w:rPr>
                <w:rFonts w:hint="eastAsia"/>
                <w:lang w:val="en-US" w:eastAsia="zh-CN"/>
              </w:rPr>
            </w:pPr>
            <w:r>
              <w:rPr>
                <w:rFonts w:hint="eastAsia" w:cs="宋体" w:asciiTheme="minorEastAsia" w:hAnsiTheme="minorEastAsia" w:eastAsiaTheme="minorEastAsia"/>
                <w:sz w:val="21"/>
                <w:szCs w:val="21"/>
              </w:rPr>
              <w:t>7、验收不通过的，根据采购人意见进行整改，直到验收通过为止，期间产生相关费用由供应商承担。</w:t>
            </w:r>
          </w:p>
        </w:tc>
      </w:tr>
      <w:tr w14:paraId="1AF7BB0B">
        <w:tblPrEx>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51B5BB7B">
            <w:pPr>
              <w:spacing w:line="360" w:lineRule="auto"/>
              <w:jc w:val="center"/>
              <w:rPr>
                <w:rFonts w:hint="eastAsia" w:ascii="宋体" w:hAnsi="宋体" w:cs="宋体"/>
                <w:szCs w:val="21"/>
              </w:rPr>
            </w:pPr>
            <w:r>
              <w:rPr>
                <w:rFonts w:hint="eastAsia" w:ascii="宋体" w:hAnsi="宋体" w:cs="宋体"/>
                <w:b/>
                <w:bCs/>
                <w:kern w:val="0"/>
                <w:szCs w:val="21"/>
              </w:rPr>
              <w:t>★</w:t>
            </w:r>
            <w:r>
              <w:rPr>
                <w:rFonts w:hint="eastAsia" w:cs="宋体" w:asciiTheme="minorEastAsia" w:hAnsiTheme="minorEastAsia" w:eastAsiaTheme="minorEastAsia"/>
                <w:szCs w:val="21"/>
              </w:rPr>
              <w:t>付款方式</w:t>
            </w:r>
          </w:p>
        </w:tc>
        <w:tc>
          <w:tcPr>
            <w:tcW w:w="8540" w:type="dxa"/>
            <w:gridSpan w:val="3"/>
            <w:tcBorders>
              <w:top w:val="single" w:color="auto" w:sz="4" w:space="0"/>
              <w:left w:val="nil"/>
              <w:bottom w:val="single" w:color="auto" w:sz="4" w:space="0"/>
              <w:right w:val="single" w:color="000000" w:sz="4" w:space="0"/>
            </w:tcBorders>
            <w:vAlign w:val="center"/>
          </w:tcPr>
          <w:p w14:paraId="20BF38EB">
            <w:pPr>
              <w:pStyle w:val="3"/>
              <w:ind w:left="0" w:leftChars="0" w:firstLine="0" w:firstLineChars="0"/>
              <w:rPr>
                <w:rFonts w:hint="eastAsia" w:eastAsiaTheme="minorEastAsia"/>
                <w:lang w:val="en-US" w:eastAsia="zh-CN"/>
              </w:rPr>
            </w:pPr>
            <w:r>
              <w:rPr>
                <w:rFonts w:hint="eastAsia" w:cs="宋体" w:asciiTheme="minorEastAsia" w:hAnsiTheme="minorEastAsia" w:eastAsiaTheme="minorEastAsia"/>
                <w:bCs w:val="0"/>
                <w:color w:val="auto"/>
                <w:sz w:val="21"/>
                <w:szCs w:val="21"/>
                <w:lang w:val="en-US"/>
              </w:rPr>
              <w:t>付款方式：按月支付，每月支付中标金额的十二分之一</w:t>
            </w:r>
            <w:r>
              <w:rPr>
                <w:rFonts w:hint="eastAsia" w:cs="宋体" w:asciiTheme="minorEastAsia" w:hAnsiTheme="minorEastAsia" w:eastAsiaTheme="minorEastAsia"/>
                <w:bCs w:val="0"/>
                <w:color w:val="auto"/>
                <w:sz w:val="21"/>
                <w:szCs w:val="21"/>
                <w:lang w:val="en-US" w:eastAsia="zh-CN"/>
              </w:rPr>
              <w:t>。</w:t>
            </w:r>
          </w:p>
        </w:tc>
      </w:tr>
      <w:tr w14:paraId="7A68B6EE">
        <w:tblPrEx>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729F249C">
            <w:pPr>
              <w:spacing w:line="360" w:lineRule="auto"/>
              <w:jc w:val="center"/>
              <w:rPr>
                <w:rFonts w:hint="default" w:ascii="宋体" w:hAnsi="宋体" w:eastAsia="宋体" w:cs="宋体"/>
                <w:szCs w:val="21"/>
                <w:lang w:val="en-US" w:eastAsia="zh-CN"/>
              </w:rPr>
            </w:pPr>
            <w:r>
              <w:rPr>
                <w:rFonts w:hint="eastAsia" w:ascii="宋体" w:hAnsi="宋体" w:cs="宋体"/>
                <w:b/>
                <w:bCs/>
                <w:kern w:val="0"/>
                <w:szCs w:val="21"/>
              </w:rPr>
              <w:t>★</w:t>
            </w:r>
            <w:r>
              <w:rPr>
                <w:rFonts w:hint="eastAsia" w:ascii="宋体" w:hAnsi="宋体" w:cs="宋体"/>
                <w:szCs w:val="21"/>
                <w:lang w:val="en-US" w:eastAsia="zh-CN"/>
              </w:rPr>
              <w:t>所属行业</w:t>
            </w:r>
          </w:p>
        </w:tc>
        <w:tc>
          <w:tcPr>
            <w:tcW w:w="8540" w:type="dxa"/>
            <w:gridSpan w:val="3"/>
            <w:tcBorders>
              <w:top w:val="single" w:color="auto" w:sz="4" w:space="0"/>
              <w:left w:val="nil"/>
              <w:bottom w:val="single" w:color="auto" w:sz="4" w:space="0"/>
              <w:right w:val="single" w:color="000000" w:sz="4" w:space="0"/>
            </w:tcBorders>
            <w:vAlign w:val="center"/>
          </w:tcPr>
          <w:p w14:paraId="1EF213B7">
            <w:pPr>
              <w:pStyle w:val="7"/>
              <w:rPr>
                <w:rFonts w:hint="eastAsia" w:eastAsiaTheme="minorEastAsia"/>
                <w:lang w:val="en-US" w:eastAsia="zh-CN"/>
              </w:rPr>
            </w:pPr>
            <w:r>
              <w:rPr>
                <w:rFonts w:hint="eastAsia" w:asciiTheme="minorEastAsia" w:hAnsiTheme="minorEastAsia" w:eastAsiaTheme="minorEastAsia"/>
                <w:bCs w:val="0"/>
                <w:sz w:val="21"/>
                <w:szCs w:val="21"/>
                <w:lang w:val="en-US"/>
              </w:rPr>
              <w:t>所属行业为：信息传输</w:t>
            </w:r>
            <w:r>
              <w:rPr>
                <w:rFonts w:hint="eastAsia"/>
                <w:lang w:eastAsia="zh-CN"/>
              </w:rPr>
              <w:t>业</w:t>
            </w:r>
            <w:r>
              <w:rPr>
                <w:rFonts w:hint="eastAsia" w:asciiTheme="minorEastAsia" w:hAnsiTheme="minorEastAsia" w:eastAsiaTheme="minorEastAsia"/>
                <w:bCs w:val="0"/>
                <w:sz w:val="21"/>
                <w:szCs w:val="21"/>
                <w:lang w:val="en-US" w:eastAsia="zh-CN"/>
              </w:rPr>
              <w:t>。</w:t>
            </w:r>
          </w:p>
        </w:tc>
      </w:tr>
      <w:tr w14:paraId="09541520">
        <w:tblPrEx>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297D2135">
            <w:pPr>
              <w:spacing w:line="360" w:lineRule="auto"/>
              <w:jc w:val="center"/>
              <w:rPr>
                <w:rFonts w:hint="eastAsia" w:ascii="宋体" w:hAnsi="宋体" w:cs="宋体"/>
                <w:b/>
                <w:bCs/>
                <w:kern w:val="0"/>
                <w:szCs w:val="21"/>
              </w:rPr>
            </w:pPr>
            <w:r>
              <w:rPr>
                <w:rFonts w:hint="eastAsia" w:ascii="宋体" w:hAnsi="宋体" w:cs="宋体"/>
                <w:szCs w:val="21"/>
              </w:rPr>
              <w:t>其它要求</w:t>
            </w:r>
          </w:p>
        </w:tc>
        <w:tc>
          <w:tcPr>
            <w:tcW w:w="8540" w:type="dxa"/>
            <w:gridSpan w:val="3"/>
            <w:tcBorders>
              <w:top w:val="single" w:color="auto" w:sz="4" w:space="0"/>
              <w:left w:val="nil"/>
              <w:bottom w:val="single" w:color="auto" w:sz="4" w:space="0"/>
              <w:right w:val="single" w:color="000000" w:sz="4" w:space="0"/>
            </w:tcBorders>
            <w:vAlign w:val="center"/>
          </w:tcPr>
          <w:p w14:paraId="3801CAC5">
            <w:pPr>
              <w:widowControl/>
              <w:numPr>
                <w:ilvl w:val="0"/>
                <w:numId w:val="0"/>
              </w:numPr>
              <w:spacing w:line="360" w:lineRule="auto"/>
              <w:jc w:val="left"/>
              <w:rPr>
                <w:rFonts w:hint="default" w:ascii="宋体" w:hAnsi="宋体" w:cs="宋体"/>
                <w:b/>
                <w:bCs/>
                <w:color w:val="auto"/>
                <w:szCs w:val="21"/>
                <w:highlight w:val="none"/>
                <w:lang w:val="en-US" w:eastAsia="zh-CN"/>
              </w:rPr>
            </w:pPr>
            <w:r>
              <w:rPr>
                <w:rFonts w:hint="default" w:ascii="宋体" w:hAnsi="宋体" w:cs="宋体"/>
                <w:b/>
                <w:bCs/>
                <w:color w:val="auto"/>
                <w:szCs w:val="21"/>
                <w:highlight w:val="none"/>
                <w:lang w:val="en-US" w:eastAsia="zh-CN"/>
              </w:rPr>
              <w:t>（1）现场勘察：投标人自行决定是否进行现场勘察，所产生的费用由投标人自行承担，采购人不额外支付费用。</w:t>
            </w:r>
          </w:p>
          <w:p w14:paraId="7C77C266">
            <w:pPr>
              <w:widowControl/>
              <w:numPr>
                <w:ilvl w:val="0"/>
                <w:numId w:val="0"/>
              </w:numPr>
              <w:spacing w:line="360" w:lineRule="auto"/>
              <w:jc w:val="left"/>
              <w:rPr>
                <w:rFonts w:hint="default" w:ascii="宋体" w:hAnsi="宋体" w:cs="宋体"/>
                <w:b/>
                <w:bCs/>
                <w:color w:val="auto"/>
                <w:szCs w:val="21"/>
                <w:highlight w:val="none"/>
                <w:lang w:val="en-US" w:eastAsia="zh-CN"/>
              </w:rPr>
            </w:pPr>
            <w:r>
              <w:rPr>
                <w:rFonts w:hint="default" w:ascii="宋体" w:hAnsi="宋体" w:cs="宋体"/>
                <w:b/>
                <w:bCs/>
                <w:color w:val="auto"/>
                <w:szCs w:val="21"/>
                <w:highlight w:val="none"/>
                <w:lang w:val="en-US" w:eastAsia="zh-CN"/>
              </w:rPr>
              <w:t>（2）现场勘查联系人及联系电话：徐工 15877029083</w:t>
            </w:r>
          </w:p>
          <w:p w14:paraId="3B48CA7D">
            <w:pPr>
              <w:pStyle w:val="7"/>
              <w:rPr>
                <w:rFonts w:hint="eastAsia" w:asciiTheme="minorEastAsia" w:hAnsiTheme="minorEastAsia" w:eastAsiaTheme="minorEastAsia"/>
                <w:bCs w:val="0"/>
                <w:sz w:val="21"/>
                <w:szCs w:val="21"/>
                <w:lang w:val="en-US"/>
              </w:rPr>
            </w:pPr>
            <w:r>
              <w:rPr>
                <w:rFonts w:hint="default" w:ascii="宋体" w:hAnsi="宋体" w:cs="宋体"/>
                <w:b/>
                <w:bCs/>
                <w:color w:val="auto"/>
                <w:szCs w:val="21"/>
                <w:highlight w:val="none"/>
                <w:lang w:val="en-US" w:eastAsia="zh-CN"/>
              </w:rPr>
              <w:t>（3）现场勘查接待时间及地点：桂林国家高新区七星区数字城管应急指挥中心，时间自行商定。</w:t>
            </w:r>
          </w:p>
        </w:tc>
      </w:tr>
    </w:tbl>
    <w:p w14:paraId="77B6377C">
      <w:pPr>
        <w:rPr>
          <w:color w:val="000000" w:themeColor="text1"/>
          <w14:textFill>
            <w14:solidFill>
              <w14:schemeClr w14:val="tx1"/>
            </w14:solidFill>
          </w14:textFill>
        </w:rPr>
      </w:pPr>
    </w:p>
    <w:p w14:paraId="0A3FE13A">
      <w:pPr>
        <w:rPr>
          <w:color w:val="000000" w:themeColor="text1"/>
          <w14:textFill>
            <w14:solidFill>
              <w14:schemeClr w14:val="tx1"/>
            </w14:solidFill>
          </w14:textFill>
        </w:rPr>
      </w:pPr>
    </w:p>
    <w:p w14:paraId="4FB03673">
      <w:pPr>
        <w:rPr>
          <w:color w:val="000000" w:themeColor="text1"/>
          <w14:textFill>
            <w14:solidFill>
              <w14:schemeClr w14:val="tx1"/>
            </w14:solidFill>
          </w14:textFill>
        </w:rPr>
      </w:pPr>
    </w:p>
    <w:p w14:paraId="3625C573">
      <w:pPr>
        <w:rPr>
          <w:color w:val="000000" w:themeColor="text1"/>
          <w14:textFill>
            <w14:solidFill>
              <w14:schemeClr w14:val="tx1"/>
            </w14:solidFill>
          </w14:textFill>
        </w:rPr>
      </w:pPr>
    </w:p>
    <w:p w14:paraId="5F075814">
      <w:pPr>
        <w:rPr>
          <w:color w:val="000000" w:themeColor="text1"/>
          <w14:textFill>
            <w14:solidFill>
              <w14:schemeClr w14:val="tx1"/>
            </w14:solidFill>
          </w14:textFill>
        </w:rPr>
      </w:pPr>
    </w:p>
    <w:p w14:paraId="4D7E644F">
      <w:pPr>
        <w:rPr>
          <w:color w:val="000000" w:themeColor="text1"/>
          <w14:textFill>
            <w14:solidFill>
              <w14:schemeClr w14:val="tx1"/>
            </w14:solidFill>
          </w14:textFill>
        </w:rPr>
      </w:pPr>
    </w:p>
    <w:p w14:paraId="0BA94D54">
      <w:pPr>
        <w:rPr>
          <w:color w:val="000000" w:themeColor="text1"/>
          <w14:textFill>
            <w14:solidFill>
              <w14:schemeClr w14:val="tx1"/>
            </w14:solidFill>
          </w14:textFill>
        </w:rPr>
      </w:pPr>
    </w:p>
    <w:p w14:paraId="0FF42E7D">
      <w:pPr>
        <w:rPr>
          <w:color w:val="000000" w:themeColor="text1"/>
          <w14:textFill>
            <w14:solidFill>
              <w14:schemeClr w14:val="tx1"/>
            </w14:solidFill>
          </w14:textFill>
        </w:rPr>
      </w:pPr>
    </w:p>
    <w:p w14:paraId="14C9C0A5">
      <w:pPr>
        <w:rPr>
          <w:color w:val="000000" w:themeColor="text1"/>
          <w14:textFill>
            <w14:solidFill>
              <w14:schemeClr w14:val="tx1"/>
            </w14:solidFill>
          </w14:textFill>
        </w:rPr>
      </w:pPr>
    </w:p>
    <w:p w14:paraId="6B7FE352">
      <w:pPr>
        <w:rPr>
          <w:color w:val="000000" w:themeColor="text1"/>
          <w14:textFill>
            <w14:solidFill>
              <w14:schemeClr w14:val="tx1"/>
            </w14:solidFill>
          </w14:textFill>
        </w:rPr>
      </w:pPr>
    </w:p>
    <w:p w14:paraId="60DB4368">
      <w:pPr>
        <w:rPr>
          <w:color w:val="000000" w:themeColor="text1"/>
          <w14:textFill>
            <w14:solidFill>
              <w14:schemeClr w14:val="tx1"/>
            </w14:solidFill>
          </w14:textFill>
        </w:rPr>
      </w:pPr>
    </w:p>
    <w:p w14:paraId="4D082906">
      <w:pPr>
        <w:rPr>
          <w:color w:val="000000" w:themeColor="text1"/>
          <w14:textFill>
            <w14:solidFill>
              <w14:schemeClr w14:val="tx1"/>
            </w14:solidFill>
          </w14:textFill>
        </w:rPr>
      </w:pPr>
    </w:p>
    <w:p w14:paraId="1995619F">
      <w:pPr>
        <w:rPr>
          <w:color w:val="000000" w:themeColor="text1"/>
          <w14:textFill>
            <w14:solidFill>
              <w14:schemeClr w14:val="tx1"/>
            </w14:solidFill>
          </w14:textFill>
        </w:rPr>
      </w:pPr>
    </w:p>
    <w:p w14:paraId="214B788E">
      <w:pPr>
        <w:rPr>
          <w:color w:val="000000" w:themeColor="text1"/>
          <w14:textFill>
            <w14:solidFill>
              <w14:schemeClr w14:val="tx1"/>
            </w14:solidFill>
          </w14:textFill>
        </w:rPr>
      </w:pPr>
    </w:p>
    <w:p w14:paraId="46C974E4">
      <w:pPr>
        <w:rPr>
          <w:color w:val="000000" w:themeColor="text1"/>
          <w14:textFill>
            <w14:solidFill>
              <w14:schemeClr w14:val="tx1"/>
            </w14:solidFill>
          </w14:textFill>
        </w:rPr>
      </w:pPr>
    </w:p>
    <w:p w14:paraId="0E6E6AC6">
      <w:pPr>
        <w:rPr>
          <w:color w:val="000000" w:themeColor="text1"/>
          <w14:textFill>
            <w14:solidFill>
              <w14:schemeClr w14:val="tx1"/>
            </w14:solidFill>
          </w14:textFill>
        </w:rPr>
      </w:pPr>
    </w:p>
    <w:p w14:paraId="38E75A1E">
      <w:pPr>
        <w:rPr>
          <w:color w:val="000000" w:themeColor="text1"/>
          <w14:textFill>
            <w14:solidFill>
              <w14:schemeClr w14:val="tx1"/>
            </w14:solidFill>
          </w14:textFill>
        </w:rPr>
      </w:pPr>
    </w:p>
    <w:p w14:paraId="1B307313">
      <w:pPr>
        <w:rPr>
          <w:color w:val="000000" w:themeColor="text1"/>
          <w14:textFill>
            <w14:solidFill>
              <w14:schemeClr w14:val="tx1"/>
            </w14:solidFill>
          </w14:textFill>
        </w:rPr>
      </w:pPr>
    </w:p>
    <w:p w14:paraId="73672507">
      <w:pPr>
        <w:rPr>
          <w:color w:val="000000" w:themeColor="text1"/>
          <w14:textFill>
            <w14:solidFill>
              <w14:schemeClr w14:val="tx1"/>
            </w14:solidFill>
          </w14:textFill>
        </w:rPr>
      </w:pPr>
    </w:p>
    <w:p w14:paraId="421722BB">
      <w:pPr>
        <w:rPr>
          <w:color w:val="000000" w:themeColor="text1"/>
          <w14:textFill>
            <w14:solidFill>
              <w14:schemeClr w14:val="tx1"/>
            </w14:solidFill>
          </w14:textFill>
        </w:rPr>
      </w:pPr>
    </w:p>
    <w:p w14:paraId="2C7DB715">
      <w:pPr>
        <w:rPr>
          <w:color w:val="000000" w:themeColor="text1"/>
          <w14:textFill>
            <w14:solidFill>
              <w14:schemeClr w14:val="tx1"/>
            </w14:solidFill>
          </w14:textFill>
        </w:rPr>
      </w:pPr>
    </w:p>
    <w:p w14:paraId="338F7024">
      <w:pPr>
        <w:rPr>
          <w:color w:val="000000" w:themeColor="text1"/>
          <w14:textFill>
            <w14:solidFill>
              <w14:schemeClr w14:val="tx1"/>
            </w14:solidFill>
          </w14:textFill>
        </w:rPr>
      </w:pPr>
    </w:p>
    <w:p w14:paraId="6FE79D34">
      <w:pPr>
        <w:rPr>
          <w:color w:val="000000" w:themeColor="text1"/>
          <w14:textFill>
            <w14:solidFill>
              <w14:schemeClr w14:val="tx1"/>
            </w14:solidFill>
          </w14:textFill>
        </w:rPr>
      </w:pPr>
    </w:p>
    <w:p w14:paraId="14693935">
      <w:pPr>
        <w:rPr>
          <w:color w:val="000000" w:themeColor="text1"/>
          <w14:textFill>
            <w14:solidFill>
              <w14:schemeClr w14:val="tx1"/>
            </w14:solidFill>
          </w14:textFill>
        </w:rPr>
      </w:pPr>
    </w:p>
    <w:p w14:paraId="232D40A3">
      <w:pPr>
        <w:rPr>
          <w:color w:val="000000" w:themeColor="text1"/>
          <w14:textFill>
            <w14:solidFill>
              <w14:schemeClr w14:val="tx1"/>
            </w14:solidFill>
          </w14:textFill>
        </w:rPr>
      </w:pPr>
    </w:p>
    <w:p w14:paraId="28CBED96">
      <w:pPr>
        <w:rPr>
          <w:color w:val="000000" w:themeColor="text1"/>
          <w14:textFill>
            <w14:solidFill>
              <w14:schemeClr w14:val="tx1"/>
            </w14:solidFill>
          </w14:textFill>
        </w:rPr>
      </w:pPr>
    </w:p>
    <w:p w14:paraId="62BF134F">
      <w:pPr>
        <w:rPr>
          <w:color w:val="000000" w:themeColor="text1"/>
          <w14:textFill>
            <w14:solidFill>
              <w14:schemeClr w14:val="tx1"/>
            </w14:solidFill>
          </w14:textFill>
        </w:rPr>
      </w:pPr>
    </w:p>
    <w:p w14:paraId="360EEB97">
      <w:pPr>
        <w:rPr>
          <w:color w:val="000000" w:themeColor="text1"/>
          <w14:textFill>
            <w14:solidFill>
              <w14:schemeClr w14:val="tx1"/>
            </w14:solidFill>
          </w14:textFill>
        </w:rPr>
      </w:pPr>
    </w:p>
    <w:p w14:paraId="31230E2C">
      <w:pPr>
        <w:rPr>
          <w:color w:val="000000" w:themeColor="text1"/>
          <w14:textFill>
            <w14:solidFill>
              <w14:schemeClr w14:val="tx1"/>
            </w14:solidFill>
          </w14:textFill>
        </w:rPr>
      </w:pPr>
    </w:p>
    <w:p w14:paraId="2CC926AA">
      <w:pPr>
        <w:rPr>
          <w:color w:val="000000" w:themeColor="text1"/>
          <w14:textFill>
            <w14:solidFill>
              <w14:schemeClr w14:val="tx1"/>
            </w14:solidFill>
          </w14:textFill>
        </w:rPr>
      </w:pPr>
    </w:p>
    <w:p w14:paraId="64B87920">
      <w:pPr>
        <w:rPr>
          <w:color w:val="000000" w:themeColor="text1"/>
          <w14:textFill>
            <w14:solidFill>
              <w14:schemeClr w14:val="tx1"/>
            </w14:solidFill>
          </w14:textFill>
        </w:rPr>
      </w:pPr>
    </w:p>
    <w:p w14:paraId="5F191AAE">
      <w:pPr>
        <w:rPr>
          <w:color w:val="000000" w:themeColor="text1"/>
          <w14:textFill>
            <w14:solidFill>
              <w14:schemeClr w14:val="tx1"/>
            </w14:solidFill>
          </w14:textFill>
        </w:rPr>
      </w:pPr>
    </w:p>
    <w:p w14:paraId="4E2D4ACC">
      <w:pPr>
        <w:rPr>
          <w:color w:val="000000" w:themeColor="text1"/>
          <w14:textFill>
            <w14:solidFill>
              <w14:schemeClr w14:val="tx1"/>
            </w14:solidFill>
          </w14:textFill>
        </w:rPr>
      </w:pPr>
    </w:p>
    <w:p w14:paraId="7563A3C3">
      <w:pPr>
        <w:rPr>
          <w:color w:val="000000" w:themeColor="text1"/>
          <w14:textFill>
            <w14:solidFill>
              <w14:schemeClr w14:val="tx1"/>
            </w14:solidFill>
          </w14:textFill>
        </w:rPr>
      </w:pPr>
    </w:p>
    <w:p w14:paraId="5671E1F7">
      <w:pPr>
        <w:rPr>
          <w:color w:val="000000" w:themeColor="text1"/>
          <w14:textFill>
            <w14:solidFill>
              <w14:schemeClr w14:val="tx1"/>
            </w14:solidFill>
          </w14:textFill>
        </w:rPr>
      </w:pPr>
    </w:p>
    <w:p w14:paraId="284B0331">
      <w:pPr>
        <w:rPr>
          <w:color w:val="000000" w:themeColor="text1"/>
          <w14:textFill>
            <w14:solidFill>
              <w14:schemeClr w14:val="tx1"/>
            </w14:solidFill>
          </w14:textFill>
        </w:rPr>
      </w:pPr>
    </w:p>
    <w:p w14:paraId="668AF2C3">
      <w:pPr>
        <w:rPr>
          <w:color w:val="000000" w:themeColor="text1"/>
          <w14:textFill>
            <w14:solidFill>
              <w14:schemeClr w14:val="tx1"/>
            </w14:solidFill>
          </w14:textFill>
        </w:rPr>
      </w:pPr>
    </w:p>
    <w:p w14:paraId="709797E9">
      <w:pPr>
        <w:rPr>
          <w:color w:val="000000" w:themeColor="text1"/>
          <w14:textFill>
            <w14:solidFill>
              <w14:schemeClr w14:val="tx1"/>
            </w14:solidFill>
          </w14:textFill>
        </w:rPr>
      </w:pPr>
    </w:p>
    <w:p w14:paraId="5A82A823">
      <w:pPr>
        <w:rPr>
          <w:color w:val="000000" w:themeColor="text1"/>
          <w14:textFill>
            <w14:solidFill>
              <w14:schemeClr w14:val="tx1"/>
            </w14:solidFill>
          </w14:textFill>
        </w:rPr>
      </w:pPr>
    </w:p>
    <w:p w14:paraId="617931B6">
      <w:pPr>
        <w:pStyle w:val="2"/>
        <w:tabs>
          <w:tab w:val="left" w:pos="0"/>
        </w:tabs>
        <w:autoSpaceDE w:val="0"/>
        <w:autoSpaceDN w:val="0"/>
        <w:adjustRightInd w:val="0"/>
        <w:spacing w:before="0" w:after="0" w:line="360" w:lineRule="auto"/>
        <w:jc w:val="center"/>
        <w:rPr>
          <w:rFonts w:hint="eastAsia" w:ascii="宋体" w:hAnsi="宋体" w:cs="宋体"/>
          <w:color w:val="000000" w:themeColor="text1"/>
          <w:sz w:val="32"/>
          <w:szCs w:val="32"/>
          <w14:textFill>
            <w14:solidFill>
              <w14:schemeClr w14:val="tx1"/>
            </w14:solidFill>
          </w14:textFill>
        </w:rPr>
      </w:pPr>
      <w:bookmarkStart w:id="154" w:name="_Toc28419"/>
      <w:r>
        <w:rPr>
          <w:rFonts w:hint="eastAsia" w:ascii="宋体" w:hAnsi="宋体" w:cs="宋体"/>
          <w:color w:val="000000" w:themeColor="text1"/>
          <w:sz w:val="32"/>
          <w:szCs w:val="32"/>
          <w14:textFill>
            <w14:solidFill>
              <w14:schemeClr w14:val="tx1"/>
            </w14:solidFill>
          </w14:textFill>
        </w:rPr>
        <w:t>第四章 评审办法</w:t>
      </w:r>
      <w:bookmarkEnd w:id="153"/>
      <w:bookmarkEnd w:id="154"/>
    </w:p>
    <w:p w14:paraId="0174FBA5">
      <w:pPr>
        <w:spacing w:line="360" w:lineRule="exact"/>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一、评审依据</w:t>
      </w:r>
    </w:p>
    <w:p w14:paraId="7FE6AB53">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评审依据：磋商小组以磋商文件和响应文件为评审依据，对供应商的响应文件进行评审。</w:t>
      </w:r>
    </w:p>
    <w:p w14:paraId="4F478CCF">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评审方式：以封闭方式进行评审。</w:t>
      </w:r>
    </w:p>
    <w:p w14:paraId="06F1B7BF">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3.采购人和采购代理机构、竞争性磋商小组成员要严格遵守政府采购相关法律制度，依法履行各自职责，公正、客观、审慎地组织和参与评审工作。</w:t>
      </w:r>
    </w:p>
    <w:p w14:paraId="0222C600">
      <w:pPr>
        <w:spacing w:line="360" w:lineRule="exact"/>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二、评审办法</w:t>
      </w:r>
    </w:p>
    <w:p w14:paraId="0B12968A">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（一）对进入详评的，采用</w:t>
      </w:r>
      <w:r>
        <w:rPr>
          <w:rFonts w:hint="eastAsia" w:ascii="宋体" w:hAnsi="宋体" w:cs="宋体"/>
          <w:b/>
          <w:bCs/>
          <w:color w:val="000000" w:themeColor="text1"/>
          <w:szCs w:val="21"/>
          <w14:textFill>
            <w14:solidFill>
              <w14:schemeClr w14:val="tx1"/>
            </w14:solidFill>
          </w14:textFill>
        </w:rPr>
        <w:t>综合评分法</w:t>
      </w:r>
      <w:r>
        <w:rPr>
          <w:rFonts w:hint="eastAsia" w:ascii="宋体" w:hAnsi="宋体" w:cs="宋体"/>
          <w:color w:val="000000" w:themeColor="text1"/>
          <w:szCs w:val="21"/>
          <w14:textFill>
            <w14:solidFill>
              <w14:schemeClr w14:val="tx1"/>
            </w14:solidFill>
          </w14:textFill>
        </w:rPr>
        <w:t>。</w:t>
      </w:r>
    </w:p>
    <w:p w14:paraId="6325E9E0">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（二）计分办法（</w:t>
      </w:r>
      <w:r>
        <w:rPr>
          <w:rFonts w:hint="eastAsia" w:hAnsi="宋体" w:cs="宋体"/>
          <w:bCs/>
          <w:color w:val="000000" w:themeColor="text1"/>
          <w:szCs w:val="21"/>
          <w14:textFill>
            <w14:solidFill>
              <w14:schemeClr w14:val="tx1"/>
            </w14:solidFill>
          </w14:textFill>
        </w:rPr>
        <w:t>按四舍五入取至百分位</w:t>
      </w:r>
      <w:r>
        <w:rPr>
          <w:rFonts w:hint="eastAsia" w:ascii="宋体" w:hAnsi="宋体" w:cs="宋体"/>
          <w:color w:val="000000" w:themeColor="text1"/>
          <w:szCs w:val="21"/>
          <w14:textFill>
            <w14:solidFill>
              <w14:schemeClr w14:val="tx1"/>
            </w14:solidFill>
          </w14:textFill>
        </w:rPr>
        <w:t>）</w:t>
      </w:r>
    </w:p>
    <w:p w14:paraId="408A1A9F">
      <w:pPr>
        <w:spacing w:line="360" w:lineRule="exact"/>
        <w:jc w:val="left"/>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1、价格分………………………………………………………………………………………………………30分</w:t>
      </w:r>
    </w:p>
    <w:p w14:paraId="0D2C11AB">
      <w:pPr>
        <w:pStyle w:val="11"/>
        <w:spacing w:line="360" w:lineRule="auto"/>
        <w:ind w:firstLine="420" w:firstLineChars="200"/>
        <w:rPr>
          <w:rFonts w:hint="eastAsia" w:hAnsi="宋体" w:cs="宋体"/>
          <w:color w:val="000000"/>
          <w:szCs w:val="21"/>
        </w:rPr>
      </w:pPr>
      <w:r>
        <w:rPr>
          <w:rFonts w:hint="eastAsia" w:hAnsi="宋体" w:cs="宋体"/>
          <w:bCs/>
          <w:color w:val="000000"/>
          <w:szCs w:val="21"/>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14:paraId="6EAE80AB">
      <w:pPr>
        <w:pStyle w:val="11"/>
        <w:spacing w:line="360" w:lineRule="auto"/>
        <w:ind w:firstLine="420"/>
        <w:rPr>
          <w:rFonts w:hint="eastAsia" w:hAnsi="宋体" w:cs="宋体"/>
          <w:color w:val="000000"/>
          <w:szCs w:val="21"/>
        </w:rPr>
      </w:pPr>
      <w:r>
        <w:rPr>
          <w:rFonts w:hint="eastAsia" w:hAnsi="宋体" w:cs="宋体"/>
          <w:b/>
          <w:color w:val="000000"/>
          <w:szCs w:val="21"/>
        </w:rPr>
        <w:t>注：中小微型企业划分标准按照《国家统计局关于印发〈统计上大中小微型企业划分办法〉〔2017〕的通知》（国统字〔2017〕213号）执行，具体划分标准见附表《统计上大中小微型企业划分标准》。</w:t>
      </w:r>
    </w:p>
    <w:p w14:paraId="378B1F20">
      <w:pPr>
        <w:pStyle w:val="11"/>
        <w:numPr>
          <w:ilvl w:val="0"/>
          <w:numId w:val="12"/>
        </w:numPr>
        <w:spacing w:line="360" w:lineRule="auto"/>
        <w:ind w:firstLine="420"/>
        <w:rPr>
          <w:rFonts w:hint="eastAsia" w:hAnsi="宋体" w:cs="宋体"/>
          <w:color w:val="000000"/>
          <w:kern w:val="0"/>
          <w:szCs w:val="21"/>
        </w:rPr>
      </w:pPr>
      <w:r>
        <w:rPr>
          <w:rFonts w:hint="eastAsia" w:hAnsi="宋体" w:cs="宋体"/>
          <w:color w:val="000000"/>
          <w:kern w:val="0"/>
          <w:szCs w:val="21"/>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6F35E3F7">
      <w:pPr>
        <w:pStyle w:val="11"/>
        <w:numPr>
          <w:ilvl w:val="0"/>
          <w:numId w:val="12"/>
        </w:numPr>
        <w:spacing w:line="360" w:lineRule="auto"/>
        <w:ind w:firstLine="420"/>
        <w:rPr>
          <w:rFonts w:hint="eastAsia" w:hAnsi="宋体" w:cs="宋体"/>
          <w:color w:val="000000"/>
          <w:szCs w:val="21"/>
        </w:rPr>
      </w:pPr>
      <w:r>
        <w:rPr>
          <w:rFonts w:hint="eastAsia" w:hAnsi="宋体" w:cs="宋体"/>
          <w:color w:val="000000"/>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017776AB">
      <w:pPr>
        <w:pStyle w:val="11"/>
        <w:spacing w:line="360" w:lineRule="auto"/>
        <w:ind w:firstLine="420" w:firstLineChars="200"/>
        <w:rPr>
          <w:rFonts w:hint="eastAsia" w:hAnsi="宋体" w:cs="宋体"/>
          <w:color w:val="000000"/>
          <w:szCs w:val="21"/>
        </w:rPr>
      </w:pPr>
      <w:r>
        <w:rPr>
          <w:rFonts w:hint="eastAsia" w:hAnsi="宋体" w:cs="宋体"/>
          <w:color w:val="000000"/>
          <w:szCs w:val="21"/>
        </w:rPr>
        <w:t>对于不属于以上情形的供应商，其投标报价即为评标价。</w:t>
      </w:r>
    </w:p>
    <w:p w14:paraId="5F101C04">
      <w:pPr>
        <w:pStyle w:val="11"/>
        <w:spacing w:line="360" w:lineRule="auto"/>
        <w:ind w:firstLine="420"/>
        <w:rPr>
          <w:rFonts w:hint="eastAsia" w:hAnsi="宋体" w:cs="宋体"/>
          <w:color w:val="000000"/>
          <w:kern w:val="0"/>
          <w:szCs w:val="21"/>
        </w:rPr>
      </w:pPr>
      <w:r>
        <w:rPr>
          <w:rFonts w:hint="eastAsia" w:hAnsi="宋体" w:cs="宋体"/>
          <w:color w:val="000000"/>
          <w:kern w:val="0"/>
          <w:szCs w:val="21"/>
        </w:rPr>
        <w:t>（4）价格分采用低价优先法计算，即满足招标文件要求且评标报价最低的评标报价为评标基准价，其价格分为30分。</w:t>
      </w:r>
    </w:p>
    <w:p w14:paraId="080FB181">
      <w:pPr>
        <w:pStyle w:val="11"/>
        <w:spacing w:line="360" w:lineRule="auto"/>
        <w:ind w:firstLine="420"/>
        <w:rPr>
          <w:rFonts w:hint="eastAsia" w:hAnsi="宋体" w:cs="宋体"/>
          <w:color w:val="000000"/>
          <w:kern w:val="0"/>
          <w:szCs w:val="21"/>
        </w:rPr>
      </w:pPr>
      <w:r>
        <w:rPr>
          <w:rFonts w:hint="eastAsia" w:hAnsi="宋体" w:cs="宋体"/>
          <w:color w:val="000000"/>
          <w:kern w:val="0"/>
          <w:szCs w:val="21"/>
        </w:rPr>
        <w:t>（5）价格分计算公式：</w:t>
      </w:r>
    </w:p>
    <w:p w14:paraId="5D195DF4">
      <w:pPr>
        <w:pStyle w:val="11"/>
        <w:spacing w:line="360" w:lineRule="auto"/>
        <w:ind w:firstLine="3087" w:firstLineChars="1470"/>
        <w:rPr>
          <w:rFonts w:hint="eastAsia" w:hAnsi="宋体" w:cs="宋体"/>
          <w:bCs/>
          <w:color w:val="000000"/>
          <w:szCs w:val="21"/>
        </w:rPr>
      </w:pPr>
      <w:r>
        <w:rPr>
          <w:rFonts w:hint="eastAsia" w:hAnsi="宋体" w:cs="宋体"/>
          <w:bCs/>
          <w:color w:val="000000"/>
          <w:szCs w:val="21"/>
        </w:rPr>
        <w:t>最低供应商</w:t>
      </w:r>
      <w:r>
        <w:rPr>
          <w:rFonts w:hint="eastAsia" w:hAnsi="宋体" w:cs="宋体"/>
          <w:color w:val="000000"/>
          <w:szCs w:val="21"/>
        </w:rPr>
        <w:t>评标报价</w:t>
      </w:r>
      <w:r>
        <w:rPr>
          <w:rFonts w:hint="eastAsia" w:hAnsi="宋体" w:cs="宋体"/>
          <w:bCs/>
          <w:color w:val="000000"/>
          <w:szCs w:val="21"/>
        </w:rPr>
        <w:t xml:space="preserve">金额          </w:t>
      </w:r>
    </w:p>
    <w:p w14:paraId="31364D68">
      <w:pPr>
        <w:pStyle w:val="11"/>
        <w:spacing w:line="360" w:lineRule="auto"/>
        <w:ind w:firstLine="420"/>
        <w:rPr>
          <w:rFonts w:hint="eastAsia" w:hAnsi="宋体" w:cs="宋体"/>
          <w:bCs/>
          <w:color w:val="000000"/>
          <w:szCs w:val="21"/>
        </w:rPr>
      </w:pPr>
      <w:r>
        <w:rPr>
          <w:rFonts w:hAnsi="宋体" w:cs="宋体"/>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lqfO1gAAAAkBAAAPAAAAAAAAAAEAIAAAACIAAABkcnMvZG93bnJldi54bWxQSwECFAAUAAAA&#10;CACHTuJAW+DhRvABAADmAwAADgAAAAAAAAABACAAAAAlAQAAZHJzL2Uyb0RvYy54bWxQSwUGAAAA&#10;AAYABgBZAQAAhwUAAAAA&#10;">
                <v:fill on="f" focussize="0,0"/>
                <v:stroke color="#000000" joinstyle="round"/>
                <v:imagedata o:title=""/>
                <o:lock v:ext="edit" aspectratio="f"/>
              </v:line>
            </w:pict>
          </mc:Fallback>
        </mc:AlternateContent>
      </w:r>
      <w:r>
        <w:rPr>
          <w:rFonts w:hint="eastAsia" w:hAnsi="宋体" w:cs="宋体"/>
          <w:bCs/>
          <w:color w:val="000000"/>
          <w:szCs w:val="21"/>
        </w:rPr>
        <w:t>某供应商价格分 =                                      ×   30 分</w:t>
      </w:r>
    </w:p>
    <w:p w14:paraId="0B445A9D">
      <w:pPr>
        <w:pStyle w:val="11"/>
        <w:spacing w:line="360" w:lineRule="auto"/>
        <w:ind w:firstLine="420" w:firstLineChars="200"/>
        <w:rPr>
          <w:rFonts w:hint="eastAsia" w:hAnsi="宋体" w:cs="宋体"/>
          <w:b/>
          <w:color w:val="000000"/>
          <w:szCs w:val="21"/>
        </w:rPr>
      </w:pPr>
      <w:r>
        <w:rPr>
          <w:rFonts w:hint="eastAsia" w:hAnsi="宋体" w:cs="宋体"/>
          <w:bCs/>
          <w:color w:val="000000"/>
          <w:szCs w:val="21"/>
        </w:rPr>
        <w:t xml:space="preserve">                           某供应商</w:t>
      </w:r>
      <w:r>
        <w:rPr>
          <w:rFonts w:hint="eastAsia" w:hAnsi="宋体" w:cs="宋体"/>
          <w:color w:val="000000"/>
          <w:szCs w:val="21"/>
        </w:rPr>
        <w:t>评标报价</w:t>
      </w:r>
      <w:r>
        <w:rPr>
          <w:rFonts w:hint="eastAsia" w:hAnsi="宋体" w:cs="宋体"/>
          <w:bCs/>
          <w:color w:val="000000"/>
          <w:szCs w:val="21"/>
        </w:rPr>
        <w:t xml:space="preserve">金额  </w:t>
      </w:r>
    </w:p>
    <w:p w14:paraId="5854E59E">
      <w:pPr>
        <w:pStyle w:val="11"/>
        <w:spacing w:line="400" w:lineRule="exact"/>
        <w:ind w:left="420" w:leftChars="200"/>
        <w:rPr>
          <w:rFonts w:hint="eastAsia" w:hAnsi="宋体" w:cs="宋体"/>
          <w:b/>
          <w:bCs/>
          <w:kern w:val="0"/>
          <w:szCs w:val="21"/>
        </w:rPr>
      </w:pPr>
      <w:r>
        <w:rPr>
          <w:rFonts w:hint="eastAsia" w:hAnsi="宋体" w:cs="宋体"/>
          <w:b/>
          <w:bCs/>
          <w:kern w:val="0"/>
          <w:szCs w:val="21"/>
        </w:rPr>
        <w:t>2、技术服务分………………………………………………………………………</w:t>
      </w:r>
      <w:r>
        <w:rPr>
          <w:rFonts w:hint="eastAsia" w:hAnsi="宋体" w:cs="宋体"/>
          <w:b/>
          <w:bCs/>
          <w:szCs w:val="21"/>
        </w:rPr>
        <w:t>…………</w:t>
      </w:r>
      <w:r>
        <w:rPr>
          <w:rFonts w:hint="eastAsia" w:hAnsi="宋体" w:cs="宋体"/>
          <w:b/>
          <w:bCs/>
          <w:kern w:val="0"/>
          <w:szCs w:val="21"/>
        </w:rPr>
        <w:t>………………41分</w:t>
      </w:r>
    </w:p>
    <w:p w14:paraId="1DE19A02">
      <w:pPr>
        <w:pStyle w:val="11"/>
        <w:spacing w:line="400" w:lineRule="exact"/>
        <w:ind w:left="420" w:leftChars="200"/>
        <w:rPr>
          <w:rFonts w:hint="eastAsia" w:hAnsi="宋体" w:cs="宋体"/>
          <w:b/>
          <w:bCs/>
          <w:kern w:val="0"/>
          <w:szCs w:val="21"/>
        </w:rPr>
      </w:pPr>
      <w:r>
        <w:rPr>
          <w:rFonts w:hint="eastAsia" w:hAnsi="宋体" w:cs="宋体"/>
          <w:b/>
          <w:bCs/>
          <w:kern w:val="0"/>
          <w:szCs w:val="21"/>
        </w:rPr>
        <w:t>（1）技术性能分（满分26分）</w:t>
      </w:r>
    </w:p>
    <w:p w14:paraId="72DDFA84">
      <w:pPr>
        <w:spacing w:line="360" w:lineRule="auto"/>
        <w:ind w:firstLine="420" w:firstLineChars="200"/>
        <w:rPr>
          <w:rFonts w:hint="eastAsia" w:ascii="宋体" w:hAnsi="宋体" w:cs="宋体"/>
        </w:rPr>
      </w:pPr>
      <w:r>
        <w:rPr>
          <w:rFonts w:hint="eastAsia" w:ascii="宋体" w:hAnsi="宋体" w:cs="宋体"/>
        </w:rPr>
        <w:t>采购需求中标注“▲”号的条款系指与项目实际紧密相关的功能条款、技术指标，作为服务性能评审依据，由评委根据竞标人提供的证明材料</w:t>
      </w:r>
      <w:r>
        <w:rPr>
          <w:rFonts w:hint="eastAsia"/>
        </w:rPr>
        <w:t>扫描件</w:t>
      </w:r>
      <w:r>
        <w:rPr>
          <w:rFonts w:hint="eastAsia" w:ascii="宋体" w:hAnsi="宋体" w:cs="宋体"/>
        </w:rPr>
        <w:t>并加盖竞标人CA签章进行打分，</w:t>
      </w:r>
      <w:r>
        <w:rPr>
          <w:rFonts w:hint="eastAsia" w:ascii="宋体" w:hAnsi="宋体" w:cs="宋体"/>
          <w:b/>
          <w:bCs/>
          <w:szCs w:val="21"/>
        </w:rPr>
        <w:t>提供包括但不限于以下证明材料：或者第三方检测机构出具的带（CMA或CNAS）标识的检测报告彩色扫描件，或者产品说明书相关功能页面及封面</w:t>
      </w:r>
      <w:bookmarkStart w:id="253" w:name="_GoBack"/>
      <w:bookmarkEnd w:id="253"/>
      <w:r>
        <w:rPr>
          <w:rFonts w:hint="eastAsia" w:ascii="宋体" w:hAnsi="宋体" w:cs="宋体"/>
          <w:b/>
          <w:bCs/>
          <w:szCs w:val="21"/>
        </w:rPr>
        <w:t>扫描件，或者官网相关功能页面截图（提供完整网页网址），或者产品功能截图</w:t>
      </w:r>
      <w:r>
        <w:rPr>
          <w:rFonts w:hint="eastAsia" w:ascii="宋体" w:hAnsi="宋体" w:cs="宋体"/>
        </w:rPr>
        <w:t>。每提供1个得</w:t>
      </w:r>
      <w:r>
        <w:rPr>
          <w:rFonts w:ascii="宋体" w:hAnsi="宋体" w:cs="宋体"/>
        </w:rPr>
        <w:t>2</w:t>
      </w:r>
      <w:r>
        <w:rPr>
          <w:rFonts w:hint="eastAsia" w:ascii="宋体" w:hAnsi="宋体" w:cs="宋体"/>
        </w:rPr>
        <w:t>分，满分</w:t>
      </w:r>
      <w:r>
        <w:rPr>
          <w:rFonts w:hint="eastAsia" w:ascii="宋体" w:hAnsi="宋体" w:cs="宋体"/>
          <w:highlight w:val="none"/>
        </w:rPr>
        <w:t>26</w:t>
      </w:r>
      <w:r>
        <w:rPr>
          <w:rFonts w:hint="eastAsia" w:ascii="宋体" w:hAnsi="宋体" w:cs="宋体"/>
        </w:rPr>
        <w:t>分。</w:t>
      </w:r>
    </w:p>
    <w:p w14:paraId="00F512E5">
      <w:pPr>
        <w:widowControl/>
        <w:spacing w:line="360" w:lineRule="auto"/>
        <w:ind w:firstLine="420" w:firstLineChars="200"/>
        <w:jc w:val="left"/>
        <w:rPr>
          <w:rFonts w:hint="eastAsia" w:ascii="宋体" w:hAnsi="宋体" w:cs="宋体"/>
          <w:b/>
          <w:bCs/>
          <w:kern w:val="0"/>
          <w:szCs w:val="21"/>
          <w:highlight w:val="none"/>
        </w:rPr>
      </w:pPr>
      <w:r>
        <w:rPr>
          <w:rFonts w:hint="eastAsia" w:ascii="宋体" w:hAnsi="宋体" w:cs="宋体"/>
          <w:b/>
          <w:bCs/>
          <w:kern w:val="0"/>
          <w:szCs w:val="21"/>
          <w:highlight w:val="none"/>
        </w:rPr>
        <w:t>（2）项目实施方案分（满分15分）</w:t>
      </w:r>
    </w:p>
    <w:p w14:paraId="54E282D4">
      <w:pPr>
        <w:pStyle w:val="7"/>
        <w:spacing w:line="360" w:lineRule="auto"/>
        <w:ind w:firstLine="420" w:firstLineChars="200"/>
        <w:rPr>
          <w:rFonts w:hint="eastAsia" w:ascii="宋体" w:hAnsi="宋体" w:cs="宋体"/>
          <w:b/>
          <w:szCs w:val="20"/>
          <w:highlight w:val="none"/>
        </w:rPr>
      </w:pPr>
      <w:r>
        <w:rPr>
          <w:rFonts w:hint="eastAsia" w:ascii="宋体" w:hAnsi="宋体" w:cs="宋体"/>
          <w:b w:val="0"/>
          <w:bCs/>
          <w:szCs w:val="21"/>
          <w:highlight w:val="none"/>
        </w:rPr>
        <w:t>由磋商小组在打分前</w:t>
      </w:r>
      <w:r>
        <w:rPr>
          <w:rFonts w:hint="eastAsia" w:ascii="宋体" w:hAnsi="宋体" w:cs="宋体"/>
          <w:bCs/>
          <w:szCs w:val="21"/>
          <w:highlight w:val="none"/>
        </w:rPr>
        <w:t>根据供应商提供的项目实</w:t>
      </w:r>
      <w:r>
        <w:rPr>
          <w:rFonts w:hint="eastAsia" w:ascii="宋体" w:hAnsi="宋体" w:cs="宋体"/>
          <w:b w:val="0"/>
          <w:bCs/>
          <w:szCs w:val="21"/>
          <w:highlight w:val="none"/>
        </w:rPr>
        <w:t>施方案独立打分。</w:t>
      </w:r>
      <w:r>
        <w:rPr>
          <w:rFonts w:hint="eastAsia" w:ascii="宋体" w:hAnsi="宋体" w:cs="宋体"/>
          <w:b/>
          <w:szCs w:val="20"/>
          <w:highlight w:val="none"/>
        </w:rPr>
        <w:t>（满分15分）</w:t>
      </w:r>
    </w:p>
    <w:p w14:paraId="10C1DC3B">
      <w:pPr>
        <w:spacing w:line="360" w:lineRule="auto"/>
        <w:ind w:firstLine="420" w:firstLineChars="200"/>
        <w:rPr>
          <w:rFonts w:hint="eastAsia" w:ascii="宋体" w:hAnsi="宋体" w:cs="宋体"/>
          <w:b/>
          <w:szCs w:val="20"/>
          <w:highlight w:val="none"/>
        </w:rPr>
      </w:pPr>
      <w:r>
        <w:rPr>
          <w:rFonts w:hint="eastAsia" w:ascii="宋体" w:hAnsi="宋体" w:cs="宋体"/>
          <w:szCs w:val="20"/>
          <w:highlight w:val="none"/>
        </w:rPr>
        <w:t>一档（0分）：</w:t>
      </w:r>
      <w:r>
        <w:rPr>
          <w:rFonts w:hint="eastAsia" w:ascii="宋体" w:hAnsi="宋体" w:cs="宋体"/>
          <w:highlight w:val="none"/>
        </w:rPr>
        <w:t>未提供相应方案或提供的方案内容与本项目无关的。</w:t>
      </w:r>
    </w:p>
    <w:p w14:paraId="782A80DF">
      <w:pPr>
        <w:spacing w:line="360" w:lineRule="auto"/>
        <w:ind w:firstLine="420" w:firstLineChars="200"/>
        <w:rPr>
          <w:highlight w:val="none"/>
        </w:rPr>
      </w:pPr>
      <w:r>
        <w:rPr>
          <w:rFonts w:hint="eastAsia"/>
          <w:highlight w:val="none"/>
        </w:rPr>
        <w:t>二档（5分）：实施方案较简单，拟投入人员、技术服务及措施基本满足本项目实施需求；</w:t>
      </w:r>
    </w:p>
    <w:p w14:paraId="745BBF14">
      <w:pPr>
        <w:spacing w:line="360" w:lineRule="auto"/>
        <w:ind w:firstLine="420" w:firstLineChars="200"/>
      </w:pPr>
      <w:r>
        <w:rPr>
          <w:rFonts w:hint="eastAsia"/>
        </w:rPr>
        <w:t>三档（10分）：实施方案较详细，保证项目实施的技术力量安排满足项目实施要求，技术服务、技术培训的服务内容和措施同比较完善，拟投入本项目实施项目经理1人具有高级信息系统项目管理师证书，拟投入本项目其他实施人员在15人及以上，</w:t>
      </w:r>
      <w:r>
        <w:rPr>
          <w:rFonts w:hint="eastAsia"/>
          <w:b/>
          <w:bCs/>
        </w:rPr>
        <w:t>项目经理需提供相关证明材料扫描件并加盖单位公章（CA签章）</w:t>
      </w:r>
      <w:r>
        <w:rPr>
          <w:rFonts w:hint="eastAsia"/>
        </w:rPr>
        <w:t>，满足以上相关要求的。</w:t>
      </w:r>
    </w:p>
    <w:p w14:paraId="1861F25A">
      <w:pPr>
        <w:spacing w:line="360" w:lineRule="auto"/>
        <w:ind w:firstLine="420" w:firstLineChars="200"/>
        <w:rPr>
          <w:highlight w:val="none"/>
        </w:rPr>
      </w:pPr>
      <w:r>
        <w:rPr>
          <w:rFonts w:hint="eastAsia"/>
          <w:highlight w:val="none"/>
        </w:rPr>
        <w:t>四档（15分）：满足二档的情况下，实施方案详实，方案能满足项目需求且清楚的表明对本项目的熟悉程度包括需求分析、项目整体设计与实施、系统架构图、系统网络拓扑图、点位分布图等，技术路线清晰可信，保证项目实施的技术力量安排充足，技术服务、技术培训的服务内容和措施完善，建议的安装、调试、验收方法或方案同比更完善有效、更优化、切实可行的</w:t>
      </w:r>
      <w:r>
        <w:rPr>
          <w:rFonts w:hint="eastAsia" w:hAnsi="宋体" w:cs="宋体"/>
          <w:szCs w:val="21"/>
          <w:highlight w:val="none"/>
        </w:rPr>
        <w:t>；</w:t>
      </w:r>
      <w:r>
        <w:rPr>
          <w:rFonts w:hint="eastAsia" w:hAnsi="宋体" w:cs="宋体"/>
          <w:szCs w:val="20"/>
          <w:highlight w:val="none"/>
        </w:rPr>
        <w:t>投入本项目实施项目经理1人具有高级信息系统项目管理师证书，投入本项目其他实施人员在20人及以上，</w:t>
      </w:r>
      <w:r>
        <w:rPr>
          <w:rFonts w:hint="eastAsia" w:ascii="宋体" w:hAnsi="宋体" w:cs="宋体"/>
          <w:b/>
          <w:bCs/>
          <w:color w:val="000000"/>
          <w:szCs w:val="21"/>
        </w:rPr>
        <w:t>项目经理需提供相关有效证明材料</w:t>
      </w:r>
      <w:r>
        <w:rPr>
          <w:rFonts w:hint="eastAsia"/>
          <w:b/>
          <w:bCs/>
        </w:rPr>
        <w:t>并加盖单位公章（CA签章）</w:t>
      </w:r>
      <w:r>
        <w:rPr>
          <w:rFonts w:hint="eastAsia" w:hAnsi="宋体" w:cs="宋体"/>
          <w:b/>
          <w:bCs/>
          <w:szCs w:val="21"/>
        </w:rPr>
        <w:t>。</w:t>
      </w:r>
    </w:p>
    <w:p w14:paraId="67CA3978">
      <w:pPr>
        <w:pStyle w:val="11"/>
        <w:spacing w:line="440" w:lineRule="exact"/>
        <w:rPr>
          <w:rFonts w:hint="eastAsia" w:hAnsi="宋体" w:cs="宋体"/>
          <w:b/>
          <w:bCs/>
          <w:color w:val="000000" w:themeColor="text1"/>
          <w:szCs w:val="21"/>
          <w:highlight w:val="none"/>
          <w14:textFill>
            <w14:solidFill>
              <w14:schemeClr w14:val="tx1"/>
            </w14:solidFill>
          </w14:textFill>
        </w:rPr>
      </w:pPr>
      <w:r>
        <w:rPr>
          <w:rFonts w:hint="eastAsia" w:hAnsi="宋体" w:cs="宋体"/>
          <w:b/>
          <w:bCs/>
          <w:szCs w:val="21"/>
        </w:rPr>
        <w:t>3、服务方案分…………………………………………………………………………………</w:t>
      </w:r>
      <w:r>
        <w:rPr>
          <w:rFonts w:hint="eastAsia" w:hAnsi="宋体" w:cs="宋体"/>
          <w:b/>
          <w:bCs/>
          <w:color w:val="000000" w:themeColor="text1"/>
          <w:szCs w:val="21"/>
          <w:highlight w:val="none"/>
          <w14:textFill>
            <w14:solidFill>
              <w14:schemeClr w14:val="tx1"/>
            </w14:solidFill>
          </w14:textFill>
        </w:rPr>
        <w:t>…………………1</w:t>
      </w:r>
      <w:r>
        <w:rPr>
          <w:rFonts w:hint="eastAsia" w:hAnsi="宋体" w:cs="宋体"/>
          <w:b/>
          <w:bCs/>
          <w:color w:val="000000" w:themeColor="text1"/>
          <w:szCs w:val="21"/>
          <w:highlight w:val="none"/>
          <w:lang w:val="en-US" w:eastAsia="zh-CN"/>
          <w14:textFill>
            <w14:solidFill>
              <w14:schemeClr w14:val="tx1"/>
            </w14:solidFill>
          </w14:textFill>
        </w:rPr>
        <w:t>5</w:t>
      </w:r>
      <w:r>
        <w:rPr>
          <w:rFonts w:hint="eastAsia" w:hAnsi="宋体" w:cs="宋体"/>
          <w:b/>
          <w:bCs/>
          <w:color w:val="000000" w:themeColor="text1"/>
          <w:szCs w:val="21"/>
          <w:highlight w:val="none"/>
          <w14:textFill>
            <w14:solidFill>
              <w14:schemeClr w14:val="tx1"/>
            </w14:solidFill>
          </w14:textFill>
        </w:rPr>
        <w:t>分</w:t>
      </w:r>
    </w:p>
    <w:p w14:paraId="540BAC60">
      <w:pPr>
        <w:widowControl/>
        <w:tabs>
          <w:tab w:val="left" w:pos="1440"/>
        </w:tabs>
        <w:snapToGrid w:val="0"/>
        <w:spacing w:line="360" w:lineRule="auto"/>
        <w:ind w:firstLine="420"/>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（1）</w:t>
      </w:r>
      <w:r>
        <w:rPr>
          <w:rFonts w:hint="eastAsia" w:ascii="宋体" w:hAnsi="宋体" w:cs="宋体"/>
          <w:b w:val="0"/>
          <w:bCs/>
          <w:color w:val="000000" w:themeColor="text1"/>
          <w:szCs w:val="21"/>
          <w:highlight w:val="none"/>
          <w14:textFill>
            <w14:solidFill>
              <w14:schemeClr w14:val="tx1"/>
            </w14:solidFill>
          </w14:textFill>
        </w:rPr>
        <w:t>由磋商小组在打分前</w:t>
      </w:r>
      <w:r>
        <w:rPr>
          <w:rFonts w:hint="eastAsia" w:ascii="宋体" w:hAnsi="宋体" w:cs="宋体"/>
          <w:bCs/>
          <w:color w:val="000000" w:themeColor="text1"/>
          <w:szCs w:val="21"/>
          <w:highlight w:val="none"/>
          <w14:textFill>
            <w14:solidFill>
              <w14:schemeClr w14:val="tx1"/>
            </w14:solidFill>
          </w14:textFill>
        </w:rPr>
        <w:t>根据供应商提供的项目服务</w:t>
      </w:r>
      <w:r>
        <w:rPr>
          <w:rFonts w:hint="eastAsia" w:ascii="宋体" w:hAnsi="宋体" w:cs="宋体"/>
          <w:b w:val="0"/>
          <w:bCs/>
          <w:color w:val="000000" w:themeColor="text1"/>
          <w:szCs w:val="21"/>
          <w:highlight w:val="none"/>
          <w14:textFill>
            <w14:solidFill>
              <w14:schemeClr w14:val="tx1"/>
            </w14:solidFill>
          </w14:textFill>
        </w:rPr>
        <w:t>方案独立打分。</w:t>
      </w:r>
    </w:p>
    <w:p w14:paraId="3FA4AEAC">
      <w:pPr>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一档（</w:t>
      </w:r>
      <w:r>
        <w:rPr>
          <w:rFonts w:hint="eastAsia" w:ascii="宋体" w:hAnsi="宋体" w:cs="宋体"/>
          <w:color w:val="000000" w:themeColor="text1"/>
          <w:szCs w:val="20"/>
          <w:highlight w:val="none"/>
          <w:lang w:val="en-US" w:eastAsia="zh-CN"/>
          <w14:textFill>
            <w14:solidFill>
              <w14:schemeClr w14:val="tx1"/>
            </w14:solidFill>
          </w14:textFill>
        </w:rPr>
        <w:t>1</w:t>
      </w:r>
      <w:r>
        <w:rPr>
          <w:rFonts w:hint="eastAsia" w:ascii="宋体" w:hAnsi="宋体" w:cs="宋体"/>
          <w:color w:val="000000" w:themeColor="text1"/>
          <w:szCs w:val="20"/>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提供的方案内容</w:t>
      </w:r>
      <w:r>
        <w:rPr>
          <w:rFonts w:hint="eastAsia" w:ascii="宋体" w:hAnsi="宋体" w:cs="宋体"/>
          <w:color w:val="000000" w:themeColor="text1"/>
          <w:highlight w:val="none"/>
          <w:lang w:val="en-US" w:eastAsia="zh-CN"/>
          <w14:textFill>
            <w14:solidFill>
              <w14:schemeClr w14:val="tx1"/>
            </w14:solidFill>
          </w14:textFill>
        </w:rPr>
        <w:t>较简单</w:t>
      </w:r>
      <w:r>
        <w:rPr>
          <w:rFonts w:hint="eastAsia" w:ascii="宋体" w:hAnsi="宋体" w:cs="宋体"/>
          <w:color w:val="000000" w:themeColor="text1"/>
          <w:highlight w:val="none"/>
          <w14:textFill>
            <w14:solidFill>
              <w14:schemeClr w14:val="tx1"/>
            </w14:solidFill>
          </w14:textFill>
        </w:rPr>
        <w:t>。</w:t>
      </w:r>
    </w:p>
    <w:p w14:paraId="54B5A82E">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二档（5分）：供应商的服务方案可行，对质保期、响应时间、服务团队配备、培训计划、应急预案、保密承诺、故障解决方案等有所描述，故障响应时间不超过2个小时，4小时内达到现场；能提供运行维护车辆。</w:t>
      </w:r>
    </w:p>
    <w:p w14:paraId="39005F5A">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三档（10分）：在满足二档的基础上，供应商的服务方案详细，可提供试用的</w:t>
      </w:r>
      <w:r>
        <w:rPr>
          <w:rFonts w:hint="eastAsia" w:hAnsi="宋体" w:cs="宋体"/>
          <w:color w:val="000000" w:themeColor="text1"/>
          <w:szCs w:val="21"/>
          <w:highlight w:val="none"/>
          <w14:textFill>
            <w14:solidFill>
              <w14:schemeClr w14:val="tx1"/>
            </w14:solidFill>
          </w14:textFill>
        </w:rPr>
        <w:t>综合监控应用平台</w:t>
      </w:r>
      <w:r>
        <w:rPr>
          <w:rFonts w:hint="eastAsia"/>
          <w:color w:val="000000" w:themeColor="text1"/>
          <w:highlight w:val="none"/>
          <w14:textFill>
            <w14:solidFill>
              <w14:schemeClr w14:val="tx1"/>
            </w14:solidFill>
          </w14:textFill>
        </w:rPr>
        <w:t>，对质保期、响应时间、服务团队配备、培训计划、应急预案、保密承诺、故障解决方案等详细描述，有合理的服务流程，故障响应时间不超过1个小时，4小时内达到现场，并注明供应商服务网点详细地址、联系人及联系电话等相关信息）。拟投入1名具备信息与通信工程高级工程师为项目服务经理，服务团队人员≥8人，且分工明确，服务团队人员熟练掌握设备管理专业知识及系统管理专业知识，项目服务经理需提供相关证明材料扫描件并加盖供应商公章（含CA签章）。</w:t>
      </w:r>
    </w:p>
    <w:p w14:paraId="380AF077">
      <w:pPr>
        <w:tabs>
          <w:tab w:val="left" w:pos="4214"/>
        </w:tabs>
        <w:spacing w:line="360" w:lineRule="auto"/>
        <w:ind w:firstLine="420" w:firstLineChars="200"/>
        <w:rPr>
          <w:rFonts w:hint="eastAsia" w:hAnsi="宋体" w:cs="宋体"/>
          <w:color w:val="000000" w:themeColor="text1"/>
          <w:kern w:val="0"/>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四档（15分）：在满足三档的基础上，供应商的服务方案全面且针对性强，对质保期、响应时间、服务团队配备、培训计划、应急预案、保密承诺、故障解决方案等全面描述，有合理的服务流程，故障响应时间不超过1个小时，4小时到达现场，并注明供应商服务网点详细地址、联系人及联系电话等相关信息。</w:t>
      </w:r>
      <w:r>
        <w:rPr>
          <w:rFonts w:hint="eastAsia" w:hAnsi="宋体" w:cs="宋体"/>
          <w:color w:val="000000" w:themeColor="text1"/>
          <w:szCs w:val="21"/>
          <w:highlight w:val="none"/>
          <w14:textFill>
            <w14:solidFill>
              <w14:schemeClr w14:val="tx1"/>
            </w14:solidFill>
          </w14:textFill>
        </w:rPr>
        <w:t>拟投入不少于3名具备信息与通信工程高级工程师为项目服务经理，服务团队人员≥15人，且分工明确，服务团队人员熟练掌握设备管理专业知识及系统管理专业知识，项目服务经理需提供相关证明材料扫描件并加盖供应商公章（含CA签章）</w:t>
      </w:r>
      <w:r>
        <w:rPr>
          <w:rFonts w:hint="eastAsia" w:ascii="宋体" w:hAnsi="宋体" w:cs="宋体"/>
          <w:bCs/>
          <w:color w:val="000000" w:themeColor="text1"/>
          <w:szCs w:val="21"/>
          <w:highlight w:val="none"/>
          <w14:textFill>
            <w14:solidFill>
              <w14:schemeClr w14:val="tx1"/>
            </w14:solidFill>
          </w14:textFill>
        </w:rPr>
        <w:t>。</w:t>
      </w:r>
    </w:p>
    <w:p w14:paraId="091DE642">
      <w:pPr>
        <w:pStyle w:val="11"/>
        <w:spacing w:line="440" w:lineRule="exact"/>
        <w:rPr>
          <w:rFonts w:hint="eastAsia" w:hAnsi="宋体" w:cs="宋体"/>
          <w:b/>
          <w:bCs/>
          <w:color w:val="000000" w:themeColor="text1"/>
          <w:szCs w:val="21"/>
          <w:highlight w:val="none"/>
          <w14:textFill>
            <w14:solidFill>
              <w14:schemeClr w14:val="tx1"/>
            </w14:solidFill>
          </w14:textFill>
        </w:rPr>
      </w:pPr>
      <w:r>
        <w:rPr>
          <w:rFonts w:hint="eastAsia" w:hAnsi="宋体" w:cs="宋体"/>
          <w:b/>
          <w:bCs/>
          <w:color w:val="000000" w:themeColor="text1"/>
          <w:szCs w:val="21"/>
          <w:highlight w:val="none"/>
          <w14:textFill>
            <w14:solidFill>
              <w14:schemeClr w14:val="tx1"/>
            </w14:solidFill>
          </w14:textFill>
        </w:rPr>
        <w:t>4、履约能力分………………………………………………………………………………………………………</w:t>
      </w:r>
      <w:r>
        <w:rPr>
          <w:rFonts w:hint="eastAsia" w:hAnsi="宋体" w:cs="宋体"/>
          <w:b/>
          <w:bCs/>
          <w:color w:val="000000" w:themeColor="text1"/>
          <w:szCs w:val="21"/>
          <w:highlight w:val="none"/>
          <w:lang w:val="en-US" w:eastAsia="zh-CN"/>
          <w14:textFill>
            <w14:solidFill>
              <w14:schemeClr w14:val="tx1"/>
            </w14:solidFill>
          </w14:textFill>
        </w:rPr>
        <w:t>14</w:t>
      </w:r>
      <w:r>
        <w:rPr>
          <w:rFonts w:hint="eastAsia" w:hAnsi="宋体" w:cs="宋体"/>
          <w:b/>
          <w:bCs/>
          <w:color w:val="000000" w:themeColor="text1"/>
          <w:szCs w:val="21"/>
          <w:highlight w:val="none"/>
          <w14:textFill>
            <w14:solidFill>
              <w14:schemeClr w14:val="tx1"/>
            </w14:solidFill>
          </w14:textFill>
        </w:rPr>
        <w:t>分</w:t>
      </w:r>
    </w:p>
    <w:p w14:paraId="5B172CF2">
      <w:pPr>
        <w:pStyle w:val="11"/>
        <w:spacing w:line="400" w:lineRule="exact"/>
        <w:ind w:firstLine="420" w:firstLineChars="200"/>
        <w:rPr>
          <w:rFonts w:hint="eastAsia" w:hAnsi="宋体" w:cs="宋体"/>
          <w:szCs w:val="21"/>
        </w:rPr>
      </w:pPr>
      <w:r>
        <w:rPr>
          <w:rFonts w:hint="eastAsia" w:hAnsi="宋体" w:cs="宋体"/>
          <w:color w:val="000000" w:themeColor="text1"/>
          <w:szCs w:val="21"/>
          <w:highlight w:val="none"/>
          <w14:textFill>
            <w14:solidFill>
              <w14:schemeClr w14:val="tx1"/>
            </w14:solidFill>
          </w14:textFill>
        </w:rPr>
        <w:t>（1）供应商或其上级公司具有信息技术服务管理体系认证证书（认证范围含IDC机房</w:t>
      </w:r>
      <w:r>
        <w:rPr>
          <w:rFonts w:hint="eastAsia" w:hAnsi="宋体" w:cs="宋体"/>
          <w:szCs w:val="21"/>
        </w:rPr>
        <w:t>运维服务所涉及的信息技术管理活动）及信息安全管理体系认证证书（认证范围含IDC机房电信业务涉及到的信息安全管理活动）的，每提供1个得2分，未提供不得分，满分4分。</w:t>
      </w:r>
      <w:r>
        <w:rPr>
          <w:rFonts w:hint="eastAsia" w:hAnsi="宋体" w:cs="宋体"/>
          <w:b/>
          <w:bCs/>
          <w:szCs w:val="21"/>
        </w:rPr>
        <w:t>（需提供相关证明材料扫描件并加盖单位公章（CA签章）</w:t>
      </w:r>
      <w:r>
        <w:rPr>
          <w:rFonts w:hint="eastAsia" w:hAnsi="宋体" w:cs="宋体"/>
          <w:b/>
          <w:bCs/>
        </w:rPr>
        <w:t>，否则不得分）</w:t>
      </w:r>
    </w:p>
    <w:p w14:paraId="232417E2">
      <w:pPr>
        <w:pStyle w:val="11"/>
        <w:spacing w:line="400" w:lineRule="exact"/>
        <w:ind w:firstLine="420" w:firstLineChars="200"/>
        <w:rPr>
          <w:rFonts w:hint="eastAsia" w:hAnsi="宋体" w:cs="宋体"/>
          <w:b/>
          <w:bCs/>
        </w:rPr>
      </w:pPr>
      <w:r>
        <w:rPr>
          <w:rFonts w:hint="eastAsia" w:hAnsi="宋体" w:cs="宋体"/>
          <w:szCs w:val="21"/>
        </w:rPr>
        <w:t>（2）供应商或其上级公司具有信息系统安全集成、信息系统信息安全风险评估、信息系统安全运维、信息系统灾难备份与恢复(B类)的相关信息安全服务资质认证证书的，每有1项得1分，满分得4分。</w:t>
      </w:r>
      <w:r>
        <w:rPr>
          <w:rFonts w:hint="eastAsia" w:hAnsi="宋体" w:cs="宋体"/>
          <w:b/>
          <w:bCs/>
          <w:szCs w:val="21"/>
          <w:lang w:eastAsia="zh-CN"/>
        </w:rPr>
        <w:t>（</w:t>
      </w:r>
      <w:r>
        <w:rPr>
          <w:rFonts w:hint="eastAsia" w:hAnsi="宋体" w:cs="宋体"/>
          <w:b/>
          <w:bCs/>
          <w:szCs w:val="21"/>
        </w:rPr>
        <w:t>需提供相关证明材料扫描件并加盖单位公章（CA签章）</w:t>
      </w:r>
      <w:r>
        <w:rPr>
          <w:rFonts w:hint="eastAsia" w:hAnsi="宋体" w:cs="宋体"/>
          <w:b/>
          <w:bCs/>
        </w:rPr>
        <w:t>，否则不得分）</w:t>
      </w:r>
    </w:p>
    <w:p w14:paraId="3AB4F605">
      <w:pPr>
        <w:pStyle w:val="11"/>
        <w:spacing w:line="400" w:lineRule="exact"/>
        <w:ind w:firstLine="420" w:firstLineChars="200"/>
        <w:rPr>
          <w:rFonts w:hint="eastAsia" w:hAnsi="宋体" w:cs="宋体"/>
          <w:szCs w:val="21"/>
        </w:rPr>
      </w:pPr>
      <w:r>
        <w:rPr>
          <w:rFonts w:hint="eastAsia" w:hAnsi="宋体" w:cs="宋体"/>
          <w:szCs w:val="21"/>
        </w:rPr>
        <w:t>（3）供应商或其上级公司</w:t>
      </w:r>
      <w:r>
        <w:rPr>
          <w:rFonts w:hint="eastAsia" w:hAnsi="宋体" w:cs="宋体"/>
          <w:color w:val="auto"/>
          <w:szCs w:val="21"/>
          <w:highlight w:val="none"/>
        </w:rPr>
        <w:t>获得GB/T 27922-2011 售后服务认证证书的，得1</w:t>
      </w:r>
      <w:r>
        <w:rPr>
          <w:rFonts w:hint="eastAsia" w:hAnsi="宋体" w:cs="宋体"/>
          <w:szCs w:val="21"/>
        </w:rPr>
        <w:t>分。</w:t>
      </w:r>
      <w:r>
        <w:rPr>
          <w:rFonts w:hint="eastAsia" w:hAnsi="宋体" w:cs="宋体"/>
          <w:b/>
          <w:bCs/>
          <w:szCs w:val="21"/>
        </w:rPr>
        <w:t>（需提供相关证明材料扫描件并加盖单位公章（CA签章）</w:t>
      </w:r>
      <w:r>
        <w:rPr>
          <w:rFonts w:hint="eastAsia" w:hAnsi="宋体" w:cs="宋体"/>
          <w:b/>
          <w:bCs/>
        </w:rPr>
        <w:t>，否则不得分）</w:t>
      </w:r>
    </w:p>
    <w:p w14:paraId="4B4EEB24">
      <w:pPr>
        <w:pStyle w:val="11"/>
        <w:spacing w:line="400" w:lineRule="exact"/>
        <w:ind w:firstLine="420" w:firstLineChars="200"/>
        <w:rPr>
          <w:rFonts w:hint="eastAsia" w:hAnsi="宋体" w:cs="宋体"/>
          <w:szCs w:val="21"/>
        </w:rPr>
      </w:pPr>
      <w:r>
        <w:rPr>
          <w:rFonts w:hint="eastAsia" w:hAnsi="宋体" w:cs="宋体"/>
          <w:szCs w:val="21"/>
        </w:rPr>
        <w:t>（</w:t>
      </w:r>
      <w:r>
        <w:rPr>
          <w:rFonts w:hint="eastAsia" w:hAnsi="宋体" w:cs="宋体"/>
          <w:szCs w:val="21"/>
          <w:lang w:val="en-US" w:eastAsia="zh-CN"/>
        </w:rPr>
        <w:t>4</w:t>
      </w:r>
      <w:r>
        <w:rPr>
          <w:rFonts w:hint="eastAsia" w:hAnsi="宋体" w:cs="宋体"/>
          <w:szCs w:val="21"/>
        </w:rPr>
        <w:t>）供应商或其上级公司的IDC机房通过三级等保的，得2分。</w:t>
      </w:r>
      <w:r>
        <w:rPr>
          <w:rFonts w:hint="eastAsia" w:hAnsi="宋体" w:cs="宋体"/>
          <w:b/>
          <w:bCs/>
          <w:szCs w:val="21"/>
        </w:rPr>
        <w:t>（需提供相关证明材料扫描件并加盖单位公章（CA签章）</w:t>
      </w:r>
      <w:r>
        <w:rPr>
          <w:rFonts w:hint="eastAsia" w:hAnsi="宋体" w:cs="宋体"/>
          <w:b/>
          <w:bCs/>
        </w:rPr>
        <w:t>，否则不得分）</w:t>
      </w:r>
    </w:p>
    <w:p w14:paraId="2D9FAF4D">
      <w:pPr>
        <w:pStyle w:val="11"/>
        <w:spacing w:line="400" w:lineRule="exact"/>
        <w:ind w:firstLine="420" w:firstLineChars="200"/>
        <w:rPr>
          <w:rFonts w:hint="eastAsia" w:hAnsi="宋体" w:cs="宋体"/>
          <w:b/>
          <w:bCs/>
        </w:rPr>
      </w:pPr>
      <w:bookmarkStart w:id="155" w:name="OLE_LINK2"/>
      <w:r>
        <w:rPr>
          <w:rFonts w:hint="eastAsia" w:hAnsi="宋体" w:cs="宋体"/>
          <w:szCs w:val="21"/>
        </w:rPr>
        <w:t>（</w:t>
      </w:r>
      <w:r>
        <w:rPr>
          <w:rFonts w:hint="eastAsia" w:hAnsi="宋体" w:cs="宋体"/>
          <w:szCs w:val="21"/>
          <w:lang w:val="en-US" w:eastAsia="zh-CN"/>
        </w:rPr>
        <w:t>5</w:t>
      </w:r>
      <w:r>
        <w:rPr>
          <w:rFonts w:hint="eastAsia" w:hAnsi="宋体" w:cs="宋体"/>
          <w:szCs w:val="21"/>
        </w:rPr>
        <w:t>）供应商或其上级公司为项目提供服务的综合监控应用平台通过三级等保的，得3分。</w:t>
      </w:r>
      <w:r>
        <w:rPr>
          <w:rFonts w:hint="eastAsia" w:hAnsi="宋体" w:cs="宋体"/>
          <w:b/>
          <w:bCs/>
          <w:szCs w:val="21"/>
        </w:rPr>
        <w:t>（需提供相关证明材料扫描件并加盖单位公章（CA签章）</w:t>
      </w:r>
      <w:r>
        <w:rPr>
          <w:rFonts w:hint="eastAsia" w:hAnsi="宋体" w:cs="宋体"/>
          <w:b/>
          <w:bCs/>
        </w:rPr>
        <w:t>，否则不得分）</w:t>
      </w:r>
    </w:p>
    <w:bookmarkEnd w:id="155"/>
    <w:p w14:paraId="58E30005">
      <w:pPr>
        <w:spacing w:line="400" w:lineRule="auto"/>
        <w:jc w:val="left"/>
        <w:outlineLvl w:val="3"/>
        <w:rPr>
          <w:rFonts w:hint="eastAsia" w:ascii="宋体" w:hAnsi="宋体" w:cs="宋体"/>
          <w:b/>
          <w:bCs/>
          <w:szCs w:val="21"/>
        </w:rPr>
      </w:pPr>
      <w:r>
        <w:rPr>
          <w:rFonts w:hint="eastAsia" w:ascii="宋体" w:hAnsi="宋体" w:cs="宋体"/>
          <w:b/>
          <w:bCs/>
          <w:szCs w:val="21"/>
        </w:rPr>
        <w:t>5、综合得分＝1+2+3+4</w:t>
      </w:r>
    </w:p>
    <w:p w14:paraId="1784983C">
      <w:pPr>
        <w:pStyle w:val="11"/>
        <w:tabs>
          <w:tab w:val="left" w:pos="4214"/>
        </w:tabs>
        <w:spacing w:line="360" w:lineRule="auto"/>
        <w:ind w:firstLine="420" w:firstLineChars="200"/>
        <w:rPr>
          <w:rFonts w:hint="eastAsia" w:hAnsi="宋体" w:cs="宋体"/>
          <w:b/>
          <w:szCs w:val="21"/>
        </w:rPr>
      </w:pPr>
      <w:r>
        <w:rPr>
          <w:rFonts w:hint="eastAsia" w:hAnsi="宋体" w:cs="宋体"/>
          <w:b/>
          <w:szCs w:val="21"/>
        </w:rPr>
        <w:t>三、推荐及确定成交候选供应商原则</w:t>
      </w:r>
    </w:p>
    <w:p w14:paraId="54D0F629">
      <w:pPr>
        <w:pStyle w:val="11"/>
        <w:tabs>
          <w:tab w:val="left" w:pos="4214"/>
        </w:tabs>
        <w:spacing w:line="360" w:lineRule="auto"/>
        <w:ind w:firstLine="420" w:firstLineChars="200"/>
        <w:rPr>
          <w:rFonts w:hint="eastAsia" w:hAnsi="宋体" w:cs="宋体"/>
          <w:szCs w:val="21"/>
        </w:rPr>
      </w:pPr>
      <w:r>
        <w:rPr>
          <w:rFonts w:hint="eastAsia" w:hAnsi="宋体" w:cs="宋体"/>
          <w:szCs w:val="21"/>
        </w:rPr>
        <w:t>1.评标委员会根据综合得分由高到低排列次序，若得分相同时，按评审价由低到高顺序排列；得分相同且评审价也相同的由评标委员会按照抽签的方式决定排次次序。</w:t>
      </w:r>
    </w:p>
    <w:p w14:paraId="6F805DDB">
      <w:pPr>
        <w:pStyle w:val="11"/>
        <w:tabs>
          <w:tab w:val="left" w:pos="4214"/>
        </w:tabs>
        <w:spacing w:line="360" w:lineRule="auto"/>
        <w:ind w:firstLine="420" w:firstLineChars="200"/>
        <w:rPr>
          <w:rFonts w:hint="eastAsia" w:hAnsi="宋体" w:cs="宋体"/>
          <w:szCs w:val="21"/>
        </w:rPr>
      </w:pPr>
      <w:r>
        <w:rPr>
          <w:rFonts w:hint="eastAsia" w:hAnsi="宋体" w:cs="宋体"/>
          <w:szCs w:val="21"/>
        </w:rPr>
        <w:t>2.评标委员会可推荐前三名为成交候选人，采购人应当确定评标委员会推荐排名第一的成交候选人为成交人。</w:t>
      </w:r>
    </w:p>
    <w:p w14:paraId="2A9D8808">
      <w:pPr>
        <w:pStyle w:val="11"/>
        <w:tabs>
          <w:tab w:val="left" w:pos="4214"/>
        </w:tabs>
        <w:spacing w:line="360" w:lineRule="auto"/>
        <w:ind w:firstLine="420" w:firstLineChars="200"/>
      </w:pPr>
      <w:r>
        <w:rPr>
          <w:rFonts w:hint="eastAsia" w:hAnsi="宋体" w:cs="宋体"/>
          <w:szCs w:val="21"/>
        </w:rPr>
        <w:t>3.排名第一的成交候选人放弃成交、因不可抗力提出不能履行合同，或者磋商文件规定应当提交履约保证金而在规定的期限内未能提交的，或因失信行为被取消成交候选人资格的，采购人可以确定排名第二的成交候选人为成交人，并依此类推。</w:t>
      </w:r>
    </w:p>
    <w:p w14:paraId="78785CEA">
      <w:pPr>
        <w:spacing w:line="360" w:lineRule="auto"/>
        <w:ind w:firstLine="424" w:firstLineChars="202"/>
        <w:jc w:val="left"/>
        <w:rPr>
          <w:rFonts w:hint="eastAsia" w:ascii="宋体" w:hAnsi="宋体" w:cs="宋体"/>
          <w:b/>
          <w:szCs w:val="21"/>
        </w:rPr>
      </w:pPr>
      <w:r>
        <w:rPr>
          <w:rFonts w:hint="eastAsia" w:ascii="宋体" w:hAnsi="宋体" w:cs="宋体"/>
          <w:b/>
          <w:szCs w:val="21"/>
        </w:rPr>
        <w:t>四、特别说明</w:t>
      </w:r>
    </w:p>
    <w:p w14:paraId="3C917E2F">
      <w:pPr>
        <w:pStyle w:val="7"/>
      </w:pPr>
      <w:r>
        <w:rPr>
          <w:rFonts w:hint="eastAsia" w:ascii="宋体" w:hAnsi="宋体" w:cs="宋体"/>
          <w:b/>
          <w:bCs/>
          <w:szCs w:val="21"/>
          <w:u w:val="double"/>
        </w:rPr>
        <w:t>评审时，评标委员会认为供应商的报价明显低于其他通过符合性审查供应商的报价，有可能影响产品质量或者不能诚信履约的，应当在</w:t>
      </w:r>
      <w:r>
        <w:rPr>
          <w:rFonts w:hint="eastAsia" w:ascii="宋体" w:hAnsi="宋体" w:cs="宋体"/>
          <w:b/>
          <w:bCs/>
          <w:szCs w:val="21"/>
          <w:u w:val="double"/>
          <w:lang w:val="en-US" w:eastAsia="zh-CN"/>
        </w:rPr>
        <w:t>磋商小组</w:t>
      </w:r>
      <w:r>
        <w:rPr>
          <w:rFonts w:hint="eastAsia" w:ascii="宋体" w:hAnsi="宋体" w:cs="宋体"/>
          <w:b/>
          <w:bCs/>
          <w:szCs w:val="21"/>
          <w:u w:val="double"/>
          <w:lang w:eastAsia="zh-CN"/>
        </w:rPr>
        <w:t>要求的时间内按其要求提供书面说明</w:t>
      </w:r>
      <w:r>
        <w:rPr>
          <w:rFonts w:hint="eastAsia" w:ascii="宋体" w:hAnsi="宋体" w:cs="宋体"/>
          <w:b/>
          <w:bCs/>
          <w:szCs w:val="21"/>
          <w:u w:val="double"/>
        </w:rPr>
        <w:t>，必要时提交相关证明材料；供应商不能证明其报价合理性的，</w:t>
      </w:r>
      <w:r>
        <w:rPr>
          <w:rFonts w:hint="eastAsia" w:ascii="宋体" w:hAnsi="宋体" w:cs="宋体"/>
          <w:b/>
          <w:bCs/>
          <w:szCs w:val="21"/>
          <w:u w:val="double"/>
          <w:lang w:eastAsia="zh-CN"/>
        </w:rPr>
        <w:t>磋商小组</w:t>
      </w:r>
      <w:r>
        <w:rPr>
          <w:rFonts w:hint="eastAsia" w:ascii="宋体" w:hAnsi="宋体" w:cs="宋体"/>
          <w:b/>
          <w:bCs/>
          <w:szCs w:val="21"/>
          <w:u w:val="double"/>
        </w:rPr>
        <w:t>应当将其作为无效投标处理。</w:t>
      </w:r>
      <w:bookmarkStart w:id="156" w:name="_Toc28361_WPSOffice_Level2"/>
    </w:p>
    <w:p w14:paraId="34A2B09C">
      <w:pPr>
        <w:widowControl/>
        <w:spacing w:before="156" w:beforeLines="50" w:after="156" w:afterLines="50" w:line="280" w:lineRule="exact"/>
        <w:rPr>
          <w:rFonts w:hint="eastAsia" w:ascii="宋体" w:hAnsi="宋体" w:cs="宋体"/>
          <w:b/>
          <w:bCs/>
          <w:color w:val="000000" w:themeColor="text1"/>
          <w:kern w:val="0"/>
          <w:sz w:val="30"/>
          <w:szCs w:val="30"/>
          <w14:textFill>
            <w14:solidFill>
              <w14:schemeClr w14:val="tx1"/>
            </w14:solidFill>
          </w14:textFill>
        </w:rPr>
      </w:pPr>
    </w:p>
    <w:p w14:paraId="605E1AD9">
      <w:pPr>
        <w:widowControl/>
        <w:spacing w:before="156" w:beforeLines="50" w:after="156" w:afterLines="50" w:line="280" w:lineRule="exact"/>
        <w:rPr>
          <w:rFonts w:hint="eastAsia" w:ascii="宋体" w:hAnsi="宋体" w:cs="宋体"/>
          <w:b/>
          <w:bCs/>
          <w:color w:val="000000" w:themeColor="text1"/>
          <w:kern w:val="0"/>
          <w:sz w:val="30"/>
          <w:szCs w:val="30"/>
          <w14:textFill>
            <w14:solidFill>
              <w14:schemeClr w14:val="tx1"/>
            </w14:solidFill>
          </w14:textFill>
        </w:rPr>
      </w:pPr>
    </w:p>
    <w:p w14:paraId="1538F04B">
      <w:pPr>
        <w:widowControl/>
        <w:spacing w:before="156" w:beforeLines="50" w:after="156" w:afterLines="50" w:line="280" w:lineRule="exact"/>
        <w:rPr>
          <w:rFonts w:hint="eastAsia" w:ascii="宋体" w:hAnsi="宋体" w:cs="宋体"/>
          <w:b/>
          <w:bCs/>
          <w:color w:val="000000" w:themeColor="text1"/>
          <w:kern w:val="0"/>
          <w:sz w:val="30"/>
          <w:szCs w:val="30"/>
          <w14:textFill>
            <w14:solidFill>
              <w14:schemeClr w14:val="tx1"/>
            </w14:solidFill>
          </w14:textFill>
        </w:rPr>
      </w:pPr>
    </w:p>
    <w:p w14:paraId="44673195">
      <w:pPr>
        <w:widowControl/>
        <w:spacing w:before="156" w:beforeLines="50" w:after="156" w:afterLines="50" w:line="280" w:lineRule="exact"/>
        <w:rPr>
          <w:rFonts w:hint="eastAsia" w:ascii="宋体" w:hAnsi="宋体" w:cs="宋体"/>
          <w:b/>
          <w:bCs/>
          <w:color w:val="000000" w:themeColor="text1"/>
          <w:kern w:val="0"/>
          <w:sz w:val="30"/>
          <w:szCs w:val="30"/>
          <w14:textFill>
            <w14:solidFill>
              <w14:schemeClr w14:val="tx1"/>
            </w14:solidFill>
          </w14:textFill>
        </w:rPr>
      </w:pPr>
    </w:p>
    <w:p w14:paraId="45E5EDC8">
      <w:pPr>
        <w:widowControl/>
        <w:spacing w:before="156" w:beforeLines="50" w:after="156" w:afterLines="50" w:line="280" w:lineRule="exact"/>
        <w:rPr>
          <w:rFonts w:hint="eastAsia" w:ascii="宋体" w:hAnsi="宋体" w:cs="宋体"/>
          <w:b/>
          <w:bCs/>
          <w:color w:val="000000" w:themeColor="text1"/>
          <w:kern w:val="0"/>
          <w:sz w:val="30"/>
          <w:szCs w:val="30"/>
          <w14:textFill>
            <w14:solidFill>
              <w14:schemeClr w14:val="tx1"/>
            </w14:solidFill>
          </w14:textFill>
        </w:rPr>
      </w:pPr>
    </w:p>
    <w:p w14:paraId="20DFE487">
      <w:pPr>
        <w:widowControl/>
        <w:spacing w:before="156" w:beforeLines="50" w:after="156" w:afterLines="50" w:line="280" w:lineRule="exact"/>
        <w:rPr>
          <w:rFonts w:hint="eastAsia" w:ascii="宋体" w:hAnsi="宋体" w:cs="宋体"/>
          <w:b/>
          <w:bCs/>
          <w:color w:val="000000" w:themeColor="text1"/>
          <w:kern w:val="0"/>
          <w:sz w:val="30"/>
          <w:szCs w:val="30"/>
          <w14:textFill>
            <w14:solidFill>
              <w14:schemeClr w14:val="tx1"/>
            </w14:solidFill>
          </w14:textFill>
        </w:rPr>
      </w:pPr>
    </w:p>
    <w:p w14:paraId="484EE4D6">
      <w:pPr>
        <w:widowControl/>
        <w:spacing w:before="156" w:beforeLines="50" w:after="156" w:afterLines="50" w:line="280" w:lineRule="exact"/>
        <w:rPr>
          <w:rFonts w:hint="eastAsia" w:ascii="宋体" w:hAnsi="宋体" w:cs="宋体"/>
          <w:b/>
          <w:bCs/>
          <w:color w:val="000000" w:themeColor="text1"/>
          <w:kern w:val="0"/>
          <w:sz w:val="30"/>
          <w:szCs w:val="30"/>
          <w14:textFill>
            <w14:solidFill>
              <w14:schemeClr w14:val="tx1"/>
            </w14:solidFill>
          </w14:textFill>
        </w:rPr>
      </w:pPr>
    </w:p>
    <w:p w14:paraId="15ADBEC3">
      <w:pPr>
        <w:widowControl/>
        <w:spacing w:before="156" w:beforeLines="50" w:after="156" w:afterLines="50" w:line="280" w:lineRule="exact"/>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附件</w:t>
      </w:r>
    </w:p>
    <w:p w14:paraId="457BEA39">
      <w:pPr>
        <w:widowControl/>
        <w:spacing w:before="156" w:beforeLines="50" w:after="156" w:afterLines="50" w:line="280" w:lineRule="exact"/>
        <w:jc w:val="center"/>
        <w:rPr>
          <w:rFonts w:hint="eastAsia"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14:textFill>
            <w14:solidFill>
              <w14:schemeClr w14:val="tx1"/>
            </w14:solidFill>
          </w14:textFill>
        </w:rPr>
        <w:t>统计上大中小微型企业划分标准</w:t>
      </w:r>
      <w:bookmarkEnd w:id="156"/>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7FA42DA">
        <w:tblPrEx>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3DD56D11">
            <w:pPr>
              <w:widowControl/>
              <w:spacing w:line="280" w:lineRule="exact"/>
              <w:jc w:val="center"/>
              <w:rPr>
                <w:rFonts w:hint="eastAsia" w:ascii="宋体" w:hAnsi="宋体" w:cs="宋体"/>
                <w:b/>
                <w:bCs/>
                <w:color w:val="000000" w:themeColor="text1"/>
                <w:kern w:val="0"/>
                <w:sz w:val="18"/>
                <w:szCs w:val="21"/>
                <w14:textFill>
                  <w14:solidFill>
                    <w14:schemeClr w14:val="tx1"/>
                  </w14:solidFill>
                </w14:textFill>
              </w:rPr>
            </w:pPr>
            <w:r>
              <w:rPr>
                <w:rFonts w:hint="eastAsia" w:ascii="宋体" w:hAnsi="宋体" w:cs="宋体"/>
                <w:b/>
                <w:bCs/>
                <w:color w:val="000000" w:themeColor="text1"/>
                <w:kern w:val="0"/>
                <w:sz w:val="18"/>
                <w:szCs w:val="21"/>
                <w14:textFill>
                  <w14:solidFill>
                    <w14:schemeClr w14:val="tx1"/>
                  </w14:solidFill>
                </w14:textFill>
              </w:rPr>
              <w:t>行业名称</w:t>
            </w:r>
          </w:p>
        </w:tc>
        <w:tc>
          <w:tcPr>
            <w:tcW w:w="1369" w:type="dxa"/>
            <w:shd w:val="clear" w:color="auto" w:fill="FFFFFF"/>
            <w:vAlign w:val="center"/>
          </w:tcPr>
          <w:p w14:paraId="3FC5EF48">
            <w:pPr>
              <w:widowControl/>
              <w:spacing w:line="280" w:lineRule="exact"/>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指标名称</w:t>
            </w:r>
          </w:p>
        </w:tc>
        <w:tc>
          <w:tcPr>
            <w:tcW w:w="709" w:type="dxa"/>
            <w:shd w:val="clear" w:color="auto" w:fill="FFFFFF"/>
            <w:vAlign w:val="center"/>
          </w:tcPr>
          <w:p w14:paraId="27796949">
            <w:pPr>
              <w:widowControl/>
              <w:spacing w:line="280" w:lineRule="exact"/>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计量</w:t>
            </w:r>
            <w:r>
              <w:rPr>
                <w:rFonts w:hint="eastAsia" w:ascii="宋体" w:hAnsi="宋体" w:cs="宋体"/>
                <w:b/>
                <w:bCs/>
                <w:color w:val="000000" w:themeColor="text1"/>
                <w:kern w:val="0"/>
                <w:sz w:val="18"/>
                <w:szCs w:val="18"/>
                <w14:textFill>
                  <w14:solidFill>
                    <w14:schemeClr w14:val="tx1"/>
                  </w14:solidFill>
                </w14:textFill>
              </w:rPr>
              <w:br w:type="textWrapping"/>
            </w:r>
            <w:r>
              <w:rPr>
                <w:rFonts w:hint="eastAsia" w:ascii="宋体" w:hAnsi="宋体" w:cs="宋体"/>
                <w:b/>
                <w:bCs/>
                <w:color w:val="000000" w:themeColor="text1"/>
                <w:kern w:val="0"/>
                <w:sz w:val="18"/>
                <w:szCs w:val="18"/>
                <w14:textFill>
                  <w14:solidFill>
                    <w14:schemeClr w14:val="tx1"/>
                  </w14:solidFill>
                </w14:textFill>
              </w:rPr>
              <w:t>单位</w:t>
            </w:r>
          </w:p>
        </w:tc>
        <w:tc>
          <w:tcPr>
            <w:tcW w:w="1125" w:type="dxa"/>
            <w:shd w:val="clear" w:color="auto" w:fill="FFFFFF"/>
            <w:vAlign w:val="center"/>
          </w:tcPr>
          <w:p w14:paraId="77C8DDF9">
            <w:pPr>
              <w:widowControl/>
              <w:spacing w:line="280" w:lineRule="exact"/>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大型</w:t>
            </w:r>
          </w:p>
        </w:tc>
        <w:tc>
          <w:tcPr>
            <w:tcW w:w="1701" w:type="dxa"/>
            <w:shd w:val="clear" w:color="auto" w:fill="FFFFFF"/>
            <w:vAlign w:val="center"/>
          </w:tcPr>
          <w:p w14:paraId="6FF88C18">
            <w:pPr>
              <w:widowControl/>
              <w:spacing w:line="280" w:lineRule="exact"/>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中型</w:t>
            </w:r>
          </w:p>
        </w:tc>
        <w:tc>
          <w:tcPr>
            <w:tcW w:w="1426" w:type="dxa"/>
            <w:shd w:val="clear" w:color="auto" w:fill="FFFFFF"/>
            <w:vAlign w:val="center"/>
          </w:tcPr>
          <w:p w14:paraId="2D2371A0">
            <w:pPr>
              <w:widowControl/>
              <w:spacing w:line="280" w:lineRule="exact"/>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小型</w:t>
            </w:r>
          </w:p>
        </w:tc>
        <w:tc>
          <w:tcPr>
            <w:tcW w:w="992" w:type="dxa"/>
            <w:shd w:val="clear" w:color="auto" w:fill="FFFFFF"/>
            <w:vAlign w:val="center"/>
          </w:tcPr>
          <w:p w14:paraId="43CAD92C">
            <w:pPr>
              <w:widowControl/>
              <w:spacing w:line="280" w:lineRule="exact"/>
              <w:jc w:val="center"/>
              <w:rPr>
                <w:rFonts w:hint="eastAsia"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微型</w:t>
            </w:r>
          </w:p>
        </w:tc>
      </w:tr>
      <w:tr w14:paraId="0F52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6E3852E">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农、林、牧、渔业</w:t>
            </w:r>
          </w:p>
        </w:tc>
        <w:tc>
          <w:tcPr>
            <w:tcW w:w="1369" w:type="dxa"/>
            <w:vAlign w:val="center"/>
          </w:tcPr>
          <w:p w14:paraId="5179035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2A81DAF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52BA6F6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Y≥20000</w:t>
            </w:r>
          </w:p>
        </w:tc>
        <w:tc>
          <w:tcPr>
            <w:tcW w:w="1701" w:type="dxa"/>
            <w:vAlign w:val="center"/>
          </w:tcPr>
          <w:p w14:paraId="5550A04D">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426" w:type="dxa"/>
            <w:vAlign w:val="center"/>
          </w:tcPr>
          <w:p w14:paraId="11229AAB">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50≤Y＜500</w:t>
            </w:r>
          </w:p>
        </w:tc>
        <w:tc>
          <w:tcPr>
            <w:tcW w:w="992" w:type="dxa"/>
            <w:vAlign w:val="center"/>
          </w:tcPr>
          <w:p w14:paraId="77944CC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14:paraId="7582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52FDCA7">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工业 *</w:t>
            </w:r>
          </w:p>
        </w:tc>
        <w:tc>
          <w:tcPr>
            <w:tcW w:w="1369" w:type="dxa"/>
            <w:vAlign w:val="center"/>
          </w:tcPr>
          <w:p w14:paraId="4830F2C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18DF46F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48B236D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01" w:type="dxa"/>
            <w:vAlign w:val="center"/>
          </w:tcPr>
          <w:p w14:paraId="77EDB58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26" w:type="dxa"/>
            <w:vAlign w:val="center"/>
          </w:tcPr>
          <w:p w14:paraId="755A18C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992" w:type="dxa"/>
            <w:vAlign w:val="center"/>
          </w:tcPr>
          <w:p w14:paraId="1C75FD4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2A99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2839DF5">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7E4F88C1">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4C3E62A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105A808D">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Y≥40000</w:t>
            </w:r>
          </w:p>
        </w:tc>
        <w:tc>
          <w:tcPr>
            <w:tcW w:w="1701" w:type="dxa"/>
            <w:vAlign w:val="center"/>
          </w:tcPr>
          <w:p w14:paraId="7B024E5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2000≤Y＜40000</w:t>
            </w:r>
          </w:p>
        </w:tc>
        <w:tc>
          <w:tcPr>
            <w:tcW w:w="1426" w:type="dxa"/>
            <w:vAlign w:val="center"/>
          </w:tcPr>
          <w:p w14:paraId="2283D3B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300≤Y＜2000</w:t>
            </w:r>
          </w:p>
        </w:tc>
        <w:tc>
          <w:tcPr>
            <w:tcW w:w="992" w:type="dxa"/>
            <w:vAlign w:val="center"/>
          </w:tcPr>
          <w:p w14:paraId="365D0BC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14:paraId="69FD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00E615C">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建筑业</w:t>
            </w:r>
          </w:p>
        </w:tc>
        <w:tc>
          <w:tcPr>
            <w:tcW w:w="1369" w:type="dxa"/>
            <w:vAlign w:val="center"/>
          </w:tcPr>
          <w:p w14:paraId="72B9EBDF">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619AC81D">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09FBF55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Y≥80000</w:t>
            </w:r>
          </w:p>
        </w:tc>
        <w:tc>
          <w:tcPr>
            <w:tcW w:w="1701" w:type="dxa"/>
            <w:vAlign w:val="center"/>
          </w:tcPr>
          <w:p w14:paraId="220037FE">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6000≤Y＜80000</w:t>
            </w:r>
          </w:p>
        </w:tc>
        <w:tc>
          <w:tcPr>
            <w:tcW w:w="1426" w:type="dxa"/>
            <w:vAlign w:val="center"/>
          </w:tcPr>
          <w:p w14:paraId="7D70CAE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300≤Y＜6000</w:t>
            </w:r>
          </w:p>
        </w:tc>
        <w:tc>
          <w:tcPr>
            <w:tcW w:w="992" w:type="dxa"/>
            <w:vAlign w:val="center"/>
          </w:tcPr>
          <w:p w14:paraId="6B24487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w:t>
            </w:r>
          </w:p>
        </w:tc>
      </w:tr>
      <w:tr w14:paraId="707F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CF1B646">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4FEA731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709" w:type="dxa"/>
            <w:vAlign w:val="center"/>
          </w:tcPr>
          <w:p w14:paraId="704E4D7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06FF923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Z≥80000</w:t>
            </w:r>
          </w:p>
        </w:tc>
        <w:tc>
          <w:tcPr>
            <w:tcW w:w="1701" w:type="dxa"/>
            <w:vAlign w:val="center"/>
          </w:tcPr>
          <w:p w14:paraId="1599581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5000≤Z＜80000</w:t>
            </w:r>
          </w:p>
        </w:tc>
        <w:tc>
          <w:tcPr>
            <w:tcW w:w="1426" w:type="dxa"/>
            <w:vAlign w:val="center"/>
          </w:tcPr>
          <w:p w14:paraId="36D4695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300≤Z＜5000</w:t>
            </w:r>
          </w:p>
        </w:tc>
        <w:tc>
          <w:tcPr>
            <w:tcW w:w="992" w:type="dxa"/>
            <w:vAlign w:val="center"/>
          </w:tcPr>
          <w:p w14:paraId="0DD99D9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Z＜300</w:t>
            </w:r>
          </w:p>
        </w:tc>
      </w:tr>
      <w:tr w14:paraId="0020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115804B">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批发业</w:t>
            </w:r>
          </w:p>
        </w:tc>
        <w:tc>
          <w:tcPr>
            <w:tcW w:w="1369" w:type="dxa"/>
            <w:vAlign w:val="center"/>
          </w:tcPr>
          <w:p w14:paraId="60E7B4C1">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340E458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228E17B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X≥200</w:t>
            </w:r>
          </w:p>
        </w:tc>
        <w:tc>
          <w:tcPr>
            <w:tcW w:w="1701" w:type="dxa"/>
            <w:vAlign w:val="center"/>
          </w:tcPr>
          <w:p w14:paraId="4030D93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20≤X＜200</w:t>
            </w:r>
          </w:p>
        </w:tc>
        <w:tc>
          <w:tcPr>
            <w:tcW w:w="1426" w:type="dxa"/>
            <w:vAlign w:val="center"/>
          </w:tcPr>
          <w:p w14:paraId="2D09F7F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5≤X＜20</w:t>
            </w:r>
          </w:p>
        </w:tc>
        <w:tc>
          <w:tcPr>
            <w:tcW w:w="992" w:type="dxa"/>
            <w:vAlign w:val="center"/>
          </w:tcPr>
          <w:p w14:paraId="727B52B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X＜5</w:t>
            </w:r>
          </w:p>
        </w:tc>
      </w:tr>
      <w:tr w14:paraId="3685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CE39A10">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729A3DDD">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22443EA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2F24276B">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Y≥40000</w:t>
            </w:r>
          </w:p>
        </w:tc>
        <w:tc>
          <w:tcPr>
            <w:tcW w:w="1701" w:type="dxa"/>
            <w:vAlign w:val="center"/>
          </w:tcPr>
          <w:p w14:paraId="190907CB">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5000≤Y＜40000</w:t>
            </w:r>
          </w:p>
        </w:tc>
        <w:tc>
          <w:tcPr>
            <w:tcW w:w="1426" w:type="dxa"/>
            <w:vAlign w:val="center"/>
          </w:tcPr>
          <w:p w14:paraId="0A7CBB02">
            <w:pPr>
              <w:widowControl/>
              <w:spacing w:line="280" w:lineRule="exact"/>
              <w:ind w:left="-1" w:leftChars="-1" w:hanging="1"/>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992" w:type="dxa"/>
            <w:vAlign w:val="center"/>
          </w:tcPr>
          <w:p w14:paraId="6E1F016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w:t>
            </w:r>
          </w:p>
        </w:tc>
      </w:tr>
      <w:tr w14:paraId="682E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5A4435">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零售业</w:t>
            </w:r>
          </w:p>
        </w:tc>
        <w:tc>
          <w:tcPr>
            <w:tcW w:w="1369" w:type="dxa"/>
            <w:vAlign w:val="center"/>
          </w:tcPr>
          <w:p w14:paraId="60F788C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13465CB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0D5F6A9E">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14:paraId="2089E13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50≤X＜300</w:t>
            </w:r>
          </w:p>
        </w:tc>
        <w:tc>
          <w:tcPr>
            <w:tcW w:w="1426" w:type="dxa"/>
            <w:vAlign w:val="center"/>
          </w:tcPr>
          <w:p w14:paraId="64923FE4">
            <w:pPr>
              <w:widowControl/>
              <w:spacing w:line="280" w:lineRule="exact"/>
              <w:ind w:left="-1" w:leftChars="-1" w:hanging="1"/>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10≤X＜50 </w:t>
            </w:r>
          </w:p>
        </w:tc>
        <w:tc>
          <w:tcPr>
            <w:tcW w:w="992" w:type="dxa"/>
            <w:vAlign w:val="center"/>
          </w:tcPr>
          <w:p w14:paraId="59A9F52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440D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55C2574">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1B15BE71">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2C37ACB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6EEA0D7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Y≥20000</w:t>
            </w:r>
          </w:p>
        </w:tc>
        <w:tc>
          <w:tcPr>
            <w:tcW w:w="1701" w:type="dxa"/>
            <w:vAlign w:val="center"/>
          </w:tcPr>
          <w:p w14:paraId="2413B3C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500≤Y＜20000</w:t>
            </w:r>
          </w:p>
        </w:tc>
        <w:tc>
          <w:tcPr>
            <w:tcW w:w="1426" w:type="dxa"/>
            <w:vAlign w:val="center"/>
          </w:tcPr>
          <w:p w14:paraId="22E389AB">
            <w:pPr>
              <w:widowControl/>
              <w:spacing w:line="280" w:lineRule="exact"/>
              <w:ind w:left="-1" w:leftChars="-1" w:hanging="1"/>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100≤Y＜500</w:t>
            </w:r>
          </w:p>
        </w:tc>
        <w:tc>
          <w:tcPr>
            <w:tcW w:w="992" w:type="dxa"/>
            <w:vAlign w:val="center"/>
          </w:tcPr>
          <w:p w14:paraId="0E253273">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025F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8298648">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交通运输业 *</w:t>
            </w:r>
          </w:p>
        </w:tc>
        <w:tc>
          <w:tcPr>
            <w:tcW w:w="1369" w:type="dxa"/>
            <w:vAlign w:val="center"/>
          </w:tcPr>
          <w:p w14:paraId="7C11548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3FE530E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5692415F">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01" w:type="dxa"/>
            <w:vAlign w:val="center"/>
          </w:tcPr>
          <w:p w14:paraId="43E2B47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26" w:type="dxa"/>
            <w:vAlign w:val="center"/>
          </w:tcPr>
          <w:p w14:paraId="6B32736D">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992" w:type="dxa"/>
            <w:vAlign w:val="center"/>
          </w:tcPr>
          <w:p w14:paraId="098304E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4B8A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3E8FB6">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311C02ED">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1AA9055B">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613F43EE">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Y≥30000</w:t>
            </w:r>
          </w:p>
        </w:tc>
        <w:tc>
          <w:tcPr>
            <w:tcW w:w="1701" w:type="dxa"/>
            <w:vAlign w:val="center"/>
          </w:tcPr>
          <w:p w14:paraId="531DF36D">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3000≤Y＜30000</w:t>
            </w:r>
          </w:p>
        </w:tc>
        <w:tc>
          <w:tcPr>
            <w:tcW w:w="1426" w:type="dxa"/>
            <w:vAlign w:val="center"/>
          </w:tcPr>
          <w:p w14:paraId="3F10810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200≤Y＜3000</w:t>
            </w:r>
          </w:p>
        </w:tc>
        <w:tc>
          <w:tcPr>
            <w:tcW w:w="992" w:type="dxa"/>
            <w:vAlign w:val="center"/>
          </w:tcPr>
          <w:p w14:paraId="7731C61F">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w:t>
            </w:r>
          </w:p>
        </w:tc>
      </w:tr>
      <w:tr w14:paraId="6AB7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D5F3888">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仓储业*</w:t>
            </w:r>
          </w:p>
        </w:tc>
        <w:tc>
          <w:tcPr>
            <w:tcW w:w="1369" w:type="dxa"/>
            <w:vAlign w:val="center"/>
          </w:tcPr>
          <w:p w14:paraId="69086EE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0393884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4DE00F5E">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X≥200</w:t>
            </w:r>
          </w:p>
        </w:tc>
        <w:tc>
          <w:tcPr>
            <w:tcW w:w="1701" w:type="dxa"/>
            <w:vAlign w:val="center"/>
          </w:tcPr>
          <w:p w14:paraId="27BA617E">
            <w:pPr>
              <w:widowControl/>
              <w:spacing w:line="280" w:lineRule="exact"/>
              <w:ind w:left="1" w:leftChars="-51" w:hanging="108" w:hangingChars="6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w:t>
            </w:r>
          </w:p>
        </w:tc>
        <w:tc>
          <w:tcPr>
            <w:tcW w:w="1426" w:type="dxa"/>
            <w:vAlign w:val="center"/>
          </w:tcPr>
          <w:p w14:paraId="343AD82B">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20≤X＜100</w:t>
            </w:r>
          </w:p>
        </w:tc>
        <w:tc>
          <w:tcPr>
            <w:tcW w:w="992" w:type="dxa"/>
            <w:vAlign w:val="center"/>
          </w:tcPr>
          <w:p w14:paraId="5083C8B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4D2E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EE216DF">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62942B1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69463FD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470CDCB3">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Y≥30000</w:t>
            </w:r>
          </w:p>
        </w:tc>
        <w:tc>
          <w:tcPr>
            <w:tcW w:w="1701" w:type="dxa"/>
            <w:vAlign w:val="center"/>
          </w:tcPr>
          <w:p w14:paraId="537B8995">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1000≤Y＜30000</w:t>
            </w:r>
          </w:p>
        </w:tc>
        <w:tc>
          <w:tcPr>
            <w:tcW w:w="1426" w:type="dxa"/>
            <w:vAlign w:val="center"/>
          </w:tcPr>
          <w:p w14:paraId="4559E8B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992" w:type="dxa"/>
            <w:vAlign w:val="center"/>
          </w:tcPr>
          <w:p w14:paraId="2541177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4ADB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551CEAB">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邮政业</w:t>
            </w:r>
          </w:p>
        </w:tc>
        <w:tc>
          <w:tcPr>
            <w:tcW w:w="1369" w:type="dxa"/>
            <w:vAlign w:val="center"/>
          </w:tcPr>
          <w:p w14:paraId="7E72319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7DE6366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03C26D6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01" w:type="dxa"/>
            <w:vAlign w:val="center"/>
          </w:tcPr>
          <w:p w14:paraId="54EAF93B">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26" w:type="dxa"/>
            <w:vAlign w:val="center"/>
          </w:tcPr>
          <w:p w14:paraId="556821D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20≤X＜300</w:t>
            </w:r>
          </w:p>
        </w:tc>
        <w:tc>
          <w:tcPr>
            <w:tcW w:w="992" w:type="dxa"/>
            <w:vAlign w:val="center"/>
          </w:tcPr>
          <w:p w14:paraId="16E784B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w:t>
            </w:r>
          </w:p>
        </w:tc>
      </w:tr>
      <w:tr w14:paraId="69B0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0382F00">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3670151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04E56055">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6EAD5BF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Y≥30000</w:t>
            </w:r>
          </w:p>
        </w:tc>
        <w:tc>
          <w:tcPr>
            <w:tcW w:w="1701" w:type="dxa"/>
            <w:vAlign w:val="center"/>
          </w:tcPr>
          <w:p w14:paraId="0BAE10B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2000≤Y＜30000</w:t>
            </w:r>
          </w:p>
        </w:tc>
        <w:tc>
          <w:tcPr>
            <w:tcW w:w="1426" w:type="dxa"/>
            <w:vAlign w:val="center"/>
          </w:tcPr>
          <w:p w14:paraId="2FC2F07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992" w:type="dxa"/>
            <w:vAlign w:val="center"/>
          </w:tcPr>
          <w:p w14:paraId="648F54AD">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3FD3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CE2FFF4">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住宿业</w:t>
            </w:r>
          </w:p>
        </w:tc>
        <w:tc>
          <w:tcPr>
            <w:tcW w:w="1369" w:type="dxa"/>
            <w:vAlign w:val="center"/>
          </w:tcPr>
          <w:p w14:paraId="1B82007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6557CFDB">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74CDF87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14:paraId="1CC213B9">
            <w:pPr>
              <w:widowControl/>
              <w:spacing w:line="280" w:lineRule="exact"/>
              <w:ind w:left="1" w:leftChars="-51" w:hanging="108" w:hangingChars="6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26" w:type="dxa"/>
            <w:vAlign w:val="center"/>
          </w:tcPr>
          <w:p w14:paraId="5C7B6B0F">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14:paraId="05C709E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6B243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0355548">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091584B3">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19907CD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5711948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w:t>
            </w:r>
          </w:p>
        </w:tc>
        <w:tc>
          <w:tcPr>
            <w:tcW w:w="1701" w:type="dxa"/>
            <w:vAlign w:val="center"/>
          </w:tcPr>
          <w:p w14:paraId="587BCBC5">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426" w:type="dxa"/>
            <w:vAlign w:val="center"/>
          </w:tcPr>
          <w:p w14:paraId="20451E6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992" w:type="dxa"/>
            <w:vAlign w:val="center"/>
          </w:tcPr>
          <w:p w14:paraId="16AC4D75">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1A99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70013A1">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餐饮业</w:t>
            </w:r>
          </w:p>
        </w:tc>
        <w:tc>
          <w:tcPr>
            <w:tcW w:w="1369" w:type="dxa"/>
            <w:vAlign w:val="center"/>
          </w:tcPr>
          <w:p w14:paraId="08FDF99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125D7B4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274F806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14:paraId="2FFDC3F0">
            <w:pPr>
              <w:widowControl/>
              <w:spacing w:line="280" w:lineRule="exact"/>
              <w:ind w:left="1" w:leftChars="-51" w:hanging="108" w:hangingChars="6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100≤X＜300 </w:t>
            </w:r>
          </w:p>
        </w:tc>
        <w:tc>
          <w:tcPr>
            <w:tcW w:w="1426" w:type="dxa"/>
            <w:vAlign w:val="center"/>
          </w:tcPr>
          <w:p w14:paraId="3552A3D5">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14:paraId="3E63ED75">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62F8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D237063">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239B30C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13AA04B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7C84184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w:t>
            </w:r>
          </w:p>
        </w:tc>
        <w:tc>
          <w:tcPr>
            <w:tcW w:w="1701" w:type="dxa"/>
            <w:vAlign w:val="center"/>
          </w:tcPr>
          <w:p w14:paraId="72A44B4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2000≤Y＜10000</w:t>
            </w:r>
          </w:p>
        </w:tc>
        <w:tc>
          <w:tcPr>
            <w:tcW w:w="1426" w:type="dxa"/>
            <w:vAlign w:val="center"/>
          </w:tcPr>
          <w:p w14:paraId="23E9142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100≤Y＜2000</w:t>
            </w:r>
          </w:p>
        </w:tc>
        <w:tc>
          <w:tcPr>
            <w:tcW w:w="992" w:type="dxa"/>
            <w:vAlign w:val="center"/>
          </w:tcPr>
          <w:p w14:paraId="3FB6CD8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5519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911D17C">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信息传输业 *</w:t>
            </w:r>
          </w:p>
        </w:tc>
        <w:tc>
          <w:tcPr>
            <w:tcW w:w="1369" w:type="dxa"/>
            <w:vAlign w:val="center"/>
          </w:tcPr>
          <w:p w14:paraId="6B9E6C25">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37A7A913">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360E0B7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X≥2000</w:t>
            </w:r>
          </w:p>
        </w:tc>
        <w:tc>
          <w:tcPr>
            <w:tcW w:w="1701" w:type="dxa"/>
            <w:vAlign w:val="center"/>
          </w:tcPr>
          <w:p w14:paraId="53DA3AE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100≤X＜2000</w:t>
            </w:r>
          </w:p>
        </w:tc>
        <w:tc>
          <w:tcPr>
            <w:tcW w:w="1426" w:type="dxa"/>
            <w:vAlign w:val="center"/>
          </w:tcPr>
          <w:p w14:paraId="7612A0FB">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14:paraId="43B6C10F">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30EB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1789B3F">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4AE8A07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5960FA9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787ACC1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Y≥100000</w:t>
            </w:r>
          </w:p>
        </w:tc>
        <w:tc>
          <w:tcPr>
            <w:tcW w:w="1701" w:type="dxa"/>
            <w:vAlign w:val="center"/>
          </w:tcPr>
          <w:p w14:paraId="19F3BE7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1000≤Y＜100000</w:t>
            </w:r>
          </w:p>
        </w:tc>
        <w:tc>
          <w:tcPr>
            <w:tcW w:w="1426" w:type="dxa"/>
            <w:vAlign w:val="center"/>
          </w:tcPr>
          <w:p w14:paraId="36DF5CE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992" w:type="dxa"/>
            <w:vAlign w:val="center"/>
          </w:tcPr>
          <w:p w14:paraId="31FC238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25D6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7909B26">
            <w:pPr>
              <w:widowControl/>
              <w:spacing w:line="280" w:lineRule="exact"/>
              <w:jc w:val="left"/>
              <w:rPr>
                <w:rFonts w:hint="eastAsia" w:ascii="宋体" w:hAnsi="宋体" w:cs="宋体"/>
                <w:color w:val="000000" w:themeColor="text1"/>
                <w:spacing w:val="-12"/>
                <w:kern w:val="0"/>
                <w:sz w:val="18"/>
                <w:szCs w:val="18"/>
                <w14:textFill>
                  <w14:solidFill>
                    <w14:schemeClr w14:val="tx1"/>
                  </w14:solidFill>
                </w14:textFill>
              </w:rPr>
            </w:pPr>
            <w:r>
              <w:rPr>
                <w:rFonts w:hint="eastAsia" w:ascii="宋体" w:hAnsi="宋体" w:cs="宋体"/>
                <w:color w:val="000000" w:themeColor="text1"/>
                <w:spacing w:val="-12"/>
                <w:kern w:val="0"/>
                <w:sz w:val="18"/>
                <w:szCs w:val="18"/>
                <w14:textFill>
                  <w14:solidFill>
                    <w14:schemeClr w14:val="tx1"/>
                  </w14:solidFill>
                </w14:textFill>
              </w:rPr>
              <w:t>软件和信息技术服</w:t>
            </w:r>
            <w:r>
              <w:rPr>
                <w:rFonts w:hint="eastAsia" w:ascii="宋体" w:hAnsi="宋体" w:cs="宋体"/>
                <w:color w:val="000000" w:themeColor="text1"/>
                <w:kern w:val="0"/>
                <w:sz w:val="18"/>
                <w:szCs w:val="18"/>
                <w14:textFill>
                  <w14:solidFill>
                    <w14:schemeClr w14:val="tx1"/>
                  </w14:solidFill>
                </w14:textFill>
              </w:rPr>
              <w:t>务业</w:t>
            </w:r>
          </w:p>
        </w:tc>
        <w:tc>
          <w:tcPr>
            <w:tcW w:w="1369" w:type="dxa"/>
            <w:vAlign w:val="center"/>
          </w:tcPr>
          <w:p w14:paraId="619CDAF1">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59883D1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5A9CB0F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14:paraId="483EA9A2">
            <w:pPr>
              <w:widowControl/>
              <w:spacing w:line="280" w:lineRule="exact"/>
              <w:ind w:left="1" w:leftChars="-51" w:hanging="108" w:hangingChars="6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100≤X＜300 </w:t>
            </w:r>
          </w:p>
        </w:tc>
        <w:tc>
          <w:tcPr>
            <w:tcW w:w="1426" w:type="dxa"/>
            <w:vAlign w:val="center"/>
          </w:tcPr>
          <w:p w14:paraId="26FE8FE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14:paraId="0EE29763">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2F4E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F05BBA2">
            <w:pPr>
              <w:widowControl/>
              <w:spacing w:line="280" w:lineRule="exact"/>
              <w:jc w:val="left"/>
              <w:rPr>
                <w:rFonts w:hint="eastAsia" w:ascii="宋体" w:hAnsi="宋体" w:cs="宋体"/>
                <w:color w:val="000000" w:themeColor="text1"/>
                <w:spacing w:val="-12"/>
                <w:kern w:val="0"/>
                <w:sz w:val="18"/>
                <w:szCs w:val="18"/>
                <w14:textFill>
                  <w14:solidFill>
                    <w14:schemeClr w14:val="tx1"/>
                  </w14:solidFill>
                </w14:textFill>
              </w:rPr>
            </w:pPr>
          </w:p>
        </w:tc>
        <w:tc>
          <w:tcPr>
            <w:tcW w:w="1369" w:type="dxa"/>
            <w:vAlign w:val="center"/>
          </w:tcPr>
          <w:p w14:paraId="09FC156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26CD4125">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2B48FB8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Y≥10000</w:t>
            </w:r>
          </w:p>
        </w:tc>
        <w:tc>
          <w:tcPr>
            <w:tcW w:w="1701" w:type="dxa"/>
            <w:vAlign w:val="center"/>
          </w:tcPr>
          <w:p w14:paraId="29E6A17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1000≤Y＜10000</w:t>
            </w:r>
          </w:p>
        </w:tc>
        <w:tc>
          <w:tcPr>
            <w:tcW w:w="1426" w:type="dxa"/>
            <w:vAlign w:val="center"/>
          </w:tcPr>
          <w:p w14:paraId="0FCD454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50≤Y＜1000</w:t>
            </w:r>
          </w:p>
        </w:tc>
        <w:tc>
          <w:tcPr>
            <w:tcW w:w="992" w:type="dxa"/>
            <w:vAlign w:val="center"/>
          </w:tcPr>
          <w:p w14:paraId="50E654C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w:t>
            </w:r>
          </w:p>
        </w:tc>
      </w:tr>
      <w:tr w14:paraId="519E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E9C6C14">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房地产开发经营</w:t>
            </w:r>
          </w:p>
        </w:tc>
        <w:tc>
          <w:tcPr>
            <w:tcW w:w="1369" w:type="dxa"/>
            <w:vAlign w:val="center"/>
          </w:tcPr>
          <w:p w14:paraId="01EB3361">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371ECA4F">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334409C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Y≥200000</w:t>
            </w:r>
          </w:p>
        </w:tc>
        <w:tc>
          <w:tcPr>
            <w:tcW w:w="1701" w:type="dxa"/>
            <w:vAlign w:val="center"/>
          </w:tcPr>
          <w:p w14:paraId="5437CFF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1000≤Y＜200000</w:t>
            </w:r>
          </w:p>
        </w:tc>
        <w:tc>
          <w:tcPr>
            <w:tcW w:w="1426" w:type="dxa"/>
            <w:vAlign w:val="center"/>
          </w:tcPr>
          <w:p w14:paraId="7C31105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100≤Y＜1000</w:t>
            </w:r>
          </w:p>
        </w:tc>
        <w:tc>
          <w:tcPr>
            <w:tcW w:w="992" w:type="dxa"/>
            <w:vAlign w:val="center"/>
          </w:tcPr>
          <w:p w14:paraId="014BBD0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Y＜100</w:t>
            </w:r>
          </w:p>
        </w:tc>
      </w:tr>
      <w:tr w14:paraId="15C3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50F5E8BB">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04EE412D">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709" w:type="dxa"/>
            <w:vAlign w:val="center"/>
          </w:tcPr>
          <w:p w14:paraId="43471CC3">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1A272E4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Z≥10000</w:t>
            </w:r>
          </w:p>
        </w:tc>
        <w:tc>
          <w:tcPr>
            <w:tcW w:w="1701" w:type="dxa"/>
            <w:vAlign w:val="center"/>
          </w:tcPr>
          <w:p w14:paraId="6C26E73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5000≤Z＜10000</w:t>
            </w:r>
          </w:p>
        </w:tc>
        <w:tc>
          <w:tcPr>
            <w:tcW w:w="1426" w:type="dxa"/>
            <w:vAlign w:val="center"/>
          </w:tcPr>
          <w:p w14:paraId="2B80A37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2000≤Z＜5000</w:t>
            </w:r>
          </w:p>
        </w:tc>
        <w:tc>
          <w:tcPr>
            <w:tcW w:w="992" w:type="dxa"/>
            <w:vAlign w:val="center"/>
          </w:tcPr>
          <w:p w14:paraId="010AC8BF">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Z＜2000</w:t>
            </w:r>
          </w:p>
        </w:tc>
      </w:tr>
      <w:tr w14:paraId="1B3C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B0E5B5D">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物业管理</w:t>
            </w:r>
          </w:p>
        </w:tc>
        <w:tc>
          <w:tcPr>
            <w:tcW w:w="1369" w:type="dxa"/>
            <w:vAlign w:val="center"/>
          </w:tcPr>
          <w:p w14:paraId="10D3D15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2912006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32A66E2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X≥1000</w:t>
            </w:r>
          </w:p>
        </w:tc>
        <w:tc>
          <w:tcPr>
            <w:tcW w:w="1701" w:type="dxa"/>
            <w:vAlign w:val="center"/>
          </w:tcPr>
          <w:p w14:paraId="35DCEAF5">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300≤X＜1000</w:t>
            </w:r>
          </w:p>
        </w:tc>
        <w:tc>
          <w:tcPr>
            <w:tcW w:w="1426" w:type="dxa"/>
            <w:vAlign w:val="center"/>
          </w:tcPr>
          <w:p w14:paraId="772E82D8">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992" w:type="dxa"/>
            <w:vAlign w:val="center"/>
          </w:tcPr>
          <w:p w14:paraId="4E5E85B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X＜100</w:t>
            </w:r>
          </w:p>
        </w:tc>
      </w:tr>
      <w:tr w14:paraId="0245B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D948152">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45322771">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营业收入(Y)</w:t>
            </w:r>
          </w:p>
        </w:tc>
        <w:tc>
          <w:tcPr>
            <w:tcW w:w="709" w:type="dxa"/>
            <w:vAlign w:val="center"/>
          </w:tcPr>
          <w:p w14:paraId="301FEF3F">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542A0B8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Y≥5000</w:t>
            </w:r>
          </w:p>
        </w:tc>
        <w:tc>
          <w:tcPr>
            <w:tcW w:w="1701" w:type="dxa"/>
            <w:vAlign w:val="center"/>
          </w:tcPr>
          <w:p w14:paraId="6C08B9AA">
            <w:pPr>
              <w:widowControl/>
              <w:spacing w:line="280" w:lineRule="exact"/>
              <w:ind w:left="1" w:leftChars="-51" w:hanging="108" w:hangingChars="6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1000≤Y＜5000</w:t>
            </w:r>
          </w:p>
        </w:tc>
        <w:tc>
          <w:tcPr>
            <w:tcW w:w="1426" w:type="dxa"/>
            <w:vAlign w:val="center"/>
          </w:tcPr>
          <w:p w14:paraId="25C7B27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500≤Y＜1000</w:t>
            </w:r>
          </w:p>
        </w:tc>
        <w:tc>
          <w:tcPr>
            <w:tcW w:w="992" w:type="dxa"/>
            <w:vAlign w:val="center"/>
          </w:tcPr>
          <w:p w14:paraId="7916FF1B">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Y＜500</w:t>
            </w:r>
          </w:p>
        </w:tc>
      </w:tr>
      <w:tr w14:paraId="0596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81563DE">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租赁和商务服务业</w:t>
            </w:r>
          </w:p>
        </w:tc>
        <w:tc>
          <w:tcPr>
            <w:tcW w:w="1369" w:type="dxa"/>
            <w:vAlign w:val="center"/>
          </w:tcPr>
          <w:p w14:paraId="77A50A0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117E78E0">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3BEFE40B">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14:paraId="7D0C5C73">
            <w:pPr>
              <w:widowControl/>
              <w:spacing w:line="280" w:lineRule="exact"/>
              <w:ind w:left="1" w:leftChars="-51" w:hanging="108" w:hangingChars="6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26" w:type="dxa"/>
            <w:vAlign w:val="center"/>
          </w:tcPr>
          <w:p w14:paraId="5E439B8A">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14:paraId="62B2EF6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r w14:paraId="2174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B6703BD">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p>
        </w:tc>
        <w:tc>
          <w:tcPr>
            <w:tcW w:w="1369" w:type="dxa"/>
            <w:vAlign w:val="center"/>
          </w:tcPr>
          <w:p w14:paraId="0A071892">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资产总额(Z)</w:t>
            </w:r>
          </w:p>
        </w:tc>
        <w:tc>
          <w:tcPr>
            <w:tcW w:w="709" w:type="dxa"/>
            <w:vAlign w:val="center"/>
          </w:tcPr>
          <w:p w14:paraId="4D464146">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万元</w:t>
            </w:r>
          </w:p>
        </w:tc>
        <w:tc>
          <w:tcPr>
            <w:tcW w:w="1125" w:type="dxa"/>
            <w:vAlign w:val="center"/>
          </w:tcPr>
          <w:p w14:paraId="1B430907">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Z≥120000</w:t>
            </w:r>
          </w:p>
        </w:tc>
        <w:tc>
          <w:tcPr>
            <w:tcW w:w="1701" w:type="dxa"/>
            <w:vAlign w:val="center"/>
          </w:tcPr>
          <w:p w14:paraId="75BE08E9">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8000≤Z＜120000</w:t>
            </w:r>
          </w:p>
        </w:tc>
        <w:tc>
          <w:tcPr>
            <w:tcW w:w="1426" w:type="dxa"/>
            <w:vAlign w:val="center"/>
          </w:tcPr>
          <w:p w14:paraId="1668DBC4">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100≤Z＜8000</w:t>
            </w:r>
          </w:p>
        </w:tc>
        <w:tc>
          <w:tcPr>
            <w:tcW w:w="992" w:type="dxa"/>
            <w:vAlign w:val="center"/>
          </w:tcPr>
          <w:p w14:paraId="4FC3B143">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Z＜100</w:t>
            </w:r>
          </w:p>
        </w:tc>
      </w:tr>
      <w:tr w14:paraId="5E33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4D3FDC1">
            <w:pPr>
              <w:widowControl/>
              <w:spacing w:line="280" w:lineRule="exact"/>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其他未列明行业 *</w:t>
            </w:r>
          </w:p>
        </w:tc>
        <w:tc>
          <w:tcPr>
            <w:tcW w:w="1369" w:type="dxa"/>
            <w:vAlign w:val="center"/>
          </w:tcPr>
          <w:p w14:paraId="53BA7E2C">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从业人员(X)</w:t>
            </w:r>
          </w:p>
        </w:tc>
        <w:tc>
          <w:tcPr>
            <w:tcW w:w="709" w:type="dxa"/>
            <w:vAlign w:val="center"/>
          </w:tcPr>
          <w:p w14:paraId="34874C81">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w:t>
            </w:r>
          </w:p>
        </w:tc>
        <w:tc>
          <w:tcPr>
            <w:tcW w:w="1125" w:type="dxa"/>
            <w:vAlign w:val="center"/>
          </w:tcPr>
          <w:p w14:paraId="458EC7A1">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X≥300</w:t>
            </w:r>
          </w:p>
        </w:tc>
        <w:tc>
          <w:tcPr>
            <w:tcW w:w="1701" w:type="dxa"/>
            <w:vAlign w:val="center"/>
          </w:tcPr>
          <w:p w14:paraId="118D525E">
            <w:pPr>
              <w:widowControl/>
              <w:spacing w:line="280" w:lineRule="exact"/>
              <w:ind w:left="1" w:leftChars="-51" w:hanging="108" w:hangingChars="60"/>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100≤X＜300</w:t>
            </w:r>
          </w:p>
        </w:tc>
        <w:tc>
          <w:tcPr>
            <w:tcW w:w="1426" w:type="dxa"/>
            <w:vAlign w:val="center"/>
          </w:tcPr>
          <w:p w14:paraId="759DA2AF">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10≤X＜100</w:t>
            </w:r>
          </w:p>
        </w:tc>
        <w:tc>
          <w:tcPr>
            <w:tcW w:w="992" w:type="dxa"/>
            <w:vAlign w:val="center"/>
          </w:tcPr>
          <w:p w14:paraId="3B76F8CE">
            <w:pPr>
              <w:widowControl/>
              <w:spacing w:line="280" w:lineRule="exact"/>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X＜10</w:t>
            </w:r>
          </w:p>
        </w:tc>
      </w:tr>
    </w:tbl>
    <w:p w14:paraId="0163F65B">
      <w:pPr>
        <w:widowControl/>
        <w:spacing w:line="280" w:lineRule="exact"/>
        <w:rPr>
          <w:rFonts w:hint="eastAsia" w:ascii="宋体" w:hAnsi="宋体" w:cs="宋体"/>
          <w:color w:val="000000" w:themeColor="text1"/>
          <w:spacing w:val="8"/>
          <w:kern w:val="0"/>
          <w:sz w:val="24"/>
          <w14:textFill>
            <w14:solidFill>
              <w14:schemeClr w14:val="tx1"/>
            </w14:solidFill>
          </w14:textFill>
        </w:rPr>
      </w:pPr>
    </w:p>
    <w:p w14:paraId="72EEB761">
      <w:pPr>
        <w:widowControl/>
        <w:spacing w:line="280" w:lineRule="exact"/>
        <w:rPr>
          <w:rFonts w:hint="eastAsia" w:ascii="宋体" w:hAnsi="宋体" w:cs="宋体"/>
          <w:color w:val="000000" w:themeColor="text1"/>
          <w:spacing w:val="8"/>
          <w:kern w:val="0"/>
          <w:sz w:val="24"/>
          <w14:textFill>
            <w14:solidFill>
              <w14:schemeClr w14:val="tx1"/>
            </w14:solidFill>
          </w14:textFill>
        </w:rPr>
      </w:pPr>
    </w:p>
    <w:p w14:paraId="4AFDF887">
      <w:pPr>
        <w:widowControl/>
        <w:spacing w:line="280" w:lineRule="exact"/>
        <w:rPr>
          <w:rFonts w:hint="eastAsia" w:ascii="宋体" w:hAnsi="宋体" w:cs="宋体"/>
          <w:color w:val="000000" w:themeColor="text1"/>
          <w:spacing w:val="8"/>
          <w:kern w:val="0"/>
          <w:sz w:val="24"/>
          <w14:textFill>
            <w14:solidFill>
              <w14:schemeClr w14:val="tx1"/>
            </w14:solidFill>
          </w14:textFill>
        </w:rPr>
      </w:pPr>
    </w:p>
    <w:p w14:paraId="0C3434D4">
      <w:pPr>
        <w:widowControl/>
        <w:spacing w:line="280" w:lineRule="exact"/>
        <w:rPr>
          <w:rFonts w:hint="eastAsia" w:ascii="宋体" w:hAnsi="宋体" w:cs="宋体"/>
          <w:color w:val="000000" w:themeColor="text1"/>
          <w:spacing w:val="8"/>
          <w:kern w:val="0"/>
          <w:sz w:val="24"/>
          <w14:textFill>
            <w14:solidFill>
              <w14:schemeClr w14:val="tx1"/>
            </w14:solidFill>
          </w14:textFill>
        </w:rPr>
      </w:pPr>
      <w:r>
        <w:rPr>
          <w:rFonts w:hint="eastAsia" w:ascii="宋体" w:hAnsi="宋体" w:cs="宋体"/>
          <w:color w:val="000000" w:themeColor="text1"/>
          <w:spacing w:val="8"/>
          <w:kern w:val="0"/>
          <w:sz w:val="24"/>
          <w14:textFill>
            <w14:solidFill>
              <w14:schemeClr w14:val="tx1"/>
            </w14:solidFill>
          </w14:textFill>
        </w:rPr>
        <w:t>说明：</w:t>
      </w:r>
    </w:p>
    <w:p w14:paraId="49DB5E11">
      <w:pPr>
        <w:pStyle w:val="11"/>
        <w:adjustRightInd w:val="0"/>
        <w:spacing w:line="280" w:lineRule="exact"/>
        <w:ind w:firstLine="512" w:firstLineChars="200"/>
        <w:contextualSpacing/>
        <w:rPr>
          <w:rFonts w:hint="eastAsia" w:hAnsi="宋体" w:cs="宋体"/>
          <w:color w:val="000000" w:themeColor="text1"/>
          <w:spacing w:val="8"/>
          <w:kern w:val="0"/>
          <w:sz w:val="24"/>
          <w:szCs w:val="24"/>
          <w14:textFill>
            <w14:solidFill>
              <w14:schemeClr w14:val="tx1"/>
            </w14:solidFill>
          </w14:textFill>
        </w:rPr>
      </w:pPr>
      <w:r>
        <w:rPr>
          <w:rFonts w:hint="eastAsia" w:hAnsi="宋体" w:cs="宋体"/>
          <w:color w:val="000000" w:themeColor="text1"/>
          <w:spacing w:val="8"/>
          <w:kern w:val="0"/>
          <w:sz w:val="24"/>
          <w:szCs w:val="24"/>
          <w14:textFill>
            <w14:solidFill>
              <w14:schemeClr w14:val="tx1"/>
            </w14:solidFill>
          </w14:textFill>
        </w:rPr>
        <w:t>1.大型、中型和小型企业须同时满足所列指标的下限，否则下划一档；微型企业只须满足所列指标中的一项即可。</w:t>
      </w:r>
    </w:p>
    <w:p w14:paraId="7FB47CBA">
      <w:pPr>
        <w:pStyle w:val="11"/>
        <w:adjustRightInd w:val="0"/>
        <w:spacing w:line="280" w:lineRule="exact"/>
        <w:ind w:firstLine="512" w:firstLineChars="200"/>
        <w:contextualSpacing/>
        <w:rPr>
          <w:rFonts w:hint="eastAsia" w:hAnsi="宋体" w:cs="宋体"/>
          <w:color w:val="000000" w:themeColor="text1"/>
          <w:spacing w:val="8"/>
          <w:kern w:val="0"/>
          <w:sz w:val="24"/>
          <w:szCs w:val="24"/>
          <w14:textFill>
            <w14:solidFill>
              <w14:schemeClr w14:val="tx1"/>
            </w14:solidFill>
          </w14:textFill>
        </w:rPr>
      </w:pPr>
      <w:r>
        <w:rPr>
          <w:rFonts w:hint="eastAsia" w:hAnsi="宋体" w:cs="宋体"/>
          <w:color w:val="000000" w:themeColor="text1"/>
          <w:spacing w:val="8"/>
          <w:kern w:val="0"/>
          <w:sz w:val="24"/>
          <w:szCs w:val="24"/>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21E182">
      <w:pPr>
        <w:pStyle w:val="11"/>
        <w:spacing w:line="280" w:lineRule="exact"/>
        <w:ind w:firstLine="512" w:firstLineChars="200"/>
        <w:rPr>
          <w:rFonts w:hint="eastAsia" w:hAnsi="宋体" w:cs="宋体"/>
          <w:color w:val="000000" w:themeColor="text1"/>
          <w14:textFill>
            <w14:solidFill>
              <w14:schemeClr w14:val="tx1"/>
            </w14:solidFill>
          </w14:textFill>
        </w:rPr>
      </w:pPr>
      <w:r>
        <w:rPr>
          <w:rFonts w:hint="eastAsia" w:hAnsi="宋体" w:cs="宋体"/>
          <w:color w:val="000000" w:themeColor="text1"/>
          <w:spacing w:val="8"/>
          <w:kern w:val="0"/>
          <w:sz w:val="24"/>
          <w:szCs w:val="24"/>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57" w:name="_Toc8466"/>
      <w:bookmarkStart w:id="158" w:name="_Toc4774"/>
    </w:p>
    <w:p w14:paraId="10D50E79">
      <w:pPr>
        <w:rPr>
          <w:rFonts w:hint="eastAsia" w:ascii="宋体" w:hAnsi="宋体" w:cs="宋体"/>
          <w:color w:val="000000" w:themeColor="text1"/>
          <w14:textFill>
            <w14:solidFill>
              <w14:schemeClr w14:val="tx1"/>
            </w14:solidFill>
          </w14:textFill>
        </w:rPr>
      </w:pPr>
    </w:p>
    <w:p w14:paraId="5898EE0E">
      <w:pPr>
        <w:pStyle w:val="3"/>
        <w:rPr>
          <w:rFonts w:hint="eastAsia" w:ascii="宋体" w:hAnsi="宋体" w:cs="宋体"/>
          <w:color w:val="000000" w:themeColor="text1"/>
          <w14:textFill>
            <w14:solidFill>
              <w14:schemeClr w14:val="tx1"/>
            </w14:solidFill>
          </w14:textFill>
        </w:rPr>
      </w:pPr>
    </w:p>
    <w:p w14:paraId="7DF16E77"/>
    <w:p w14:paraId="3227D433">
      <w:pPr>
        <w:autoSpaceDE w:val="0"/>
        <w:autoSpaceDN w:val="0"/>
        <w:adjustRightInd w:val="0"/>
        <w:spacing w:before="0" w:after="0" w:line="360" w:lineRule="auto"/>
        <w:jc w:val="center"/>
        <w:rPr>
          <w:rFonts w:hint="eastAsia" w:ascii="宋体" w:hAnsi="宋体" w:cs="宋体"/>
          <w:color w:val="000000" w:themeColor="text1"/>
          <w:sz w:val="32"/>
          <w:szCs w:val="32"/>
          <w14:textFill>
            <w14:solidFill>
              <w14:schemeClr w14:val="tx1"/>
            </w14:solidFill>
          </w14:textFill>
        </w:rPr>
      </w:pPr>
      <w:bookmarkStart w:id="159" w:name="_Toc31912"/>
      <w:r>
        <w:rPr>
          <w:rFonts w:hint="eastAsia" w:ascii="宋体" w:hAnsi="宋体" w:cs="宋体"/>
          <w:color w:val="000000" w:themeColor="text1"/>
          <w:sz w:val="32"/>
          <w:szCs w:val="32"/>
          <w14:textFill>
            <w14:solidFill>
              <w14:schemeClr w14:val="tx1"/>
            </w14:solidFill>
          </w14:textFill>
        </w:rPr>
        <w:br w:type="page"/>
      </w:r>
    </w:p>
    <w:p w14:paraId="3D0483DE">
      <w:pPr>
        <w:pStyle w:val="2"/>
        <w:tabs>
          <w:tab w:val="left" w:pos="0"/>
        </w:tabs>
        <w:autoSpaceDE w:val="0"/>
        <w:autoSpaceDN w:val="0"/>
        <w:adjustRightInd w:val="0"/>
        <w:spacing w:before="0" w:after="0" w:line="360" w:lineRule="auto"/>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第五章 采购合同（合同主要条款及格式）</w:t>
      </w:r>
      <w:bookmarkEnd w:id="157"/>
      <w:bookmarkEnd w:id="158"/>
      <w:bookmarkEnd w:id="159"/>
    </w:p>
    <w:p w14:paraId="71439F3B">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项目名称：桂林国家高新区七星区数字城管应急指挥中心高清视频监控456个摄像头线路及平台服务项目</w:t>
      </w:r>
    </w:p>
    <w:p w14:paraId="4A40947E">
      <w:pPr>
        <w:spacing w:line="42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项目编号：GLZC2025-C3-990195-GLSZ</w:t>
      </w:r>
    </w:p>
    <w:p w14:paraId="2A8D7B91">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（采购人）</w:t>
      </w:r>
    </w:p>
    <w:p w14:paraId="10CA42B2">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乙方：</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（成交供应商）</w:t>
      </w:r>
    </w:p>
    <w:p w14:paraId="3A6D520C">
      <w:pPr>
        <w:widowControl/>
        <w:ind w:firstLine="420" w:firstLineChars="20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根据《中华人民共和国政府采购法》《中华人民共和国政府采购法实施条例》《中华人民共和国民法典》等法律、法规规定，按照竞争性磋商文件（以下简称磋商文件）、竞争性磋商响应文件（以下简称响应文件）规定条款和成交供应商的承诺、甲乙双方签订本合同。</w:t>
      </w:r>
    </w:p>
    <w:p w14:paraId="0EF176B8">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60" w:name="_Toc30275"/>
      <w:bookmarkStart w:id="161" w:name="_Toc19093"/>
      <w:bookmarkStart w:id="162" w:name="_Toc20217"/>
      <w:r>
        <w:rPr>
          <w:rFonts w:hint="eastAsia" w:ascii="宋体" w:hAnsi="宋体" w:cs="宋体"/>
          <w:b/>
          <w:bCs w:val="0"/>
          <w:color w:val="000000" w:themeColor="text1"/>
          <w:sz w:val="21"/>
          <w:szCs w:val="21"/>
          <w14:textFill>
            <w14:solidFill>
              <w14:schemeClr w14:val="tx1"/>
            </w14:solidFill>
          </w14:textFill>
        </w:rPr>
        <w:t>第一条 合同文件</w:t>
      </w:r>
      <w:bookmarkEnd w:id="160"/>
      <w:bookmarkEnd w:id="161"/>
      <w:bookmarkEnd w:id="162"/>
    </w:p>
    <w:p w14:paraId="60643AF2">
      <w:pPr>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1、本合同所附下列文件是构成本合同不可分割的部分：</w:t>
      </w:r>
    </w:p>
    <w:p w14:paraId="00364869">
      <w:pPr>
        <w:spacing w:line="360" w:lineRule="auto"/>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（1）成交供应商提交的</w:t>
      </w:r>
      <w:r>
        <w:rPr>
          <w:rFonts w:hint="eastAsia" w:ascii="宋体" w:hAnsi="宋体" w:cs="宋体"/>
          <w:color w:val="000000" w:themeColor="text1"/>
          <w:szCs w:val="21"/>
          <w14:textFill>
            <w14:solidFill>
              <w14:schemeClr w14:val="tx1"/>
            </w14:solidFill>
          </w14:textFill>
        </w:rPr>
        <w:t>磋商</w:t>
      </w:r>
      <w:r>
        <w:rPr>
          <w:rFonts w:hint="eastAsia" w:ascii="宋体" w:hAnsi="宋体" w:cs="宋体"/>
          <w:color w:val="000000" w:themeColor="text1"/>
          <w14:textFill>
            <w14:solidFill>
              <w14:schemeClr w14:val="tx1"/>
            </w14:solidFill>
          </w14:textFill>
        </w:rPr>
        <w:t>报价表、</w:t>
      </w:r>
      <w:r>
        <w:rPr>
          <w:rFonts w:hint="eastAsia" w:ascii="宋体" w:hAnsi="宋体" w:cs="宋体"/>
          <w:color w:val="000000" w:themeColor="text1"/>
          <w:szCs w:val="21"/>
          <w14:textFill>
            <w14:solidFill>
              <w14:schemeClr w14:val="tx1"/>
            </w14:solidFill>
          </w14:textFill>
        </w:rPr>
        <w:t>针对本项目的服务承诺书</w:t>
      </w:r>
      <w:r>
        <w:rPr>
          <w:rFonts w:hint="eastAsia" w:ascii="宋体" w:hAnsi="宋体" w:cs="宋体"/>
          <w:color w:val="000000" w:themeColor="text1"/>
          <w14:textFill>
            <w14:solidFill>
              <w14:schemeClr w14:val="tx1"/>
            </w14:solidFill>
          </w14:textFill>
        </w:rPr>
        <w:t>；</w:t>
      </w:r>
    </w:p>
    <w:p w14:paraId="3D84863D">
      <w:pPr>
        <w:spacing w:line="360" w:lineRule="auto"/>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（2）成交通知书；</w:t>
      </w:r>
    </w:p>
    <w:p w14:paraId="201E9E71">
      <w:pPr>
        <w:spacing w:line="360" w:lineRule="auto"/>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（3）本合同协议书及有关补充资料；</w:t>
      </w:r>
    </w:p>
    <w:p w14:paraId="51B11377">
      <w:pPr>
        <w:spacing w:line="360" w:lineRule="auto"/>
        <w:ind w:firstLine="315" w:firstLineChars="15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（4）磋商文件的条款要求。</w:t>
      </w:r>
    </w:p>
    <w:p w14:paraId="1144A1D6">
      <w:pPr>
        <w:tabs>
          <w:tab w:val="left" w:pos="1305"/>
        </w:tabs>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2、合同价金额包括：服务过程中相关的一切费用。</w:t>
      </w:r>
    </w:p>
    <w:p w14:paraId="11014DE9">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63" w:name="_Toc6972"/>
      <w:bookmarkStart w:id="164" w:name="_Toc21607"/>
      <w:bookmarkStart w:id="165" w:name="_Toc28710"/>
      <w:r>
        <w:rPr>
          <w:rFonts w:hint="eastAsia" w:ascii="宋体" w:hAnsi="宋体" w:cs="宋体"/>
          <w:b/>
          <w:bCs w:val="0"/>
          <w:color w:val="000000" w:themeColor="text1"/>
          <w:sz w:val="21"/>
          <w:szCs w:val="21"/>
          <w14:textFill>
            <w14:solidFill>
              <w14:schemeClr w14:val="tx1"/>
            </w14:solidFill>
          </w14:textFill>
        </w:rPr>
        <w:t>第二条　合同金额</w:t>
      </w:r>
      <w:bookmarkEnd w:id="163"/>
      <w:bookmarkEnd w:id="164"/>
      <w:bookmarkEnd w:id="165"/>
    </w:p>
    <w:p w14:paraId="7A169BD6">
      <w:pPr>
        <w:spacing w:line="360" w:lineRule="auto"/>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根据《成交通知书》的成交内容，合同的总金额为：（大写）</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人民币（¥</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元）</w:t>
      </w:r>
    </w:p>
    <w:p w14:paraId="506569C9">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66" w:name="_Toc9581"/>
      <w:bookmarkStart w:id="167" w:name="_Toc27473"/>
      <w:bookmarkStart w:id="168" w:name="_Toc16138"/>
      <w:r>
        <w:rPr>
          <w:rFonts w:hint="eastAsia" w:ascii="宋体" w:hAnsi="宋体" w:cs="宋体"/>
          <w:b/>
          <w:bCs w:val="0"/>
          <w:color w:val="000000" w:themeColor="text1"/>
          <w:sz w:val="21"/>
          <w:szCs w:val="21"/>
          <w14:textFill>
            <w14:solidFill>
              <w14:schemeClr w14:val="tx1"/>
            </w14:solidFill>
          </w14:textFill>
        </w:rPr>
        <w:t>第三条  服务保证</w:t>
      </w:r>
      <w:bookmarkEnd w:id="166"/>
      <w:bookmarkEnd w:id="167"/>
      <w:bookmarkEnd w:id="168"/>
    </w:p>
    <w:p w14:paraId="5D982666">
      <w:pPr>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成交供应商应按磋商文件、响应文件和承诺规定的服务内容向采购人提供相应服务。</w:t>
      </w:r>
    </w:p>
    <w:p w14:paraId="310603DA">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69" w:name="_Toc25056"/>
      <w:bookmarkStart w:id="170" w:name="_Toc7134"/>
      <w:bookmarkStart w:id="171" w:name="_Toc8669"/>
      <w:r>
        <w:rPr>
          <w:rFonts w:hint="eastAsia" w:ascii="宋体" w:hAnsi="宋体" w:cs="宋体"/>
          <w:b/>
          <w:bCs w:val="0"/>
          <w:color w:val="000000" w:themeColor="text1"/>
          <w:sz w:val="21"/>
          <w:szCs w:val="21"/>
          <w14:textFill>
            <w14:solidFill>
              <w14:schemeClr w14:val="tx1"/>
            </w14:solidFill>
          </w14:textFill>
        </w:rPr>
        <w:t>第四条  服务期限</w:t>
      </w:r>
      <w:bookmarkEnd w:id="169"/>
      <w:bookmarkEnd w:id="170"/>
      <w:bookmarkEnd w:id="171"/>
    </w:p>
    <w:p w14:paraId="4ECE9225">
      <w:pPr>
        <w:spacing w:line="360" w:lineRule="auto"/>
        <w:ind w:firstLine="420" w:firstLineChars="200"/>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bookmarkStart w:id="172" w:name="_Toc15179"/>
      <w:bookmarkStart w:id="173" w:name="_Toc25521"/>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一年。</w:t>
      </w:r>
    </w:p>
    <w:p w14:paraId="65C96803">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74" w:name="_Toc13066"/>
      <w:r>
        <w:rPr>
          <w:rFonts w:hint="eastAsia" w:ascii="宋体" w:hAnsi="宋体" w:cs="宋体"/>
          <w:b/>
          <w:bCs w:val="0"/>
          <w:color w:val="000000" w:themeColor="text1"/>
          <w:sz w:val="21"/>
          <w:szCs w:val="21"/>
          <w14:textFill>
            <w14:solidFill>
              <w14:schemeClr w14:val="tx1"/>
            </w14:solidFill>
          </w14:textFill>
        </w:rPr>
        <w:t>第五条  交付</w:t>
      </w:r>
      <w:bookmarkEnd w:id="172"/>
      <w:bookmarkEnd w:id="173"/>
      <w:bookmarkEnd w:id="174"/>
    </w:p>
    <w:p w14:paraId="7AA81B5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1、服务时间</w:t>
      </w:r>
      <w:r>
        <w:rPr>
          <w:rFonts w:hint="eastAsia" w:ascii="宋体" w:hAnsi="宋体" w:cs="宋体"/>
          <w:color w:val="000000" w:themeColor="text1"/>
          <w:szCs w:val="21"/>
          <w:u w:val="single"/>
          <w14:textFill>
            <w14:solidFill>
              <w14:schemeClr w14:val="tx1"/>
            </w14:solidFill>
          </w14:textFill>
        </w:rPr>
        <w:t xml:space="preserve"> 合同签订之日起</w:t>
      </w: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 xml:space="preserve">   采购人指定地点  </w:t>
      </w:r>
      <w:r>
        <w:rPr>
          <w:rFonts w:hint="eastAsia" w:ascii="宋体" w:hAnsi="宋体" w:cs="宋体"/>
          <w:color w:val="000000" w:themeColor="text1"/>
          <w:szCs w:val="21"/>
          <w14:textFill>
            <w14:solidFill>
              <w14:schemeClr w14:val="tx1"/>
            </w14:solidFill>
          </w14:textFill>
        </w:rPr>
        <w:t>。</w:t>
      </w:r>
    </w:p>
    <w:p w14:paraId="1E2EF50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2、成交供应商提供不符合磋商文件、响应文件和本合同规定的服务，采购人有权拒绝接受。</w:t>
      </w:r>
    </w:p>
    <w:p w14:paraId="0A7A4457">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75" w:name="_Toc22519"/>
      <w:bookmarkStart w:id="176" w:name="_Toc6403"/>
      <w:bookmarkStart w:id="177" w:name="_Toc8253"/>
      <w:r>
        <w:rPr>
          <w:rFonts w:hint="eastAsia" w:ascii="宋体" w:hAnsi="宋体" w:cs="宋体"/>
          <w:b/>
          <w:bCs w:val="0"/>
          <w:color w:val="000000" w:themeColor="text1"/>
          <w:sz w:val="21"/>
          <w:szCs w:val="21"/>
          <w14:textFill>
            <w14:solidFill>
              <w14:schemeClr w14:val="tx1"/>
            </w14:solidFill>
          </w14:textFill>
        </w:rPr>
        <w:t>第六条  税费</w:t>
      </w:r>
      <w:bookmarkEnd w:id="175"/>
      <w:bookmarkEnd w:id="176"/>
      <w:bookmarkEnd w:id="177"/>
    </w:p>
    <w:p w14:paraId="0F9C85B1">
      <w:pPr>
        <w:spacing w:line="360" w:lineRule="auto"/>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本合同执行中相关的一切税费均由成交供应商负担。</w:t>
      </w:r>
    </w:p>
    <w:p w14:paraId="02C180BD">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78" w:name="_Toc11829"/>
      <w:bookmarkStart w:id="179" w:name="_Toc13007"/>
      <w:bookmarkStart w:id="180" w:name="_Toc31516"/>
      <w:r>
        <w:rPr>
          <w:rFonts w:hint="eastAsia" w:ascii="宋体" w:hAnsi="宋体" w:cs="宋体"/>
          <w:b/>
          <w:bCs w:val="0"/>
          <w:color w:val="000000" w:themeColor="text1"/>
          <w:sz w:val="21"/>
          <w:szCs w:val="21"/>
          <w14:textFill>
            <w14:solidFill>
              <w14:schemeClr w14:val="tx1"/>
            </w14:solidFill>
          </w14:textFill>
        </w:rPr>
        <w:t>第七条  付款方式</w:t>
      </w:r>
      <w:bookmarkEnd w:id="178"/>
      <w:bookmarkEnd w:id="179"/>
      <w:bookmarkEnd w:id="180"/>
    </w:p>
    <w:p w14:paraId="3FE1E72A">
      <w:pPr>
        <w:widowControl/>
        <w:spacing w:line="400" w:lineRule="exact"/>
        <w:ind w:firstLine="422" w:firstLineChars="201"/>
        <w:jc w:val="left"/>
        <w:rPr>
          <w:rFonts w:hint="eastAsia" w:cs="宋体" w:asciiTheme="minorEastAsia" w:hAnsiTheme="minorEastAsia" w:eastAsiaTheme="minorEastAsia"/>
          <w:bCs w:val="0"/>
          <w:color w:val="auto"/>
          <w:sz w:val="21"/>
          <w:szCs w:val="21"/>
          <w:lang w:val="en-US" w:eastAsia="zh-CN"/>
        </w:rPr>
      </w:pPr>
      <w:bookmarkStart w:id="181" w:name="_Toc2652"/>
      <w:bookmarkStart w:id="182" w:name="_Toc7272"/>
      <w:r>
        <w:rPr>
          <w:rFonts w:hint="eastAsia" w:cs="宋体" w:asciiTheme="minorEastAsia" w:hAnsiTheme="minorEastAsia" w:eastAsiaTheme="minorEastAsia"/>
          <w:bCs w:val="0"/>
          <w:color w:val="auto"/>
          <w:sz w:val="21"/>
          <w:szCs w:val="21"/>
          <w:lang w:val="en-US"/>
        </w:rPr>
        <w:t>付款方式：按月支付，每月支付中标金额的十二分之一</w:t>
      </w:r>
      <w:r>
        <w:rPr>
          <w:rFonts w:hint="eastAsia" w:cs="宋体" w:asciiTheme="minorEastAsia" w:hAnsiTheme="minorEastAsia" w:eastAsiaTheme="minorEastAsia"/>
          <w:bCs w:val="0"/>
          <w:color w:val="auto"/>
          <w:sz w:val="21"/>
          <w:szCs w:val="21"/>
          <w:lang w:val="en-US" w:eastAsia="zh-CN"/>
        </w:rPr>
        <w:t>。</w:t>
      </w:r>
    </w:p>
    <w:p w14:paraId="17DD00C7">
      <w:pPr>
        <w:widowControl/>
        <w:spacing w:line="400" w:lineRule="exact"/>
        <w:ind w:firstLine="422" w:firstLineChars="201"/>
        <w:jc w:val="left"/>
        <w:rPr>
          <w:rFonts w:hint="eastAsia" w:ascii="宋体" w:hAnsi="宋体" w:cs="宋体"/>
          <w:kern w:val="0"/>
          <w:szCs w:val="21"/>
        </w:rPr>
      </w:pPr>
      <w:r>
        <w:rPr>
          <w:rFonts w:hint="eastAsia" w:ascii="宋体" w:hAnsi="宋体" w:cs="宋体"/>
          <w:b/>
          <w:szCs w:val="21"/>
        </w:rPr>
        <w:t xml:space="preserve">第八条 </w:t>
      </w:r>
      <w:r>
        <w:rPr>
          <w:rFonts w:hint="eastAsia" w:ascii="宋体" w:hAnsi="宋体" w:cs="宋体"/>
          <w:kern w:val="0"/>
          <w:szCs w:val="21"/>
        </w:rPr>
        <w:t xml:space="preserve"> </w:t>
      </w:r>
      <w:r>
        <w:rPr>
          <w:rFonts w:hint="eastAsia" w:ascii="宋体" w:hAnsi="宋体" w:cs="宋体"/>
          <w:b/>
          <w:szCs w:val="21"/>
        </w:rPr>
        <w:t>履约保证金</w:t>
      </w:r>
    </w:p>
    <w:p w14:paraId="14738552">
      <w:pPr>
        <w:pStyle w:val="4"/>
        <w:spacing w:before="0" w:after="0" w:line="288" w:lineRule="auto"/>
        <w:ind w:firstLine="420" w:firstLineChars="200"/>
        <w:rPr>
          <w:rFonts w:hint="eastAsia" w:ascii="宋体" w:hAnsi="宋体" w:cs="宋体"/>
          <w:b w:val="0"/>
          <w:bCs/>
          <w:sz w:val="21"/>
          <w:szCs w:val="21"/>
        </w:rPr>
      </w:pPr>
      <w:bookmarkStart w:id="183" w:name="_Toc2064"/>
      <w:bookmarkStart w:id="184" w:name="_Toc22455"/>
      <w:r>
        <w:rPr>
          <w:rFonts w:hint="eastAsia" w:ascii="宋体" w:hAnsi="宋体" w:cs="宋体"/>
          <w:b w:val="0"/>
          <w:bCs/>
          <w:sz w:val="21"/>
        </w:rPr>
        <w:t>本项目无</w:t>
      </w:r>
      <w:r>
        <w:rPr>
          <w:rFonts w:ascii="宋体" w:hAnsi="宋体" w:cs="宋体"/>
          <w:b w:val="0"/>
          <w:bCs/>
          <w:sz w:val="21"/>
        </w:rPr>
        <w:t>履约保证金。</w:t>
      </w:r>
      <w:bookmarkEnd w:id="183"/>
      <w:bookmarkEnd w:id="184"/>
    </w:p>
    <w:p w14:paraId="2ECE6904">
      <w:pPr>
        <w:pStyle w:val="3"/>
        <w:ind w:left="567" w:leftChars="200" w:hanging="147" w:hangingChars="70"/>
        <w:rPr>
          <w:rFonts w:hint="eastAsia" w:ascii="宋体" w:hAnsi="宋体" w:cs="宋体"/>
          <w:b/>
          <w:bCs w:val="0"/>
          <w:color w:val="auto"/>
          <w:sz w:val="21"/>
          <w:szCs w:val="21"/>
        </w:rPr>
      </w:pPr>
      <w:bookmarkStart w:id="185" w:name="_Toc20937"/>
      <w:r>
        <w:rPr>
          <w:rFonts w:hint="eastAsia" w:ascii="宋体" w:hAnsi="宋体" w:cs="宋体"/>
          <w:b/>
          <w:bCs w:val="0"/>
          <w:color w:val="auto"/>
          <w:sz w:val="21"/>
          <w:szCs w:val="21"/>
        </w:rPr>
        <w:t>第九条  违约责任</w:t>
      </w:r>
      <w:bookmarkEnd w:id="181"/>
      <w:bookmarkEnd w:id="182"/>
      <w:bookmarkEnd w:id="185"/>
    </w:p>
    <w:p w14:paraId="3F9F8A35">
      <w:pPr>
        <w:spacing w:line="38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1、乙方所提供的服务质量不合格的，应及时调整，调整不及时的按逾期处罚，乙方应向甲方支付合同金额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违约金并赔偿甲方经济损失。</w:t>
      </w:r>
    </w:p>
    <w:p w14:paraId="6685DF3B">
      <w:pPr>
        <w:spacing w:line="380" w:lineRule="exact"/>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2、乙方提供的服务如果侵犯了第三方合法权益而引发的任何纠纷或诉讼，均由乙方负责交涉并承担全部责任。</w:t>
      </w:r>
    </w:p>
    <w:p w14:paraId="38D1BB51">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3、乙方无故延期服务交付的，每天向甲方偿付违约合同金额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违约金，但违约金累计不得超过合同金额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，超过</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天甲方有权解除合同，违约方承担因此给对方造成经济损失；甲方不能按期付款的，每天向乙方偿付延合同金额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滞纳金，但滞纳金累计不得超过合同金额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610BE6F1">
      <w:pPr>
        <w:spacing w:line="380" w:lineRule="exact"/>
        <w:ind w:firstLine="411" w:firstLineChars="196"/>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4、乙方未按本合同和投标文件中规定的服务承诺提供服务的，乙方应按本合同合同金额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向甲方支付违约金。</w:t>
      </w:r>
    </w:p>
    <w:p w14:paraId="20A7A78F">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5、其他违约行为按照合同金额额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收取违约金并赔偿经济损失。</w:t>
      </w:r>
    </w:p>
    <w:p w14:paraId="5AD3E407">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86" w:name="_Toc8363"/>
      <w:bookmarkStart w:id="187" w:name="_Toc10784"/>
      <w:bookmarkStart w:id="188" w:name="_Toc1538"/>
      <w:r>
        <w:rPr>
          <w:rFonts w:hint="eastAsia" w:ascii="宋体" w:hAnsi="宋体" w:cs="宋体"/>
          <w:b/>
          <w:bCs w:val="0"/>
          <w:color w:val="000000" w:themeColor="text1"/>
          <w:sz w:val="21"/>
          <w:szCs w:val="21"/>
          <w14:textFill>
            <w14:solidFill>
              <w14:schemeClr w14:val="tx1"/>
            </w14:solidFill>
          </w14:textFill>
        </w:rPr>
        <w:t>第十条  不可抗力事件处理</w:t>
      </w:r>
      <w:bookmarkEnd w:id="186"/>
      <w:bookmarkEnd w:id="187"/>
      <w:bookmarkEnd w:id="188"/>
    </w:p>
    <w:p w14:paraId="0DDFBA89">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1、在合同有效期内，成交供应商因不可抗力事件导致不能履行合同，则合同履行期可延长，其延长期与不可抗力影响期相同。</w:t>
      </w:r>
    </w:p>
    <w:p w14:paraId="5B03D303">
      <w:pPr>
        <w:numPr>
          <w:ilvl w:val="0"/>
          <w:numId w:val="13"/>
        </w:num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不可抗力事件发生后，应立即通知对方，并寄送有关权威机构出具的证明。</w:t>
      </w:r>
    </w:p>
    <w:p w14:paraId="3CC3119A">
      <w:pPr>
        <w:numPr>
          <w:ilvl w:val="0"/>
          <w:numId w:val="13"/>
        </w:num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不可抗力事件延续一百二十天以上，双方应通过友好协商，确定是否继续履行合同。</w:t>
      </w:r>
    </w:p>
    <w:p w14:paraId="22870FEC">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89" w:name="_Toc7311"/>
      <w:bookmarkStart w:id="190" w:name="_Toc8638"/>
      <w:bookmarkStart w:id="191" w:name="_Toc2723"/>
      <w:r>
        <w:rPr>
          <w:rFonts w:hint="eastAsia" w:ascii="宋体" w:hAnsi="宋体" w:cs="宋体"/>
          <w:b/>
          <w:bCs w:val="0"/>
          <w:color w:val="000000" w:themeColor="text1"/>
          <w:sz w:val="21"/>
          <w:szCs w:val="21"/>
          <w14:textFill>
            <w14:solidFill>
              <w14:schemeClr w14:val="tx1"/>
            </w14:solidFill>
          </w14:textFill>
        </w:rPr>
        <w:t>第十一条  合同争议解决</w:t>
      </w:r>
      <w:bookmarkEnd w:id="189"/>
      <w:bookmarkEnd w:id="190"/>
      <w:bookmarkEnd w:id="191"/>
    </w:p>
    <w:p w14:paraId="327A957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1、因服务问题发生争议的，应邀请国家认可的相关机构进行鉴定。服务符合要求的，鉴定费由采购人承担；服务不符合要求的，鉴定费由成交供应商承担。</w:t>
      </w:r>
    </w:p>
    <w:p w14:paraId="23C3FF8C">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cs="宋体"/>
          <w:color w:val="000000" w:themeColor="text1"/>
          <w14:textFill>
            <w14:solidFill>
              <w14:schemeClr w14:val="tx1"/>
            </w14:solidFill>
          </w14:textFill>
        </w:rPr>
        <w:t>桂林市</w:t>
      </w:r>
      <w:r>
        <w:rPr>
          <w:rFonts w:hint="eastAsia" w:ascii="宋体" w:hAnsi="宋体" w:cs="宋体"/>
          <w:color w:val="000000" w:themeColor="text1"/>
          <w:szCs w:val="21"/>
          <w14:textFill>
            <w14:solidFill>
              <w14:schemeClr w14:val="tx1"/>
            </w14:solidFill>
          </w14:textFill>
        </w:rPr>
        <w:t>人民法院提起诉讼。</w:t>
      </w:r>
    </w:p>
    <w:p w14:paraId="312F5C20">
      <w:pPr>
        <w:spacing w:line="360" w:lineRule="auto"/>
        <w:ind w:left="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3、诉讼期间，本合同继续履行。</w:t>
      </w:r>
    </w:p>
    <w:p w14:paraId="00EE0F4C">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92" w:name="_Toc27483"/>
      <w:bookmarkStart w:id="193" w:name="_Toc17823"/>
      <w:bookmarkStart w:id="194" w:name="_Toc13555"/>
      <w:r>
        <w:rPr>
          <w:rFonts w:hint="eastAsia" w:ascii="宋体" w:hAnsi="宋体" w:cs="宋体"/>
          <w:b/>
          <w:bCs w:val="0"/>
          <w:color w:val="000000" w:themeColor="text1"/>
          <w:sz w:val="21"/>
          <w:szCs w:val="21"/>
          <w14:textFill>
            <w14:solidFill>
              <w14:schemeClr w14:val="tx1"/>
            </w14:solidFill>
          </w14:textFill>
        </w:rPr>
        <w:t>第十二条  合同生效及其它</w:t>
      </w:r>
      <w:bookmarkEnd w:id="192"/>
      <w:bookmarkEnd w:id="193"/>
      <w:bookmarkEnd w:id="194"/>
    </w:p>
    <w:p w14:paraId="47CD77A7">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1、合同经甲乙双方法定代表人或授权代表签字并加盖单位公章后生效。</w:t>
      </w:r>
    </w:p>
    <w:p w14:paraId="30741F7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2、合同执行中涉及采购资金和采购内容修改或补充的，需本级财政部门审批，并签订书面补充协议报</w:t>
      </w:r>
      <w:r>
        <w:rPr>
          <w:rFonts w:hint="eastAsia" w:ascii="宋体" w:hAnsi="宋体" w:cs="宋体"/>
          <w:color w:val="000000" w:themeColor="text1"/>
          <w14:textFill>
            <w14:solidFill>
              <w14:schemeClr w14:val="tx1"/>
            </w14:solidFill>
          </w14:textFill>
        </w:rPr>
        <w:t>本级财政部门</w:t>
      </w:r>
      <w:r>
        <w:rPr>
          <w:rFonts w:hint="eastAsia" w:ascii="宋体" w:hAnsi="宋体" w:cs="宋体"/>
          <w:color w:val="000000" w:themeColor="text1"/>
          <w:szCs w:val="21"/>
          <w14:textFill>
            <w14:solidFill>
              <w14:schemeClr w14:val="tx1"/>
            </w14:solidFill>
          </w14:textFill>
        </w:rPr>
        <w:t>备案，方可作为主合同不可分割的一部分。</w:t>
      </w:r>
    </w:p>
    <w:p w14:paraId="71E88081">
      <w:pPr>
        <w:spacing w:line="360" w:lineRule="auto"/>
        <w:ind w:left="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3、本合同未尽事宜，遵照《中华人民共和国民法典》有关条文执行。</w:t>
      </w:r>
    </w:p>
    <w:p w14:paraId="7F96D85C">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95" w:name="_Toc31015"/>
      <w:bookmarkStart w:id="196" w:name="_Toc31438"/>
      <w:bookmarkStart w:id="197" w:name="_Toc12956"/>
      <w:r>
        <w:rPr>
          <w:rFonts w:hint="eastAsia" w:ascii="宋体" w:hAnsi="宋体" w:cs="宋体"/>
          <w:b/>
          <w:bCs w:val="0"/>
          <w:color w:val="000000" w:themeColor="text1"/>
          <w:sz w:val="21"/>
          <w:szCs w:val="21"/>
          <w14:textFill>
            <w14:solidFill>
              <w14:schemeClr w14:val="tx1"/>
            </w14:solidFill>
          </w14:textFill>
        </w:rPr>
        <w:t>第十三条  合同的变更、终止与转让</w:t>
      </w:r>
      <w:bookmarkEnd w:id="195"/>
      <w:bookmarkEnd w:id="196"/>
      <w:bookmarkEnd w:id="197"/>
    </w:p>
    <w:p w14:paraId="58F7393B">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1、除《中华人民共和国政府采购法》第五十条规定的情形外，本合同一经签订，甲乙双方不得擅自变更，中止或终止。</w:t>
      </w:r>
    </w:p>
    <w:p w14:paraId="1F5B775C">
      <w:pPr>
        <w:numPr>
          <w:ilvl w:val="0"/>
          <w:numId w:val="14"/>
        </w:num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成交供应商不得擅自转让其应履行的合同义务。</w:t>
      </w:r>
    </w:p>
    <w:p w14:paraId="12FEBF9E">
      <w:pPr>
        <w:pStyle w:val="3"/>
        <w:ind w:left="567" w:leftChars="200" w:hanging="147" w:hangingChars="70"/>
        <w:rPr>
          <w:rFonts w:hint="eastAsia" w:ascii="宋体" w:hAnsi="宋体" w:cs="宋体"/>
          <w:b/>
          <w:bCs w:val="0"/>
          <w:color w:val="000000" w:themeColor="text1"/>
          <w:sz w:val="21"/>
          <w:szCs w:val="21"/>
          <w14:textFill>
            <w14:solidFill>
              <w14:schemeClr w14:val="tx1"/>
            </w14:solidFill>
          </w14:textFill>
        </w:rPr>
      </w:pPr>
      <w:bookmarkStart w:id="198" w:name="_Toc32608"/>
      <w:bookmarkStart w:id="199" w:name="_Toc12053"/>
      <w:bookmarkStart w:id="200" w:name="_Toc14327"/>
      <w:r>
        <w:rPr>
          <w:rFonts w:hint="eastAsia" w:ascii="宋体" w:hAnsi="宋体" w:cs="宋体"/>
          <w:b/>
          <w:bCs w:val="0"/>
          <w:color w:val="000000" w:themeColor="text1"/>
          <w:sz w:val="21"/>
          <w:szCs w:val="21"/>
          <w14:textFill>
            <w14:solidFill>
              <w14:schemeClr w14:val="tx1"/>
            </w14:solidFill>
          </w14:textFill>
        </w:rPr>
        <w:t>第十四条  签订本合同依据</w:t>
      </w:r>
      <w:bookmarkEnd w:id="198"/>
      <w:bookmarkEnd w:id="199"/>
      <w:bookmarkEnd w:id="200"/>
    </w:p>
    <w:p w14:paraId="5209D6E8">
      <w:pPr>
        <w:spacing w:line="360" w:lineRule="auto"/>
        <w:ind w:left="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1、竞争性磋商文件；</w:t>
      </w:r>
    </w:p>
    <w:p w14:paraId="5E865932">
      <w:pPr>
        <w:spacing w:line="360" w:lineRule="auto"/>
        <w:ind w:left="224" w:leftChars="107"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2、成交供应商的响应（或应答）文件；</w:t>
      </w:r>
    </w:p>
    <w:p w14:paraId="6318C7FA">
      <w:pPr>
        <w:spacing w:line="360" w:lineRule="auto"/>
        <w:ind w:left="224" w:leftChars="107"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3、服务承诺书；</w:t>
      </w:r>
    </w:p>
    <w:p w14:paraId="48BCA27A">
      <w:pPr>
        <w:spacing w:line="360" w:lineRule="auto"/>
        <w:ind w:left="224" w:leftChars="107"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4、磋商中的磋商记录；</w:t>
      </w:r>
    </w:p>
    <w:p w14:paraId="07B2084D">
      <w:pPr>
        <w:spacing w:line="360" w:lineRule="auto"/>
        <w:ind w:left="224" w:leftChars="107"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5、成交通知书。</w:t>
      </w:r>
    </w:p>
    <w:p w14:paraId="53F52D9D">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7FE3D059">
      <w:pPr>
        <w:spacing w:line="40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p w14:paraId="61BCF13F">
      <w:pPr>
        <w:pStyle w:val="2"/>
        <w:rPr>
          <w:color w:val="000000" w:themeColor="text1"/>
          <w14:textFill>
            <w14:solidFill>
              <w14:schemeClr w14:val="tx1"/>
            </w14:solidFill>
          </w14:textFill>
        </w:rPr>
      </w:pPr>
    </w:p>
    <w:p w14:paraId="287FF519">
      <w:pPr>
        <w:spacing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采购人名称（公章）：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成交供应商名称（公章）：</w:t>
      </w:r>
      <w:r>
        <w:rPr>
          <w:rFonts w:hint="eastAsia" w:ascii="宋体" w:hAnsi="宋体" w:cs="宋体"/>
          <w:color w:val="000000" w:themeColor="text1"/>
          <w:szCs w:val="21"/>
          <w:u w:val="single"/>
          <w14:textFill>
            <w14:solidFill>
              <w14:schemeClr w14:val="tx1"/>
            </w14:solidFill>
          </w14:textFill>
        </w:rPr>
        <w:t xml:space="preserve">                                                    </w:t>
      </w:r>
    </w:p>
    <w:p w14:paraId="4FEA998C">
      <w:pPr>
        <w:spacing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法定代表人：</w:t>
      </w:r>
      <w:r>
        <w:rPr>
          <w:rFonts w:hint="eastAsia" w:ascii="宋体" w:hAnsi="宋体" w:cs="宋体"/>
          <w:color w:val="000000" w:themeColor="text1"/>
          <w:szCs w:val="21"/>
          <w:u w:val="single"/>
          <w14:textFill>
            <w14:solidFill>
              <w14:schemeClr w14:val="tx1"/>
            </w14:solidFill>
          </w14:textFill>
        </w:rPr>
        <w:t xml:space="preserve">                                 </w:t>
      </w:r>
    </w:p>
    <w:p w14:paraId="7611650D">
      <w:pPr>
        <w:tabs>
          <w:tab w:val="left" w:pos="4680"/>
        </w:tabs>
        <w:spacing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委托代理人：</w:t>
      </w:r>
      <w:r>
        <w:rPr>
          <w:rFonts w:hint="eastAsia" w:ascii="宋体" w:hAnsi="宋体" w:cs="宋体"/>
          <w:color w:val="000000" w:themeColor="text1"/>
          <w:szCs w:val="21"/>
          <w:u w:val="single"/>
          <w14:textFill>
            <w14:solidFill>
              <w14:schemeClr w14:val="tx1"/>
            </w14:solidFill>
          </w14:textFill>
        </w:rPr>
        <w:t xml:space="preserve">                                 </w:t>
      </w:r>
    </w:p>
    <w:p w14:paraId="145E91B8">
      <w:pPr>
        <w:tabs>
          <w:tab w:val="left" w:pos="5040"/>
        </w:tabs>
        <w:spacing w:line="360" w:lineRule="auto"/>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电   话： </w:t>
      </w:r>
      <w:r>
        <w:rPr>
          <w:rFonts w:hint="eastAsia" w:ascii="宋体" w:hAnsi="宋体" w:cs="宋体"/>
          <w:color w:val="000000" w:themeColor="text1"/>
          <w:szCs w:val="21"/>
          <w:u w:val="single"/>
          <w14:textFill>
            <w14:solidFill>
              <w14:schemeClr w14:val="tx1"/>
            </w14:solidFill>
          </w14:textFill>
        </w:rPr>
        <w:t xml:space="preserve">                                  </w:t>
      </w:r>
    </w:p>
    <w:p w14:paraId="0B090C33">
      <w:pPr>
        <w:tabs>
          <w:tab w:val="left" w:pos="5040"/>
        </w:tabs>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开户名称：</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7525B786">
      <w:pPr>
        <w:tabs>
          <w:tab w:val="left" w:pos="5040"/>
        </w:tabs>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开户银行：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42FE75F5">
      <w:pPr>
        <w:tabs>
          <w:tab w:val="left" w:pos="5040"/>
        </w:tabs>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银行账号：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37000F99">
      <w:pPr>
        <w:tabs>
          <w:tab w:val="left" w:pos="5040"/>
        </w:tabs>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    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日    期：</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18632106">
      <w:pPr>
        <w:rPr>
          <w:rFonts w:hint="eastAsia" w:ascii="宋体" w:hAnsi="宋体" w:cs="宋体"/>
          <w:color w:val="000000" w:themeColor="text1"/>
          <w14:textFill>
            <w14:solidFill>
              <w14:schemeClr w14:val="tx1"/>
            </w14:solidFill>
          </w14:textFill>
        </w:rPr>
      </w:pPr>
    </w:p>
    <w:p w14:paraId="2DF69EC0">
      <w:pPr>
        <w:pStyle w:val="8"/>
        <w:rPr>
          <w:rFonts w:hint="eastAsia" w:ascii="宋体" w:hAnsi="宋体" w:cs="宋体"/>
          <w:color w:val="000000" w:themeColor="text1"/>
          <w14:textFill>
            <w14:solidFill>
              <w14:schemeClr w14:val="tx1"/>
            </w14:solidFill>
          </w14:textFill>
        </w:rPr>
      </w:pPr>
    </w:p>
    <w:p w14:paraId="6934EEBC">
      <w:pPr>
        <w:rPr>
          <w:color w:val="000000" w:themeColor="text1"/>
          <w14:textFill>
            <w14:solidFill>
              <w14:schemeClr w14:val="tx1"/>
            </w14:solidFill>
          </w14:textFill>
        </w:rPr>
      </w:pPr>
      <w:bookmarkStart w:id="201" w:name="_Toc24269"/>
      <w:bookmarkStart w:id="202" w:name="_Toc10014"/>
    </w:p>
    <w:p w14:paraId="2EB78AF9">
      <w:pPr>
        <w:rPr>
          <w:color w:val="000000" w:themeColor="text1"/>
          <w14:textFill>
            <w14:solidFill>
              <w14:schemeClr w14:val="tx1"/>
            </w14:solidFill>
          </w14:textFill>
        </w:rPr>
      </w:pPr>
    </w:p>
    <w:p w14:paraId="525B42C8">
      <w:pPr>
        <w:pStyle w:val="3"/>
        <w:rPr>
          <w:color w:val="000000" w:themeColor="text1"/>
          <w14:textFill>
            <w14:solidFill>
              <w14:schemeClr w14:val="tx1"/>
            </w14:solidFill>
          </w14:textFill>
        </w:rPr>
      </w:pPr>
    </w:p>
    <w:p w14:paraId="121DC1B5">
      <w:pPr>
        <w:rPr>
          <w:color w:val="000000" w:themeColor="text1"/>
          <w14:textFill>
            <w14:solidFill>
              <w14:schemeClr w14:val="tx1"/>
            </w14:solidFill>
          </w14:textFill>
        </w:rPr>
      </w:pPr>
    </w:p>
    <w:p w14:paraId="1A9D086F">
      <w:pPr>
        <w:pStyle w:val="3"/>
        <w:rPr>
          <w:color w:val="000000" w:themeColor="text1"/>
          <w14:textFill>
            <w14:solidFill>
              <w14:schemeClr w14:val="tx1"/>
            </w14:solidFill>
          </w14:textFill>
        </w:rPr>
      </w:pPr>
    </w:p>
    <w:p w14:paraId="15594F56"/>
    <w:p w14:paraId="1E4554E2">
      <w:pPr>
        <w:rPr>
          <w:color w:val="000000" w:themeColor="text1"/>
          <w14:textFill>
            <w14:solidFill>
              <w14:schemeClr w14:val="tx1"/>
            </w14:solidFill>
          </w14:textFill>
        </w:rPr>
      </w:pPr>
    </w:p>
    <w:p w14:paraId="64D6363E">
      <w:pPr>
        <w:pStyle w:val="3"/>
        <w:ind w:left="0" w:firstLine="0"/>
        <w:jc w:val="center"/>
        <w:rPr>
          <w:rFonts w:hint="eastAsia" w:ascii="宋体" w:hAnsi="宋体" w:cs="宋体"/>
          <w:b/>
          <w:color w:val="000000" w:themeColor="text1"/>
          <w14:textFill>
            <w14:solidFill>
              <w14:schemeClr w14:val="tx1"/>
            </w14:solidFill>
          </w14:textFill>
        </w:rPr>
      </w:pPr>
      <w:bookmarkStart w:id="203" w:name="_Toc25054"/>
      <w:r>
        <w:rPr>
          <w:rFonts w:hint="eastAsia" w:ascii="宋体" w:hAnsi="宋体" w:cs="宋体"/>
          <w:b/>
          <w:color w:val="000000" w:themeColor="text1"/>
          <w:kern w:val="44"/>
          <w:sz w:val="32"/>
          <w14:textFill>
            <w14:solidFill>
              <w14:schemeClr w14:val="tx1"/>
            </w14:solidFill>
          </w14:textFill>
        </w:rPr>
        <w:t xml:space="preserve">第六章  </w:t>
      </w:r>
      <w:bookmarkEnd w:id="201"/>
      <w:bookmarkEnd w:id="202"/>
      <w:bookmarkStart w:id="204" w:name="_Toc13185"/>
      <w:r>
        <w:rPr>
          <w:rFonts w:hint="eastAsia" w:ascii="宋体" w:hAnsi="宋体" w:cs="宋体"/>
          <w:b/>
          <w:color w:val="000000" w:themeColor="text1"/>
          <w:sz w:val="32"/>
          <w14:textFill>
            <w14:solidFill>
              <w14:schemeClr w14:val="tx1"/>
            </w14:solidFill>
          </w14:textFill>
        </w:rPr>
        <w:t>响应文件（格式）</w:t>
      </w:r>
      <w:bookmarkEnd w:id="203"/>
      <w:bookmarkEnd w:id="204"/>
    </w:p>
    <w:p w14:paraId="08EBE80E">
      <w:pPr>
        <w:rPr>
          <w:rFonts w:hint="eastAsia" w:ascii="宋体" w:hAnsi="宋体" w:cs="宋体"/>
          <w:color w:val="000000" w:themeColor="text1"/>
          <w14:textFill>
            <w14:solidFill>
              <w14:schemeClr w14:val="tx1"/>
            </w14:solidFill>
          </w14:textFill>
        </w:rPr>
      </w:pPr>
    </w:p>
    <w:p w14:paraId="5D321A68">
      <w:pPr>
        <w:pStyle w:val="11"/>
        <w:rPr>
          <w:rFonts w:hint="eastAsia" w:hAnsi="宋体" w:cs="宋体"/>
          <w:b/>
          <w:color w:val="000000" w:themeColor="text1"/>
          <w:sz w:val="32"/>
          <w14:textFill>
            <w14:solidFill>
              <w14:schemeClr w14:val="tx1"/>
            </w14:solidFill>
          </w14:textFill>
        </w:rPr>
      </w:pPr>
      <w:bookmarkStart w:id="205" w:name="_Toc21496"/>
      <w:bookmarkStart w:id="206" w:name="_Toc18351"/>
      <w:bookmarkStart w:id="207" w:name="_Toc497927069"/>
      <w:r>
        <w:rPr>
          <w:rFonts w:hint="eastAsia" w:hAnsi="宋体" w:cs="宋体"/>
          <w:b/>
          <w:color w:val="000000" w:themeColor="text1"/>
          <w:sz w:val="32"/>
          <w14:textFill>
            <w14:solidFill>
              <w14:schemeClr w14:val="tx1"/>
            </w14:solidFill>
          </w14:textFill>
        </w:rPr>
        <w:t>一、响应文件袋（盒、箱）标记</w:t>
      </w:r>
      <w:bookmarkEnd w:id="205"/>
      <w:bookmarkEnd w:id="206"/>
      <w:bookmarkEnd w:id="207"/>
    </w:p>
    <w:p w14:paraId="662BDFE5">
      <w:pPr>
        <w:adjustRightInd w:val="0"/>
        <w:snapToGrid w:val="0"/>
        <w:rPr>
          <w:rFonts w:hint="eastAsia" w:ascii="宋体" w:hAnsi="宋体" w:cs="宋体"/>
          <w:b/>
          <w:color w:val="000000" w:themeColor="text1"/>
          <w:sz w:val="44"/>
          <w:szCs w:val="44"/>
          <w14:textFill>
            <w14:solidFill>
              <w14:schemeClr w14:val="tx1"/>
            </w14:solidFill>
          </w14:textFill>
        </w:rPr>
      </w:pPr>
    </w:p>
    <w:p w14:paraId="3C394569">
      <w:pPr>
        <w:pStyle w:val="25"/>
        <w:rPr>
          <w:rFonts w:hint="eastAsia" w:ascii="宋体" w:hAnsi="宋体" w:cs="宋体"/>
          <w:color w:val="000000" w:themeColor="text1"/>
          <w14:textFill>
            <w14:solidFill>
              <w14:schemeClr w14:val="tx1"/>
            </w14:solidFill>
          </w14:textFill>
        </w:rPr>
      </w:pPr>
    </w:p>
    <w:p w14:paraId="7C28923A">
      <w:pPr>
        <w:snapToGrid w:val="0"/>
        <w:spacing w:before="156" w:beforeLines="50" w:after="50"/>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响 应 文 件</w:t>
      </w:r>
    </w:p>
    <w:p w14:paraId="3B7EA70B">
      <w:pPr>
        <w:snapToGrid w:val="0"/>
        <w:spacing w:before="156" w:beforeLines="50" w:after="50"/>
        <w:ind w:firstLine="480" w:firstLineChars="150"/>
        <w:rPr>
          <w:rFonts w:hint="eastAsia"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w:t>
      </w:r>
    </w:p>
    <w:p w14:paraId="04DB2119">
      <w:pPr>
        <w:snapToGrid w:val="0"/>
        <w:spacing w:before="156" w:beforeLines="50" w:after="50"/>
        <w:ind w:firstLine="420" w:firstLineChars="150"/>
        <w:rPr>
          <w:rFonts w:hint="eastAsia" w:ascii="宋体" w:hAnsi="宋体" w:cs="宋体"/>
          <w:b/>
          <w:color w:val="000000" w:themeColor="text1"/>
          <w:sz w:val="28"/>
          <w:szCs w:val="28"/>
          <w14:textFill>
            <w14:solidFill>
              <w14:schemeClr w14:val="tx1"/>
            </w14:solidFill>
          </w14:textFill>
        </w:rPr>
      </w:pPr>
    </w:p>
    <w:p w14:paraId="65917639">
      <w:pPr>
        <w:snapToGrid w:val="0"/>
        <w:spacing w:before="156" w:beforeLines="50" w:after="50"/>
        <w:ind w:firstLine="420" w:firstLineChars="150"/>
        <w:rPr>
          <w:rFonts w:hint="eastAsia" w:ascii="宋体" w:hAnsi="宋体" w:cs="宋体"/>
          <w:b/>
          <w:color w:val="000000" w:themeColor="text1"/>
          <w:sz w:val="28"/>
          <w:szCs w:val="28"/>
          <w14:textFill>
            <w14:solidFill>
              <w14:schemeClr w14:val="tx1"/>
            </w14:solidFill>
          </w14:textFill>
        </w:rPr>
      </w:pPr>
    </w:p>
    <w:p w14:paraId="1871671D">
      <w:pPr>
        <w:snapToGrid w:val="0"/>
        <w:spacing w:before="156" w:beforeLines="50" w:after="50"/>
        <w:ind w:left="4310" w:leftChars="1330" w:hanging="1517" w:hangingChars="542"/>
        <w:rPr>
          <w:rFonts w:hint="eastAsia" w:ascii="宋体" w:hAnsi="宋体" w:cs="宋体"/>
          <w:b/>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宋体"/>
          <w:b/>
          <w:color w:val="000000" w:themeColor="text1"/>
          <w:sz w:val="28"/>
          <w:szCs w:val="28"/>
          <w:u w:val="single"/>
          <w14:textFill>
            <w14:solidFill>
              <w14:schemeClr w14:val="tx1"/>
            </w14:solidFill>
          </w14:textFill>
        </w:rPr>
        <w:t>桂林国家高新区七星区数字城管应急指挥中心高清视频监控456个摄像头线路及平台服务项目</w:t>
      </w:r>
    </w:p>
    <w:p w14:paraId="518D876B">
      <w:pPr>
        <w:snapToGrid w:val="0"/>
        <w:spacing w:before="156" w:beforeLines="50" w:after="50"/>
        <w:ind w:firstLine="2693" w:firstLineChars="962"/>
        <w:rPr>
          <w:rFonts w:hint="eastAsia" w:ascii="宋体" w:hAnsi="宋体" w:cs="宋体"/>
          <w:b/>
          <w:color w:val="000000" w:themeColor="text1"/>
          <w:sz w:val="28"/>
          <w:szCs w:val="28"/>
          <w14:textFill>
            <w14:solidFill>
              <w14:schemeClr w14:val="tx1"/>
            </w14:solidFill>
          </w14:textFill>
        </w:rPr>
      </w:pPr>
    </w:p>
    <w:p w14:paraId="3D910371">
      <w:pPr>
        <w:snapToGrid w:val="0"/>
        <w:spacing w:before="156" w:beforeLines="50" w:after="50"/>
        <w:ind w:firstLine="2693" w:firstLineChars="962"/>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项目编号：</w:t>
      </w:r>
      <w:r>
        <w:rPr>
          <w:rFonts w:hint="eastAsia" w:ascii="宋体" w:hAnsi="宋体" w:cs="宋体"/>
          <w:b/>
          <w:color w:val="000000" w:themeColor="text1"/>
          <w:sz w:val="28"/>
          <w:szCs w:val="28"/>
          <w:u w:val="single"/>
          <w14:textFill>
            <w14:solidFill>
              <w14:schemeClr w14:val="tx1"/>
            </w14:solidFill>
          </w14:textFill>
        </w:rPr>
        <w:t>GLZC2025-C3-9900195-GLSZ</w:t>
      </w:r>
    </w:p>
    <w:p w14:paraId="7F3DCB48">
      <w:pPr>
        <w:rPr>
          <w:rFonts w:hint="eastAsia" w:ascii="宋体" w:hAnsi="宋体" w:cs="宋体"/>
          <w:b/>
          <w:color w:val="000000" w:themeColor="text1"/>
          <w14:textFill>
            <w14:solidFill>
              <w14:schemeClr w14:val="tx1"/>
            </w14:solidFill>
          </w14:textFill>
        </w:rPr>
      </w:pPr>
    </w:p>
    <w:p w14:paraId="00AC8312">
      <w:pPr>
        <w:spacing w:line="400" w:lineRule="exact"/>
        <w:ind w:firstLine="2693" w:firstLineChars="962"/>
        <w:rPr>
          <w:rFonts w:hint="eastAsia" w:ascii="宋体" w:hAnsi="宋体" w:cs="宋体"/>
          <w:b/>
          <w:color w:val="000000" w:themeColor="text1"/>
          <w:sz w:val="28"/>
          <w:szCs w:val="28"/>
          <w14:textFill>
            <w14:solidFill>
              <w14:schemeClr w14:val="tx1"/>
            </w14:solidFill>
          </w14:textFill>
        </w:rPr>
      </w:pPr>
    </w:p>
    <w:p w14:paraId="752CEB07">
      <w:pPr>
        <w:pStyle w:val="25"/>
        <w:rPr>
          <w:rFonts w:hint="eastAsia" w:ascii="宋体" w:hAnsi="宋体" w:cs="宋体"/>
          <w:b/>
          <w:color w:val="000000" w:themeColor="text1"/>
          <w:sz w:val="28"/>
          <w:szCs w:val="28"/>
          <w14:textFill>
            <w14:solidFill>
              <w14:schemeClr w14:val="tx1"/>
            </w14:solidFill>
          </w14:textFill>
        </w:rPr>
      </w:pPr>
    </w:p>
    <w:p w14:paraId="5741732A">
      <w:pPr>
        <w:pStyle w:val="25"/>
        <w:rPr>
          <w:rFonts w:hint="eastAsia" w:ascii="宋体" w:hAnsi="宋体" w:cs="宋体"/>
          <w:b/>
          <w:color w:val="000000" w:themeColor="text1"/>
          <w:sz w:val="28"/>
          <w:szCs w:val="28"/>
          <w14:textFill>
            <w14:solidFill>
              <w14:schemeClr w14:val="tx1"/>
            </w14:solidFill>
          </w14:textFill>
        </w:rPr>
      </w:pPr>
    </w:p>
    <w:p w14:paraId="04EBEECC">
      <w:pPr>
        <w:pStyle w:val="25"/>
        <w:rPr>
          <w:rFonts w:hint="eastAsia" w:ascii="宋体" w:hAnsi="宋体" w:cs="宋体"/>
          <w:b/>
          <w:color w:val="000000" w:themeColor="text1"/>
          <w:sz w:val="28"/>
          <w:szCs w:val="28"/>
          <w14:textFill>
            <w14:solidFill>
              <w14:schemeClr w14:val="tx1"/>
            </w14:solidFill>
          </w14:textFill>
        </w:rPr>
      </w:pPr>
    </w:p>
    <w:p w14:paraId="6A34C819">
      <w:pPr>
        <w:snapToGrid w:val="0"/>
        <w:spacing w:before="156" w:beforeLines="50" w:after="50"/>
        <w:ind w:firstLine="2693" w:firstLineChars="962"/>
        <w:rPr>
          <w:rFonts w:hint="eastAsia" w:ascii="宋体" w:hAnsi="宋体" w:cs="宋体"/>
          <w:b/>
          <w:color w:val="000000" w:themeColor="text1"/>
          <w:sz w:val="28"/>
          <w:szCs w:val="28"/>
          <w:u w:val="single"/>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采购代理机构：</w:t>
      </w:r>
      <w:r>
        <w:rPr>
          <w:rFonts w:hint="eastAsia" w:ascii="宋体" w:hAnsi="宋体" w:cs="宋体"/>
          <w:b/>
          <w:color w:val="000000" w:themeColor="text1"/>
          <w:sz w:val="28"/>
          <w:szCs w:val="28"/>
          <w:u w:val="single"/>
          <w14:textFill>
            <w14:solidFill>
              <w14:schemeClr w14:val="tx1"/>
            </w14:solidFill>
          </w14:textFill>
        </w:rPr>
        <w:t xml:space="preserve"> 桂林市政府集中采购中心   </w:t>
      </w:r>
    </w:p>
    <w:p w14:paraId="05ED4592">
      <w:pPr>
        <w:pStyle w:val="9"/>
        <w:ind w:left="980" w:hanging="560" w:hangingChars="200"/>
        <w:rPr>
          <w:rFonts w:hint="eastAsia" w:ascii="宋体" w:hAnsi="宋体" w:cs="宋体"/>
          <w:bCs/>
          <w:color w:val="000000" w:themeColor="text1"/>
          <w:sz w:val="28"/>
          <w:szCs w:val="28"/>
          <w14:textFill>
            <w14:solidFill>
              <w14:schemeClr w14:val="tx1"/>
            </w14:solidFill>
          </w14:textFill>
        </w:rPr>
      </w:pPr>
      <w:bookmarkStart w:id="208" w:name="_Toc4932_WPSOffice_Level2"/>
      <w:bookmarkStart w:id="209" w:name="_Toc20319_WPSOffice_Level2"/>
      <w:r>
        <w:rPr>
          <w:rFonts w:hint="eastAsia" w:ascii="宋体" w:hAnsi="宋体" w:cs="宋体"/>
          <w:bCs/>
          <w:color w:val="000000" w:themeColor="text1"/>
          <w:sz w:val="28"/>
          <w:szCs w:val="28"/>
          <w14:textFill>
            <w14:solidFill>
              <w14:schemeClr w14:val="tx1"/>
            </w14:solidFill>
          </w14:textFill>
        </w:rPr>
        <w:t>磋商供应商[公章(CA签章)、自然人除外]：</w:t>
      </w:r>
      <w:r>
        <w:rPr>
          <w:rFonts w:hint="eastAsia" w:ascii="宋体" w:hAnsi="宋体" w:cs="宋体"/>
          <w:bCs/>
          <w:color w:val="000000" w:themeColor="text1"/>
          <w:sz w:val="28"/>
          <w:szCs w:val="28"/>
          <w:u w:val="single"/>
          <w14:textFill>
            <w14:solidFill>
              <w14:schemeClr w14:val="tx1"/>
            </w14:solidFill>
          </w14:textFill>
        </w:rPr>
        <w:t xml:space="preserve">                       </w:t>
      </w:r>
      <w:bookmarkEnd w:id="208"/>
      <w:bookmarkEnd w:id="209"/>
      <w:r>
        <w:rPr>
          <w:rFonts w:hint="eastAsia" w:ascii="宋体" w:hAnsi="宋体" w:cs="宋体"/>
          <w:bCs/>
          <w:color w:val="000000" w:themeColor="text1"/>
          <w:sz w:val="28"/>
          <w:szCs w:val="28"/>
          <w:u w:val="single"/>
          <w14:textFill>
            <w14:solidFill>
              <w14:schemeClr w14:val="tx1"/>
            </w14:solidFill>
          </w14:textFill>
        </w:rPr>
        <w:t xml:space="preserve">       </w:t>
      </w:r>
    </w:p>
    <w:p w14:paraId="7A92A762">
      <w:pPr>
        <w:pStyle w:val="11"/>
        <w:spacing w:line="320" w:lineRule="exact"/>
        <w:ind w:firstLine="420"/>
        <w:rPr>
          <w:rFonts w:hint="eastAsia" w:hAnsi="宋体" w:cs="宋体"/>
          <w:color w:val="000000" w:themeColor="text1"/>
          <w:sz w:val="28"/>
          <w:szCs w:val="28"/>
          <w14:textFill>
            <w14:solidFill>
              <w14:schemeClr w14:val="tx1"/>
            </w14:solidFill>
          </w14:textFill>
        </w:rPr>
      </w:pPr>
      <w:bookmarkStart w:id="210" w:name="_Toc9622_WPSOffice_Level2"/>
      <w:bookmarkStart w:id="211" w:name="_Toc32056_WPSOffice_Level2"/>
      <w:r>
        <w:rPr>
          <w:rFonts w:hint="eastAsia" w:hAnsi="宋体" w:cs="宋体"/>
          <w:color w:val="000000" w:themeColor="text1"/>
          <w:sz w:val="28"/>
          <w:szCs w:val="28"/>
          <w14:textFill>
            <w14:solidFill>
              <w14:schemeClr w14:val="tx1"/>
            </w14:solidFill>
          </w14:textFill>
        </w:rPr>
        <w:t>法定代表人、负责人、自然人或相应的委托代理人签字[或盖章(CA签章)]</w:t>
      </w:r>
    </w:p>
    <w:p w14:paraId="672C6764">
      <w:pPr>
        <w:pStyle w:val="9"/>
        <w:ind w:left="980" w:hanging="560" w:hangingChars="200"/>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（属自然人的应在签名处加盖大拇指指印或个人CA签章）：</w:t>
      </w:r>
      <w:r>
        <w:rPr>
          <w:rFonts w:hint="eastAsia" w:ascii="宋体" w:hAnsi="宋体" w:cs="宋体"/>
          <w:color w:val="000000" w:themeColor="text1"/>
          <w:sz w:val="28"/>
          <w:szCs w:val="28"/>
          <w:u w:val="single"/>
          <w14:textFill>
            <w14:solidFill>
              <w14:schemeClr w14:val="tx1"/>
            </w14:solidFill>
          </w14:textFill>
        </w:rPr>
        <w:t xml:space="preserve">              </w:t>
      </w:r>
    </w:p>
    <w:p w14:paraId="2D874CDB">
      <w:pPr>
        <w:pStyle w:val="9"/>
        <w:ind w:left="980" w:hanging="560" w:hangingChars="200"/>
        <w:rPr>
          <w:rFonts w:hint="eastAsia" w:ascii="宋体" w:hAnsi="宋体" w:cs="宋体"/>
          <w:bCs/>
          <w:color w:val="000000" w:themeColor="text1"/>
          <w:sz w:val="28"/>
          <w:szCs w:val="28"/>
          <w:u w:val="single"/>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联系电话：</w:t>
      </w:r>
      <w:bookmarkEnd w:id="210"/>
      <w:bookmarkEnd w:id="211"/>
      <w:r>
        <w:rPr>
          <w:rFonts w:hint="eastAsia" w:ascii="宋体" w:hAnsi="宋体" w:cs="宋体"/>
          <w:bCs/>
          <w:color w:val="000000" w:themeColor="text1"/>
          <w:sz w:val="28"/>
          <w:szCs w:val="28"/>
          <w:u w:val="single"/>
          <w14:textFill>
            <w14:solidFill>
              <w14:schemeClr w14:val="tx1"/>
            </w14:solidFill>
          </w14:textFill>
        </w:rPr>
        <w:t xml:space="preserve">                                                </w:t>
      </w:r>
    </w:p>
    <w:p w14:paraId="3A9C4C1E">
      <w:pPr>
        <w:pStyle w:val="9"/>
        <w:ind w:left="980" w:hanging="560" w:hangingChars="200"/>
        <w:rPr>
          <w:rFonts w:hint="eastAsia" w:ascii="宋体" w:hAnsi="宋体" w:cs="宋体"/>
          <w:bCs/>
          <w:color w:val="000000" w:themeColor="text1"/>
          <w:sz w:val="28"/>
          <w:szCs w:val="28"/>
          <w14:textFill>
            <w14:solidFill>
              <w14:schemeClr w14:val="tx1"/>
            </w14:solidFill>
          </w14:textFill>
        </w:rPr>
      </w:pPr>
      <w:bookmarkStart w:id="212" w:name="_Toc26465_WPSOffice_Level2"/>
      <w:bookmarkStart w:id="213" w:name="_Toc15933_WPSOffice_Level2"/>
      <w:r>
        <w:rPr>
          <w:rFonts w:hint="eastAsia" w:ascii="宋体" w:hAnsi="宋体" w:cs="宋体"/>
          <w:bCs/>
          <w:color w:val="000000" w:themeColor="text1"/>
          <w:sz w:val="28"/>
          <w:szCs w:val="28"/>
          <w14:textFill>
            <w14:solidFill>
              <w14:schemeClr w14:val="tx1"/>
            </w14:solidFill>
          </w14:textFill>
        </w:rPr>
        <w:t>日期：</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年</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月</w:t>
      </w:r>
      <w:r>
        <w:rPr>
          <w:rFonts w:hint="eastAsia" w:ascii="宋体" w:hAnsi="宋体" w:cs="宋体"/>
          <w:bCs/>
          <w:color w:val="000000" w:themeColor="text1"/>
          <w:sz w:val="28"/>
          <w:szCs w:val="28"/>
          <w:u w:val="single"/>
          <w14:textFill>
            <w14:solidFill>
              <w14:schemeClr w14:val="tx1"/>
            </w14:solidFill>
          </w14:textFill>
        </w:rPr>
        <w:t xml:space="preserve">           </w:t>
      </w:r>
      <w:r>
        <w:rPr>
          <w:rFonts w:hint="eastAsia" w:ascii="宋体" w:hAnsi="宋体" w:cs="宋体"/>
          <w:bCs/>
          <w:color w:val="000000" w:themeColor="text1"/>
          <w:sz w:val="28"/>
          <w:szCs w:val="28"/>
          <w14:textFill>
            <w14:solidFill>
              <w14:schemeClr w14:val="tx1"/>
            </w14:solidFill>
          </w14:textFill>
        </w:rPr>
        <w:t>日</w:t>
      </w:r>
      <w:bookmarkEnd w:id="212"/>
      <w:bookmarkEnd w:id="213"/>
    </w:p>
    <w:p w14:paraId="1920FD95">
      <w:pPr>
        <w:pStyle w:val="9"/>
        <w:ind w:left="980" w:hanging="560" w:hangingChars="200"/>
        <w:rPr>
          <w:rFonts w:hint="eastAsia" w:ascii="宋体" w:hAnsi="宋体" w:cs="宋体"/>
          <w:bCs/>
          <w:color w:val="000000" w:themeColor="text1"/>
          <w:sz w:val="28"/>
          <w:szCs w:val="28"/>
          <w14:textFill>
            <w14:solidFill>
              <w14:schemeClr w14:val="tx1"/>
            </w14:solidFill>
          </w14:textFill>
        </w:rPr>
      </w:pPr>
    </w:p>
    <w:p w14:paraId="21ACF913">
      <w:pPr>
        <w:pStyle w:val="9"/>
        <w:ind w:left="980" w:hanging="560" w:hangingChars="200"/>
        <w:rPr>
          <w:rFonts w:hint="eastAsia" w:ascii="宋体" w:hAnsi="宋体" w:cs="宋体"/>
          <w:bCs/>
          <w:color w:val="000000" w:themeColor="text1"/>
          <w:sz w:val="28"/>
          <w:szCs w:val="28"/>
          <w14:textFill>
            <w14:solidFill>
              <w14:schemeClr w14:val="tx1"/>
            </w14:solidFill>
          </w14:textFill>
        </w:rPr>
      </w:pPr>
    </w:p>
    <w:p w14:paraId="03DC0D5F">
      <w:pPr>
        <w:numPr>
          <w:ilvl w:val="0"/>
          <w:numId w:val="15"/>
        </w:numPr>
        <w:rPr>
          <w:rFonts w:hint="eastAsia" w:ascii="宋体" w:hAnsi="宋体" w:cs="宋体"/>
          <w:b/>
          <w:bCs/>
          <w:color w:val="000000" w:themeColor="text1"/>
          <w:sz w:val="32"/>
          <w:szCs w:val="32"/>
          <w14:textFill>
            <w14:solidFill>
              <w14:schemeClr w14:val="tx1"/>
            </w14:solidFill>
          </w14:textFill>
        </w:rPr>
      </w:pPr>
      <w:bookmarkStart w:id="214" w:name="_Toc19430"/>
      <w:bookmarkStart w:id="215" w:name="_Toc21615"/>
      <w:bookmarkStart w:id="216" w:name="_Toc497927070"/>
      <w:r>
        <w:rPr>
          <w:rFonts w:hint="eastAsia" w:ascii="宋体" w:hAnsi="宋体" w:cs="宋体"/>
          <w:b/>
          <w:bCs/>
          <w:color w:val="000000" w:themeColor="text1"/>
          <w:sz w:val="32"/>
          <w:szCs w:val="32"/>
          <w14:textFill>
            <w14:solidFill>
              <w14:schemeClr w14:val="tx1"/>
            </w14:solidFill>
          </w14:textFill>
        </w:rPr>
        <w:t>响应文件组成</w:t>
      </w:r>
      <w:bookmarkEnd w:id="214"/>
      <w:bookmarkEnd w:id="215"/>
      <w:bookmarkEnd w:id="216"/>
    </w:p>
    <w:p w14:paraId="2BF9A338">
      <w:pPr>
        <w:pStyle w:val="8"/>
        <w:rPr>
          <w:rFonts w:hint="eastAsia" w:ascii="宋体" w:hAnsi="宋体" w:cs="宋体"/>
          <w:color w:val="000000" w:themeColor="text1"/>
          <w14:textFill>
            <w14:solidFill>
              <w14:schemeClr w14:val="tx1"/>
            </w14:solidFill>
          </w14:textFill>
        </w:rPr>
      </w:pPr>
    </w:p>
    <w:p w14:paraId="22F76D8B">
      <w:pPr>
        <w:pStyle w:val="8"/>
        <w:rPr>
          <w:rFonts w:hint="eastAsia" w:ascii="宋体" w:hAnsi="宋体" w:cs="宋体"/>
          <w:color w:val="000000" w:themeColor="text1"/>
          <w14:textFill>
            <w14:solidFill>
              <w14:schemeClr w14:val="tx1"/>
            </w14:solidFill>
          </w14:textFill>
        </w:rPr>
      </w:pPr>
    </w:p>
    <w:p w14:paraId="09322AF1">
      <w:pPr>
        <w:spacing w:line="400" w:lineRule="exact"/>
        <w:rPr>
          <w:rFonts w:hint="eastAsia" w:ascii="宋体" w:hAnsi="宋体" w:cs="宋体"/>
          <w:b/>
          <w:bCs/>
          <w:color w:val="000000" w:themeColor="text1"/>
          <w:sz w:val="28"/>
          <w:szCs w:val="28"/>
          <w14:textFill>
            <w14:solidFill>
              <w14:schemeClr w14:val="tx1"/>
            </w14:solidFill>
          </w14:textFill>
        </w:rPr>
      </w:pPr>
    </w:p>
    <w:p w14:paraId="64A610ED">
      <w:pPr>
        <w:pStyle w:val="8"/>
        <w:rPr>
          <w:rFonts w:hint="eastAsia" w:ascii="宋体" w:hAnsi="宋体" w:cs="宋体"/>
          <w:b/>
          <w:bCs/>
          <w:color w:val="000000" w:themeColor="text1"/>
          <w:sz w:val="28"/>
          <w:szCs w:val="28"/>
          <w14:textFill>
            <w14:solidFill>
              <w14:schemeClr w14:val="tx1"/>
            </w14:solidFill>
          </w14:textFill>
        </w:rPr>
      </w:pPr>
    </w:p>
    <w:p w14:paraId="51E448D6">
      <w:pPr>
        <w:numPr>
          <w:ilvl w:val="0"/>
          <w:numId w:val="16"/>
        </w:numPr>
        <w:spacing w:line="400" w:lineRule="exact"/>
        <w:ind w:firstLine="565" w:firstLineChars="202"/>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资格性响应证明材料</w:t>
      </w:r>
    </w:p>
    <w:p w14:paraId="3DCB136F">
      <w:pPr>
        <w:pStyle w:val="8"/>
        <w:rPr>
          <w:rFonts w:hint="eastAsia" w:ascii="宋体" w:hAnsi="宋体" w:cs="宋体"/>
          <w:b/>
          <w:bCs/>
          <w:color w:val="000000" w:themeColor="text1"/>
          <w:sz w:val="28"/>
          <w:szCs w:val="28"/>
          <w14:textFill>
            <w14:solidFill>
              <w14:schemeClr w14:val="tx1"/>
            </w14:solidFill>
          </w14:textFill>
        </w:rPr>
      </w:pPr>
    </w:p>
    <w:p w14:paraId="32B54D0F">
      <w:pPr>
        <w:pStyle w:val="8"/>
        <w:rPr>
          <w:rFonts w:hint="eastAsia" w:ascii="宋体" w:hAnsi="宋体" w:cs="宋体"/>
          <w:b/>
          <w:bCs/>
          <w:color w:val="000000" w:themeColor="text1"/>
          <w:sz w:val="28"/>
          <w:szCs w:val="28"/>
          <w14:textFill>
            <w14:solidFill>
              <w14:schemeClr w14:val="tx1"/>
            </w14:solidFill>
          </w14:textFill>
        </w:rPr>
      </w:pPr>
    </w:p>
    <w:p w14:paraId="705A1A14">
      <w:pPr>
        <w:numPr>
          <w:ilvl w:val="0"/>
          <w:numId w:val="16"/>
        </w:numPr>
        <w:spacing w:line="400" w:lineRule="exact"/>
        <w:ind w:firstLine="565" w:firstLineChars="202"/>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符合性响应证明材料</w:t>
      </w:r>
    </w:p>
    <w:p w14:paraId="4BA7651B">
      <w:pPr>
        <w:pStyle w:val="8"/>
        <w:rPr>
          <w:rFonts w:hint="eastAsia" w:ascii="宋体" w:hAnsi="宋体" w:cs="宋体"/>
          <w:b/>
          <w:bCs/>
          <w:color w:val="000000" w:themeColor="text1"/>
          <w:sz w:val="28"/>
          <w:szCs w:val="28"/>
          <w14:textFill>
            <w14:solidFill>
              <w14:schemeClr w14:val="tx1"/>
            </w14:solidFill>
          </w14:textFill>
        </w:rPr>
      </w:pPr>
    </w:p>
    <w:p w14:paraId="6FDE8FC0">
      <w:pPr>
        <w:pStyle w:val="8"/>
        <w:rPr>
          <w:rFonts w:hint="eastAsia" w:ascii="宋体" w:hAnsi="宋体" w:cs="宋体"/>
          <w:b/>
          <w:bCs/>
          <w:color w:val="000000" w:themeColor="text1"/>
          <w:sz w:val="28"/>
          <w:szCs w:val="28"/>
          <w14:textFill>
            <w14:solidFill>
              <w14:schemeClr w14:val="tx1"/>
            </w14:solidFill>
          </w14:textFill>
        </w:rPr>
      </w:pPr>
    </w:p>
    <w:p w14:paraId="483DBBE0">
      <w:pPr>
        <w:numPr>
          <w:ilvl w:val="0"/>
          <w:numId w:val="16"/>
        </w:numPr>
        <w:spacing w:line="400" w:lineRule="exact"/>
        <w:ind w:firstLine="565" w:firstLineChars="202"/>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其他有效证明材料</w:t>
      </w:r>
    </w:p>
    <w:p w14:paraId="035D556C">
      <w:pPr>
        <w:pStyle w:val="25"/>
        <w:rPr>
          <w:rFonts w:hint="eastAsia" w:ascii="宋体" w:hAnsi="宋体" w:cs="宋体"/>
          <w:color w:val="000000" w:themeColor="text1"/>
          <w14:textFill>
            <w14:solidFill>
              <w14:schemeClr w14:val="tx1"/>
            </w14:solidFill>
          </w14:textFill>
        </w:rPr>
      </w:pPr>
    </w:p>
    <w:p w14:paraId="2EA2C9EE">
      <w:pPr>
        <w:tabs>
          <w:tab w:val="left" w:pos="5040"/>
        </w:tabs>
        <w:spacing w:line="400" w:lineRule="exact"/>
        <w:rPr>
          <w:rFonts w:hint="eastAsia" w:ascii="宋体" w:hAnsi="宋体" w:cs="宋体"/>
          <w:color w:val="000000" w:themeColor="text1"/>
          <w:szCs w:val="21"/>
          <w14:textFill>
            <w14:solidFill>
              <w14:schemeClr w14:val="tx1"/>
            </w14:solidFill>
          </w14:textFill>
        </w:rPr>
      </w:pPr>
    </w:p>
    <w:p w14:paraId="3629840E">
      <w:pPr>
        <w:pStyle w:val="8"/>
        <w:rPr>
          <w:rFonts w:hint="eastAsia" w:ascii="宋体" w:hAnsi="宋体" w:cs="宋体"/>
          <w:color w:val="000000" w:themeColor="text1"/>
          <w:szCs w:val="21"/>
          <w14:textFill>
            <w14:solidFill>
              <w14:schemeClr w14:val="tx1"/>
            </w14:solidFill>
          </w14:textFill>
        </w:rPr>
      </w:pPr>
    </w:p>
    <w:p w14:paraId="71BBE9B2">
      <w:pPr>
        <w:pStyle w:val="8"/>
        <w:rPr>
          <w:rFonts w:hint="eastAsia" w:ascii="宋体" w:hAnsi="宋体" w:cs="宋体"/>
          <w:color w:val="000000" w:themeColor="text1"/>
          <w:szCs w:val="21"/>
          <w14:textFill>
            <w14:solidFill>
              <w14:schemeClr w14:val="tx1"/>
            </w14:solidFill>
          </w14:textFill>
        </w:rPr>
      </w:pPr>
    </w:p>
    <w:p w14:paraId="51013EFC">
      <w:pPr>
        <w:pStyle w:val="8"/>
        <w:rPr>
          <w:rFonts w:hint="eastAsia" w:ascii="宋体" w:hAnsi="宋体" w:cs="宋体"/>
          <w:color w:val="000000" w:themeColor="text1"/>
          <w:szCs w:val="21"/>
          <w14:textFill>
            <w14:solidFill>
              <w14:schemeClr w14:val="tx1"/>
            </w14:solidFill>
          </w14:textFill>
        </w:rPr>
      </w:pPr>
    </w:p>
    <w:p w14:paraId="37DA23FC">
      <w:pPr>
        <w:pStyle w:val="8"/>
        <w:rPr>
          <w:rFonts w:hint="eastAsia" w:ascii="宋体" w:hAnsi="宋体" w:cs="宋体"/>
          <w:color w:val="000000" w:themeColor="text1"/>
          <w:szCs w:val="21"/>
          <w14:textFill>
            <w14:solidFill>
              <w14:schemeClr w14:val="tx1"/>
            </w14:solidFill>
          </w14:textFill>
        </w:rPr>
      </w:pPr>
    </w:p>
    <w:p w14:paraId="46A35D9A">
      <w:pPr>
        <w:rPr>
          <w:rFonts w:hint="eastAsia" w:ascii="宋体" w:hAnsi="宋体" w:cs="宋体"/>
          <w:color w:val="000000" w:themeColor="text1"/>
          <w:szCs w:val="21"/>
          <w14:textFill>
            <w14:solidFill>
              <w14:schemeClr w14:val="tx1"/>
            </w14:solidFill>
          </w14:textFill>
        </w:rPr>
      </w:pPr>
    </w:p>
    <w:p w14:paraId="044ABBBC">
      <w:pPr>
        <w:pStyle w:val="25"/>
        <w:rPr>
          <w:rFonts w:hint="eastAsia" w:ascii="宋体" w:hAnsi="宋体" w:cs="宋体"/>
          <w:color w:val="000000" w:themeColor="text1"/>
          <w:szCs w:val="21"/>
          <w14:textFill>
            <w14:solidFill>
              <w14:schemeClr w14:val="tx1"/>
            </w14:solidFill>
          </w14:textFill>
        </w:rPr>
      </w:pPr>
    </w:p>
    <w:p w14:paraId="4210C628">
      <w:pPr>
        <w:pStyle w:val="25"/>
        <w:rPr>
          <w:rFonts w:hint="eastAsia" w:ascii="宋体" w:hAnsi="宋体" w:cs="宋体"/>
          <w:color w:val="000000" w:themeColor="text1"/>
          <w:szCs w:val="21"/>
          <w14:textFill>
            <w14:solidFill>
              <w14:schemeClr w14:val="tx1"/>
            </w14:solidFill>
          </w14:textFill>
        </w:rPr>
      </w:pPr>
    </w:p>
    <w:p w14:paraId="188EC27A">
      <w:pPr>
        <w:pStyle w:val="25"/>
        <w:rPr>
          <w:rFonts w:hint="eastAsia" w:ascii="宋体" w:hAnsi="宋体" w:cs="宋体"/>
          <w:color w:val="000000" w:themeColor="text1"/>
          <w:szCs w:val="21"/>
          <w14:textFill>
            <w14:solidFill>
              <w14:schemeClr w14:val="tx1"/>
            </w14:solidFill>
          </w14:textFill>
        </w:rPr>
      </w:pPr>
    </w:p>
    <w:p w14:paraId="37C782E9">
      <w:pPr>
        <w:pStyle w:val="25"/>
        <w:rPr>
          <w:rFonts w:hint="eastAsia" w:ascii="宋体" w:hAnsi="宋体" w:cs="宋体"/>
          <w:color w:val="000000" w:themeColor="text1"/>
          <w:szCs w:val="21"/>
          <w14:textFill>
            <w14:solidFill>
              <w14:schemeClr w14:val="tx1"/>
            </w14:solidFill>
          </w14:textFill>
        </w:rPr>
      </w:pPr>
    </w:p>
    <w:p w14:paraId="7BF5EE25">
      <w:pPr>
        <w:pStyle w:val="25"/>
        <w:rPr>
          <w:rFonts w:hint="eastAsia" w:ascii="宋体" w:hAnsi="宋体" w:cs="宋体"/>
          <w:color w:val="000000" w:themeColor="text1"/>
          <w:szCs w:val="21"/>
          <w14:textFill>
            <w14:solidFill>
              <w14:schemeClr w14:val="tx1"/>
            </w14:solidFill>
          </w14:textFill>
        </w:rPr>
      </w:pPr>
    </w:p>
    <w:p w14:paraId="24BE08EA">
      <w:pPr>
        <w:pStyle w:val="25"/>
        <w:rPr>
          <w:rFonts w:hint="eastAsia" w:ascii="宋体" w:hAnsi="宋体" w:cs="宋体"/>
          <w:color w:val="000000" w:themeColor="text1"/>
          <w:szCs w:val="21"/>
          <w14:textFill>
            <w14:solidFill>
              <w14:schemeClr w14:val="tx1"/>
            </w14:solidFill>
          </w14:textFill>
        </w:rPr>
      </w:pPr>
    </w:p>
    <w:p w14:paraId="2968BC12">
      <w:pPr>
        <w:pStyle w:val="25"/>
        <w:rPr>
          <w:rFonts w:hint="eastAsia" w:ascii="宋体" w:hAnsi="宋体" w:cs="宋体"/>
          <w:color w:val="000000" w:themeColor="text1"/>
          <w:szCs w:val="21"/>
          <w14:textFill>
            <w14:solidFill>
              <w14:schemeClr w14:val="tx1"/>
            </w14:solidFill>
          </w14:textFill>
        </w:rPr>
      </w:pPr>
    </w:p>
    <w:p w14:paraId="3203C7D2">
      <w:pPr>
        <w:pStyle w:val="25"/>
        <w:rPr>
          <w:rFonts w:hint="eastAsia" w:ascii="宋体" w:hAnsi="宋体" w:cs="宋体"/>
          <w:color w:val="000000" w:themeColor="text1"/>
          <w:szCs w:val="21"/>
          <w14:textFill>
            <w14:solidFill>
              <w14:schemeClr w14:val="tx1"/>
            </w14:solidFill>
          </w14:textFill>
        </w:rPr>
      </w:pPr>
    </w:p>
    <w:p w14:paraId="56158F7D">
      <w:pPr>
        <w:pStyle w:val="25"/>
        <w:rPr>
          <w:rFonts w:hint="eastAsia" w:ascii="宋体" w:hAnsi="宋体" w:cs="宋体"/>
          <w:color w:val="000000" w:themeColor="text1"/>
          <w:szCs w:val="21"/>
          <w14:textFill>
            <w14:solidFill>
              <w14:schemeClr w14:val="tx1"/>
            </w14:solidFill>
          </w14:textFill>
        </w:rPr>
      </w:pPr>
    </w:p>
    <w:p w14:paraId="142EA433">
      <w:pPr>
        <w:pStyle w:val="25"/>
        <w:rPr>
          <w:rFonts w:hint="eastAsia" w:ascii="宋体" w:hAnsi="宋体" w:cs="宋体"/>
          <w:color w:val="000000" w:themeColor="text1"/>
          <w:szCs w:val="21"/>
          <w14:textFill>
            <w14:solidFill>
              <w14:schemeClr w14:val="tx1"/>
            </w14:solidFill>
          </w14:textFill>
        </w:rPr>
      </w:pPr>
    </w:p>
    <w:p w14:paraId="5C5E00AF">
      <w:pPr>
        <w:pStyle w:val="25"/>
        <w:rPr>
          <w:rFonts w:hint="eastAsia" w:ascii="宋体" w:hAnsi="宋体" w:cs="宋体"/>
          <w:color w:val="000000" w:themeColor="text1"/>
          <w:szCs w:val="21"/>
          <w14:textFill>
            <w14:solidFill>
              <w14:schemeClr w14:val="tx1"/>
            </w14:solidFill>
          </w14:textFill>
        </w:rPr>
      </w:pPr>
    </w:p>
    <w:p w14:paraId="1D4D1058">
      <w:pPr>
        <w:pStyle w:val="25"/>
        <w:rPr>
          <w:rFonts w:hint="eastAsia" w:ascii="宋体" w:hAnsi="宋体" w:cs="宋体"/>
          <w:color w:val="000000" w:themeColor="text1"/>
          <w:szCs w:val="21"/>
          <w14:textFill>
            <w14:solidFill>
              <w14:schemeClr w14:val="tx1"/>
            </w14:solidFill>
          </w14:textFill>
        </w:rPr>
      </w:pPr>
    </w:p>
    <w:p w14:paraId="3078C07C">
      <w:pPr>
        <w:pStyle w:val="25"/>
        <w:rPr>
          <w:rFonts w:hint="eastAsia" w:ascii="宋体" w:hAnsi="宋体" w:cs="宋体"/>
          <w:color w:val="000000" w:themeColor="text1"/>
          <w:szCs w:val="21"/>
          <w14:textFill>
            <w14:solidFill>
              <w14:schemeClr w14:val="tx1"/>
            </w14:solidFill>
          </w14:textFill>
        </w:rPr>
      </w:pPr>
    </w:p>
    <w:p w14:paraId="237D1796">
      <w:pPr>
        <w:pStyle w:val="25"/>
        <w:rPr>
          <w:rFonts w:hint="eastAsia" w:ascii="宋体" w:hAnsi="宋体" w:cs="宋体"/>
          <w:color w:val="000000" w:themeColor="text1"/>
          <w:szCs w:val="21"/>
          <w14:textFill>
            <w14:solidFill>
              <w14:schemeClr w14:val="tx1"/>
            </w14:solidFill>
          </w14:textFill>
        </w:rPr>
      </w:pPr>
    </w:p>
    <w:p w14:paraId="10FE945C">
      <w:pPr>
        <w:rPr>
          <w:rFonts w:hint="eastAsia" w:ascii="宋体" w:hAnsi="宋体" w:cs="宋体"/>
          <w:color w:val="000000" w:themeColor="text1"/>
          <w14:textFill>
            <w14:solidFill>
              <w14:schemeClr w14:val="tx1"/>
            </w14:solidFill>
          </w14:textFill>
        </w:rPr>
      </w:pPr>
      <w:bookmarkStart w:id="217" w:name="_Toc7185"/>
      <w:bookmarkStart w:id="218" w:name="_Toc11067"/>
      <w:bookmarkStart w:id="219" w:name="_Toc497927071"/>
    </w:p>
    <w:p w14:paraId="118E501C">
      <w:pPr>
        <w:pStyle w:val="5"/>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（一）资格性响应证明材料目录</w:t>
      </w:r>
      <w:bookmarkEnd w:id="217"/>
      <w:bookmarkEnd w:id="218"/>
      <w:bookmarkEnd w:id="219"/>
    </w:p>
    <w:p w14:paraId="1BA40EFA">
      <w:pPr>
        <w:rPr>
          <w:rFonts w:hint="eastAsia" w:ascii="宋体" w:hAnsi="宋体" w:cs="宋体"/>
          <w:color w:val="000000" w:themeColor="text1"/>
          <w14:textFill>
            <w14:solidFill>
              <w14:schemeClr w14:val="tx1"/>
            </w14:solidFill>
          </w14:textFill>
        </w:rPr>
      </w:pPr>
    </w:p>
    <w:p w14:paraId="7FDF474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1.供应商相应的法定代表人、负责人、自然人身份证正反两面扫描件</w:t>
      </w:r>
      <w:r>
        <w:rPr>
          <w:rFonts w:hint="eastAsia" w:ascii="宋体" w:hAnsi="宋体" w:cs="宋体"/>
          <w:b/>
          <w:bCs/>
          <w:color w:val="000000" w:themeColor="text1"/>
          <w:sz w:val="24"/>
          <w14:textFill>
            <w14:solidFill>
              <w14:schemeClr w14:val="tx1"/>
            </w14:solidFill>
          </w14:textFill>
        </w:rPr>
        <w:t>（必须提供）</w:t>
      </w:r>
      <w:r>
        <w:rPr>
          <w:rFonts w:hint="eastAsia" w:ascii="宋体" w:hAnsi="宋体" w:cs="宋体"/>
          <w:color w:val="000000" w:themeColor="text1"/>
          <w:sz w:val="24"/>
          <w14:textFill>
            <w14:solidFill>
              <w14:schemeClr w14:val="tx1"/>
            </w14:solidFill>
          </w14:textFill>
        </w:rPr>
        <w:t>；</w:t>
      </w:r>
    </w:p>
    <w:p w14:paraId="33BDC94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的授权委托书原件、委托代理人身份证正反面扫描件以及由县级以上（含县级）社会养老保险经办机构出具的供应商为委托代理人交纳的响应文件递交截止时间前三个月内任意一个月养老保险证明扫描件，除供应商为以下四种情形的：</w:t>
      </w:r>
    </w:p>
    <w:p w14:paraId="12DE9C7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如供应商为截标时间前60日以内成立的公司，可以提供供应商与委托代理人签订的劳动合同扫描件代替养老保险证明扫描件；</w:t>
      </w:r>
    </w:p>
    <w:p w14:paraId="0124DFD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（2）如供应商为事业单位，可以提供事业单位机构编制管理证扫描件或事业单位机构为其发放工资的工资条扫描件代替养老保险证明扫描件；</w:t>
      </w:r>
    </w:p>
    <w:p w14:paraId="7EAB07F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（3）如委托代理人为免缴纳养老保险人员，提供免缴纳养老保险的证明材料扫描件及供应商与委托代理人签订的劳动合同扫描件代替养老保险证明扫描件。</w:t>
      </w:r>
    </w:p>
    <w:p w14:paraId="025CE9DF">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4184C0F1">
      <w:pPr>
        <w:spacing w:line="360" w:lineRule="auto"/>
        <w:ind w:firstLine="480" w:firstLineChars="200"/>
        <w:jc w:val="lef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属自然人的应提供由县级以上（含县级）社会养老保险经办机构出具的自然人本人及委托代理人所交纳的响应文件递交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须由牵头人出具）</w:t>
      </w:r>
    </w:p>
    <w:p w14:paraId="1CEAA87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3.投标人参加政府采购活动前3年内在经营活动中没有重大违法记录及有关信用信息的书面声明或专项信用报告</w:t>
      </w:r>
      <w:r>
        <w:rPr>
          <w:rFonts w:hint="eastAsia" w:ascii="宋体" w:hAnsi="宋体" w:cs="宋体"/>
          <w:b/>
          <w:bCs/>
          <w:color w:val="000000" w:themeColor="text1"/>
          <w:sz w:val="24"/>
          <w14:textFill>
            <w14:solidFill>
              <w14:schemeClr w14:val="tx1"/>
            </w14:solidFill>
          </w14:textFill>
        </w:rPr>
        <w:t>（必须提供）</w:t>
      </w:r>
      <w:r>
        <w:rPr>
          <w:rFonts w:hint="eastAsia" w:ascii="宋体" w:hAnsi="宋体" w:cs="宋体"/>
          <w:color w:val="000000" w:themeColor="text1"/>
          <w:sz w:val="24"/>
          <w14:textFill>
            <w14:solidFill>
              <w14:schemeClr w14:val="tx1"/>
            </w14:solidFill>
          </w14:textFill>
        </w:rPr>
        <w:t>；</w:t>
      </w:r>
    </w:p>
    <w:p w14:paraId="714E59BC">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65D58671">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4.供应商的法人或者其他组织营业执照等证明文件扫描件</w:t>
      </w:r>
      <w:r>
        <w:rPr>
          <w:rFonts w:hint="eastAsia" w:ascii="宋体" w:hAnsi="宋体" w:cs="宋体"/>
          <w:b/>
          <w:bCs/>
          <w:color w:val="000000" w:themeColor="text1"/>
          <w:sz w:val="24"/>
          <w14:textFill>
            <w14:solidFill>
              <w14:schemeClr w14:val="tx1"/>
            </w14:solidFill>
          </w14:textFill>
        </w:rPr>
        <w:t>（必须提供，自然人除外）；</w:t>
      </w:r>
    </w:p>
    <w:p w14:paraId="4B9394B6">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5.财务状况报告（格式自拟，必须提供）</w:t>
      </w:r>
      <w:r>
        <w:rPr>
          <w:rFonts w:hint="eastAsia" w:ascii="宋体" w:hAnsi="宋体" w:cs="宋体"/>
          <w:b/>
          <w:bCs/>
          <w:color w:val="000000" w:themeColor="text1"/>
          <w:sz w:val="24"/>
          <w14:textFill>
            <w14:solidFill>
              <w14:schemeClr w14:val="tx1"/>
            </w14:solidFill>
          </w14:textFill>
        </w:rPr>
        <w:t>；</w:t>
      </w:r>
    </w:p>
    <w:p w14:paraId="77BCE706">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6.供应商在磋商当天前近半年内任意一个月或任一季度依法缴纳税收的证明材料（增值税发票(税收完税证明)或企业所得税完税证明或税务部门出具的免税证明）扫描件</w:t>
      </w:r>
      <w:r>
        <w:rPr>
          <w:rFonts w:hint="eastAsia" w:ascii="宋体" w:hAnsi="宋体" w:cs="宋体"/>
          <w:b/>
          <w:bCs/>
          <w:color w:val="000000" w:themeColor="text1"/>
          <w:sz w:val="24"/>
          <w14:textFill>
            <w14:solidFill>
              <w14:schemeClr w14:val="tx1"/>
            </w14:solidFill>
          </w14:textFill>
        </w:rPr>
        <w:t>（必须提供）；</w:t>
      </w:r>
    </w:p>
    <w:p w14:paraId="24F7DA60">
      <w:pPr>
        <w:spacing w:line="360" w:lineRule="auto"/>
        <w:ind w:firstLine="480" w:firstLineChars="200"/>
        <w:rPr>
          <w:rFonts w:hint="eastAsia" w:ascii="宋体" w:hAnsi="宋体" w:cs="宋体"/>
          <w:b/>
          <w:bCs/>
          <w:color w:val="000000" w:themeColor="text1"/>
          <w:sz w:val="24"/>
          <w14:textFill>
            <w14:solidFill>
              <w14:schemeClr w14:val="tx1"/>
            </w14:solidFill>
          </w14:textFill>
        </w:rPr>
      </w:pPr>
    </w:p>
    <w:p w14:paraId="53815ED4">
      <w:pPr>
        <w:pStyle w:val="3"/>
        <w:rPr>
          <w:rFonts w:hint="eastAsia" w:ascii="宋体" w:hAnsi="宋体" w:cs="宋体"/>
          <w:color w:val="000000" w:themeColor="text1"/>
          <w:sz w:val="24"/>
          <w14:textFill>
            <w14:solidFill>
              <w14:schemeClr w14:val="tx1"/>
            </w14:solidFill>
          </w14:textFill>
        </w:rPr>
      </w:pPr>
    </w:p>
    <w:p w14:paraId="251FCF92">
      <w:pPr>
        <w:pStyle w:val="25"/>
        <w:rPr>
          <w:rFonts w:hint="eastAsia" w:ascii="宋体" w:hAnsi="宋体" w:cs="宋体"/>
          <w:color w:val="000000" w:themeColor="text1"/>
          <w14:textFill>
            <w14:solidFill>
              <w14:schemeClr w14:val="tx1"/>
            </w14:solidFill>
          </w14:textFill>
        </w:rPr>
      </w:pPr>
    </w:p>
    <w:p w14:paraId="506AE4BC">
      <w:pPr>
        <w:spacing w:line="440" w:lineRule="atLeas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1.供应商相应的法定代表人、负责人、自然人身份证正反两面扫描件（必须提供）；</w:t>
      </w:r>
    </w:p>
    <w:p w14:paraId="2FD5F230">
      <w:pPr>
        <w:spacing w:line="440" w:lineRule="atLeast"/>
        <w:rPr>
          <w:rFonts w:hint="eastAsia" w:ascii="宋体" w:hAnsi="宋体" w:cs="宋体"/>
          <w:b/>
          <w:color w:val="000000" w:themeColor="text1"/>
          <w:sz w:val="28"/>
          <w:szCs w:val="28"/>
          <w14:textFill>
            <w14:solidFill>
              <w14:schemeClr w14:val="tx1"/>
            </w14:solidFill>
          </w14:textFill>
        </w:rPr>
      </w:pPr>
    </w:p>
    <w:p w14:paraId="3DB8F8E0">
      <w:pPr>
        <w:spacing w:line="440" w:lineRule="atLeas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供应商的授权委托书原件、委托代理人身份证正反面扫描件以及由县级以上（含县级）社会养老保险经办机构出具的供应商为委托代理人交纳的响应文件递交截止时间前三个月内任意一个月养老保险证明扫描件，除供应商为以下四种情形的：</w:t>
      </w:r>
    </w:p>
    <w:p w14:paraId="7C307041">
      <w:pPr>
        <w:spacing w:line="440" w:lineRule="atLeas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 如供应商为截标时间前60日以内成立的公司，可以提供供应商与委托代理人签订的劳动合同扫描件代替养老保险证明扫描件；</w:t>
      </w:r>
    </w:p>
    <w:p w14:paraId="694F675F">
      <w:pPr>
        <w:spacing w:line="440" w:lineRule="atLeas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（2）如供应商为事业单位，可以提供事业单位机构编制管理证扫描件或事业单位机构为其发放工资的工资条扫描件代替养老保险证明扫描件；</w:t>
      </w:r>
    </w:p>
    <w:p w14:paraId="263D87CC">
      <w:pPr>
        <w:spacing w:line="440" w:lineRule="atLeas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（3）如委托代理人为免缴纳养老保险人员，提供免缴纳养老保险的证明材料扫描件及供应商与委托代理人签订的劳动合同扫描件代替养老保险证明扫描件。</w:t>
      </w:r>
    </w:p>
    <w:p w14:paraId="218F603F">
      <w:pPr>
        <w:spacing w:line="440" w:lineRule="atLeas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4）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146C2123">
      <w:pPr>
        <w:spacing w:line="440" w:lineRule="atLeast"/>
        <w:rPr>
          <w:rFonts w:hint="eastAsia" w:ascii="宋体" w:hAnsi="宋体" w:cs="宋体"/>
          <w:color w:val="000000" w:themeColor="text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属自然人的应提供由县级以上（含县级）社会养老保险经办机构出具的自然人本人及委托代理人所交纳的响应文件递交截止时间前三个月内任意一个月养老保险证明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如为联合体的，授权委托书原件须由牵头人出具）</w:t>
      </w:r>
    </w:p>
    <w:p w14:paraId="134003CD">
      <w:pPr>
        <w:rPr>
          <w:rFonts w:hint="eastAsia" w:ascii="宋体" w:hAnsi="宋体" w:cs="宋体"/>
          <w:color w:val="000000" w:themeColor="text1"/>
          <w14:textFill>
            <w14:solidFill>
              <w14:schemeClr w14:val="tx1"/>
            </w14:solidFill>
          </w14:textFill>
        </w:rPr>
      </w:pPr>
    </w:p>
    <w:p w14:paraId="19DE78E9">
      <w:pPr>
        <w:pStyle w:val="11"/>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 xml:space="preserve">附件：            </w:t>
      </w:r>
    </w:p>
    <w:p w14:paraId="06D14748">
      <w:pPr>
        <w:pStyle w:val="11"/>
        <w:ind w:firstLine="627" w:firstLineChars="196"/>
        <w:jc w:val="center"/>
        <w:rPr>
          <w:rFonts w:hint="eastAsia" w:hAnsi="宋体" w:cs="宋体"/>
          <w:b/>
          <w:color w:val="000000" w:themeColor="text1"/>
          <w:sz w:val="32"/>
          <w14:textFill>
            <w14:solidFill>
              <w14:schemeClr w14:val="tx1"/>
            </w14:solidFill>
          </w14:textFill>
        </w:rPr>
      </w:pPr>
      <w:bookmarkStart w:id="220" w:name="_Toc5420_WPSOffice_Level1"/>
      <w:bookmarkStart w:id="221" w:name="_Toc964_WPSOffice_Level1"/>
      <w:r>
        <w:rPr>
          <w:rFonts w:hint="eastAsia" w:hAnsi="宋体" w:cs="宋体"/>
          <w:b/>
          <w:color w:val="000000" w:themeColor="text1"/>
          <w:sz w:val="32"/>
          <w14:textFill>
            <w14:solidFill>
              <w14:schemeClr w14:val="tx1"/>
            </w14:solidFill>
          </w14:textFill>
        </w:rPr>
        <w:t>授权委托书（格式一）</w:t>
      </w:r>
      <w:bookmarkEnd w:id="220"/>
      <w:bookmarkEnd w:id="221"/>
    </w:p>
    <w:p w14:paraId="25A85752">
      <w:pPr>
        <w:pStyle w:val="11"/>
        <w:rPr>
          <w:rFonts w:hint="eastAsia" w:hAnsi="宋体" w:cs="宋体"/>
          <w:color w:val="000000" w:themeColor="text1"/>
          <w14:textFill>
            <w14:solidFill>
              <w14:schemeClr w14:val="tx1"/>
            </w14:solidFill>
          </w14:textFill>
        </w:rPr>
      </w:pPr>
    </w:p>
    <w:p w14:paraId="462AA72D">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桂林市政府集中采购中心 </w:t>
      </w:r>
    </w:p>
    <w:p w14:paraId="6D5C40A3">
      <w:pPr>
        <w:spacing w:line="400" w:lineRule="exact"/>
        <w:rPr>
          <w:rFonts w:hint="eastAsia" w:ascii="宋体" w:hAnsi="宋体" w:cs="宋体"/>
          <w:color w:val="000000" w:themeColor="text1"/>
          <w:szCs w:val="21"/>
          <w14:textFill>
            <w14:solidFill>
              <w14:schemeClr w14:val="tx1"/>
            </w14:solidFill>
          </w14:textFill>
        </w:rPr>
      </w:pPr>
    </w:p>
    <w:p w14:paraId="07289E83">
      <w:pPr>
        <w:pStyle w:val="11"/>
        <w:spacing w:line="4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kern w:val="0"/>
          <w14:textFill>
            <w14:solidFill>
              <w14:schemeClr w14:val="tx1"/>
            </w14:solidFill>
          </w14:textFill>
        </w:rPr>
        <w:t>我</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（姓名）系</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（供应商名称）的法定代表人（负责人），现授权委托本单位在职职工</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（姓 名）以我公司名义参加</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 xml:space="preserve">（项目名称及项目编号）        </w:t>
      </w:r>
      <w:r>
        <w:rPr>
          <w:rFonts w:hint="eastAsia" w:hAnsi="宋体" w:cs="宋体"/>
          <w:color w:val="000000" w:themeColor="text1"/>
          <w14:textFill>
            <w14:solidFill>
              <w14:schemeClr w14:val="tx1"/>
            </w14:solidFill>
          </w14:textFill>
        </w:rPr>
        <w:t>项目的磋商活动，并代表我方全权办理针对上述项目的磋商、签约等具体事务和签署相关文件。</w:t>
      </w:r>
    </w:p>
    <w:p w14:paraId="3C55AD48">
      <w:pPr>
        <w:pStyle w:val="11"/>
        <w:spacing w:line="4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我方对被授权人的签字事项负全部责任。</w:t>
      </w:r>
    </w:p>
    <w:p w14:paraId="3DE564A5">
      <w:pPr>
        <w:pStyle w:val="11"/>
        <w:spacing w:line="400" w:lineRule="exact"/>
        <w:ind w:firstLine="420" w:firstLineChars="20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授权委托代理期限：从</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年</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月 </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日起至</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年</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月 </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日止。</w:t>
      </w:r>
    </w:p>
    <w:p w14:paraId="2452DE57">
      <w:pPr>
        <w:pStyle w:val="11"/>
        <w:spacing w:line="400" w:lineRule="exact"/>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 xml:space="preserve">                                                                                             </w:t>
      </w:r>
    </w:p>
    <w:p w14:paraId="1A2885A0">
      <w:pPr>
        <w:spacing w:line="400" w:lineRule="exact"/>
        <w:ind w:firstLine="42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代理人无转委托权,特此委托。 </w:t>
      </w:r>
    </w:p>
    <w:p w14:paraId="1F9B12AF">
      <w:pPr>
        <w:spacing w:line="400" w:lineRule="exact"/>
        <w:ind w:firstLine="420" w:firstLineChars="200"/>
        <w:rPr>
          <w:rFonts w:hint="eastAsia" w:ascii="宋体" w:hAnsi="宋体" w:cs="宋体"/>
          <w:color w:val="000000" w:themeColor="text1"/>
          <w:kern w:val="0"/>
          <w14:textFill>
            <w14:solidFill>
              <w14:schemeClr w14:val="tx1"/>
            </w14:solidFill>
          </w14:textFill>
        </w:rPr>
      </w:pPr>
    </w:p>
    <w:p w14:paraId="1B2888F6">
      <w:pPr>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我已在下面签字，以资证明。</w:t>
      </w:r>
    </w:p>
    <w:p w14:paraId="7D1B007B">
      <w:pPr>
        <w:spacing w:line="400" w:lineRule="exact"/>
        <w:ind w:firstLine="420" w:firstLineChars="200"/>
        <w:rPr>
          <w:rFonts w:hint="eastAsia" w:ascii="宋体" w:hAnsi="宋体" w:cs="宋体"/>
          <w:color w:val="000000" w:themeColor="text1"/>
          <w:szCs w:val="21"/>
          <w14:textFill>
            <w14:solidFill>
              <w14:schemeClr w14:val="tx1"/>
            </w14:solidFill>
          </w14:textFill>
        </w:rPr>
      </w:pPr>
    </w:p>
    <w:p w14:paraId="0FEE7AF4">
      <w:pPr>
        <w:spacing w:line="400" w:lineRule="exact"/>
        <w:ind w:firstLine="420" w:firstLineChars="200"/>
        <w:rPr>
          <w:rFonts w:hint="eastAsia" w:ascii="宋体" w:hAnsi="宋体" w:cs="宋体"/>
          <w:color w:val="000000" w:themeColor="text1"/>
          <w:szCs w:val="21"/>
          <w14:textFill>
            <w14:solidFill>
              <w14:schemeClr w14:val="tx1"/>
            </w14:solidFill>
          </w14:textFill>
        </w:rPr>
      </w:pPr>
    </w:p>
    <w:p w14:paraId="4AEF9751">
      <w:pPr>
        <w:snapToGrid w:val="0"/>
        <w:spacing w:line="400" w:lineRule="exact"/>
        <w:ind w:firstLine="42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磋商供应商[公章（CA签章）]：</w:t>
      </w:r>
      <w:r>
        <w:rPr>
          <w:rFonts w:hint="eastAsia" w:ascii="宋体" w:hAnsi="宋体" w:cs="宋体"/>
          <w:color w:val="000000" w:themeColor="text1"/>
          <w:szCs w:val="21"/>
          <w:u w:val="single"/>
          <w14:textFill>
            <w14:solidFill>
              <w14:schemeClr w14:val="tx1"/>
            </w14:solidFill>
          </w14:textFill>
        </w:rPr>
        <w:t xml:space="preserve">                                   </w:t>
      </w:r>
    </w:p>
    <w:p w14:paraId="648CCC80">
      <w:pPr>
        <w:snapToGrid w:val="0"/>
        <w:spacing w:line="400" w:lineRule="exact"/>
        <w:ind w:firstLine="420"/>
        <w:rPr>
          <w:rFonts w:hint="eastAsia" w:ascii="宋体" w:hAnsi="宋体" w:cs="宋体"/>
          <w:color w:val="000000" w:themeColor="text1"/>
          <w:szCs w:val="21"/>
          <w14:textFill>
            <w14:solidFill>
              <w14:schemeClr w14:val="tx1"/>
            </w14:solidFill>
          </w14:textFill>
        </w:rPr>
      </w:pPr>
    </w:p>
    <w:p w14:paraId="088E2EAF">
      <w:pPr>
        <w:snapToGrid w:val="0"/>
        <w:spacing w:line="400" w:lineRule="exact"/>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法定代表人（负责人）签字（或个人CA签章）：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51A19D6E">
      <w:pPr>
        <w:snapToGrid w:val="0"/>
        <w:spacing w:line="400" w:lineRule="exact"/>
        <w:ind w:firstLine="420"/>
        <w:rPr>
          <w:rFonts w:hint="eastAsia" w:ascii="宋体" w:hAnsi="宋体" w:cs="宋体"/>
          <w:color w:val="000000" w:themeColor="text1"/>
          <w:szCs w:val="21"/>
          <w14:textFill>
            <w14:solidFill>
              <w14:schemeClr w14:val="tx1"/>
            </w14:solidFill>
          </w14:textFill>
        </w:rPr>
      </w:pPr>
    </w:p>
    <w:p w14:paraId="40216518">
      <w:pPr>
        <w:pStyle w:val="8"/>
        <w:rPr>
          <w:rFonts w:hint="eastAsia" w:ascii="宋体" w:hAnsi="宋体" w:cs="宋体"/>
          <w:color w:val="000000" w:themeColor="text1"/>
          <w14:textFill>
            <w14:solidFill>
              <w14:schemeClr w14:val="tx1"/>
            </w14:solidFill>
          </w14:textFill>
        </w:rPr>
      </w:pPr>
    </w:p>
    <w:p w14:paraId="5C302548">
      <w:pPr>
        <w:pStyle w:val="11"/>
        <w:spacing w:line="340" w:lineRule="exact"/>
        <w:ind w:firstLine="480" w:firstLineChars="200"/>
        <w:rPr>
          <w:rFonts w:hint="eastAsia" w:hAnsi="宋体" w:cs="宋体"/>
          <w:color w:val="000000" w:themeColor="text1"/>
          <w14:textFill>
            <w14:solidFill>
              <w14:schemeClr w14:val="tx1"/>
            </w14:solidFill>
          </w14:textFill>
        </w:rPr>
      </w:pPr>
      <w:r>
        <w:rPr>
          <w:rFonts w:hint="eastAsia" w:hAnsi="宋体" w:cs="宋体"/>
          <w:b/>
          <w:color w:val="000000" w:themeColor="text1"/>
          <w:sz w:val="24"/>
          <w14:textFill>
            <w14:solidFill>
              <w14:schemeClr w14:val="tx1"/>
            </w14:solidFill>
          </w14:textFill>
        </w:rPr>
        <w:t>注：供应商的授权委托书原件、委托代理人身份证正反面扫描件以及由县级以上（含县级）社会养老保险经办机构出具的供应商为委托代理人交纳的开标截止时间前三个月内任意一个月养老保险证明扫描件（如供应商为截标时间前60日以内成立的公司，可以提供供应商与委托代理人签订的劳动合同扫描件代替养老保险证明扫描件；如供应商为事业单位，可以提供事业单位机构编制管理证扫描件或事业单位机构为其发放工资的工资条扫描件代替养老保险证明扫描件；如委托代理人为免缴纳养老保险人员，提供免缴纳养老保险的证明材料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3E1313A6">
      <w:pPr>
        <w:rPr>
          <w:color w:val="000000" w:themeColor="text1"/>
          <w14:textFill>
            <w14:solidFill>
              <w14:schemeClr w14:val="tx1"/>
            </w14:solidFill>
          </w14:textFill>
        </w:rPr>
      </w:pPr>
    </w:p>
    <w:p w14:paraId="7CE58EA2">
      <w:pPr>
        <w:pStyle w:val="11"/>
        <w:jc w:val="center"/>
        <w:rPr>
          <w:rFonts w:hint="eastAsia" w:hAnsi="宋体" w:cs="宋体"/>
          <w:b/>
          <w:color w:val="000000" w:themeColor="text1"/>
          <w:sz w:val="32"/>
          <w14:textFill>
            <w14:solidFill>
              <w14:schemeClr w14:val="tx1"/>
            </w14:solidFill>
          </w14:textFill>
        </w:rPr>
      </w:pPr>
      <w:bookmarkStart w:id="222" w:name="_Toc21370_WPSOffice_Level1"/>
      <w:bookmarkStart w:id="223" w:name="_Toc6975_WPSOffice_Level1"/>
    </w:p>
    <w:p w14:paraId="0D9DDA0F">
      <w:pPr>
        <w:pStyle w:val="11"/>
        <w:jc w:val="center"/>
        <w:rPr>
          <w:rFonts w:hint="eastAsia" w:hAnsi="宋体" w:cs="宋体"/>
          <w:b/>
          <w:color w:val="000000" w:themeColor="text1"/>
          <w:sz w:val="32"/>
          <w14:textFill>
            <w14:solidFill>
              <w14:schemeClr w14:val="tx1"/>
            </w14:solidFill>
          </w14:textFill>
        </w:rPr>
      </w:pPr>
    </w:p>
    <w:p w14:paraId="7BC33901">
      <w:pPr>
        <w:pStyle w:val="11"/>
        <w:jc w:val="center"/>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授权委托书（格式二）</w:t>
      </w:r>
      <w:bookmarkEnd w:id="222"/>
      <w:bookmarkEnd w:id="223"/>
    </w:p>
    <w:p w14:paraId="0B6EC71D">
      <w:pPr>
        <w:pStyle w:val="11"/>
        <w:rPr>
          <w:rFonts w:hint="eastAsia" w:hAnsi="宋体" w:cs="宋体"/>
          <w:b/>
          <w:color w:val="000000" w:themeColor="text1"/>
          <w:sz w:val="32"/>
          <w14:textFill>
            <w14:solidFill>
              <w14:schemeClr w14:val="tx1"/>
            </w14:solidFill>
          </w14:textFill>
        </w:rPr>
      </w:pPr>
    </w:p>
    <w:p w14:paraId="33D95ECE">
      <w:pPr>
        <w:pStyle w:val="11"/>
        <w:rPr>
          <w:rFonts w:hint="eastAsia" w:hAnsi="宋体" w:cs="宋体"/>
          <w:color w:val="000000" w:themeColor="text1"/>
          <w:szCs w:val="21"/>
          <w:u w:val="single"/>
          <w14:textFill>
            <w14:solidFill>
              <w14:schemeClr w14:val="tx1"/>
            </w14:solidFill>
          </w14:textFill>
        </w:rPr>
      </w:pPr>
      <w:r>
        <w:rPr>
          <w:rFonts w:hint="eastAsia" w:hAnsi="宋体" w:cs="宋体"/>
          <w:b/>
          <w:color w:val="000000" w:themeColor="text1"/>
          <w:szCs w:val="21"/>
          <w14:textFill>
            <w14:solidFill>
              <w14:schemeClr w14:val="tx1"/>
            </w14:solidFill>
          </w14:textFill>
        </w:rPr>
        <w:t>致</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1"/>
          <w:u w:val="single"/>
          <w14:textFill>
            <w14:solidFill>
              <w14:schemeClr w14:val="tx1"/>
            </w14:solidFill>
          </w14:textFill>
        </w:rPr>
        <w:t xml:space="preserve"> 桂林市政府集中采购中心 </w:t>
      </w:r>
    </w:p>
    <w:p w14:paraId="3516D250">
      <w:pPr>
        <w:rPr>
          <w:rFonts w:hint="eastAsia" w:ascii="宋体" w:hAnsi="宋体" w:cs="宋体"/>
          <w:color w:val="000000" w:themeColor="text1"/>
          <w14:textFill>
            <w14:solidFill>
              <w14:schemeClr w14:val="tx1"/>
            </w14:solidFill>
          </w14:textFill>
        </w:rPr>
      </w:pPr>
    </w:p>
    <w:p w14:paraId="478F19DC">
      <w:pPr>
        <w:pStyle w:val="11"/>
        <w:spacing w:line="34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kern w:val="0"/>
          <w14:textFill>
            <w14:solidFill>
              <w14:schemeClr w14:val="tx1"/>
            </w14:solidFill>
          </w14:textFill>
        </w:rPr>
        <w:t>我</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（姓名）系自然人，现授权委托</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kern w:val="0"/>
          <w14:textFill>
            <w14:solidFill>
              <w14:schemeClr w14:val="tx1"/>
            </w14:solidFill>
          </w14:textFill>
        </w:rPr>
        <w:t>（姓 名）以本人名义参加</w:t>
      </w:r>
      <w:r>
        <w:rPr>
          <w:rFonts w:hint="eastAsia" w:hAnsi="宋体" w:cs="宋体"/>
          <w:color w:val="000000" w:themeColor="text1"/>
          <w:kern w:val="0"/>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 xml:space="preserve">（项目名称及项目编号）        </w:t>
      </w:r>
      <w:r>
        <w:rPr>
          <w:rFonts w:hint="eastAsia" w:hAnsi="宋体" w:cs="宋体"/>
          <w:color w:val="000000" w:themeColor="text1"/>
          <w14:textFill>
            <w14:solidFill>
              <w14:schemeClr w14:val="tx1"/>
            </w14:solidFill>
          </w14:textFill>
        </w:rPr>
        <w:t>项目的磋商活动，并代表本人全权办理针对上述项目的磋商、签约等具体事务和签署相关文件。</w:t>
      </w:r>
    </w:p>
    <w:p w14:paraId="57DFDBBF">
      <w:pPr>
        <w:pStyle w:val="11"/>
        <w:spacing w:line="34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本人对被授权人的签字事项负全部责任。</w:t>
      </w:r>
    </w:p>
    <w:p w14:paraId="41FE0B86">
      <w:pPr>
        <w:pStyle w:val="11"/>
        <w:spacing w:line="340" w:lineRule="exact"/>
        <w:ind w:firstLine="420" w:firstLineChars="20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授权委托代理期限：从</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年</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月 </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日起至</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年</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月 </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日止。</w:t>
      </w:r>
    </w:p>
    <w:p w14:paraId="4A0CE50D">
      <w:pPr>
        <w:pStyle w:val="11"/>
        <w:spacing w:line="340" w:lineRule="exact"/>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 xml:space="preserve">                                                                                             </w:t>
      </w:r>
    </w:p>
    <w:p w14:paraId="6BBC079A">
      <w:pPr>
        <w:spacing w:line="340" w:lineRule="exact"/>
        <w:ind w:firstLine="420" w:firstLineChars="20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代理人无转委托权,特此委托。 </w:t>
      </w:r>
    </w:p>
    <w:p w14:paraId="277C7DA8">
      <w:pPr>
        <w:spacing w:line="340" w:lineRule="exact"/>
        <w:ind w:firstLine="420" w:firstLineChars="200"/>
        <w:rPr>
          <w:rFonts w:hint="eastAsia" w:ascii="宋体" w:hAnsi="宋体" w:cs="宋体"/>
          <w:color w:val="000000" w:themeColor="text1"/>
          <w:kern w:val="0"/>
          <w14:textFill>
            <w14:solidFill>
              <w14:schemeClr w14:val="tx1"/>
            </w14:solidFill>
          </w14:textFill>
        </w:rPr>
      </w:pPr>
    </w:p>
    <w:p w14:paraId="6DED6048">
      <w:pPr>
        <w:spacing w:line="3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我已在下面签字，以资证明。</w:t>
      </w:r>
    </w:p>
    <w:p w14:paraId="4693AA95">
      <w:pPr>
        <w:spacing w:line="340" w:lineRule="exact"/>
        <w:ind w:firstLine="420" w:firstLineChars="200"/>
        <w:rPr>
          <w:rFonts w:hint="eastAsia" w:ascii="宋体" w:hAnsi="宋体" w:cs="宋体"/>
          <w:color w:val="000000" w:themeColor="text1"/>
          <w:szCs w:val="21"/>
          <w14:textFill>
            <w14:solidFill>
              <w14:schemeClr w14:val="tx1"/>
            </w14:solidFill>
          </w14:textFill>
        </w:rPr>
      </w:pPr>
    </w:p>
    <w:p w14:paraId="2A03FCDB">
      <w:pPr>
        <w:snapToGrid w:val="0"/>
        <w:spacing w:line="340" w:lineRule="exact"/>
        <w:ind w:firstLine="42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自然人签字并在签名处加盖大拇指指印或个人CA签章：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日</w:t>
      </w:r>
    </w:p>
    <w:p w14:paraId="76083885">
      <w:pPr>
        <w:pStyle w:val="11"/>
        <w:spacing w:line="400" w:lineRule="exact"/>
        <w:ind w:left="420" w:leftChars="200"/>
        <w:rPr>
          <w:rFonts w:hint="eastAsia" w:hAnsi="宋体" w:cs="宋体"/>
          <w:color w:val="000000" w:themeColor="text1"/>
          <w:szCs w:val="21"/>
          <w14:textFill>
            <w14:solidFill>
              <w14:schemeClr w14:val="tx1"/>
            </w14:solidFill>
          </w14:textFill>
        </w:rPr>
      </w:pPr>
    </w:p>
    <w:p w14:paraId="346D33CA">
      <w:pPr>
        <w:pStyle w:val="11"/>
        <w:spacing w:line="400" w:lineRule="exact"/>
        <w:rPr>
          <w:rFonts w:hint="eastAsia"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附：委托代理人身份证正反面扫描件</w:t>
      </w:r>
    </w:p>
    <w:p w14:paraId="5C688E65">
      <w:pPr>
        <w:rPr>
          <w:rFonts w:hint="eastAsia" w:ascii="宋体" w:hAnsi="宋体" w:cs="宋体"/>
          <w:color w:val="000000" w:themeColor="text1"/>
          <w14:textFill>
            <w14:solidFill>
              <w14:schemeClr w14:val="tx1"/>
            </w14:solidFill>
          </w14:textFill>
        </w:rPr>
      </w:pPr>
    </w:p>
    <w:p w14:paraId="322B9381">
      <w:pPr>
        <w:spacing w:line="440" w:lineRule="atLeas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3.投标人参加政府采购活动前3年内在经营活动中没有重大违法记录及有关信用信息的书面声明或专项信用报告（必须提供）；</w:t>
      </w:r>
    </w:p>
    <w:p w14:paraId="4CC69B65">
      <w:pPr>
        <w:spacing w:line="440" w:lineRule="atLeas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注：供应商为广西经营主体的，可通过信用中国(广西)网站 (http://xygx.fgw.gxzf.gov.cn)下载专项信用报告：1.首先点击网站首页右上方的登录按钮；2.跳转至广西数字政务一体化平台，进行身份认证，请使用法人登录；3.选择信用报告栏目；4.点击“我要申请”按钮；5.选择查询时间区间、查询领域、报告查询用途，点击确认；6.等待文件下载。其它省份的投标人根据注册地信用中国网站的要求获取。</w:t>
      </w:r>
    </w:p>
    <w:p w14:paraId="7A44623B">
      <w:pPr>
        <w:pStyle w:val="11"/>
        <w:spacing w:line="400" w:lineRule="exact"/>
        <w:rPr>
          <w:rFonts w:hint="eastAsia"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 xml:space="preserve">             </w:t>
      </w:r>
    </w:p>
    <w:p w14:paraId="2C796AE5">
      <w:pPr>
        <w:pStyle w:val="11"/>
        <w:spacing w:line="400" w:lineRule="exact"/>
        <w:rPr>
          <w:rFonts w:hint="eastAsia"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附件：</w:t>
      </w:r>
    </w:p>
    <w:p w14:paraId="4906979A">
      <w:pPr>
        <w:pStyle w:val="11"/>
        <w:spacing w:line="400" w:lineRule="exact"/>
        <w:jc w:val="center"/>
        <w:rPr>
          <w:rFonts w:hint="eastAsia" w:hAnsi="宋体" w:cs="宋体"/>
          <w:b/>
          <w:color w:val="000000" w:themeColor="text1"/>
          <w:sz w:val="32"/>
          <w:szCs w:val="32"/>
          <w14:textFill>
            <w14:solidFill>
              <w14:schemeClr w14:val="tx1"/>
            </w14:solidFill>
          </w14:textFill>
        </w:rPr>
      </w:pPr>
      <w:bookmarkStart w:id="224" w:name="_Toc30304_WPSOffice_Level1"/>
      <w:bookmarkStart w:id="225" w:name="_Toc30890_WPSOffice_Level1"/>
      <w:r>
        <w:rPr>
          <w:rFonts w:hint="eastAsia" w:hAnsi="宋体" w:cs="宋体"/>
          <w:b/>
          <w:color w:val="000000" w:themeColor="text1"/>
          <w:sz w:val="32"/>
          <w:szCs w:val="32"/>
          <w14:textFill>
            <w14:solidFill>
              <w14:schemeClr w14:val="tx1"/>
            </w14:solidFill>
          </w14:textFill>
        </w:rPr>
        <w:t>声   明</w:t>
      </w:r>
      <w:bookmarkEnd w:id="224"/>
      <w:bookmarkEnd w:id="225"/>
    </w:p>
    <w:p w14:paraId="1CF2C291">
      <w:pPr>
        <w:pStyle w:val="11"/>
        <w:spacing w:line="400" w:lineRule="exact"/>
        <w:rPr>
          <w:rFonts w:hint="eastAsia" w:hAnsi="宋体" w:cs="宋体"/>
          <w:b/>
          <w:color w:val="000000" w:themeColor="text1"/>
          <w:sz w:val="32"/>
          <w:szCs w:val="32"/>
          <w14:textFill>
            <w14:solidFill>
              <w14:schemeClr w14:val="tx1"/>
            </w14:solidFill>
          </w14:textFill>
        </w:rPr>
      </w:pPr>
    </w:p>
    <w:p w14:paraId="281F036D">
      <w:pPr>
        <w:pStyle w:val="11"/>
        <w:spacing w:line="400" w:lineRule="exact"/>
        <w:rPr>
          <w:rFonts w:hint="eastAsia" w:hAnsi="宋体" w:cs="宋体"/>
          <w:color w:val="000000" w:themeColor="text1"/>
          <w:szCs w:val="21"/>
          <w:u w:val="single"/>
          <w14:textFill>
            <w14:solidFill>
              <w14:schemeClr w14:val="tx1"/>
            </w14:solidFill>
          </w14:textFill>
        </w:rPr>
      </w:pPr>
      <w:r>
        <w:rPr>
          <w:rFonts w:hint="eastAsia" w:hAnsi="宋体" w:cs="宋体"/>
          <w:b/>
          <w:color w:val="000000" w:themeColor="text1"/>
          <w:szCs w:val="21"/>
          <w14:textFill>
            <w14:solidFill>
              <w14:schemeClr w14:val="tx1"/>
            </w14:solidFill>
          </w14:textFill>
        </w:rPr>
        <w:t>致</w:t>
      </w:r>
      <w:r>
        <w:rPr>
          <w:rFonts w:hint="eastAsia" w:hAnsi="宋体" w:cs="宋体"/>
          <w:color w:val="000000" w:themeColor="text1"/>
          <w:szCs w:val="21"/>
          <w14:textFill>
            <w14:solidFill>
              <w14:schemeClr w14:val="tx1"/>
            </w14:solidFill>
          </w14:textFill>
        </w:rPr>
        <w:t>：</w:t>
      </w:r>
      <w:r>
        <w:rPr>
          <w:rFonts w:hint="eastAsia" w:hAnsi="宋体" w:cs="宋体"/>
          <w:color w:val="000000" w:themeColor="text1"/>
          <w:szCs w:val="21"/>
          <w:u w:val="single"/>
          <w14:textFill>
            <w14:solidFill>
              <w14:schemeClr w14:val="tx1"/>
            </w14:solidFill>
          </w14:textFill>
        </w:rPr>
        <w:t xml:space="preserve"> 桂林市政府集中采购中心 </w:t>
      </w:r>
    </w:p>
    <w:p w14:paraId="48D342C4">
      <w:pPr>
        <w:rPr>
          <w:rFonts w:hint="eastAsia" w:ascii="宋体" w:hAnsi="宋体" w:cs="宋体"/>
          <w:color w:val="000000" w:themeColor="text1"/>
          <w:szCs w:val="21"/>
          <w:u w:val="single"/>
          <w14:textFill>
            <w14:solidFill>
              <w14:schemeClr w14:val="tx1"/>
            </w14:solidFill>
          </w14:textFill>
        </w:rPr>
      </w:pPr>
    </w:p>
    <w:p w14:paraId="6BB52EB2">
      <w:pPr>
        <w:pStyle w:val="8"/>
        <w:rPr>
          <w:rFonts w:hint="eastAsia" w:ascii="宋体" w:hAnsi="宋体" w:cs="宋体"/>
          <w:color w:val="000000" w:themeColor="text1"/>
          <w14:textFill>
            <w14:solidFill>
              <w14:schemeClr w14:val="tx1"/>
            </w14:solidFill>
          </w14:textFill>
        </w:rPr>
      </w:pPr>
    </w:p>
    <w:p w14:paraId="20CD462C">
      <w:pPr>
        <w:pStyle w:val="11"/>
        <w:spacing w:line="400" w:lineRule="exact"/>
        <w:ind w:firstLine="42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E09C1D9">
      <w:pPr>
        <w:rPr>
          <w:rFonts w:hint="eastAsia" w:ascii="宋体" w:hAnsi="宋体" w:cs="宋体"/>
          <w:color w:val="000000" w:themeColor="text1"/>
          <w14:textFill>
            <w14:solidFill>
              <w14:schemeClr w14:val="tx1"/>
            </w14:solidFill>
          </w14:textFill>
        </w:rPr>
      </w:pPr>
    </w:p>
    <w:p w14:paraId="575EA70E">
      <w:pPr>
        <w:snapToGrid w:val="0"/>
        <w:spacing w:line="400" w:lineRule="exact"/>
        <w:ind w:firstLine="1890" w:firstLineChars="9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磋商供应商[公章(CA签章)，自然人签字或个人CA签章]：</w:t>
      </w:r>
      <w:r>
        <w:rPr>
          <w:rFonts w:hint="eastAsia" w:ascii="宋体" w:hAnsi="宋体" w:cs="宋体"/>
          <w:color w:val="000000" w:themeColor="text1"/>
          <w:szCs w:val="21"/>
          <w:u w:val="single"/>
          <w14:textFill>
            <w14:solidFill>
              <w14:schemeClr w14:val="tx1"/>
            </w14:solidFill>
          </w14:textFill>
        </w:rPr>
        <w:t xml:space="preserve">                                         </w:t>
      </w:r>
    </w:p>
    <w:p w14:paraId="653B9C6D">
      <w:pPr>
        <w:pStyle w:val="11"/>
        <w:ind w:firstLine="3990" w:firstLineChars="1900"/>
        <w:rPr>
          <w:rFonts w:hint="eastAsia" w:hAnsi="宋体" w:cs="宋体"/>
          <w:color w:val="000000" w:themeColor="text1"/>
          <w:u w:val="single"/>
          <w14:textFill>
            <w14:solidFill>
              <w14:schemeClr w14:val="tx1"/>
            </w14:solidFill>
          </w14:textFill>
        </w:rPr>
      </w:pPr>
      <w:r>
        <w:rPr>
          <w:rFonts w:hint="eastAsia" w:hAnsi="宋体" w:cs="宋体"/>
          <w:color w:val="000000" w:themeColor="text1"/>
          <w14:textFill>
            <w14:solidFill>
              <w14:schemeClr w14:val="tx1"/>
            </w14:solidFill>
          </w14:textFill>
        </w:rPr>
        <w:t>日          期：</w:t>
      </w:r>
      <w:r>
        <w:rPr>
          <w:rFonts w:hint="eastAsia" w:hAnsi="宋体" w:cs="宋体"/>
          <w:color w:val="000000" w:themeColor="text1"/>
          <w:u w:val="single"/>
          <w14:textFill>
            <w14:solidFill>
              <w14:schemeClr w14:val="tx1"/>
            </w14:solidFill>
          </w14:textFill>
        </w:rPr>
        <w:t xml:space="preserve">                            </w:t>
      </w:r>
    </w:p>
    <w:p w14:paraId="3AECE15B">
      <w:pPr>
        <w:pStyle w:val="11"/>
        <w:spacing w:line="340" w:lineRule="exact"/>
        <w:rPr>
          <w:rFonts w:hint="eastAsia" w:hAnsi="宋体" w:cs="宋体"/>
          <w:b/>
          <w:color w:val="000000" w:themeColor="text1"/>
          <w:sz w:val="28"/>
          <w:szCs w:val="28"/>
          <w14:textFill>
            <w14:solidFill>
              <w14:schemeClr w14:val="tx1"/>
            </w14:solidFill>
          </w14:textFill>
        </w:rPr>
      </w:pPr>
    </w:p>
    <w:p w14:paraId="2C8E3F25"/>
    <w:p w14:paraId="6819352C">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4.供应商的法人或者其他组织营业执照等证明文件扫描件（必须提供，自然人除外）；</w:t>
      </w:r>
    </w:p>
    <w:p w14:paraId="2A19C4CF">
      <w:pPr>
        <w:tabs>
          <w:tab w:val="left" w:pos="1305"/>
        </w:tabs>
        <w:spacing w:line="340" w:lineRule="exact"/>
        <w:rPr>
          <w:rFonts w:hint="eastAsia" w:ascii="宋体" w:hAnsi="宋体" w:cs="宋体"/>
          <w:b/>
          <w:color w:val="000000" w:themeColor="text1"/>
          <w:szCs w:val="21"/>
          <w14:textFill>
            <w14:solidFill>
              <w14:schemeClr w14:val="tx1"/>
            </w14:solidFill>
          </w14:textFill>
        </w:rPr>
      </w:pPr>
    </w:p>
    <w:p w14:paraId="399FFB49">
      <w:pPr>
        <w:tabs>
          <w:tab w:val="left" w:pos="1305"/>
        </w:tabs>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市场监督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978014D">
      <w:pPr>
        <w:rPr>
          <w:rFonts w:hint="eastAsia" w:ascii="宋体" w:hAnsi="宋体" w:cs="宋体"/>
          <w:b/>
          <w:bCs/>
          <w:color w:val="000000" w:themeColor="text1"/>
          <w:sz w:val="28"/>
          <w:szCs w:val="28"/>
          <w14:textFill>
            <w14:solidFill>
              <w14:schemeClr w14:val="tx1"/>
            </w14:solidFill>
          </w14:textFill>
        </w:rPr>
      </w:pPr>
    </w:p>
    <w:p w14:paraId="1BD6C263">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5.财务状况报告（格式自拟，必须提供）；</w:t>
      </w:r>
    </w:p>
    <w:p w14:paraId="18EC1A85">
      <w:pPr>
        <w:pStyle w:val="11"/>
        <w:spacing w:line="340" w:lineRule="exact"/>
        <w:rPr>
          <w:rFonts w:hint="eastAsia" w:hAnsi="宋体" w:cs="宋体"/>
          <w:b/>
          <w:color w:val="000000" w:themeColor="text1"/>
          <w:sz w:val="28"/>
          <w:szCs w:val="28"/>
          <w14:textFill>
            <w14:solidFill>
              <w14:schemeClr w14:val="tx1"/>
            </w14:solidFill>
          </w14:textFill>
        </w:rPr>
      </w:pPr>
    </w:p>
    <w:p w14:paraId="34C22FE4">
      <w:pPr>
        <w:pStyle w:val="6"/>
        <w:rPr>
          <w:rFonts w:hint="eastAsia" w:ascii="宋体" w:hAnsi="宋体" w:cs="宋体"/>
          <w:color w:val="000000" w:themeColor="text1"/>
          <w14:textFill>
            <w14:solidFill>
              <w14:schemeClr w14:val="tx1"/>
            </w14:solidFill>
          </w14:textFill>
        </w:rPr>
      </w:pPr>
    </w:p>
    <w:p w14:paraId="18B413EC">
      <w:pPr>
        <w:pStyle w:val="6"/>
        <w:ind w:left="0"/>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6.供应商在磋商当天前近半年内任意一个月或任一季度依法缴纳税收的证明材料（增值税发票(税收完税证明)或企业所得税完税证明或税务部门出具的免税证明）扫描件（必须提供）；</w:t>
      </w:r>
    </w:p>
    <w:p w14:paraId="4F6D1342">
      <w:pPr>
        <w:pStyle w:val="11"/>
        <w:spacing w:line="340" w:lineRule="exact"/>
        <w:rPr>
          <w:rFonts w:hint="eastAsia" w:hAnsi="宋体" w:cs="宋体"/>
          <w:b/>
          <w:color w:val="000000" w:themeColor="text1"/>
          <w:sz w:val="28"/>
          <w:szCs w:val="28"/>
          <w14:textFill>
            <w14:solidFill>
              <w14:schemeClr w14:val="tx1"/>
            </w14:solidFill>
          </w14:textFill>
        </w:rPr>
      </w:pPr>
    </w:p>
    <w:p w14:paraId="2688B29B">
      <w:pPr>
        <w:numPr>
          <w:ilvl w:val="255"/>
          <w:numId w:val="0"/>
        </w:numPr>
        <w:ind w:left="0"/>
        <w:jc w:val="left"/>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65389FCD">
      <w:pPr>
        <w:ind w:left="42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（二）符合性响应证明材料目录</w:t>
      </w:r>
    </w:p>
    <w:p w14:paraId="48575DDA">
      <w:pPr>
        <w:numPr>
          <w:ilvl w:val="0"/>
          <w:numId w:val="17"/>
        </w:num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w:t>
      </w:r>
      <w:r>
        <w:rPr>
          <w:rFonts w:hint="eastAsia" w:ascii="宋体" w:hAnsi="宋体" w:cs="宋体"/>
          <w:b/>
          <w:bCs/>
          <w:color w:val="000000" w:themeColor="text1"/>
          <w:sz w:val="24"/>
          <w14:textFill>
            <w14:solidFill>
              <w14:schemeClr w14:val="tx1"/>
            </w14:solidFill>
          </w14:textFill>
        </w:rPr>
        <w:t>（格式见附件）（必须提供</w:t>
      </w:r>
      <w:r>
        <w:rPr>
          <w:color w:val="000000" w:themeColor="text1"/>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w:t>
      </w:r>
    </w:p>
    <w:p w14:paraId="5AB860FD">
      <w:pPr>
        <w:spacing w:line="360" w:lineRule="auto"/>
        <w:rPr>
          <w:rFonts w:hint="eastAsia" w:ascii="宋体" w:hAnsi="宋体" w:cs="宋体"/>
          <w:color w:val="000000" w:themeColor="text1"/>
          <w:sz w:val="24"/>
          <w14:textFill>
            <w14:solidFill>
              <w14:schemeClr w14:val="tx1"/>
            </w14:solidFill>
          </w14:textFill>
        </w:rPr>
      </w:pPr>
    </w:p>
    <w:p w14:paraId="6E6DC038">
      <w:pPr>
        <w:numPr>
          <w:ilvl w:val="0"/>
          <w:numId w:val="17"/>
        </w:numPr>
        <w:spacing w:line="360" w:lineRule="auto"/>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磋商报价表</w:t>
      </w:r>
      <w:r>
        <w:rPr>
          <w:rFonts w:hint="eastAsia" w:ascii="宋体" w:hAnsi="宋体" w:cs="宋体"/>
          <w:b/>
          <w:bCs/>
          <w:color w:val="000000" w:themeColor="text1"/>
          <w:sz w:val="24"/>
          <w14:textFill>
            <w14:solidFill>
              <w14:schemeClr w14:val="tx1"/>
            </w14:solidFill>
          </w14:textFill>
        </w:rPr>
        <w:t>（格式见附件）（必须提供）；</w:t>
      </w:r>
    </w:p>
    <w:p w14:paraId="03741D48">
      <w:pPr>
        <w:pStyle w:val="8"/>
        <w:rPr>
          <w:rFonts w:hint="eastAsia" w:ascii="宋体" w:hAnsi="宋体" w:cs="宋体"/>
          <w:color w:val="000000" w:themeColor="text1"/>
          <w14:textFill>
            <w14:solidFill>
              <w14:schemeClr w14:val="tx1"/>
            </w14:solidFill>
          </w14:textFill>
        </w:rPr>
      </w:pPr>
    </w:p>
    <w:p w14:paraId="18940D3A">
      <w:pPr>
        <w:numPr>
          <w:ilvl w:val="0"/>
          <w:numId w:val="17"/>
        </w:num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服务（技术）响应、商务偏离情况说明表</w:t>
      </w:r>
      <w:r>
        <w:rPr>
          <w:rFonts w:hint="eastAsia" w:ascii="宋体" w:hAnsi="宋体" w:cs="宋体"/>
          <w:b/>
          <w:bCs/>
          <w:color w:val="000000" w:themeColor="text1"/>
          <w:sz w:val="24"/>
          <w14:textFill>
            <w14:solidFill>
              <w14:schemeClr w14:val="tx1"/>
            </w14:solidFill>
          </w14:textFill>
        </w:rPr>
        <w:t>（格式见附件）（必须提供）；</w:t>
      </w:r>
    </w:p>
    <w:p w14:paraId="02CC3B26">
      <w:pPr>
        <w:pStyle w:val="8"/>
        <w:rPr>
          <w:rFonts w:hint="eastAsia" w:ascii="宋体" w:hAnsi="宋体" w:cs="宋体"/>
          <w:color w:val="000000" w:themeColor="text1"/>
          <w14:textFill>
            <w14:solidFill>
              <w14:schemeClr w14:val="tx1"/>
            </w14:solidFill>
          </w14:textFill>
        </w:rPr>
      </w:pPr>
    </w:p>
    <w:p w14:paraId="7005C272">
      <w:pPr>
        <w:numPr>
          <w:ilvl w:val="0"/>
          <w:numId w:val="17"/>
        </w:numPr>
        <w:spacing w:line="360" w:lineRule="auto"/>
        <w:ind w:firstLine="48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服务承诺书（由供应商根据本项目采购需求、特点及供应商自身的处理能力自行编写，承诺书内容至少应包括“采购需求”的所有服务条款）</w:t>
      </w:r>
      <w:r>
        <w:rPr>
          <w:rFonts w:hint="eastAsia" w:ascii="宋体" w:hAnsi="宋体" w:cs="宋体"/>
          <w:b/>
          <w:bCs/>
          <w:color w:val="000000" w:themeColor="text1"/>
          <w:sz w:val="24"/>
          <w14:textFill>
            <w14:solidFill>
              <w14:schemeClr w14:val="tx1"/>
            </w14:solidFill>
          </w14:textFill>
        </w:rPr>
        <w:t>（格式见附件）（必须提供）；</w:t>
      </w:r>
    </w:p>
    <w:p w14:paraId="28017E9D">
      <w:pPr>
        <w:spacing w:line="360" w:lineRule="auto"/>
        <w:ind w:left="420"/>
        <w:rPr>
          <w:rFonts w:hint="eastAsia" w:ascii="宋体" w:hAnsi="宋体" w:cs="宋体"/>
          <w:b/>
          <w:bCs/>
          <w:color w:val="000000" w:themeColor="text1"/>
          <w:sz w:val="24"/>
          <w14:textFill>
            <w14:solidFill>
              <w14:schemeClr w14:val="tx1"/>
            </w14:solidFill>
          </w14:textFill>
        </w:rPr>
      </w:pPr>
    </w:p>
    <w:p w14:paraId="5C630681">
      <w:pPr>
        <w:numPr>
          <w:ilvl w:val="0"/>
          <w:numId w:val="17"/>
        </w:numPr>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针对本项目的服务方案</w:t>
      </w:r>
      <w:r>
        <w:rPr>
          <w:rFonts w:hint="eastAsia" w:ascii="宋体" w:hAnsi="宋体" w:cs="宋体"/>
          <w:b/>
          <w:bCs/>
          <w:color w:val="000000" w:themeColor="text1"/>
          <w:sz w:val="24"/>
          <w14:textFill>
            <w14:solidFill>
              <w14:schemeClr w14:val="tx1"/>
            </w14:solidFill>
          </w14:textFill>
        </w:rPr>
        <w:t>（格式见附件）（必须提供）。</w:t>
      </w:r>
    </w:p>
    <w:p w14:paraId="5DFD68EA">
      <w:pPr>
        <w:pStyle w:val="25"/>
        <w:rPr>
          <w:rFonts w:hint="eastAsia" w:ascii="宋体" w:hAnsi="宋体" w:cs="宋体"/>
          <w:color w:val="000000" w:themeColor="text1"/>
          <w14:textFill>
            <w14:solidFill>
              <w14:schemeClr w14:val="tx1"/>
            </w14:solidFill>
          </w14:textFill>
        </w:rPr>
      </w:pPr>
    </w:p>
    <w:p w14:paraId="5DAEC1FB">
      <w:pPr>
        <w:pStyle w:val="8"/>
        <w:rPr>
          <w:rFonts w:hint="eastAsia" w:ascii="宋体" w:hAnsi="宋体" w:cs="宋体"/>
          <w:color w:val="000000" w:themeColor="text1"/>
          <w14:textFill>
            <w14:solidFill>
              <w14:schemeClr w14:val="tx1"/>
            </w14:solidFill>
          </w14:textFill>
        </w:rPr>
      </w:pPr>
    </w:p>
    <w:p w14:paraId="1454A662">
      <w:pPr>
        <w:pStyle w:val="11"/>
        <w:spacing w:line="340" w:lineRule="exact"/>
        <w:rPr>
          <w:rFonts w:hint="eastAsia" w:hAnsi="宋体" w:cs="宋体"/>
          <w:b/>
          <w:color w:val="000000" w:themeColor="text1"/>
          <w:sz w:val="28"/>
          <w:szCs w:val="28"/>
          <w14:textFill>
            <w14:solidFill>
              <w14:schemeClr w14:val="tx1"/>
            </w14:solidFill>
          </w14:textFill>
        </w:rPr>
      </w:pPr>
    </w:p>
    <w:p w14:paraId="0E7FBC2C">
      <w:pPr>
        <w:pStyle w:val="11"/>
        <w:spacing w:line="340" w:lineRule="exact"/>
        <w:rPr>
          <w:rFonts w:hint="eastAsia" w:hAnsi="宋体" w:cs="宋体"/>
          <w:b/>
          <w:color w:val="000000" w:themeColor="text1"/>
          <w:sz w:val="28"/>
          <w:szCs w:val="28"/>
          <w14:textFill>
            <w14:solidFill>
              <w14:schemeClr w14:val="tx1"/>
            </w14:solidFill>
          </w14:textFill>
        </w:rPr>
      </w:pPr>
    </w:p>
    <w:p w14:paraId="55628ACC">
      <w:pPr>
        <w:pStyle w:val="8"/>
        <w:rPr>
          <w:rFonts w:hint="eastAsia" w:ascii="宋体" w:hAnsi="宋体" w:cs="宋体"/>
          <w:b/>
          <w:color w:val="000000" w:themeColor="text1"/>
          <w:sz w:val="28"/>
          <w:szCs w:val="28"/>
          <w14:textFill>
            <w14:solidFill>
              <w14:schemeClr w14:val="tx1"/>
            </w14:solidFill>
          </w14:textFill>
        </w:rPr>
      </w:pPr>
    </w:p>
    <w:p w14:paraId="40739165">
      <w:pPr>
        <w:pStyle w:val="8"/>
        <w:rPr>
          <w:color w:val="000000" w:themeColor="text1"/>
          <w14:textFill>
            <w14:solidFill>
              <w14:schemeClr w14:val="tx1"/>
            </w14:solidFill>
          </w14:textFill>
        </w:rPr>
      </w:pPr>
    </w:p>
    <w:p w14:paraId="2C9DAF00">
      <w:pPr>
        <w:numPr>
          <w:ilvl w:val="255"/>
          <w:numId w:val="0"/>
        </w:numPr>
        <w:spacing w:line="240" w:lineRule="auto"/>
        <w:rPr>
          <w:rFonts w:hint="eastAsia" w:ascii="宋体" w:hAnsi="宋体" w:cs="宋体"/>
          <w:b/>
          <w:bCs/>
          <w:color w:val="000000" w:themeColor="text1"/>
          <w:sz w:val="28"/>
          <w:szCs w:val="28"/>
          <w14:textFill>
            <w14:solidFill>
              <w14:schemeClr w14:val="tx1"/>
            </w14:solidFill>
          </w14:textFill>
        </w:rPr>
      </w:pPr>
      <w:bookmarkStart w:id="226" w:name="_Toc17617"/>
      <w:bookmarkStart w:id="227" w:name="_Toc497927072"/>
      <w:bookmarkStart w:id="228" w:name="_Toc12920"/>
      <w:r>
        <w:rPr>
          <w:rFonts w:hint="eastAsia" w:ascii="宋体" w:hAnsi="宋体" w:cs="宋体"/>
          <w:b/>
          <w:bCs/>
          <w:color w:val="000000" w:themeColor="text1"/>
          <w:sz w:val="28"/>
          <w:szCs w:val="28"/>
          <w14:textFill>
            <w14:solidFill>
              <w14:schemeClr w14:val="tx1"/>
            </w14:solidFill>
          </w14:textFill>
        </w:rPr>
        <w:br w:type="page"/>
      </w:r>
    </w:p>
    <w:p w14:paraId="384F6EA3">
      <w:pPr>
        <w:spacing w:line="400" w:lineRule="exact"/>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1.响应函（格式见附件）（必须提供）</w:t>
      </w:r>
      <w:bookmarkEnd w:id="226"/>
      <w:bookmarkEnd w:id="227"/>
      <w:bookmarkEnd w:id="228"/>
    </w:p>
    <w:p w14:paraId="5A5442AC">
      <w:pPr>
        <w:pStyle w:val="25"/>
        <w:rPr>
          <w:rFonts w:hint="eastAsia" w:ascii="宋体" w:hAnsi="宋体" w:cs="宋体"/>
          <w:color w:val="000000" w:themeColor="text1"/>
          <w14:textFill>
            <w14:solidFill>
              <w14:schemeClr w14:val="tx1"/>
            </w14:solidFill>
          </w14:textFill>
        </w:rPr>
      </w:pPr>
    </w:p>
    <w:p w14:paraId="6D8EAA0E">
      <w:pPr>
        <w:pStyle w:val="11"/>
        <w:rPr>
          <w:rFonts w:hint="eastAsia" w:hAnsi="宋体" w:cs="宋体"/>
          <w:b/>
          <w:color w:val="000000" w:themeColor="text1"/>
          <w:sz w:val="32"/>
          <w14:textFill>
            <w14:solidFill>
              <w14:schemeClr w14:val="tx1"/>
            </w14:solidFill>
          </w14:textFill>
        </w:rPr>
      </w:pPr>
      <w:r>
        <w:rPr>
          <w:rFonts w:hint="eastAsia" w:hAnsi="宋体" w:cs="宋体"/>
          <w:b/>
          <w:color w:val="000000" w:themeColor="text1"/>
          <w:sz w:val="32"/>
          <w14:textFill>
            <w14:solidFill>
              <w14:schemeClr w14:val="tx1"/>
            </w14:solidFill>
          </w14:textFill>
        </w:rPr>
        <w:t>附件：</w:t>
      </w:r>
    </w:p>
    <w:p w14:paraId="151ED8AB">
      <w:pPr>
        <w:pStyle w:val="11"/>
        <w:ind w:firstLine="800" w:firstLineChars="250"/>
        <w:jc w:val="center"/>
        <w:rPr>
          <w:rFonts w:hint="eastAsia" w:hAnsi="宋体" w:cs="宋体"/>
          <w:b/>
          <w:color w:val="000000" w:themeColor="text1"/>
          <w:sz w:val="32"/>
          <w14:textFill>
            <w14:solidFill>
              <w14:schemeClr w14:val="tx1"/>
            </w14:solidFill>
          </w14:textFill>
        </w:rPr>
      </w:pPr>
      <w:bookmarkStart w:id="229" w:name="_Toc7273_WPSOffice_Level1"/>
      <w:bookmarkStart w:id="230" w:name="_Toc17832_WPSOffice_Level1"/>
      <w:r>
        <w:rPr>
          <w:rFonts w:hint="eastAsia" w:hAnsi="宋体" w:cs="宋体"/>
          <w:b/>
          <w:color w:val="000000" w:themeColor="text1"/>
          <w:sz w:val="32"/>
          <w14:textFill>
            <w14:solidFill>
              <w14:schemeClr w14:val="tx1"/>
            </w14:solidFill>
          </w14:textFill>
        </w:rPr>
        <w:t>响 应 函 （格 式）</w:t>
      </w:r>
      <w:bookmarkEnd w:id="229"/>
      <w:bookmarkEnd w:id="230"/>
    </w:p>
    <w:p w14:paraId="5B6ADC14">
      <w:pPr>
        <w:spacing w:line="240" w:lineRule="exact"/>
        <w:jc w:val="center"/>
        <w:rPr>
          <w:rFonts w:hint="eastAsia" w:ascii="宋体" w:hAnsi="宋体" w:cs="宋体"/>
          <w:color w:val="000000" w:themeColor="text1"/>
          <w:sz w:val="32"/>
          <w14:textFill>
            <w14:solidFill>
              <w14:schemeClr w14:val="tx1"/>
            </w14:solidFill>
          </w14:textFill>
        </w:rPr>
      </w:pPr>
    </w:p>
    <w:p w14:paraId="2D89E1CE">
      <w:pPr>
        <w:spacing w:line="400" w:lineRule="exac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：桂林市政府集中采购中心</w:t>
      </w:r>
    </w:p>
    <w:p w14:paraId="1DA85CF3">
      <w:pPr>
        <w:spacing w:line="400" w:lineRule="exact"/>
        <w:rPr>
          <w:rFonts w:hint="eastAsia" w:ascii="宋体" w:hAnsi="宋体" w:cs="宋体"/>
          <w:color w:val="000000" w:themeColor="text1"/>
          <w:szCs w:val="21"/>
          <w14:textFill>
            <w14:solidFill>
              <w14:schemeClr w14:val="tx1"/>
            </w14:solidFill>
          </w14:textFill>
        </w:rPr>
      </w:pPr>
    </w:p>
    <w:p w14:paraId="5F02AA32">
      <w:pPr>
        <w:pStyle w:val="11"/>
        <w:spacing w:line="36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根据贵方</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项目竞争性磋商文件，项目编号：</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，签字代表</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（姓名）经正式授权并代表供应商 </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供应商单位名称），提交电子响应文件。</w:t>
      </w:r>
    </w:p>
    <w:p w14:paraId="04482ACA">
      <w:pPr>
        <w:pStyle w:val="11"/>
        <w:spacing w:line="36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据此函，签字代表宣布同意如下：</w:t>
      </w:r>
    </w:p>
    <w:p w14:paraId="5F9E4D11">
      <w:pPr>
        <w:pStyle w:val="11"/>
        <w:spacing w:line="36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 按磋商文件采购需求和磋商报价表：</w:t>
      </w:r>
    </w:p>
    <w:p w14:paraId="56FF5C2B">
      <w:pPr>
        <w:pStyle w:val="11"/>
        <w:spacing w:line="36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磋商总报价（大写）</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元人民币(¥</w:t>
      </w:r>
      <w:r>
        <w:rPr>
          <w:rFonts w:hint="eastAsia" w:hAnsi="宋体" w:cs="宋体"/>
          <w:color w:val="000000" w:themeColor="text1"/>
          <w:u w:val="single"/>
          <w14:textFill>
            <w14:solidFill>
              <w14:schemeClr w14:val="tx1"/>
            </w14:solidFill>
          </w14:textFill>
        </w:rPr>
        <w:t xml:space="preserve">            </w:t>
      </w:r>
      <w:r>
        <w:rPr>
          <w:rFonts w:hint="eastAsia" w:hAnsi="宋体" w:cs="宋体"/>
          <w:color w:val="000000" w:themeColor="text1"/>
          <w14:textFill>
            <w14:solidFill>
              <w14:schemeClr w14:val="tx1"/>
            </w14:solidFill>
          </w14:textFill>
        </w:rPr>
        <w:t>)。</w:t>
      </w:r>
    </w:p>
    <w:p w14:paraId="1D7FB30B">
      <w:pPr>
        <w:pStyle w:val="11"/>
        <w:spacing w:line="36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2.我方承诺已具备磋商文件规定的供应商资格条件。</w:t>
      </w:r>
    </w:p>
    <w:p w14:paraId="4704632B">
      <w:pPr>
        <w:pStyle w:val="11"/>
        <w:spacing w:line="36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3.我方已详细审核磋商文件，包括修改文件（如有的话）和有关附件，将自行承担因对全部磋商文件理解不正确或误解而产生的相应后果。</w:t>
      </w:r>
    </w:p>
    <w:p w14:paraId="0E5D4EFA">
      <w:pPr>
        <w:pStyle w:val="11"/>
        <w:spacing w:line="36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 响应文件有效期为</w:t>
      </w:r>
      <w:r>
        <w:rPr>
          <w:rFonts w:hint="eastAsia" w:hAnsi="宋体" w:cs="宋体"/>
          <w:color w:val="000000" w:themeColor="text1"/>
          <w:szCs w:val="21"/>
          <w14:textFill>
            <w14:solidFill>
              <w14:schemeClr w14:val="tx1"/>
            </w14:solidFill>
          </w14:textFill>
        </w:rPr>
        <w:t>响应文件递交截止时间之日起90天。</w:t>
      </w:r>
    </w:p>
    <w:p w14:paraId="2CAB84F1">
      <w:pPr>
        <w:pStyle w:val="11"/>
        <w:spacing w:line="36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 如我方成交：</w:t>
      </w:r>
    </w:p>
    <w:p w14:paraId="4B17ED43">
      <w:pPr>
        <w:pStyle w:val="11"/>
        <w:spacing w:line="360" w:lineRule="exact"/>
        <w:ind w:firstLine="42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（1）我方承诺在收到成交通知书后，在成交通知书规定的期限内与采购人签订合同。</w:t>
      </w:r>
    </w:p>
    <w:p w14:paraId="6FF609C4">
      <w:pPr>
        <w:pStyle w:val="11"/>
        <w:spacing w:line="360" w:lineRule="exact"/>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（2）我方承诺按照磋商文件规定递交履约担保。</w:t>
      </w:r>
    </w:p>
    <w:p w14:paraId="4CE189A8">
      <w:pPr>
        <w:pStyle w:val="11"/>
        <w:spacing w:line="360" w:lineRule="exact"/>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（3）我方承诺本响应文件至本项目合同履行完毕止均保持有效，按磋商文件及政府采购法律、法规的规定履行合同责任和义务。</w:t>
      </w:r>
    </w:p>
    <w:p w14:paraId="036AC9C7">
      <w:pPr>
        <w:pStyle w:val="11"/>
        <w:spacing w:line="360" w:lineRule="exact"/>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与本项目有关的正式通讯地址为：</w:t>
      </w:r>
    </w:p>
    <w:p w14:paraId="32CB7F4E">
      <w:pPr>
        <w:rPr>
          <w:rFonts w:hint="eastAsia" w:ascii="宋体" w:hAnsi="宋体" w:cs="宋体"/>
          <w:color w:val="000000" w:themeColor="text1"/>
          <w:szCs w:val="21"/>
          <w14:textFill>
            <w14:solidFill>
              <w14:schemeClr w14:val="tx1"/>
            </w14:solidFill>
          </w14:textFill>
        </w:rPr>
      </w:pPr>
    </w:p>
    <w:p w14:paraId="43DFAD06">
      <w:pPr>
        <w:pStyle w:val="11"/>
        <w:spacing w:line="320" w:lineRule="exact"/>
        <w:ind w:firstLine="420"/>
        <w:rPr>
          <w:rFonts w:hint="eastAsia"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地址：</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邮编：</w:t>
      </w:r>
      <w:r>
        <w:rPr>
          <w:rFonts w:hint="eastAsia" w:hAnsi="宋体" w:cs="宋体"/>
          <w:color w:val="000000" w:themeColor="text1"/>
          <w:szCs w:val="21"/>
          <w:u w:val="single"/>
          <w14:textFill>
            <w14:solidFill>
              <w14:schemeClr w14:val="tx1"/>
            </w14:solidFill>
          </w14:textFill>
        </w:rPr>
        <w:t xml:space="preserve">          </w:t>
      </w:r>
      <w:r>
        <w:rPr>
          <w:rFonts w:hint="eastAsia" w:hAnsi="宋体" w:cs="宋体"/>
          <w:color w:val="000000" w:themeColor="text1"/>
          <w:szCs w:val="21"/>
          <w14:textFill>
            <w14:solidFill>
              <w14:schemeClr w14:val="tx1"/>
            </w14:solidFill>
          </w14:textFill>
        </w:rPr>
        <w:t xml:space="preserve">  电话、传真：</w:t>
      </w:r>
      <w:r>
        <w:rPr>
          <w:rFonts w:hint="eastAsia" w:hAnsi="宋体" w:cs="宋体"/>
          <w:color w:val="000000" w:themeColor="text1"/>
          <w:szCs w:val="21"/>
          <w:u w:val="single"/>
          <w14:textFill>
            <w14:solidFill>
              <w14:schemeClr w14:val="tx1"/>
            </w14:solidFill>
          </w14:textFill>
        </w:rPr>
        <w:t xml:space="preserve">            </w:t>
      </w:r>
    </w:p>
    <w:p w14:paraId="76FDA946">
      <w:pPr>
        <w:pStyle w:val="11"/>
        <w:spacing w:line="320" w:lineRule="exact"/>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开户名称：</w:t>
      </w:r>
      <w:r>
        <w:rPr>
          <w:rFonts w:hint="eastAsia" w:hAnsi="宋体" w:cs="宋体"/>
          <w:color w:val="000000" w:themeColor="text1"/>
          <w:szCs w:val="21"/>
          <w:u w:val="single"/>
          <w14:textFill>
            <w14:solidFill>
              <w14:schemeClr w14:val="tx1"/>
            </w14:solidFill>
          </w14:textFill>
        </w:rPr>
        <w:t xml:space="preserve">                                        </w:t>
      </w:r>
    </w:p>
    <w:p w14:paraId="7C53EA6C">
      <w:pPr>
        <w:pStyle w:val="11"/>
        <w:spacing w:line="320" w:lineRule="exact"/>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开户银行：</w:t>
      </w:r>
      <w:r>
        <w:rPr>
          <w:rFonts w:hint="eastAsia" w:hAnsi="宋体" w:cs="宋体"/>
          <w:color w:val="000000" w:themeColor="text1"/>
          <w:szCs w:val="21"/>
          <w:u w:val="single"/>
          <w14:textFill>
            <w14:solidFill>
              <w14:schemeClr w14:val="tx1"/>
            </w14:solidFill>
          </w14:textFill>
        </w:rPr>
        <w:t xml:space="preserve">                               　       </w:t>
      </w:r>
    </w:p>
    <w:p w14:paraId="3A552526">
      <w:pPr>
        <w:pStyle w:val="11"/>
        <w:spacing w:line="320" w:lineRule="exact"/>
        <w:ind w:firstLine="42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账号：</w:t>
      </w:r>
      <w:r>
        <w:rPr>
          <w:rFonts w:hint="eastAsia" w:hAnsi="宋体" w:cs="宋体"/>
          <w:color w:val="000000" w:themeColor="text1"/>
          <w:szCs w:val="21"/>
          <w:u w:val="single"/>
          <w14:textFill>
            <w14:solidFill>
              <w14:schemeClr w14:val="tx1"/>
            </w14:solidFill>
          </w14:textFill>
        </w:rPr>
        <w:t xml:space="preserve">                                   　　　   </w:t>
      </w:r>
    </w:p>
    <w:p w14:paraId="6F7EFCA4">
      <w:pPr>
        <w:pStyle w:val="11"/>
        <w:spacing w:line="320" w:lineRule="exact"/>
        <w:ind w:firstLine="420"/>
        <w:rPr>
          <w:rFonts w:hint="eastAsia" w:hAnsi="宋体" w:cs="宋体"/>
          <w:bCs/>
          <w:color w:val="000000" w:themeColor="text1"/>
          <w:szCs w:val="21"/>
          <w:u w:val="single"/>
          <w14:textFill>
            <w14:solidFill>
              <w14:schemeClr w14:val="tx1"/>
            </w14:solidFill>
          </w14:textFill>
        </w:rPr>
      </w:pPr>
      <w:r>
        <w:rPr>
          <w:rFonts w:hint="eastAsia" w:hAnsi="宋体" w:cs="宋体"/>
          <w:bCs/>
          <w:color w:val="000000" w:themeColor="text1"/>
          <w:szCs w:val="21"/>
          <w14:textFill>
            <w14:solidFill>
              <w14:schemeClr w14:val="tx1"/>
            </w14:solidFill>
          </w14:textFill>
        </w:rPr>
        <w:t>供应商[公章(CA签章)、自然人除外]：</w:t>
      </w:r>
      <w:r>
        <w:rPr>
          <w:rFonts w:hint="eastAsia" w:hAnsi="宋体" w:cs="宋体"/>
          <w:bCs/>
          <w:color w:val="000000" w:themeColor="text1"/>
          <w:szCs w:val="21"/>
          <w:u w:val="single"/>
          <w14:textFill>
            <w14:solidFill>
              <w14:schemeClr w14:val="tx1"/>
            </w14:solidFill>
          </w14:textFill>
        </w:rPr>
        <w:t xml:space="preserve">                              </w:t>
      </w:r>
    </w:p>
    <w:p w14:paraId="75AF179C">
      <w:pPr>
        <w:pStyle w:val="11"/>
        <w:spacing w:line="320" w:lineRule="exact"/>
        <w:ind w:firstLine="420"/>
        <w:rPr>
          <w:rFonts w:hint="eastAsia" w:hAnsi="宋体" w:cs="宋体"/>
          <w:color w:val="000000" w:themeColor="text1"/>
          <w:szCs w:val="21"/>
          <w:u w:val="single"/>
          <w14:textFill>
            <w14:solidFill>
              <w14:schemeClr w14:val="tx1"/>
            </w14:solidFill>
          </w14:textFill>
        </w:rPr>
      </w:pPr>
      <w:r>
        <w:rPr>
          <w:rFonts w:hint="eastAsia" w:hAnsi="宋体" w:cs="宋体"/>
          <w:color w:val="000000" w:themeColor="text1"/>
          <w:szCs w:val="21"/>
          <w14:textFill>
            <w14:solidFill>
              <w14:schemeClr w14:val="tx1"/>
            </w14:solidFill>
          </w14:textFill>
        </w:rPr>
        <w:t>法定代表人、负责人、自然人或相应的委托代理人签字[或盖章(CA签章)]（属自然人的应在签名处加盖大拇指指印或个人CA签章）：</w:t>
      </w:r>
      <w:r>
        <w:rPr>
          <w:rFonts w:hint="eastAsia" w:hAnsi="宋体" w:cs="宋体"/>
          <w:color w:val="000000" w:themeColor="text1"/>
          <w:szCs w:val="21"/>
          <w:u w:val="single"/>
          <w14:textFill>
            <w14:solidFill>
              <w14:schemeClr w14:val="tx1"/>
            </w14:solidFill>
          </w14:textFill>
        </w:rPr>
        <w:t xml:space="preserve">              </w:t>
      </w:r>
    </w:p>
    <w:p w14:paraId="5929BB93">
      <w:pPr>
        <w:pStyle w:val="11"/>
        <w:spacing w:line="320" w:lineRule="exact"/>
        <w:ind w:firstLine="420"/>
        <w:rPr>
          <w:rFonts w:hint="eastAsia" w:hAnsi="宋体" w:cs="宋体"/>
          <w:color w:val="000000" w:themeColor="text1"/>
          <w:szCs w:val="21"/>
          <w:u w:val="single"/>
          <w14:textFill>
            <w14:solidFill>
              <w14:schemeClr w14:val="tx1"/>
            </w14:solidFill>
          </w14:textFill>
        </w:rPr>
      </w:pPr>
      <w:r>
        <w:rPr>
          <w:rFonts w:hint="eastAsia" w:hAnsi="宋体" w:cs="宋体"/>
          <w:bCs/>
          <w:color w:val="000000" w:themeColor="text1"/>
          <w:szCs w:val="21"/>
          <w14:textFill>
            <w14:solidFill>
              <w14:schemeClr w14:val="tx1"/>
            </w14:solidFill>
          </w14:textFill>
        </w:rPr>
        <w:t>响应</w:t>
      </w:r>
      <w:r>
        <w:rPr>
          <w:rFonts w:hint="eastAsia" w:hAnsi="宋体" w:cs="宋体"/>
          <w:color w:val="000000" w:themeColor="text1"/>
          <w:szCs w:val="21"/>
          <w14:textFill>
            <w14:solidFill>
              <w14:schemeClr w14:val="tx1"/>
            </w14:solidFill>
          </w14:textFill>
        </w:rPr>
        <w:t>日期：</w:t>
      </w:r>
      <w:r>
        <w:rPr>
          <w:rFonts w:hint="eastAsia" w:hAnsi="宋体" w:cs="宋体"/>
          <w:color w:val="000000" w:themeColor="text1"/>
          <w:szCs w:val="21"/>
          <w:u w:val="single"/>
          <w14:textFill>
            <w14:solidFill>
              <w14:schemeClr w14:val="tx1"/>
            </w14:solidFill>
          </w14:textFill>
        </w:rPr>
        <w:t xml:space="preserve">                               </w:t>
      </w:r>
    </w:p>
    <w:p w14:paraId="310DD2A4">
      <w:pPr>
        <w:pStyle w:val="6"/>
        <w:rPr>
          <w:rFonts w:hint="eastAsia" w:ascii="宋体" w:hAnsi="宋体" w:cs="宋体"/>
          <w:color w:val="000000" w:themeColor="text1"/>
          <w:szCs w:val="21"/>
          <w:u w:val="single"/>
          <w14:textFill>
            <w14:solidFill>
              <w14:schemeClr w14:val="tx1"/>
            </w14:solidFill>
          </w14:textFill>
        </w:rPr>
      </w:pPr>
    </w:p>
    <w:p w14:paraId="7A56A80E">
      <w:pPr>
        <w:rPr>
          <w:rFonts w:hint="eastAsia" w:ascii="宋体" w:hAnsi="宋体" w:cs="宋体"/>
          <w:color w:val="000000" w:themeColor="text1"/>
          <w:szCs w:val="21"/>
          <w:u w:val="single"/>
          <w14:textFill>
            <w14:solidFill>
              <w14:schemeClr w14:val="tx1"/>
            </w14:solidFill>
          </w14:textFill>
        </w:rPr>
      </w:pPr>
    </w:p>
    <w:p w14:paraId="697A100D">
      <w:pPr>
        <w:pStyle w:val="3"/>
        <w:rPr>
          <w:rFonts w:hint="eastAsia" w:ascii="宋体" w:hAnsi="宋体" w:cs="宋体"/>
          <w:color w:val="000000" w:themeColor="text1"/>
          <w:sz w:val="21"/>
          <w:szCs w:val="21"/>
          <w:u w:val="single"/>
          <w14:textFill>
            <w14:solidFill>
              <w14:schemeClr w14:val="tx1"/>
            </w14:solidFill>
          </w14:textFill>
        </w:rPr>
      </w:pPr>
    </w:p>
    <w:p w14:paraId="0AC6C361">
      <w:pPr>
        <w:rPr>
          <w:rFonts w:hint="eastAsia" w:ascii="宋体" w:hAnsi="宋体" w:cs="宋体"/>
          <w:color w:val="000000" w:themeColor="text1"/>
          <w:szCs w:val="21"/>
          <w:u w:val="single"/>
          <w14:textFill>
            <w14:solidFill>
              <w14:schemeClr w14:val="tx1"/>
            </w14:solidFill>
          </w14:textFill>
        </w:rPr>
      </w:pPr>
    </w:p>
    <w:p w14:paraId="06420EFF">
      <w:pPr>
        <w:pStyle w:val="3"/>
        <w:rPr>
          <w:color w:val="000000" w:themeColor="text1"/>
          <w14:textFill>
            <w14:solidFill>
              <w14:schemeClr w14:val="tx1"/>
            </w14:solidFill>
          </w14:textFill>
        </w:rPr>
      </w:pPr>
    </w:p>
    <w:p w14:paraId="2F460D4D">
      <w:pPr>
        <w:pStyle w:val="11"/>
        <w:spacing w:line="340" w:lineRule="exact"/>
        <w:rPr>
          <w:rFonts w:hint="eastAsia" w:hAnsi="宋体" w:cs="宋体"/>
          <w:b/>
          <w:color w:val="000000" w:themeColor="text1"/>
          <w:sz w:val="28"/>
          <w:szCs w:val="28"/>
          <w14:textFill>
            <w14:solidFill>
              <w14:schemeClr w14:val="tx1"/>
            </w14:solidFill>
          </w14:textFill>
        </w:rPr>
      </w:pPr>
    </w:p>
    <w:p w14:paraId="2D791372">
      <w:pPr>
        <w:pStyle w:val="11"/>
        <w:spacing w:line="340" w:lineRule="exact"/>
        <w:rPr>
          <w:rFonts w:hint="eastAsia" w:hAnsi="宋体" w:cs="宋体"/>
          <w:color w:val="000000" w:themeColor="text1"/>
          <w14:textFill>
            <w14:solidFill>
              <w14:schemeClr w14:val="tx1"/>
            </w14:solidFill>
          </w14:textFill>
        </w:rPr>
      </w:pPr>
      <w:r>
        <w:rPr>
          <w:rFonts w:hint="eastAsia" w:hAnsi="宋体" w:cs="宋体"/>
          <w:b/>
          <w:color w:val="000000" w:themeColor="text1"/>
          <w:sz w:val="28"/>
          <w:szCs w:val="28"/>
          <w14:textFill>
            <w14:solidFill>
              <w14:schemeClr w14:val="tx1"/>
            </w14:solidFill>
          </w14:textFill>
        </w:rPr>
        <w:t>2. 磋商报价表（必须提供）；</w:t>
      </w:r>
    </w:p>
    <w:p w14:paraId="18EBD967">
      <w:pPr>
        <w:pStyle w:val="11"/>
        <w:spacing w:line="320" w:lineRule="exact"/>
        <w:jc w:val="left"/>
        <w:rPr>
          <w:rFonts w:hint="eastAsia" w:hAnsi="宋体" w:cs="宋体"/>
          <w:b/>
          <w:color w:val="000000" w:themeColor="text1"/>
          <w:sz w:val="28"/>
          <w:szCs w:val="28"/>
          <w14:textFill>
            <w14:solidFill>
              <w14:schemeClr w14:val="tx1"/>
            </w14:solidFill>
          </w14:textFill>
        </w:rPr>
      </w:pPr>
    </w:p>
    <w:p w14:paraId="2B0007DB">
      <w:pPr>
        <w:pStyle w:val="6"/>
        <w:ind w:left="0"/>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附件：</w:t>
      </w:r>
    </w:p>
    <w:p w14:paraId="3B3A2251">
      <w:pPr>
        <w:pStyle w:val="11"/>
        <w:spacing w:line="480" w:lineRule="exact"/>
        <w:ind w:left="420"/>
        <w:jc w:val="center"/>
        <w:rPr>
          <w:rFonts w:hint="eastAsia"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磋商报价表（格式）</w:t>
      </w:r>
    </w:p>
    <w:tbl>
      <w:tblPr>
        <w:tblStyle w:val="20"/>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15F53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40435B63">
            <w:pPr>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7315B642">
            <w:pPr>
              <w:spacing w:line="28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22FE0541">
            <w:pPr>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061C4B16">
            <w:pPr>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06792E83">
            <w:pPr>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71FA0ECF">
            <w:pPr>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21171662">
            <w:pPr>
              <w:spacing w:line="300" w:lineRule="exact"/>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单项合计=数量×单价</w:t>
            </w:r>
          </w:p>
          <w:p w14:paraId="0DC278C2">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rFonts w:hint="eastAsia" w:ascii="宋体" w:hAnsi="宋体" w:cs="宋体"/>
                <w:color w:val="000000" w:themeColor="text1"/>
                <w:szCs w:val="21"/>
                <w14:textFill>
                  <w14:solidFill>
                    <w14:schemeClr w14:val="tx1"/>
                  </w14:solidFill>
                </w14:textFill>
              </w:rPr>
              <w:t>①</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②</w:t>
            </w:r>
          </w:p>
        </w:tc>
        <w:tc>
          <w:tcPr>
            <w:tcW w:w="1710" w:type="dxa"/>
            <w:tcBorders>
              <w:top w:val="single" w:color="auto" w:sz="4" w:space="0"/>
              <w:bottom w:val="single" w:color="auto" w:sz="4" w:space="0"/>
            </w:tcBorders>
            <w:vAlign w:val="center"/>
          </w:tcPr>
          <w:p w14:paraId="789F6511">
            <w:pPr>
              <w:spacing w:line="3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14:paraId="757A5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7C7FC123">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570" w:type="dxa"/>
            <w:tcBorders>
              <w:top w:val="single" w:color="auto" w:sz="4" w:space="0"/>
              <w:left w:val="single" w:color="auto" w:sz="4" w:space="0"/>
              <w:bottom w:val="single" w:color="auto" w:sz="4" w:space="0"/>
              <w:right w:val="single" w:color="auto" w:sz="4" w:space="0"/>
            </w:tcBorders>
            <w:vAlign w:val="center"/>
          </w:tcPr>
          <w:p w14:paraId="4C215480">
            <w:pPr>
              <w:spacing w:line="360" w:lineRule="auto"/>
              <w:jc w:val="center"/>
              <w:rPr>
                <w:rFonts w:hint="eastAsia" w:ascii="宋体" w:hAnsi="宋体" w:cs="宋体"/>
                <w:color w:val="000000" w:themeColor="text1"/>
                <w:szCs w:val="21"/>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35B384D9">
            <w:pPr>
              <w:jc w:val="center"/>
              <w:rPr>
                <w:rFonts w:hint="eastAsia" w:ascii="宋体" w:hAnsi="宋体" w:cs="宋体"/>
                <w:color w:val="000000" w:themeColor="text1"/>
                <w:szCs w:val="21"/>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2FC4436">
            <w:pPr>
              <w:jc w:val="center"/>
              <w:rPr>
                <w:rFonts w:hint="eastAsia" w:ascii="宋体" w:hAnsi="宋体" w:cs="宋体"/>
                <w:color w:val="000000" w:themeColor="text1"/>
                <w:szCs w:val="2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62D19B1D">
            <w:pPr>
              <w:jc w:val="center"/>
              <w:rPr>
                <w:rFonts w:hint="eastAsia" w:ascii="宋体" w:hAnsi="宋体" w:cs="宋体"/>
                <w:color w:val="000000" w:themeColor="text1"/>
                <w:szCs w:val="21"/>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1E389D06">
            <w:pPr>
              <w:jc w:val="center"/>
              <w:rPr>
                <w:rFonts w:hint="eastAsia" w:ascii="宋体" w:hAnsi="宋体" w:cs="宋体"/>
                <w:color w:val="000000" w:themeColor="text1"/>
                <w:szCs w:val="21"/>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7CECC1D2">
            <w:pPr>
              <w:spacing w:line="300" w:lineRule="exact"/>
              <w:jc w:val="center"/>
              <w:rPr>
                <w:rFonts w:hint="eastAsia" w:ascii="宋体" w:hAnsi="宋体" w:cs="宋体"/>
                <w:b/>
                <w:bCs/>
                <w:color w:val="000000" w:themeColor="text1"/>
                <w:szCs w:val="21"/>
                <w14:textFill>
                  <w14:solidFill>
                    <w14:schemeClr w14:val="tx1"/>
                  </w14:solidFill>
                </w14:textFill>
              </w:rPr>
            </w:pPr>
          </w:p>
        </w:tc>
        <w:tc>
          <w:tcPr>
            <w:tcW w:w="1710" w:type="dxa"/>
            <w:tcBorders>
              <w:top w:val="single" w:color="auto" w:sz="4" w:space="0"/>
              <w:bottom w:val="single" w:color="auto" w:sz="4" w:space="0"/>
            </w:tcBorders>
            <w:vAlign w:val="center"/>
          </w:tcPr>
          <w:p w14:paraId="21D4A2E8">
            <w:pPr>
              <w:spacing w:line="300" w:lineRule="exact"/>
              <w:jc w:val="center"/>
              <w:rPr>
                <w:rFonts w:hint="eastAsia" w:ascii="宋体" w:hAnsi="宋体" w:cs="宋体"/>
                <w:b/>
                <w:bCs/>
                <w:color w:val="000000" w:themeColor="text1"/>
                <w:szCs w:val="21"/>
                <w14:textFill>
                  <w14:solidFill>
                    <w14:schemeClr w14:val="tx1"/>
                  </w14:solidFill>
                </w14:textFill>
              </w:rPr>
            </w:pPr>
          </w:p>
        </w:tc>
      </w:tr>
      <w:tr w14:paraId="20AA7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725FBCF9">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70" w:type="dxa"/>
            <w:tcBorders>
              <w:top w:val="single" w:color="auto" w:sz="4" w:space="0"/>
              <w:left w:val="single" w:color="auto" w:sz="4" w:space="0"/>
              <w:bottom w:val="single" w:color="auto" w:sz="4" w:space="0"/>
              <w:right w:val="single" w:color="auto" w:sz="4" w:space="0"/>
            </w:tcBorders>
            <w:vAlign w:val="center"/>
          </w:tcPr>
          <w:p w14:paraId="5DE17F49">
            <w:pPr>
              <w:spacing w:line="360" w:lineRule="auto"/>
              <w:jc w:val="center"/>
              <w:rPr>
                <w:rFonts w:hint="eastAsia" w:ascii="宋体" w:hAnsi="宋体" w:cs="宋体"/>
                <w:color w:val="000000" w:themeColor="text1"/>
                <w:szCs w:val="21"/>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2EDD03D7">
            <w:pPr>
              <w:jc w:val="center"/>
              <w:rPr>
                <w:rFonts w:hint="eastAsia" w:ascii="宋体" w:hAnsi="宋体" w:cs="宋体"/>
                <w:color w:val="000000" w:themeColor="text1"/>
                <w:szCs w:val="21"/>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6FE90D4B">
            <w:pPr>
              <w:jc w:val="center"/>
              <w:rPr>
                <w:rFonts w:hint="eastAsia" w:ascii="宋体" w:hAnsi="宋体" w:cs="宋体"/>
                <w:color w:val="000000" w:themeColor="text1"/>
                <w:szCs w:val="2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5AAFED4E">
            <w:pPr>
              <w:jc w:val="center"/>
              <w:rPr>
                <w:rFonts w:hint="eastAsia" w:ascii="宋体" w:hAnsi="宋体" w:cs="宋体"/>
                <w:color w:val="000000" w:themeColor="text1"/>
                <w:szCs w:val="21"/>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2A2FBB4E">
            <w:pPr>
              <w:jc w:val="center"/>
              <w:rPr>
                <w:rFonts w:hint="eastAsia" w:ascii="宋体" w:hAnsi="宋体" w:cs="宋体"/>
                <w:color w:val="000000" w:themeColor="text1"/>
                <w:szCs w:val="21"/>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04315D61">
            <w:pPr>
              <w:spacing w:line="300" w:lineRule="exact"/>
              <w:jc w:val="center"/>
              <w:rPr>
                <w:rFonts w:hint="eastAsia" w:ascii="宋体" w:hAnsi="宋体" w:cs="宋体"/>
                <w:b/>
                <w:bCs/>
                <w:color w:val="000000" w:themeColor="text1"/>
                <w:szCs w:val="21"/>
                <w14:textFill>
                  <w14:solidFill>
                    <w14:schemeClr w14:val="tx1"/>
                  </w14:solidFill>
                </w14:textFill>
              </w:rPr>
            </w:pPr>
          </w:p>
        </w:tc>
        <w:tc>
          <w:tcPr>
            <w:tcW w:w="1710" w:type="dxa"/>
            <w:tcBorders>
              <w:top w:val="single" w:color="auto" w:sz="4" w:space="0"/>
              <w:bottom w:val="single" w:color="auto" w:sz="4" w:space="0"/>
            </w:tcBorders>
            <w:vAlign w:val="center"/>
          </w:tcPr>
          <w:p w14:paraId="74D814FF">
            <w:pPr>
              <w:spacing w:line="300" w:lineRule="exact"/>
              <w:jc w:val="center"/>
              <w:rPr>
                <w:rFonts w:hint="eastAsia" w:ascii="宋体" w:hAnsi="宋体" w:cs="宋体"/>
                <w:b/>
                <w:bCs/>
                <w:color w:val="000000" w:themeColor="text1"/>
                <w:szCs w:val="21"/>
                <w14:textFill>
                  <w14:solidFill>
                    <w14:schemeClr w14:val="tx1"/>
                  </w14:solidFill>
                </w14:textFill>
              </w:rPr>
            </w:pPr>
          </w:p>
        </w:tc>
      </w:tr>
      <w:tr w14:paraId="79F71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64E8667">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570" w:type="dxa"/>
            <w:tcBorders>
              <w:top w:val="single" w:color="auto" w:sz="4" w:space="0"/>
              <w:left w:val="single" w:color="auto" w:sz="4" w:space="0"/>
              <w:bottom w:val="single" w:color="auto" w:sz="4" w:space="0"/>
              <w:right w:val="single" w:color="auto" w:sz="4" w:space="0"/>
            </w:tcBorders>
            <w:vAlign w:val="center"/>
          </w:tcPr>
          <w:p w14:paraId="4D86F948">
            <w:pPr>
              <w:spacing w:line="360" w:lineRule="auto"/>
              <w:jc w:val="center"/>
              <w:rPr>
                <w:rFonts w:hint="eastAsia" w:ascii="宋体" w:hAnsi="宋体" w:cs="宋体"/>
                <w:color w:val="000000" w:themeColor="text1"/>
                <w:szCs w:val="21"/>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4E160D28">
            <w:pPr>
              <w:jc w:val="center"/>
              <w:rPr>
                <w:rFonts w:hint="eastAsia" w:ascii="宋体" w:hAnsi="宋体" w:cs="宋体"/>
                <w:color w:val="000000" w:themeColor="text1"/>
                <w:szCs w:val="21"/>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3F0394BE">
            <w:pPr>
              <w:jc w:val="center"/>
              <w:rPr>
                <w:rFonts w:hint="eastAsia" w:ascii="宋体" w:hAnsi="宋体" w:cs="宋体"/>
                <w:color w:val="000000" w:themeColor="text1"/>
                <w:szCs w:val="2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076E155E">
            <w:pPr>
              <w:jc w:val="center"/>
              <w:rPr>
                <w:rFonts w:hint="eastAsia" w:ascii="宋体" w:hAnsi="宋体" w:cs="宋体"/>
                <w:color w:val="000000" w:themeColor="text1"/>
                <w:szCs w:val="21"/>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2536708C">
            <w:pPr>
              <w:jc w:val="center"/>
              <w:rPr>
                <w:rFonts w:hint="eastAsia" w:ascii="宋体" w:hAnsi="宋体" w:cs="宋体"/>
                <w:color w:val="000000" w:themeColor="text1"/>
                <w:szCs w:val="21"/>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34886395">
            <w:pPr>
              <w:spacing w:line="300" w:lineRule="exact"/>
              <w:jc w:val="center"/>
              <w:rPr>
                <w:rFonts w:hint="eastAsia" w:ascii="宋体" w:hAnsi="宋体" w:cs="宋体"/>
                <w:b/>
                <w:bCs/>
                <w:color w:val="000000" w:themeColor="text1"/>
                <w:szCs w:val="21"/>
                <w14:textFill>
                  <w14:solidFill>
                    <w14:schemeClr w14:val="tx1"/>
                  </w14:solidFill>
                </w14:textFill>
              </w:rPr>
            </w:pPr>
          </w:p>
        </w:tc>
        <w:tc>
          <w:tcPr>
            <w:tcW w:w="1710" w:type="dxa"/>
            <w:tcBorders>
              <w:top w:val="single" w:color="auto" w:sz="4" w:space="0"/>
              <w:bottom w:val="single" w:color="auto" w:sz="4" w:space="0"/>
            </w:tcBorders>
            <w:vAlign w:val="center"/>
          </w:tcPr>
          <w:p w14:paraId="6F6111DC">
            <w:pPr>
              <w:spacing w:line="300" w:lineRule="exact"/>
              <w:jc w:val="center"/>
              <w:rPr>
                <w:rFonts w:hint="eastAsia" w:ascii="宋体" w:hAnsi="宋体" w:cs="宋体"/>
                <w:b/>
                <w:bCs/>
                <w:color w:val="000000" w:themeColor="text1"/>
                <w:szCs w:val="21"/>
                <w14:textFill>
                  <w14:solidFill>
                    <w14:schemeClr w14:val="tx1"/>
                  </w14:solidFill>
                </w14:textFill>
              </w:rPr>
            </w:pPr>
          </w:p>
        </w:tc>
      </w:tr>
      <w:tr w14:paraId="5419C6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164A318D">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1570" w:type="dxa"/>
            <w:tcBorders>
              <w:top w:val="single" w:color="auto" w:sz="4" w:space="0"/>
              <w:left w:val="single" w:color="auto" w:sz="4" w:space="0"/>
              <w:bottom w:val="single" w:color="auto" w:sz="4" w:space="0"/>
              <w:right w:val="single" w:color="auto" w:sz="4" w:space="0"/>
            </w:tcBorders>
            <w:vAlign w:val="center"/>
          </w:tcPr>
          <w:p w14:paraId="375BB0AF">
            <w:pPr>
              <w:spacing w:line="360" w:lineRule="auto"/>
              <w:jc w:val="center"/>
              <w:rPr>
                <w:rFonts w:hint="eastAsia" w:ascii="宋体" w:hAnsi="宋体" w:cs="宋体"/>
                <w:color w:val="000000" w:themeColor="text1"/>
                <w:szCs w:val="21"/>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539607D5">
            <w:pPr>
              <w:jc w:val="center"/>
              <w:rPr>
                <w:rFonts w:hint="eastAsia" w:ascii="宋体" w:hAnsi="宋体" w:cs="宋体"/>
                <w:color w:val="000000" w:themeColor="text1"/>
                <w:szCs w:val="21"/>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3DB7638D">
            <w:pPr>
              <w:jc w:val="center"/>
              <w:rPr>
                <w:rFonts w:hint="eastAsia" w:ascii="宋体" w:hAnsi="宋体" w:cs="宋体"/>
                <w:color w:val="000000" w:themeColor="text1"/>
                <w:szCs w:val="21"/>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3F72E4A6">
            <w:pPr>
              <w:jc w:val="center"/>
              <w:rPr>
                <w:rFonts w:hint="eastAsia" w:ascii="宋体" w:hAnsi="宋体" w:cs="宋体"/>
                <w:color w:val="000000" w:themeColor="text1"/>
                <w:szCs w:val="21"/>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35BA98A2">
            <w:pPr>
              <w:jc w:val="center"/>
              <w:rPr>
                <w:rFonts w:hint="eastAsia" w:ascii="宋体" w:hAnsi="宋体" w:cs="宋体"/>
                <w:color w:val="000000" w:themeColor="text1"/>
                <w:szCs w:val="21"/>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527E6102">
            <w:pPr>
              <w:spacing w:line="300" w:lineRule="exact"/>
              <w:jc w:val="center"/>
              <w:rPr>
                <w:rFonts w:hint="eastAsia" w:ascii="宋体" w:hAnsi="宋体" w:cs="宋体"/>
                <w:b/>
                <w:bCs/>
                <w:color w:val="000000" w:themeColor="text1"/>
                <w:szCs w:val="21"/>
                <w14:textFill>
                  <w14:solidFill>
                    <w14:schemeClr w14:val="tx1"/>
                  </w14:solidFill>
                </w14:textFill>
              </w:rPr>
            </w:pPr>
          </w:p>
        </w:tc>
        <w:tc>
          <w:tcPr>
            <w:tcW w:w="1710" w:type="dxa"/>
            <w:tcBorders>
              <w:top w:val="single" w:color="auto" w:sz="4" w:space="0"/>
              <w:bottom w:val="single" w:color="auto" w:sz="4" w:space="0"/>
            </w:tcBorders>
            <w:vAlign w:val="center"/>
          </w:tcPr>
          <w:p w14:paraId="555C619E">
            <w:pPr>
              <w:spacing w:line="300" w:lineRule="exact"/>
              <w:jc w:val="center"/>
              <w:rPr>
                <w:rFonts w:hint="eastAsia" w:ascii="宋体" w:hAnsi="宋体" w:cs="宋体"/>
                <w:b/>
                <w:bCs/>
                <w:color w:val="000000" w:themeColor="text1"/>
                <w:szCs w:val="21"/>
                <w14:textFill>
                  <w14:solidFill>
                    <w14:schemeClr w14:val="tx1"/>
                  </w14:solidFill>
                </w14:textFill>
              </w:rPr>
            </w:pPr>
          </w:p>
        </w:tc>
      </w:tr>
      <w:tr w14:paraId="35875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7BE90590">
            <w:pPr>
              <w:spacing w:line="30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磋商总报价（大写）：人民币                                                 （¥                   ）</w:t>
            </w:r>
          </w:p>
        </w:tc>
      </w:tr>
      <w:tr w14:paraId="60339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231B0FA3">
            <w:pPr>
              <w:spacing w:line="300" w:lineRule="exact"/>
              <w:rPr>
                <w:rFonts w:hint="eastAsia" w:ascii="宋体" w:hAnsi="宋体" w:cs="宋体"/>
                <w:color w:val="000000" w:themeColor="text1"/>
                <w:spacing w:val="-6"/>
                <w:szCs w:val="21"/>
                <w14:textFill>
                  <w14:solidFill>
                    <w14:schemeClr w14:val="tx1"/>
                  </w14:solidFill>
                </w14:textFill>
              </w:rPr>
            </w:pPr>
            <w:r>
              <w:rPr>
                <w:rFonts w:hint="eastAsia" w:ascii="宋体" w:hAnsi="宋体" w:cs="宋体"/>
                <w:color w:val="000000" w:themeColor="text1"/>
                <w:spacing w:val="-6"/>
                <w:szCs w:val="21"/>
                <w14:textFill>
                  <w14:solidFill>
                    <w14:schemeClr w14:val="tx1"/>
                  </w14:solidFill>
                </w14:textFill>
              </w:rPr>
              <w:t>服务时间：</w:t>
            </w:r>
          </w:p>
        </w:tc>
      </w:tr>
      <w:tr w14:paraId="45BF2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3584E12C">
            <w:pPr>
              <w:spacing w:line="3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r>
              <w:rPr>
                <w:rFonts w:hint="eastAsia" w:ascii="宋体" w:hAnsi="宋体" w:cs="宋体"/>
                <w:color w:val="000000" w:themeColor="text1"/>
                <w:spacing w:val="-6"/>
                <w:szCs w:val="21"/>
                <w14:textFill>
                  <w14:solidFill>
                    <w14:schemeClr w14:val="tx1"/>
                  </w14:solidFill>
                </w14:textFill>
              </w:rPr>
              <w:t>磋商</w:t>
            </w:r>
            <w:r>
              <w:rPr>
                <w:rFonts w:hint="eastAsia" w:ascii="宋体" w:hAnsi="宋体" w:cs="宋体"/>
                <w:color w:val="000000" w:themeColor="text1"/>
                <w:szCs w:val="21"/>
                <w14:textFill>
                  <w14:solidFill>
                    <w14:schemeClr w14:val="tx1"/>
                  </w14:solidFill>
                </w14:textFill>
              </w:rPr>
              <w:t>报价指本次招标采购范围内服务价款、服务随配标准附件、包装、运输、装卸、保险、税金、及其他所有成本费用的总和；供应商综合考虑在报价中。</w:t>
            </w:r>
          </w:p>
        </w:tc>
      </w:tr>
    </w:tbl>
    <w:p w14:paraId="5163129C">
      <w:pPr>
        <w:spacing w:line="340" w:lineRule="exact"/>
        <w:rPr>
          <w:rFonts w:hint="eastAsia" w:ascii="宋体" w:hAnsi="宋体" w:cs="宋体"/>
          <w:color w:val="000000" w:themeColor="text1"/>
          <w:szCs w:val="21"/>
          <w14:textFill>
            <w14:solidFill>
              <w14:schemeClr w14:val="tx1"/>
            </w14:solidFill>
          </w14:textFill>
        </w:rPr>
      </w:pPr>
    </w:p>
    <w:p w14:paraId="60CDCBED">
      <w:pPr>
        <w:spacing w:line="34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供应商（CA签章，自然人除外）：</w:t>
      </w:r>
      <w:r>
        <w:rPr>
          <w:rFonts w:hint="eastAsia" w:ascii="宋体" w:hAnsi="宋体" w:cs="宋体"/>
          <w:color w:val="000000" w:themeColor="text1"/>
          <w:szCs w:val="21"/>
          <w:u w:val="single"/>
          <w14:textFill>
            <w14:solidFill>
              <w14:schemeClr w14:val="tx1"/>
            </w14:solidFill>
          </w14:textFill>
        </w:rPr>
        <w:t xml:space="preserve">                                        </w:t>
      </w:r>
    </w:p>
    <w:p w14:paraId="52153A75">
      <w:pPr>
        <w:spacing w:line="34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法定代表人、负责人、自然人或相应的委托代理人签字或个人CA签章（属自然人的应在签名处加盖食指指印或个人CA签章）：</w:t>
      </w:r>
      <w:r>
        <w:rPr>
          <w:rFonts w:hint="eastAsia" w:ascii="宋体" w:hAnsi="宋体" w:cs="宋体"/>
          <w:color w:val="000000" w:themeColor="text1"/>
          <w:szCs w:val="21"/>
          <w:u w:val="single"/>
          <w14:textFill>
            <w14:solidFill>
              <w14:schemeClr w14:val="tx1"/>
            </w14:solidFill>
          </w14:textFill>
        </w:rPr>
        <w:t xml:space="preserve">                                    </w:t>
      </w:r>
    </w:p>
    <w:p w14:paraId="137081E8">
      <w:pPr>
        <w:tabs>
          <w:tab w:val="left" w:pos="1305"/>
        </w:tabs>
        <w:spacing w:line="340" w:lineRule="exact"/>
        <w:rPr>
          <w:rFonts w:hint="eastAsia" w:ascii="宋体" w:hAnsi="宋体" w:cs="宋体"/>
          <w:bCs/>
          <w:color w:val="000000" w:themeColor="text1"/>
          <w:szCs w:val="21"/>
          <w14:textFill>
            <w14:solidFill>
              <w14:schemeClr w14:val="tx1"/>
            </w14:solidFill>
          </w14:textFill>
        </w:rPr>
      </w:pPr>
    </w:p>
    <w:p w14:paraId="5E346E3B">
      <w:pPr>
        <w:tabs>
          <w:tab w:val="left" w:pos="1305"/>
        </w:tabs>
        <w:spacing w:line="34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1.各</w:t>
      </w:r>
      <w:r>
        <w:rPr>
          <w:rFonts w:hint="eastAsia" w:ascii="宋体" w:hAnsi="宋体" w:cs="宋体"/>
          <w:color w:val="000000" w:themeColor="text1"/>
          <w:szCs w:val="21"/>
          <w14:textFill>
            <w14:solidFill>
              <w14:schemeClr w14:val="tx1"/>
            </w14:solidFill>
          </w14:textFill>
        </w:rPr>
        <w:t>供应商必须就“采购需求”中所投分标的所有内容作完整唯一报价，否则，其投标将被拒绝。投标文件只允许有一个报价。</w:t>
      </w:r>
    </w:p>
    <w:p w14:paraId="1C75BC2E">
      <w:pPr>
        <w:pStyle w:val="11"/>
        <w:spacing w:line="360" w:lineRule="exact"/>
        <w:ind w:firstLine="420" w:firstLineChars="200"/>
        <w:rPr>
          <w:rFonts w:hint="eastAsia"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2.供应商应根据所投项目如实填写投标报价表</w:t>
      </w:r>
      <w:r>
        <w:rPr>
          <w:rFonts w:hint="eastAsia" w:hAnsi="宋体" w:cs="宋体"/>
          <w:bCs/>
          <w:color w:val="000000" w:themeColor="text1"/>
          <w:szCs w:val="21"/>
          <w14:textFill>
            <w14:solidFill>
              <w14:schemeClr w14:val="tx1"/>
            </w14:solidFill>
          </w14:textFill>
        </w:rPr>
        <w:t>的各项内容。</w:t>
      </w:r>
    </w:p>
    <w:p w14:paraId="6BC0F604">
      <w:pPr>
        <w:ind w:firstLine="420" w:firstLineChars="200"/>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14:textFill>
            <w14:solidFill>
              <w14:schemeClr w14:val="tx1"/>
            </w14:solidFill>
          </w14:textFill>
        </w:rPr>
        <w:t>磋商报价表须由法定代表人负责人、自然人或相应的委托代理人签字或个人CA签章（属自然人的应在签名处加盖食指指印或个人CA签章）并加盖供应商CA签章（自然人除外）。</w:t>
      </w:r>
      <w:r>
        <w:rPr>
          <w:rFonts w:hint="eastAsia" w:ascii="宋体" w:hAnsi="宋体" w:cs="宋体"/>
          <w:b/>
          <w:color w:val="000000" w:themeColor="text1"/>
          <w14:textFill>
            <w14:solidFill>
              <w14:schemeClr w14:val="tx1"/>
            </w14:solidFill>
          </w14:textFill>
        </w:rPr>
        <w:t>当本表由多页构成时，需逐页加盖供应商公章（属自然人的须逐页签字或个人CA签章）</w:t>
      </w:r>
    </w:p>
    <w:p w14:paraId="64AAF854">
      <w:pPr>
        <w:rPr>
          <w:rFonts w:hint="eastAsia" w:ascii="宋体" w:hAnsi="宋体" w:cs="宋体"/>
          <w:b/>
          <w:bCs/>
          <w:color w:val="000000" w:themeColor="text1"/>
          <w:sz w:val="32"/>
          <w:szCs w:val="32"/>
          <w14:textFill>
            <w14:solidFill>
              <w14:schemeClr w14:val="tx1"/>
            </w14:solidFill>
          </w14:textFill>
        </w:rPr>
      </w:pPr>
    </w:p>
    <w:p w14:paraId="659731FC">
      <w:pPr>
        <w:pStyle w:val="7"/>
        <w:rPr>
          <w:rFonts w:hint="eastAsia" w:ascii="宋体" w:hAnsi="宋体" w:cs="宋体"/>
          <w:color w:val="000000" w:themeColor="text1"/>
          <w14:textFill>
            <w14:solidFill>
              <w14:schemeClr w14:val="tx1"/>
            </w14:solidFill>
          </w14:textFill>
        </w:rPr>
        <w:sectPr>
          <w:headerReference r:id="rId6" w:type="default"/>
          <w:footerReference r:id="rId7" w:type="default"/>
          <w:pgSz w:w="11906" w:h="16838"/>
          <w:pgMar w:top="1440" w:right="935" w:bottom="1440" w:left="777" w:header="851" w:footer="992" w:gutter="0"/>
          <w:pgNumType w:fmt="numberInDash" w:start="1"/>
          <w:cols w:space="720" w:num="1"/>
          <w:docGrid w:type="linesAndChars" w:linePitch="312" w:charSpace="0"/>
        </w:sectPr>
      </w:pPr>
    </w:p>
    <w:p w14:paraId="746577CC">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3.服务(技术)响应、商务偏离情况说明表（格式见附件）(必须提供)；</w:t>
      </w:r>
    </w:p>
    <w:p w14:paraId="73B1B27C">
      <w:pPr>
        <w:rPr>
          <w:rFonts w:hint="eastAsia" w:ascii="宋体" w:hAnsi="宋体" w:cs="宋体"/>
          <w:color w:val="000000" w:themeColor="text1"/>
          <w14:textFill>
            <w14:solidFill>
              <w14:schemeClr w14:val="tx1"/>
            </w14:solidFill>
          </w14:textFill>
        </w:rPr>
      </w:pPr>
    </w:p>
    <w:p w14:paraId="0319361D">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附件：</w:t>
      </w:r>
    </w:p>
    <w:p w14:paraId="793D9BC5">
      <w:pPr>
        <w:spacing w:line="500" w:lineRule="exac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p>
    <w:p w14:paraId="4B8DDF56">
      <w:pPr>
        <w:spacing w:line="5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tbl>
      <w:tblPr>
        <w:tblStyle w:val="20"/>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355C34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1CBDC015">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2251" w:type="dxa"/>
            <w:vAlign w:val="center"/>
          </w:tcPr>
          <w:p w14:paraId="367EB74D">
            <w:pPr>
              <w:jc w:val="center"/>
              <w:rPr>
                <w:rFonts w:hint="eastAsia" w:ascii="宋体" w:hAnsi="宋体" w:cs="宋体"/>
                <w:color w:val="000000" w:themeColor="text1"/>
                <w14:textFill>
                  <w14:solidFill>
                    <w14:schemeClr w14:val="tx1"/>
                  </w14:solidFill>
                </w14:textFill>
              </w:rPr>
            </w:pPr>
            <w:bookmarkStart w:id="231" w:name="_Toc254970730"/>
            <w:bookmarkStart w:id="232" w:name="_Toc254970589"/>
            <w:bookmarkStart w:id="233" w:name="_Toc173211901"/>
            <w:bookmarkStart w:id="234" w:name="_Toc173066402"/>
            <w:r>
              <w:rPr>
                <w:rFonts w:hint="eastAsia" w:ascii="宋体" w:hAnsi="宋体" w:cs="宋体"/>
                <w:color w:val="000000" w:themeColor="text1"/>
                <w14:textFill>
                  <w14:solidFill>
                    <w14:schemeClr w14:val="tx1"/>
                  </w14:solidFill>
                </w14:textFill>
              </w:rPr>
              <w:t>竞争性磋商文件要求</w:t>
            </w:r>
            <w:bookmarkEnd w:id="231"/>
            <w:bookmarkEnd w:id="232"/>
            <w:bookmarkEnd w:id="233"/>
            <w:bookmarkEnd w:id="234"/>
          </w:p>
        </w:tc>
        <w:tc>
          <w:tcPr>
            <w:tcW w:w="3195" w:type="dxa"/>
            <w:vAlign w:val="center"/>
          </w:tcPr>
          <w:p w14:paraId="364ADE5D">
            <w:pPr>
              <w:jc w:val="center"/>
              <w:rPr>
                <w:rFonts w:hint="eastAsia" w:ascii="宋体" w:hAnsi="宋体" w:cs="宋体"/>
                <w:color w:val="000000" w:themeColor="text1"/>
                <w14:textFill>
                  <w14:solidFill>
                    <w14:schemeClr w14:val="tx1"/>
                  </w14:solidFill>
                </w14:textFill>
              </w:rPr>
            </w:pPr>
            <w:bookmarkStart w:id="235" w:name="_Toc173066403"/>
            <w:bookmarkStart w:id="236" w:name="_Toc173211902"/>
            <w:bookmarkStart w:id="237" w:name="_Toc254970731"/>
            <w:bookmarkStart w:id="238" w:name="_Toc254970590"/>
            <w:r>
              <w:rPr>
                <w:rFonts w:hint="eastAsia" w:ascii="宋体" w:hAnsi="宋体" w:cs="宋体"/>
                <w:color w:val="000000" w:themeColor="text1"/>
                <w14:textFill>
                  <w14:solidFill>
                    <w14:schemeClr w14:val="tx1"/>
                  </w14:solidFill>
                </w14:textFill>
              </w:rPr>
              <w:t>竞争性磋商响应文件具体响应</w:t>
            </w:r>
            <w:bookmarkEnd w:id="235"/>
            <w:bookmarkEnd w:id="236"/>
            <w:bookmarkEnd w:id="237"/>
            <w:bookmarkEnd w:id="238"/>
          </w:p>
        </w:tc>
        <w:tc>
          <w:tcPr>
            <w:tcW w:w="1920" w:type="dxa"/>
            <w:vAlign w:val="center"/>
          </w:tcPr>
          <w:p w14:paraId="71416402">
            <w:pPr>
              <w:jc w:val="center"/>
              <w:rPr>
                <w:rFonts w:hint="eastAsia" w:ascii="宋体" w:hAnsi="宋体" w:cs="宋体"/>
                <w:color w:val="000000" w:themeColor="text1"/>
                <w14:textFill>
                  <w14:solidFill>
                    <w14:schemeClr w14:val="tx1"/>
                  </w14:solidFill>
                </w14:textFill>
              </w:rPr>
            </w:pPr>
            <w:bookmarkStart w:id="239" w:name="_Toc254970732"/>
            <w:bookmarkStart w:id="240" w:name="_Toc254970591"/>
            <w:bookmarkStart w:id="241" w:name="_Toc173066404"/>
            <w:bookmarkStart w:id="242" w:name="_Toc173211903"/>
            <w:r>
              <w:rPr>
                <w:rFonts w:hint="eastAsia" w:ascii="宋体" w:hAnsi="宋体" w:cs="宋体"/>
                <w:color w:val="000000" w:themeColor="text1"/>
                <w14:textFill>
                  <w14:solidFill>
                    <w14:schemeClr w14:val="tx1"/>
                  </w14:solidFill>
                </w14:textFill>
              </w:rPr>
              <w:t>响应/偏离</w:t>
            </w:r>
            <w:bookmarkEnd w:id="239"/>
            <w:bookmarkEnd w:id="240"/>
            <w:bookmarkEnd w:id="241"/>
            <w:bookmarkEnd w:id="242"/>
          </w:p>
        </w:tc>
        <w:tc>
          <w:tcPr>
            <w:tcW w:w="1920" w:type="dxa"/>
            <w:vAlign w:val="center"/>
          </w:tcPr>
          <w:p w14:paraId="74A692D7">
            <w:pPr>
              <w:jc w:val="center"/>
              <w:rPr>
                <w:rFonts w:hint="eastAsia" w:ascii="宋体" w:hAnsi="宋体" w:cs="宋体"/>
                <w:color w:val="000000" w:themeColor="text1"/>
                <w14:textFill>
                  <w14:solidFill>
                    <w14:schemeClr w14:val="tx1"/>
                  </w14:solidFill>
                </w14:textFill>
              </w:rPr>
            </w:pPr>
            <w:bookmarkStart w:id="243" w:name="_Toc254970733"/>
            <w:bookmarkStart w:id="244" w:name="_Toc173211904"/>
            <w:bookmarkStart w:id="245" w:name="_Toc173066405"/>
            <w:bookmarkStart w:id="246" w:name="_Toc254970592"/>
            <w:r>
              <w:rPr>
                <w:rFonts w:hint="eastAsia" w:ascii="宋体" w:hAnsi="宋体" w:cs="宋体"/>
                <w:color w:val="000000" w:themeColor="text1"/>
                <w14:textFill>
                  <w14:solidFill>
                    <w14:schemeClr w14:val="tx1"/>
                  </w14:solidFill>
                </w14:textFill>
              </w:rPr>
              <w:t>说明</w:t>
            </w:r>
            <w:bookmarkEnd w:id="243"/>
            <w:bookmarkEnd w:id="244"/>
            <w:bookmarkEnd w:id="245"/>
            <w:bookmarkEnd w:id="246"/>
          </w:p>
        </w:tc>
      </w:tr>
      <w:tr w14:paraId="1990B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2D57BA3E">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服务（技术)响应、商务部分</w:t>
            </w:r>
          </w:p>
        </w:tc>
      </w:tr>
      <w:tr w14:paraId="3BC4A2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F5203B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2251" w:type="dxa"/>
            <w:vAlign w:val="center"/>
          </w:tcPr>
          <w:p w14:paraId="6865BE80">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3195" w:type="dxa"/>
            <w:vAlign w:val="center"/>
          </w:tcPr>
          <w:p w14:paraId="224A1CBA">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1920" w:type="dxa"/>
            <w:vAlign w:val="center"/>
          </w:tcPr>
          <w:p w14:paraId="103CD873">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1920" w:type="dxa"/>
            <w:vAlign w:val="center"/>
          </w:tcPr>
          <w:p w14:paraId="09487532">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r>
      <w:tr w14:paraId="26D866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01908B94">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tc>
        <w:tc>
          <w:tcPr>
            <w:tcW w:w="2251" w:type="dxa"/>
            <w:vAlign w:val="center"/>
          </w:tcPr>
          <w:p w14:paraId="21474D96">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3195" w:type="dxa"/>
            <w:vAlign w:val="center"/>
          </w:tcPr>
          <w:p w14:paraId="47783C66">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1920" w:type="dxa"/>
            <w:vAlign w:val="center"/>
          </w:tcPr>
          <w:p w14:paraId="6AB1F047">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1920" w:type="dxa"/>
            <w:vAlign w:val="center"/>
          </w:tcPr>
          <w:p w14:paraId="475BC66F">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r>
      <w:tr w14:paraId="4F4EF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6E964E1">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2251" w:type="dxa"/>
            <w:vAlign w:val="center"/>
          </w:tcPr>
          <w:p w14:paraId="52CFE2E1">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3195" w:type="dxa"/>
            <w:vAlign w:val="center"/>
          </w:tcPr>
          <w:p w14:paraId="0C3FB519">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1920" w:type="dxa"/>
            <w:vAlign w:val="center"/>
          </w:tcPr>
          <w:p w14:paraId="03132E04">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1920" w:type="dxa"/>
            <w:vAlign w:val="center"/>
          </w:tcPr>
          <w:p w14:paraId="11D91032">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r>
      <w:tr w14:paraId="162368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14:paraId="24A2DD65">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2251" w:type="dxa"/>
            <w:vAlign w:val="center"/>
          </w:tcPr>
          <w:p w14:paraId="17142670">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3195" w:type="dxa"/>
            <w:vAlign w:val="center"/>
          </w:tcPr>
          <w:p w14:paraId="7B1359BF">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1920" w:type="dxa"/>
            <w:tcBorders>
              <w:right w:val="single" w:color="auto" w:sz="4" w:space="0"/>
            </w:tcBorders>
            <w:vAlign w:val="center"/>
          </w:tcPr>
          <w:p w14:paraId="3066E408">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c>
          <w:tcPr>
            <w:tcW w:w="1920" w:type="dxa"/>
            <w:tcBorders>
              <w:left w:val="single" w:color="auto" w:sz="4" w:space="0"/>
            </w:tcBorders>
            <w:vAlign w:val="center"/>
          </w:tcPr>
          <w:p w14:paraId="7646D341">
            <w:pPr>
              <w:adjustRightInd w:val="0"/>
              <w:snapToGrid w:val="0"/>
              <w:spacing w:line="300" w:lineRule="auto"/>
              <w:jc w:val="center"/>
              <w:outlineLvl w:val="0"/>
              <w:rPr>
                <w:rFonts w:hint="eastAsia" w:ascii="宋体" w:hAnsi="宋体" w:cs="宋体"/>
                <w:color w:val="000000" w:themeColor="text1"/>
                <w:szCs w:val="21"/>
                <w14:textFill>
                  <w14:solidFill>
                    <w14:schemeClr w14:val="tx1"/>
                  </w14:solidFill>
                </w14:textFill>
              </w:rPr>
            </w:pPr>
          </w:p>
        </w:tc>
      </w:tr>
    </w:tbl>
    <w:p w14:paraId="676691AB">
      <w:pPr>
        <w:spacing w:line="340" w:lineRule="exact"/>
        <w:rPr>
          <w:rFonts w:hint="eastAsia" w:ascii="宋体" w:hAnsi="宋体" w:cs="宋体"/>
          <w:color w:val="000000" w:themeColor="text1"/>
          <w:szCs w:val="21"/>
          <w14:textFill>
            <w14:solidFill>
              <w14:schemeClr w14:val="tx1"/>
            </w14:solidFill>
          </w14:textFill>
        </w:rPr>
      </w:pPr>
    </w:p>
    <w:p w14:paraId="64EF3292">
      <w:pPr>
        <w:snapToGrid w:val="0"/>
        <w:spacing w:line="400" w:lineRule="exact"/>
        <w:ind w:firstLine="1890" w:firstLineChars="9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磋商供应商[公章(CA签章)，自然人签字或个人CA签章]：</w:t>
      </w:r>
      <w:r>
        <w:rPr>
          <w:rFonts w:hint="eastAsia" w:ascii="宋体" w:hAnsi="宋体" w:cs="宋体"/>
          <w:color w:val="000000" w:themeColor="text1"/>
          <w:szCs w:val="21"/>
          <w:u w:val="single"/>
          <w14:textFill>
            <w14:solidFill>
              <w14:schemeClr w14:val="tx1"/>
            </w14:solidFill>
          </w14:textFill>
        </w:rPr>
        <w:t xml:space="preserve">                                </w:t>
      </w:r>
    </w:p>
    <w:p w14:paraId="477408FE">
      <w:pPr>
        <w:spacing w:line="340" w:lineRule="exact"/>
        <w:rPr>
          <w:rFonts w:hint="eastAsia" w:ascii="宋体" w:hAnsi="宋体" w:cs="宋体"/>
          <w:color w:val="000000" w:themeColor="text1"/>
          <w14:textFill>
            <w14:solidFill>
              <w14:schemeClr w14:val="tx1"/>
            </w14:solidFill>
          </w14:textFill>
        </w:rPr>
      </w:pPr>
    </w:p>
    <w:p w14:paraId="4989DF13">
      <w:pPr>
        <w:snapToGrid w:val="0"/>
        <w:spacing w:line="400" w:lineRule="exact"/>
        <w:ind w:firstLine="1680" w:firstLineChars="800"/>
        <w:rPr>
          <w:rFonts w:hint="eastAsia" w:ascii="宋体" w:hAnsi="宋体" w:cs="宋体"/>
          <w:color w:val="000000" w:themeColor="text1"/>
          <w14:textFill>
            <w14:solidFill>
              <w14:schemeClr w14:val="tx1"/>
            </w14:solidFill>
          </w14:textFill>
        </w:rPr>
      </w:pPr>
    </w:p>
    <w:p w14:paraId="493FBDD5">
      <w:pPr>
        <w:snapToGrid w:val="0"/>
        <w:spacing w:line="400" w:lineRule="exact"/>
        <w:ind w:firstLine="1680" w:firstLineChars="8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          期：</w:t>
      </w:r>
      <w:r>
        <w:rPr>
          <w:rFonts w:hint="eastAsia" w:ascii="宋体" w:hAnsi="宋体" w:cs="宋体"/>
          <w:color w:val="000000" w:themeColor="text1"/>
          <w:u w:val="single"/>
          <w14:textFill>
            <w14:solidFill>
              <w14:schemeClr w14:val="tx1"/>
            </w14:solidFill>
          </w14:textFill>
        </w:rPr>
        <w:t xml:space="preserve">                                                   </w:t>
      </w:r>
    </w:p>
    <w:p w14:paraId="2D627DBB">
      <w:pPr>
        <w:ind w:firstLine="1890" w:firstLineChars="900"/>
        <w:rPr>
          <w:rFonts w:hint="eastAsia" w:ascii="宋体" w:hAnsi="宋体" w:cs="宋体"/>
          <w:color w:val="000000" w:themeColor="text1"/>
          <w:u w:val="single"/>
          <w14:textFill>
            <w14:solidFill>
              <w14:schemeClr w14:val="tx1"/>
            </w14:solidFill>
          </w14:textFill>
        </w:rPr>
      </w:pPr>
    </w:p>
    <w:p w14:paraId="367E313F">
      <w:pPr>
        <w:ind w:firstLine="1890" w:firstLineChars="900"/>
        <w:rPr>
          <w:rFonts w:hint="eastAsia" w:ascii="宋体" w:hAnsi="宋体" w:cs="宋体"/>
          <w:color w:val="000000" w:themeColor="text1"/>
          <w:u w:val="single"/>
          <w14:textFill>
            <w14:solidFill>
              <w14:schemeClr w14:val="tx1"/>
            </w14:solidFill>
          </w14:textFill>
        </w:rPr>
      </w:pPr>
    </w:p>
    <w:p w14:paraId="22340E36">
      <w:pPr>
        <w:spacing w:line="400" w:lineRule="exact"/>
        <w:ind w:left="982" w:leftChars="200" w:hanging="562" w:hangingChars="2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注：</w:t>
      </w:r>
      <w:r>
        <w:rPr>
          <w:rFonts w:hint="eastAsia" w:ascii="宋体" w:hAnsi="宋体" w:cs="宋体"/>
          <w:b/>
          <w:color w:val="000000" w:themeColor="text1"/>
          <w:sz w:val="24"/>
          <w14:textFill>
            <w14:solidFill>
              <w14:schemeClr w14:val="tx1"/>
            </w14:solidFill>
          </w14:textFill>
        </w:rPr>
        <w:t>1.“服务(技术)响应、商务偏离情况说明表”各项内容必须如实填写。</w:t>
      </w:r>
    </w:p>
    <w:p w14:paraId="4211FCAB">
      <w:pPr>
        <w:spacing w:line="400" w:lineRule="exact"/>
        <w:ind w:firstLine="964" w:firstLineChars="4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2.当本表由多页构成时，需逐页加盖磋商供应商公章（CA签章）（属自然人的须逐页签字或个人CA签章）。</w:t>
      </w:r>
    </w:p>
    <w:p w14:paraId="4716F7CC">
      <w:pPr>
        <w:pStyle w:val="8"/>
        <w:rPr>
          <w:rFonts w:hint="eastAsia" w:ascii="宋体" w:hAnsi="宋体" w:cs="宋体"/>
          <w:color w:val="000000" w:themeColor="text1"/>
          <w14:textFill>
            <w14:solidFill>
              <w14:schemeClr w14:val="tx1"/>
            </w14:solidFill>
          </w14:textFill>
        </w:rPr>
      </w:pPr>
    </w:p>
    <w:p w14:paraId="572D387B">
      <w:pPr>
        <w:pStyle w:val="8"/>
        <w:rPr>
          <w:rFonts w:hint="eastAsia" w:ascii="宋体" w:hAnsi="宋体" w:cs="宋体"/>
          <w:color w:val="000000" w:themeColor="text1"/>
          <w14:textFill>
            <w14:solidFill>
              <w14:schemeClr w14:val="tx1"/>
            </w14:solidFill>
          </w14:textFill>
        </w:rPr>
      </w:pPr>
    </w:p>
    <w:p w14:paraId="7CDCABAF">
      <w:pPr>
        <w:pStyle w:val="8"/>
        <w:rPr>
          <w:rFonts w:hint="eastAsia" w:ascii="宋体" w:hAnsi="宋体" w:cs="宋体"/>
          <w:color w:val="000000" w:themeColor="text1"/>
          <w14:textFill>
            <w14:solidFill>
              <w14:schemeClr w14:val="tx1"/>
            </w14:solidFill>
          </w14:textFill>
        </w:rPr>
      </w:pPr>
    </w:p>
    <w:p w14:paraId="38B35315">
      <w:pPr>
        <w:pStyle w:val="8"/>
        <w:rPr>
          <w:rFonts w:hint="eastAsia" w:ascii="宋体" w:hAnsi="宋体" w:cs="宋体"/>
          <w:color w:val="000000" w:themeColor="text1"/>
          <w14:textFill>
            <w14:solidFill>
              <w14:schemeClr w14:val="tx1"/>
            </w14:solidFill>
          </w14:textFill>
        </w:rPr>
      </w:pPr>
    </w:p>
    <w:p w14:paraId="528725DE">
      <w:pPr>
        <w:pStyle w:val="8"/>
        <w:rPr>
          <w:rFonts w:hint="eastAsia" w:ascii="宋体" w:hAnsi="宋体" w:cs="宋体"/>
          <w:color w:val="000000" w:themeColor="text1"/>
          <w14:textFill>
            <w14:solidFill>
              <w14:schemeClr w14:val="tx1"/>
            </w14:solidFill>
          </w14:textFill>
        </w:rPr>
      </w:pPr>
    </w:p>
    <w:p w14:paraId="25C49C4D">
      <w:pPr>
        <w:pStyle w:val="8"/>
        <w:rPr>
          <w:rFonts w:hint="eastAsia" w:ascii="宋体" w:hAnsi="宋体" w:cs="宋体"/>
          <w:color w:val="000000" w:themeColor="text1"/>
          <w14:textFill>
            <w14:solidFill>
              <w14:schemeClr w14:val="tx1"/>
            </w14:solidFill>
          </w14:textFill>
        </w:rPr>
      </w:pPr>
    </w:p>
    <w:p w14:paraId="02AD09F9">
      <w:pPr>
        <w:pStyle w:val="8"/>
        <w:rPr>
          <w:rFonts w:hint="eastAsia" w:ascii="宋体" w:hAnsi="宋体" w:cs="宋体"/>
          <w:color w:val="000000" w:themeColor="text1"/>
          <w14:textFill>
            <w14:solidFill>
              <w14:schemeClr w14:val="tx1"/>
            </w14:solidFill>
          </w14:textFill>
        </w:rPr>
      </w:pPr>
    </w:p>
    <w:p w14:paraId="43643A52">
      <w:pPr>
        <w:rPr>
          <w:rFonts w:hint="eastAsia" w:ascii="宋体" w:hAnsi="宋体" w:cs="宋体"/>
          <w:color w:val="000000" w:themeColor="text1"/>
          <w14:textFill>
            <w14:solidFill>
              <w14:schemeClr w14:val="tx1"/>
            </w14:solidFill>
          </w14:textFill>
        </w:rPr>
      </w:pPr>
    </w:p>
    <w:p w14:paraId="771E43B7">
      <w:pPr>
        <w:pStyle w:val="25"/>
        <w:rPr>
          <w:rFonts w:hint="eastAsia" w:ascii="宋体" w:hAnsi="宋体" w:cs="宋体"/>
          <w:color w:val="000000" w:themeColor="text1"/>
          <w14:textFill>
            <w14:solidFill>
              <w14:schemeClr w14:val="tx1"/>
            </w14:solidFill>
          </w14:textFill>
        </w:rPr>
      </w:pPr>
    </w:p>
    <w:p w14:paraId="5F18B1D9">
      <w:pPr>
        <w:pStyle w:val="25"/>
        <w:rPr>
          <w:rFonts w:hint="eastAsia" w:ascii="宋体" w:hAnsi="宋体" w:cs="宋体"/>
          <w:color w:val="000000" w:themeColor="text1"/>
          <w14:textFill>
            <w14:solidFill>
              <w14:schemeClr w14:val="tx1"/>
            </w14:solidFill>
          </w14:textFill>
        </w:rPr>
      </w:pPr>
    </w:p>
    <w:p w14:paraId="516BC11A">
      <w:pPr>
        <w:pStyle w:val="25"/>
        <w:rPr>
          <w:rFonts w:hint="eastAsia" w:ascii="宋体" w:hAnsi="宋体" w:cs="宋体"/>
          <w:color w:val="000000" w:themeColor="text1"/>
          <w14:textFill>
            <w14:solidFill>
              <w14:schemeClr w14:val="tx1"/>
            </w14:solidFill>
          </w14:textFill>
        </w:rPr>
      </w:pPr>
    </w:p>
    <w:p w14:paraId="2DDBD22C">
      <w:pPr>
        <w:pStyle w:val="25"/>
        <w:rPr>
          <w:rFonts w:hint="eastAsia" w:ascii="宋体" w:hAnsi="宋体" w:cs="宋体"/>
          <w:color w:val="000000" w:themeColor="text1"/>
          <w14:textFill>
            <w14:solidFill>
              <w14:schemeClr w14:val="tx1"/>
            </w14:solidFill>
          </w14:textFill>
        </w:rPr>
      </w:pPr>
    </w:p>
    <w:p w14:paraId="651A9FA6">
      <w:pPr>
        <w:pStyle w:val="25"/>
        <w:rPr>
          <w:rFonts w:hint="eastAsia" w:ascii="宋体" w:hAnsi="宋体" w:cs="宋体"/>
          <w:color w:val="000000" w:themeColor="text1"/>
          <w14:textFill>
            <w14:solidFill>
              <w14:schemeClr w14:val="tx1"/>
            </w14:solidFill>
          </w14:textFill>
        </w:rPr>
      </w:pPr>
    </w:p>
    <w:p w14:paraId="496B8FF3">
      <w:pPr>
        <w:pStyle w:val="25"/>
        <w:rPr>
          <w:rFonts w:hint="eastAsia" w:ascii="宋体" w:hAnsi="宋体" w:cs="宋体"/>
          <w:color w:val="000000" w:themeColor="text1"/>
          <w14:textFill>
            <w14:solidFill>
              <w14:schemeClr w14:val="tx1"/>
            </w14:solidFill>
          </w14:textFill>
        </w:rPr>
      </w:pPr>
    </w:p>
    <w:p w14:paraId="3E7E45A7">
      <w:pPr>
        <w:pStyle w:val="25"/>
        <w:rPr>
          <w:rFonts w:hint="eastAsia" w:ascii="宋体" w:hAnsi="宋体" w:cs="宋体"/>
          <w:color w:val="000000" w:themeColor="text1"/>
          <w14:textFill>
            <w14:solidFill>
              <w14:schemeClr w14:val="tx1"/>
            </w14:solidFill>
          </w14:textFill>
        </w:rPr>
      </w:pPr>
    </w:p>
    <w:p w14:paraId="0D42F27C">
      <w:pPr>
        <w:pStyle w:val="8"/>
        <w:rPr>
          <w:rFonts w:hint="eastAsia" w:ascii="宋体" w:hAnsi="宋体" w:cs="宋体"/>
          <w:color w:val="000000" w:themeColor="text1"/>
          <w14:textFill>
            <w14:solidFill>
              <w14:schemeClr w14:val="tx1"/>
            </w14:solidFill>
          </w14:textFill>
        </w:rPr>
      </w:pPr>
    </w:p>
    <w:p w14:paraId="5C5D3837">
      <w:pPr>
        <w:pStyle w:val="8"/>
        <w:rPr>
          <w:rFonts w:hint="eastAsia" w:ascii="宋体" w:hAnsi="宋体" w:cs="宋体"/>
          <w:color w:val="000000" w:themeColor="text1"/>
          <w14:textFill>
            <w14:solidFill>
              <w14:schemeClr w14:val="tx1"/>
            </w14:solidFill>
          </w14:textFill>
        </w:rPr>
      </w:pPr>
    </w:p>
    <w:p w14:paraId="7F428685">
      <w:pPr>
        <w:pStyle w:val="8"/>
        <w:rPr>
          <w:rFonts w:hint="eastAsia" w:ascii="宋体" w:hAnsi="宋体" w:cs="宋体"/>
          <w:color w:val="000000" w:themeColor="text1"/>
          <w14:textFill>
            <w14:solidFill>
              <w14:schemeClr w14:val="tx1"/>
            </w14:solidFill>
          </w14:textFill>
        </w:rPr>
      </w:pPr>
    </w:p>
    <w:p w14:paraId="362F95C7">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4. 服务承诺书（由供应商根据本项目采购需求、特点及供应商自身的处理能力自行编写，承诺书内容至少应包括“采购需求”的所有服务条款）（必须提供）；</w:t>
      </w:r>
    </w:p>
    <w:p w14:paraId="5A91B7B4">
      <w:pPr>
        <w:rPr>
          <w:rFonts w:hint="eastAsia" w:ascii="宋体" w:hAnsi="宋体" w:cs="宋体"/>
          <w:color w:val="000000" w:themeColor="text1"/>
          <w14:textFill>
            <w14:solidFill>
              <w14:schemeClr w14:val="tx1"/>
            </w14:solidFill>
          </w14:textFill>
        </w:rPr>
      </w:pPr>
    </w:p>
    <w:p w14:paraId="23414803">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附件：</w:t>
      </w:r>
    </w:p>
    <w:p w14:paraId="1A7469D8">
      <w:pPr>
        <w:rPr>
          <w:rFonts w:hint="eastAsia" w:ascii="宋体" w:hAnsi="宋体" w:cs="宋体"/>
          <w:color w:val="000000" w:themeColor="text1"/>
          <w14:textFill>
            <w14:solidFill>
              <w14:schemeClr w14:val="tx1"/>
            </w14:solidFill>
          </w14:textFill>
        </w:rPr>
      </w:pPr>
    </w:p>
    <w:p w14:paraId="7F0D3345">
      <w:pPr>
        <w:pStyle w:val="8"/>
        <w:rPr>
          <w:rFonts w:hint="eastAsia" w:ascii="宋体" w:hAnsi="宋体" w:cs="宋体"/>
          <w:color w:val="000000" w:themeColor="text1"/>
          <w14:textFill>
            <w14:solidFill>
              <w14:schemeClr w14:val="tx1"/>
            </w14:solidFill>
          </w14:textFill>
        </w:rPr>
      </w:pPr>
    </w:p>
    <w:p w14:paraId="3874D9EC">
      <w:pPr>
        <w:pStyle w:val="8"/>
        <w:rPr>
          <w:rFonts w:hint="eastAsia" w:ascii="宋体" w:hAnsi="宋体" w:cs="宋体"/>
          <w:color w:val="000000" w:themeColor="text1"/>
          <w14:textFill>
            <w14:solidFill>
              <w14:schemeClr w14:val="tx1"/>
            </w14:solidFill>
          </w14:textFill>
        </w:rPr>
      </w:pPr>
    </w:p>
    <w:p w14:paraId="75D91650">
      <w:pPr>
        <w:pStyle w:val="8"/>
        <w:rPr>
          <w:rFonts w:hint="eastAsia" w:ascii="宋体" w:hAnsi="宋体" w:cs="宋体"/>
          <w:color w:val="000000" w:themeColor="text1"/>
          <w14:textFill>
            <w14:solidFill>
              <w14:schemeClr w14:val="tx1"/>
            </w14:solidFill>
          </w14:textFill>
        </w:rPr>
      </w:pPr>
    </w:p>
    <w:p w14:paraId="2439E444">
      <w:pPr>
        <w:pStyle w:val="11"/>
        <w:spacing w:line="340" w:lineRule="exact"/>
        <w:jc w:val="center"/>
        <w:rPr>
          <w:rFonts w:hint="eastAsia"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服务承诺书（格式）</w:t>
      </w:r>
    </w:p>
    <w:p w14:paraId="5BF6B914">
      <w:pPr>
        <w:pStyle w:val="11"/>
        <w:spacing w:line="340" w:lineRule="exact"/>
        <w:jc w:val="center"/>
        <w:rPr>
          <w:rFonts w:hint="eastAsia" w:hAnsi="宋体" w:cs="宋体"/>
          <w:b/>
          <w:color w:val="000000" w:themeColor="text1"/>
          <w:sz w:val="32"/>
          <w:szCs w:val="32"/>
          <w14:textFill>
            <w14:solidFill>
              <w14:schemeClr w14:val="tx1"/>
            </w14:solidFill>
          </w14:textFill>
        </w:rPr>
      </w:pPr>
    </w:p>
    <w:p w14:paraId="23270CD5">
      <w:pPr>
        <w:pStyle w:val="11"/>
        <w:spacing w:line="340" w:lineRule="exact"/>
        <w:jc w:val="center"/>
        <w:rPr>
          <w:rFonts w:hint="eastAsia" w:hAnsi="宋体" w:cs="宋体"/>
          <w:b/>
          <w:color w:val="000000" w:themeColor="text1"/>
          <w:sz w:val="32"/>
          <w:szCs w:val="32"/>
          <w14:textFill>
            <w14:solidFill>
              <w14:schemeClr w14:val="tx1"/>
            </w14:solidFill>
          </w14:textFill>
        </w:rPr>
      </w:pPr>
    </w:p>
    <w:p w14:paraId="2C2415AE">
      <w:pPr>
        <w:pStyle w:val="11"/>
        <w:spacing w:line="340" w:lineRule="exact"/>
        <w:jc w:val="center"/>
        <w:rPr>
          <w:rFonts w:hint="eastAsia" w:hAnsi="宋体" w:cs="宋体"/>
          <w:b/>
          <w:color w:val="000000" w:themeColor="text1"/>
          <w:sz w:val="32"/>
          <w:szCs w:val="32"/>
          <w14:textFill>
            <w14:solidFill>
              <w14:schemeClr w14:val="tx1"/>
            </w14:solidFill>
          </w14:textFill>
        </w:rPr>
      </w:pPr>
    </w:p>
    <w:p w14:paraId="7F6086EE">
      <w:pPr>
        <w:rPr>
          <w:rFonts w:hint="eastAsia" w:ascii="宋体" w:hAnsi="宋体" w:cs="宋体"/>
          <w:b/>
          <w:color w:val="000000" w:themeColor="text1"/>
          <w:sz w:val="32"/>
          <w:szCs w:val="32"/>
          <w14:textFill>
            <w14:solidFill>
              <w14:schemeClr w14:val="tx1"/>
            </w14:solidFill>
          </w14:textFill>
        </w:rPr>
      </w:pPr>
    </w:p>
    <w:p w14:paraId="352546AE">
      <w:pPr>
        <w:pStyle w:val="8"/>
        <w:rPr>
          <w:rFonts w:hint="eastAsia" w:ascii="宋体" w:hAnsi="宋体" w:cs="宋体"/>
          <w:color w:val="000000" w:themeColor="text1"/>
          <w14:textFill>
            <w14:solidFill>
              <w14:schemeClr w14:val="tx1"/>
            </w14:solidFill>
          </w14:textFill>
        </w:rPr>
      </w:pPr>
    </w:p>
    <w:p w14:paraId="7215628A">
      <w:pPr>
        <w:pStyle w:val="8"/>
        <w:rPr>
          <w:rFonts w:hint="eastAsia" w:ascii="宋体" w:hAnsi="宋体" w:cs="宋体"/>
          <w:b/>
          <w:color w:val="000000" w:themeColor="text1"/>
          <w:sz w:val="32"/>
          <w:szCs w:val="32"/>
          <w14:textFill>
            <w14:solidFill>
              <w14:schemeClr w14:val="tx1"/>
            </w14:solidFill>
          </w14:textFill>
        </w:rPr>
      </w:pPr>
    </w:p>
    <w:p w14:paraId="39724676">
      <w:pPr>
        <w:pStyle w:val="11"/>
        <w:spacing w:line="340" w:lineRule="exact"/>
        <w:jc w:val="center"/>
        <w:rPr>
          <w:rFonts w:hint="eastAsia" w:hAnsi="宋体" w:cs="宋体"/>
          <w:b/>
          <w:color w:val="000000" w:themeColor="text1"/>
          <w:sz w:val="32"/>
          <w:szCs w:val="32"/>
          <w14:textFill>
            <w14:solidFill>
              <w14:schemeClr w14:val="tx1"/>
            </w14:solidFill>
          </w14:textFill>
        </w:rPr>
      </w:pPr>
    </w:p>
    <w:p w14:paraId="7006004B">
      <w:pPr>
        <w:snapToGrid w:val="0"/>
        <w:spacing w:line="400" w:lineRule="exact"/>
        <w:ind w:firstLine="1890" w:firstLineChars="9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磋商供应商[公章(CA签章)，自然人签字或个人CA签章]：</w:t>
      </w:r>
      <w:r>
        <w:rPr>
          <w:rFonts w:hint="eastAsia" w:ascii="宋体" w:hAnsi="宋体" w:cs="宋体"/>
          <w:color w:val="000000" w:themeColor="text1"/>
          <w:szCs w:val="21"/>
          <w:u w:val="single"/>
          <w14:textFill>
            <w14:solidFill>
              <w14:schemeClr w14:val="tx1"/>
            </w14:solidFill>
          </w14:textFill>
        </w:rPr>
        <w:t xml:space="preserve">                                     </w:t>
      </w:r>
    </w:p>
    <w:p w14:paraId="31463EE0">
      <w:pPr>
        <w:pStyle w:val="3"/>
        <w:rPr>
          <w:rFonts w:hint="eastAsia" w:ascii="宋体" w:hAnsi="宋体" w:cs="宋体"/>
          <w:color w:val="000000" w:themeColor="text1"/>
          <w14:textFill>
            <w14:solidFill>
              <w14:schemeClr w14:val="tx1"/>
            </w14:solidFill>
          </w14:textFill>
        </w:rPr>
      </w:pPr>
    </w:p>
    <w:p w14:paraId="6EE6D424">
      <w:pPr>
        <w:snapToGrid w:val="0"/>
        <w:spacing w:line="400" w:lineRule="exact"/>
        <w:ind w:firstLine="1680" w:firstLineChars="8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          期：</w:t>
      </w:r>
      <w:r>
        <w:rPr>
          <w:rFonts w:hint="eastAsia" w:ascii="宋体" w:hAnsi="宋体" w:cs="宋体"/>
          <w:color w:val="000000" w:themeColor="text1"/>
          <w:u w:val="single"/>
          <w14:textFill>
            <w14:solidFill>
              <w14:schemeClr w14:val="tx1"/>
            </w14:solidFill>
          </w14:textFill>
        </w:rPr>
        <w:t xml:space="preserve">                                                   </w:t>
      </w:r>
    </w:p>
    <w:p w14:paraId="28654ED5">
      <w:pPr>
        <w:pStyle w:val="8"/>
        <w:rPr>
          <w:rFonts w:hint="eastAsia" w:ascii="宋体" w:hAnsi="宋体" w:cs="宋体"/>
          <w:b/>
          <w:bCs/>
          <w:color w:val="000000" w:themeColor="text1"/>
          <w:szCs w:val="21"/>
          <w14:textFill>
            <w14:solidFill>
              <w14:schemeClr w14:val="tx1"/>
            </w14:solidFill>
          </w14:textFill>
        </w:rPr>
      </w:pPr>
    </w:p>
    <w:p w14:paraId="518E0EA1">
      <w:pPr>
        <w:pStyle w:val="8"/>
        <w:rPr>
          <w:rFonts w:hint="eastAsia" w:ascii="宋体" w:hAnsi="宋体" w:cs="宋体"/>
          <w:b/>
          <w:bCs/>
          <w:color w:val="000000" w:themeColor="text1"/>
          <w:szCs w:val="21"/>
          <w14:textFill>
            <w14:solidFill>
              <w14:schemeClr w14:val="tx1"/>
            </w14:solidFill>
          </w14:textFill>
        </w:rPr>
      </w:pPr>
    </w:p>
    <w:p w14:paraId="51D41ABE">
      <w:pPr>
        <w:pStyle w:val="8"/>
        <w:rPr>
          <w:rFonts w:hint="eastAsia" w:ascii="宋体" w:hAnsi="宋体" w:cs="宋体"/>
          <w:b/>
          <w:bCs/>
          <w:color w:val="000000" w:themeColor="text1"/>
          <w:szCs w:val="21"/>
          <w14:textFill>
            <w14:solidFill>
              <w14:schemeClr w14:val="tx1"/>
            </w14:solidFill>
          </w14:textFill>
        </w:rPr>
      </w:pPr>
    </w:p>
    <w:p w14:paraId="5112C636">
      <w:pPr>
        <w:pStyle w:val="8"/>
        <w:rPr>
          <w:rFonts w:hint="eastAsia" w:ascii="宋体" w:hAnsi="宋体" w:cs="宋体"/>
          <w:b/>
          <w:bCs/>
          <w:color w:val="000000" w:themeColor="text1"/>
          <w:szCs w:val="21"/>
          <w14:textFill>
            <w14:solidFill>
              <w14:schemeClr w14:val="tx1"/>
            </w14:solidFill>
          </w14:textFill>
        </w:rPr>
      </w:pPr>
    </w:p>
    <w:p w14:paraId="584AE1A1">
      <w:pPr>
        <w:pStyle w:val="8"/>
        <w:rPr>
          <w:rFonts w:hint="eastAsia" w:ascii="宋体" w:hAnsi="宋体" w:cs="宋体"/>
          <w:b/>
          <w:bCs/>
          <w:color w:val="000000" w:themeColor="text1"/>
          <w:szCs w:val="21"/>
          <w14:textFill>
            <w14:solidFill>
              <w14:schemeClr w14:val="tx1"/>
            </w14:solidFill>
          </w14:textFill>
        </w:rPr>
      </w:pPr>
    </w:p>
    <w:p w14:paraId="4BBEB96D">
      <w:pPr>
        <w:rPr>
          <w:rFonts w:hint="eastAsia" w:ascii="宋体" w:hAnsi="宋体" w:cs="宋体"/>
          <w:b/>
          <w:bCs/>
          <w:color w:val="000000" w:themeColor="text1"/>
          <w:szCs w:val="21"/>
          <w14:textFill>
            <w14:solidFill>
              <w14:schemeClr w14:val="tx1"/>
            </w14:solidFill>
          </w14:textFill>
        </w:rPr>
      </w:pPr>
    </w:p>
    <w:p w14:paraId="6EDC5F90">
      <w:pPr>
        <w:pStyle w:val="25"/>
        <w:rPr>
          <w:rFonts w:hint="eastAsia" w:ascii="宋体" w:hAnsi="宋体" w:cs="宋体"/>
          <w:b/>
          <w:bCs/>
          <w:color w:val="000000" w:themeColor="text1"/>
          <w:szCs w:val="21"/>
          <w14:textFill>
            <w14:solidFill>
              <w14:schemeClr w14:val="tx1"/>
            </w14:solidFill>
          </w14:textFill>
        </w:rPr>
      </w:pPr>
    </w:p>
    <w:p w14:paraId="174B16C5">
      <w:pPr>
        <w:pStyle w:val="25"/>
        <w:rPr>
          <w:rFonts w:hint="eastAsia" w:ascii="宋体" w:hAnsi="宋体" w:cs="宋体"/>
          <w:b/>
          <w:bCs/>
          <w:color w:val="000000" w:themeColor="text1"/>
          <w:szCs w:val="21"/>
          <w14:textFill>
            <w14:solidFill>
              <w14:schemeClr w14:val="tx1"/>
            </w14:solidFill>
          </w14:textFill>
        </w:rPr>
      </w:pPr>
    </w:p>
    <w:p w14:paraId="36B535FE">
      <w:pPr>
        <w:pStyle w:val="25"/>
        <w:rPr>
          <w:rFonts w:hint="eastAsia" w:ascii="宋体" w:hAnsi="宋体" w:cs="宋体"/>
          <w:b/>
          <w:bCs/>
          <w:color w:val="000000" w:themeColor="text1"/>
          <w:szCs w:val="21"/>
          <w14:textFill>
            <w14:solidFill>
              <w14:schemeClr w14:val="tx1"/>
            </w14:solidFill>
          </w14:textFill>
        </w:rPr>
      </w:pPr>
    </w:p>
    <w:p w14:paraId="60E5347A">
      <w:pPr>
        <w:pStyle w:val="25"/>
        <w:rPr>
          <w:rFonts w:hint="eastAsia" w:ascii="宋体" w:hAnsi="宋体" w:cs="宋体"/>
          <w:b/>
          <w:bCs/>
          <w:color w:val="000000" w:themeColor="text1"/>
          <w:szCs w:val="21"/>
          <w14:textFill>
            <w14:solidFill>
              <w14:schemeClr w14:val="tx1"/>
            </w14:solidFill>
          </w14:textFill>
        </w:rPr>
      </w:pPr>
    </w:p>
    <w:p w14:paraId="541B190A">
      <w:pPr>
        <w:pStyle w:val="25"/>
        <w:rPr>
          <w:rFonts w:hint="eastAsia" w:ascii="宋体" w:hAnsi="宋体" w:cs="宋体"/>
          <w:b/>
          <w:bCs/>
          <w:color w:val="000000" w:themeColor="text1"/>
          <w:szCs w:val="21"/>
          <w14:textFill>
            <w14:solidFill>
              <w14:schemeClr w14:val="tx1"/>
            </w14:solidFill>
          </w14:textFill>
        </w:rPr>
      </w:pPr>
    </w:p>
    <w:p w14:paraId="2E9C83FA">
      <w:pPr>
        <w:pStyle w:val="25"/>
        <w:rPr>
          <w:rFonts w:hint="eastAsia" w:ascii="宋体" w:hAnsi="宋体" w:cs="宋体"/>
          <w:b/>
          <w:bCs/>
          <w:color w:val="000000" w:themeColor="text1"/>
          <w:szCs w:val="21"/>
          <w14:textFill>
            <w14:solidFill>
              <w14:schemeClr w14:val="tx1"/>
            </w14:solidFill>
          </w14:textFill>
        </w:rPr>
      </w:pPr>
    </w:p>
    <w:p w14:paraId="457FE483">
      <w:pPr>
        <w:pStyle w:val="25"/>
        <w:rPr>
          <w:rFonts w:hint="eastAsia" w:ascii="宋体" w:hAnsi="宋体" w:cs="宋体"/>
          <w:b/>
          <w:bCs/>
          <w:color w:val="000000" w:themeColor="text1"/>
          <w:szCs w:val="21"/>
          <w14:textFill>
            <w14:solidFill>
              <w14:schemeClr w14:val="tx1"/>
            </w14:solidFill>
          </w14:textFill>
        </w:rPr>
      </w:pPr>
    </w:p>
    <w:p w14:paraId="566E557F">
      <w:pPr>
        <w:pStyle w:val="25"/>
        <w:rPr>
          <w:rFonts w:hint="eastAsia" w:ascii="宋体" w:hAnsi="宋体" w:cs="宋体"/>
          <w:b/>
          <w:bCs/>
          <w:color w:val="000000" w:themeColor="text1"/>
          <w:szCs w:val="21"/>
          <w14:textFill>
            <w14:solidFill>
              <w14:schemeClr w14:val="tx1"/>
            </w14:solidFill>
          </w14:textFill>
        </w:rPr>
      </w:pPr>
    </w:p>
    <w:p w14:paraId="61D2D628">
      <w:pPr>
        <w:pStyle w:val="25"/>
        <w:rPr>
          <w:rFonts w:hint="eastAsia" w:ascii="宋体" w:hAnsi="宋体" w:cs="宋体"/>
          <w:b/>
          <w:bCs/>
          <w:color w:val="000000" w:themeColor="text1"/>
          <w:szCs w:val="21"/>
          <w14:textFill>
            <w14:solidFill>
              <w14:schemeClr w14:val="tx1"/>
            </w14:solidFill>
          </w14:textFill>
        </w:rPr>
      </w:pPr>
    </w:p>
    <w:p w14:paraId="706EA162">
      <w:pPr>
        <w:pStyle w:val="8"/>
        <w:rPr>
          <w:rFonts w:hint="eastAsia" w:ascii="宋体" w:hAnsi="宋体" w:cs="宋体"/>
          <w:b/>
          <w:bCs/>
          <w:color w:val="000000" w:themeColor="text1"/>
          <w:szCs w:val="21"/>
          <w14:textFill>
            <w14:solidFill>
              <w14:schemeClr w14:val="tx1"/>
            </w14:solidFill>
          </w14:textFill>
        </w:rPr>
      </w:pPr>
    </w:p>
    <w:p w14:paraId="5F32192C">
      <w:pPr>
        <w:rPr>
          <w:rFonts w:hint="eastAsia" w:ascii="宋体" w:hAnsi="宋体" w:cs="宋体"/>
          <w:color w:val="000000" w:themeColor="text1"/>
          <w14:textFill>
            <w14:solidFill>
              <w14:schemeClr w14:val="tx1"/>
            </w14:solidFill>
          </w14:textFill>
        </w:rPr>
      </w:pPr>
    </w:p>
    <w:p w14:paraId="1FFC8E78">
      <w:pPr>
        <w:pStyle w:val="8"/>
        <w:rPr>
          <w:rFonts w:hint="eastAsia" w:ascii="宋体" w:hAnsi="宋体" w:cs="宋体"/>
          <w:b/>
          <w:bCs/>
          <w:color w:val="000000" w:themeColor="text1"/>
          <w:szCs w:val="21"/>
          <w14:textFill>
            <w14:solidFill>
              <w14:schemeClr w14:val="tx1"/>
            </w14:solidFill>
          </w14:textFill>
        </w:rPr>
      </w:pPr>
    </w:p>
    <w:p w14:paraId="36F25122">
      <w:pPr>
        <w:pStyle w:val="8"/>
        <w:rPr>
          <w:rFonts w:hint="eastAsia" w:ascii="宋体" w:hAnsi="宋体" w:cs="宋体"/>
          <w:b/>
          <w:bCs/>
          <w:color w:val="000000" w:themeColor="text1"/>
          <w:szCs w:val="21"/>
          <w14:textFill>
            <w14:solidFill>
              <w14:schemeClr w14:val="tx1"/>
            </w14:solidFill>
          </w14:textFill>
        </w:rPr>
      </w:pPr>
    </w:p>
    <w:p w14:paraId="091F6065">
      <w:pPr>
        <w:rPr>
          <w:rFonts w:hint="eastAsia" w:ascii="宋体" w:hAnsi="宋体" w:cs="宋体"/>
          <w:color w:val="000000" w:themeColor="text1"/>
          <w14:textFill>
            <w14:solidFill>
              <w14:schemeClr w14:val="tx1"/>
            </w14:solidFill>
          </w14:textFill>
        </w:rPr>
      </w:pPr>
    </w:p>
    <w:p w14:paraId="13C1AA68">
      <w:pPr>
        <w:pStyle w:val="8"/>
        <w:rPr>
          <w:rFonts w:hint="eastAsia" w:ascii="宋体" w:hAnsi="宋体" w:cs="宋体"/>
          <w:b/>
          <w:bCs/>
          <w:color w:val="000000" w:themeColor="text1"/>
          <w:szCs w:val="21"/>
          <w14:textFill>
            <w14:solidFill>
              <w14:schemeClr w14:val="tx1"/>
            </w14:solidFill>
          </w14:textFill>
        </w:rPr>
      </w:pPr>
    </w:p>
    <w:p w14:paraId="07B3159A">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5. 针对本项目的服务方案（必须提供）；</w:t>
      </w:r>
    </w:p>
    <w:p w14:paraId="7C5062CC">
      <w:pPr>
        <w:rPr>
          <w:rFonts w:hint="eastAsia" w:ascii="宋体" w:hAnsi="宋体" w:cs="宋体"/>
          <w:color w:val="000000" w:themeColor="text1"/>
          <w14:textFill>
            <w14:solidFill>
              <w14:schemeClr w14:val="tx1"/>
            </w14:solidFill>
          </w14:textFill>
        </w:rPr>
      </w:pPr>
    </w:p>
    <w:p w14:paraId="32EB329B">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附件：</w:t>
      </w:r>
    </w:p>
    <w:p w14:paraId="04013FF3">
      <w:pPr>
        <w:rPr>
          <w:rFonts w:hint="eastAsia" w:ascii="宋体" w:hAnsi="宋体" w:cs="宋体"/>
          <w:color w:val="000000" w:themeColor="text1"/>
          <w14:textFill>
            <w14:solidFill>
              <w14:schemeClr w14:val="tx1"/>
            </w14:solidFill>
          </w14:textFill>
        </w:rPr>
      </w:pPr>
    </w:p>
    <w:p w14:paraId="3EFF0660">
      <w:pPr>
        <w:pStyle w:val="8"/>
        <w:rPr>
          <w:rFonts w:hint="eastAsia" w:ascii="宋体" w:hAnsi="宋体" w:cs="宋体"/>
          <w:color w:val="000000" w:themeColor="text1"/>
          <w14:textFill>
            <w14:solidFill>
              <w14:schemeClr w14:val="tx1"/>
            </w14:solidFill>
          </w14:textFill>
        </w:rPr>
      </w:pPr>
    </w:p>
    <w:p w14:paraId="58A45416">
      <w:pPr>
        <w:rPr>
          <w:rFonts w:hint="eastAsia" w:ascii="宋体" w:hAnsi="宋体" w:cs="宋体"/>
          <w:color w:val="000000" w:themeColor="text1"/>
          <w14:textFill>
            <w14:solidFill>
              <w14:schemeClr w14:val="tx1"/>
            </w14:solidFill>
          </w14:textFill>
        </w:rPr>
      </w:pPr>
    </w:p>
    <w:p w14:paraId="333AA736">
      <w:pPr>
        <w:pStyle w:val="11"/>
        <w:spacing w:line="340" w:lineRule="exact"/>
        <w:jc w:val="center"/>
        <w:rPr>
          <w:rFonts w:hint="eastAsia" w:hAnsi="宋体" w:cs="宋体"/>
          <w:b/>
          <w:color w:val="000000" w:themeColor="text1"/>
          <w:sz w:val="32"/>
          <w:szCs w:val="32"/>
          <w14:textFill>
            <w14:solidFill>
              <w14:schemeClr w14:val="tx1"/>
            </w14:solidFill>
          </w14:textFill>
        </w:rPr>
      </w:pPr>
      <w:r>
        <w:rPr>
          <w:rFonts w:hint="eastAsia" w:hAnsi="宋体" w:cs="宋体"/>
          <w:b/>
          <w:color w:val="000000" w:themeColor="text1"/>
          <w:sz w:val="32"/>
          <w:szCs w:val="32"/>
          <w14:textFill>
            <w14:solidFill>
              <w14:schemeClr w14:val="tx1"/>
            </w14:solidFill>
          </w14:textFill>
        </w:rPr>
        <w:t>服务方案 （格式）</w:t>
      </w:r>
    </w:p>
    <w:p w14:paraId="6C2D8693">
      <w:pPr>
        <w:rPr>
          <w:rFonts w:hint="eastAsia" w:ascii="宋体" w:hAnsi="宋体" w:cs="宋体"/>
          <w:b/>
          <w:color w:val="000000" w:themeColor="text1"/>
          <w:sz w:val="32"/>
          <w:szCs w:val="32"/>
          <w14:textFill>
            <w14:solidFill>
              <w14:schemeClr w14:val="tx1"/>
            </w14:solidFill>
          </w14:textFill>
        </w:rPr>
      </w:pPr>
    </w:p>
    <w:p w14:paraId="2990ABF1">
      <w:pPr>
        <w:pStyle w:val="8"/>
        <w:rPr>
          <w:rFonts w:hint="eastAsia" w:ascii="宋体" w:hAnsi="宋体" w:cs="宋体"/>
          <w:color w:val="000000" w:themeColor="text1"/>
          <w14:textFill>
            <w14:solidFill>
              <w14:schemeClr w14:val="tx1"/>
            </w14:solidFill>
          </w14:textFill>
        </w:rPr>
      </w:pPr>
    </w:p>
    <w:p w14:paraId="2E20FDD1">
      <w:pPr>
        <w:widowControl/>
        <w:ind w:firstLine="3092" w:firstLineChars="1100"/>
        <w:jc w:val="left"/>
        <w:rPr>
          <w:rFonts w:hint="eastAsia" w:ascii="宋体" w:hAnsi="宋体" w:cs="宋体"/>
          <w:b/>
          <w:color w:val="000000" w:themeColor="text1"/>
          <w:kern w:val="0"/>
          <w:sz w:val="28"/>
          <w:szCs w:val="28"/>
          <w:lang w:bidi="ar"/>
          <w14:textFill>
            <w14:solidFill>
              <w14:schemeClr w14:val="tx1"/>
            </w14:solidFill>
          </w14:textFill>
        </w:rPr>
      </w:pPr>
      <w:r>
        <w:rPr>
          <w:rFonts w:hint="eastAsia" w:ascii="宋体" w:hAnsi="宋体" w:cs="宋体"/>
          <w:b/>
          <w:color w:val="000000" w:themeColor="text1"/>
          <w:kern w:val="0"/>
          <w:sz w:val="28"/>
          <w:szCs w:val="28"/>
          <w:lang w:bidi="ar"/>
          <w14:textFill>
            <w14:solidFill>
              <w14:schemeClr w14:val="tx1"/>
            </w14:solidFill>
          </w14:textFill>
        </w:rPr>
        <w:t>（根据采购需求自行编制）</w:t>
      </w:r>
    </w:p>
    <w:p w14:paraId="42B5F66B">
      <w:pPr>
        <w:widowControl/>
        <w:ind w:firstLine="3092" w:firstLineChars="1100"/>
        <w:jc w:val="left"/>
        <w:rPr>
          <w:rFonts w:hint="eastAsia" w:ascii="宋体" w:hAnsi="宋体" w:cs="宋体"/>
          <w:b/>
          <w:color w:val="000000" w:themeColor="text1"/>
          <w:kern w:val="0"/>
          <w:sz w:val="28"/>
          <w:szCs w:val="28"/>
          <w:lang w:bidi="ar"/>
          <w14:textFill>
            <w14:solidFill>
              <w14:schemeClr w14:val="tx1"/>
            </w14:solidFill>
          </w14:textFill>
        </w:rPr>
      </w:pPr>
    </w:p>
    <w:p w14:paraId="59BB4940">
      <w:pPr>
        <w:widowControl/>
        <w:ind w:firstLine="3092" w:firstLineChars="1100"/>
        <w:jc w:val="left"/>
        <w:rPr>
          <w:rFonts w:hint="eastAsia" w:ascii="宋体" w:hAnsi="宋体" w:cs="宋体"/>
          <w:b/>
          <w:color w:val="000000" w:themeColor="text1"/>
          <w:kern w:val="0"/>
          <w:sz w:val="28"/>
          <w:szCs w:val="28"/>
          <w:lang w:bidi="ar"/>
          <w14:textFill>
            <w14:solidFill>
              <w14:schemeClr w14:val="tx1"/>
            </w14:solidFill>
          </w14:textFill>
        </w:rPr>
      </w:pPr>
    </w:p>
    <w:p w14:paraId="00F6090D">
      <w:pPr>
        <w:widowControl/>
        <w:ind w:firstLine="3092" w:firstLineChars="1100"/>
        <w:jc w:val="left"/>
        <w:rPr>
          <w:rFonts w:hint="eastAsia" w:ascii="宋体" w:hAnsi="宋体" w:cs="宋体"/>
          <w:b/>
          <w:color w:val="000000" w:themeColor="text1"/>
          <w:kern w:val="0"/>
          <w:sz w:val="28"/>
          <w:szCs w:val="28"/>
          <w:lang w:bidi="ar"/>
          <w14:textFill>
            <w14:solidFill>
              <w14:schemeClr w14:val="tx1"/>
            </w14:solidFill>
          </w14:textFill>
        </w:rPr>
      </w:pPr>
    </w:p>
    <w:p w14:paraId="79C5E14E">
      <w:pPr>
        <w:widowControl/>
        <w:ind w:firstLine="3092" w:firstLineChars="1100"/>
        <w:jc w:val="left"/>
        <w:rPr>
          <w:rFonts w:hint="eastAsia" w:ascii="宋体" w:hAnsi="宋体" w:cs="宋体"/>
          <w:b/>
          <w:color w:val="000000" w:themeColor="text1"/>
          <w:kern w:val="0"/>
          <w:sz w:val="28"/>
          <w:szCs w:val="28"/>
          <w:lang w:bidi="ar"/>
          <w14:textFill>
            <w14:solidFill>
              <w14:schemeClr w14:val="tx1"/>
            </w14:solidFill>
          </w14:textFill>
        </w:rPr>
      </w:pPr>
    </w:p>
    <w:p w14:paraId="37616646">
      <w:pPr>
        <w:widowControl/>
        <w:ind w:firstLine="3092" w:firstLineChars="1100"/>
        <w:jc w:val="left"/>
        <w:rPr>
          <w:rFonts w:hint="eastAsia" w:ascii="宋体" w:hAnsi="宋体" w:cs="宋体"/>
          <w:b/>
          <w:color w:val="000000" w:themeColor="text1"/>
          <w:kern w:val="0"/>
          <w:sz w:val="28"/>
          <w:szCs w:val="28"/>
          <w:lang w:bidi="ar"/>
          <w14:textFill>
            <w14:solidFill>
              <w14:schemeClr w14:val="tx1"/>
            </w14:solidFill>
          </w14:textFill>
        </w:rPr>
      </w:pPr>
    </w:p>
    <w:p w14:paraId="2E9D50E4">
      <w:pPr>
        <w:widowControl/>
        <w:ind w:firstLine="1470" w:firstLineChars="7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磋商供应商[公章(CA签章)，自然人签字或个人CA签章]：</w:t>
      </w:r>
      <w:r>
        <w:rPr>
          <w:rFonts w:hint="eastAsia" w:ascii="宋体" w:hAnsi="宋体" w:cs="宋体"/>
          <w:color w:val="000000" w:themeColor="text1"/>
          <w:szCs w:val="21"/>
          <w:u w:val="single"/>
          <w14:textFill>
            <w14:solidFill>
              <w14:schemeClr w14:val="tx1"/>
            </w14:solidFill>
          </w14:textFill>
        </w:rPr>
        <w:t xml:space="preserve">                                                       </w:t>
      </w:r>
    </w:p>
    <w:p w14:paraId="6434FCEA">
      <w:pPr>
        <w:pStyle w:val="11"/>
        <w:spacing w:line="300" w:lineRule="exact"/>
        <w:ind w:left="2940" w:leftChars="1400" w:firstLine="630" w:firstLineChars="300"/>
        <w:rPr>
          <w:rFonts w:hint="eastAsia" w:hAnsi="宋体" w:cs="宋体"/>
          <w:color w:val="000000" w:themeColor="text1"/>
          <w14:textFill>
            <w14:solidFill>
              <w14:schemeClr w14:val="tx1"/>
            </w14:solidFill>
          </w14:textFill>
        </w:rPr>
      </w:pPr>
    </w:p>
    <w:p w14:paraId="5FD77ECA">
      <w:pPr>
        <w:pStyle w:val="11"/>
        <w:spacing w:line="300" w:lineRule="exact"/>
        <w:ind w:firstLine="4638" w:firstLineChars="1650"/>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 xml:space="preserve"> </w:t>
      </w:r>
    </w:p>
    <w:p w14:paraId="6927E6CB">
      <w:pPr>
        <w:pStyle w:val="11"/>
        <w:spacing w:line="300" w:lineRule="exact"/>
        <w:rPr>
          <w:rFonts w:hint="eastAsia" w:hAnsi="宋体" w:cs="宋体"/>
          <w:b/>
          <w:color w:val="000000" w:themeColor="text1"/>
          <w:sz w:val="28"/>
          <w:szCs w:val="28"/>
          <w14:textFill>
            <w14:solidFill>
              <w14:schemeClr w14:val="tx1"/>
            </w14:solidFill>
          </w14:textFill>
        </w:rPr>
      </w:pPr>
    </w:p>
    <w:p w14:paraId="3ACDEAAA">
      <w:pPr>
        <w:snapToGrid w:val="0"/>
        <w:spacing w:line="300" w:lineRule="exact"/>
        <w:ind w:firstLine="4830" w:firstLineChars="2300"/>
        <w:rPr>
          <w:rFonts w:hint="eastAsia"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日          期：</w:t>
      </w:r>
      <w:r>
        <w:rPr>
          <w:rFonts w:hint="eastAsia" w:ascii="宋体" w:hAnsi="宋体" w:cs="宋体"/>
          <w:color w:val="000000" w:themeColor="text1"/>
          <w:u w:val="single"/>
          <w14:textFill>
            <w14:solidFill>
              <w14:schemeClr w14:val="tx1"/>
            </w14:solidFill>
          </w14:textFill>
        </w:rPr>
        <w:t xml:space="preserve">                              </w:t>
      </w:r>
    </w:p>
    <w:p w14:paraId="08B04B56">
      <w:pPr>
        <w:snapToGrid w:val="0"/>
        <w:spacing w:line="300" w:lineRule="exact"/>
        <w:ind w:firstLine="3570" w:firstLineChars="1700"/>
        <w:rPr>
          <w:rFonts w:hint="eastAsia" w:ascii="宋体" w:hAnsi="宋体" w:cs="宋体"/>
          <w:color w:val="000000" w:themeColor="text1"/>
          <w:u w:val="single"/>
          <w14:textFill>
            <w14:solidFill>
              <w14:schemeClr w14:val="tx1"/>
            </w14:solidFill>
          </w14:textFill>
        </w:rPr>
      </w:pPr>
    </w:p>
    <w:p w14:paraId="6E46D1F8">
      <w:pPr>
        <w:pStyle w:val="8"/>
        <w:rPr>
          <w:rFonts w:hint="eastAsia" w:ascii="宋体" w:hAnsi="宋体" w:cs="宋体"/>
          <w:color w:val="000000" w:themeColor="text1"/>
          <w:u w:val="single"/>
          <w14:textFill>
            <w14:solidFill>
              <w14:schemeClr w14:val="tx1"/>
            </w14:solidFill>
          </w14:textFill>
        </w:rPr>
      </w:pPr>
    </w:p>
    <w:p w14:paraId="2DF20BFC">
      <w:pPr>
        <w:pStyle w:val="8"/>
        <w:rPr>
          <w:rFonts w:hint="eastAsia" w:ascii="宋体" w:hAnsi="宋体" w:cs="宋体"/>
          <w:color w:val="000000" w:themeColor="text1"/>
          <w:u w:val="single"/>
          <w14:textFill>
            <w14:solidFill>
              <w14:schemeClr w14:val="tx1"/>
            </w14:solidFill>
          </w14:textFill>
        </w:rPr>
      </w:pPr>
    </w:p>
    <w:p w14:paraId="39C283CF">
      <w:pPr>
        <w:pStyle w:val="8"/>
        <w:rPr>
          <w:rFonts w:hint="eastAsia" w:ascii="宋体" w:hAnsi="宋体" w:cs="宋体"/>
          <w:b/>
          <w:bCs/>
          <w:color w:val="000000" w:themeColor="text1"/>
          <w:szCs w:val="21"/>
          <w14:textFill>
            <w14:solidFill>
              <w14:schemeClr w14:val="tx1"/>
            </w14:solidFill>
          </w14:textFill>
        </w:rPr>
      </w:pPr>
    </w:p>
    <w:p w14:paraId="76477E0D">
      <w:pPr>
        <w:pStyle w:val="8"/>
        <w:rPr>
          <w:rFonts w:hint="eastAsia" w:ascii="宋体" w:hAnsi="宋体" w:cs="宋体"/>
          <w:b/>
          <w:bCs/>
          <w:color w:val="000000" w:themeColor="text1"/>
          <w:szCs w:val="21"/>
          <w14:textFill>
            <w14:solidFill>
              <w14:schemeClr w14:val="tx1"/>
            </w14:solidFill>
          </w14:textFill>
        </w:rPr>
      </w:pPr>
    </w:p>
    <w:p w14:paraId="2FBBC178">
      <w:pPr>
        <w:pStyle w:val="8"/>
        <w:rPr>
          <w:rFonts w:hint="eastAsia" w:ascii="宋体" w:hAnsi="宋体" w:cs="宋体"/>
          <w:b/>
          <w:bCs/>
          <w:color w:val="000000" w:themeColor="text1"/>
          <w:szCs w:val="21"/>
          <w14:textFill>
            <w14:solidFill>
              <w14:schemeClr w14:val="tx1"/>
            </w14:solidFill>
          </w14:textFill>
        </w:rPr>
      </w:pPr>
    </w:p>
    <w:p w14:paraId="50F9DF1A">
      <w:pPr>
        <w:pStyle w:val="8"/>
        <w:rPr>
          <w:rFonts w:hint="eastAsia" w:ascii="宋体" w:hAnsi="宋体" w:cs="宋体"/>
          <w:b/>
          <w:bCs/>
          <w:color w:val="000000" w:themeColor="text1"/>
          <w:szCs w:val="21"/>
          <w14:textFill>
            <w14:solidFill>
              <w14:schemeClr w14:val="tx1"/>
            </w14:solidFill>
          </w14:textFill>
        </w:rPr>
      </w:pPr>
    </w:p>
    <w:p w14:paraId="1CF0BF5D">
      <w:pPr>
        <w:pStyle w:val="8"/>
        <w:rPr>
          <w:rFonts w:hint="eastAsia" w:ascii="宋体" w:hAnsi="宋体" w:cs="宋体"/>
          <w:b/>
          <w:bCs/>
          <w:color w:val="000000" w:themeColor="text1"/>
          <w:szCs w:val="21"/>
          <w14:textFill>
            <w14:solidFill>
              <w14:schemeClr w14:val="tx1"/>
            </w14:solidFill>
          </w14:textFill>
        </w:rPr>
      </w:pPr>
    </w:p>
    <w:p w14:paraId="5AEA213C">
      <w:pPr>
        <w:pStyle w:val="8"/>
        <w:rPr>
          <w:rFonts w:hint="eastAsia" w:ascii="宋体" w:hAnsi="宋体" w:cs="宋体"/>
          <w:b/>
          <w:bCs/>
          <w:color w:val="000000" w:themeColor="text1"/>
          <w:szCs w:val="21"/>
          <w14:textFill>
            <w14:solidFill>
              <w14:schemeClr w14:val="tx1"/>
            </w14:solidFill>
          </w14:textFill>
        </w:rPr>
      </w:pPr>
    </w:p>
    <w:p w14:paraId="6309DB74">
      <w:pPr>
        <w:pStyle w:val="8"/>
        <w:rPr>
          <w:rFonts w:hint="eastAsia" w:ascii="宋体" w:hAnsi="宋体" w:cs="宋体"/>
          <w:b/>
          <w:bCs/>
          <w:color w:val="000000" w:themeColor="text1"/>
          <w:szCs w:val="21"/>
          <w14:textFill>
            <w14:solidFill>
              <w14:schemeClr w14:val="tx1"/>
            </w14:solidFill>
          </w14:textFill>
        </w:rPr>
      </w:pPr>
    </w:p>
    <w:p w14:paraId="0C34D71F">
      <w:pPr>
        <w:pStyle w:val="8"/>
        <w:rPr>
          <w:rFonts w:hint="eastAsia" w:ascii="宋体" w:hAnsi="宋体" w:cs="宋体"/>
          <w:b/>
          <w:bCs/>
          <w:color w:val="000000" w:themeColor="text1"/>
          <w:szCs w:val="21"/>
          <w14:textFill>
            <w14:solidFill>
              <w14:schemeClr w14:val="tx1"/>
            </w14:solidFill>
          </w14:textFill>
        </w:rPr>
      </w:pPr>
    </w:p>
    <w:p w14:paraId="622D7BE7">
      <w:pPr>
        <w:pStyle w:val="8"/>
        <w:rPr>
          <w:rFonts w:hint="eastAsia" w:ascii="宋体" w:hAnsi="宋体" w:cs="宋体"/>
          <w:b/>
          <w:bCs/>
          <w:color w:val="000000" w:themeColor="text1"/>
          <w:szCs w:val="21"/>
          <w14:textFill>
            <w14:solidFill>
              <w14:schemeClr w14:val="tx1"/>
            </w14:solidFill>
          </w14:textFill>
        </w:rPr>
      </w:pPr>
    </w:p>
    <w:p w14:paraId="05F73D3D">
      <w:pPr>
        <w:pStyle w:val="8"/>
        <w:rPr>
          <w:rFonts w:hint="eastAsia" w:ascii="宋体" w:hAnsi="宋体" w:cs="宋体"/>
          <w:b/>
          <w:bCs/>
          <w:color w:val="000000" w:themeColor="text1"/>
          <w:szCs w:val="21"/>
          <w14:textFill>
            <w14:solidFill>
              <w14:schemeClr w14:val="tx1"/>
            </w14:solidFill>
          </w14:textFill>
        </w:rPr>
      </w:pPr>
    </w:p>
    <w:p w14:paraId="78F50B59">
      <w:pPr>
        <w:pStyle w:val="8"/>
        <w:rPr>
          <w:rFonts w:hint="eastAsia" w:ascii="宋体" w:hAnsi="宋体" w:cs="宋体"/>
          <w:b/>
          <w:bCs/>
          <w:color w:val="000000" w:themeColor="text1"/>
          <w:szCs w:val="21"/>
          <w14:textFill>
            <w14:solidFill>
              <w14:schemeClr w14:val="tx1"/>
            </w14:solidFill>
          </w14:textFill>
        </w:rPr>
      </w:pPr>
    </w:p>
    <w:p w14:paraId="6BC14C64">
      <w:pPr>
        <w:rPr>
          <w:rFonts w:hint="eastAsia" w:ascii="宋体" w:hAnsi="宋体" w:cs="宋体"/>
          <w:color w:val="000000" w:themeColor="text1"/>
          <w14:textFill>
            <w14:solidFill>
              <w14:schemeClr w14:val="tx1"/>
            </w14:solidFill>
          </w14:textFill>
        </w:rPr>
      </w:pPr>
    </w:p>
    <w:p w14:paraId="719C8A4B">
      <w:pPr>
        <w:pStyle w:val="8"/>
        <w:rPr>
          <w:rFonts w:hint="eastAsia" w:ascii="宋体" w:hAnsi="宋体" w:cs="宋体"/>
          <w:b/>
          <w:bCs/>
          <w:color w:val="000000" w:themeColor="text1"/>
          <w:szCs w:val="21"/>
          <w14:textFill>
            <w14:solidFill>
              <w14:schemeClr w14:val="tx1"/>
            </w14:solidFill>
          </w14:textFill>
        </w:rPr>
      </w:pPr>
    </w:p>
    <w:p w14:paraId="1D7243BA">
      <w:pPr>
        <w:pStyle w:val="11"/>
        <w:spacing w:line="340" w:lineRule="exact"/>
        <w:rPr>
          <w:rFonts w:hint="eastAsia" w:hAnsi="宋体" w:cs="宋体"/>
          <w:b/>
          <w:color w:val="000000" w:themeColor="text1"/>
          <w:sz w:val="28"/>
          <w:szCs w:val="28"/>
          <w14:textFill>
            <w14:solidFill>
              <w14:schemeClr w14:val="tx1"/>
            </w14:solidFill>
          </w14:textFill>
        </w:rPr>
      </w:pPr>
    </w:p>
    <w:p w14:paraId="439D0060">
      <w:pPr>
        <w:spacing w:line="340" w:lineRule="exact"/>
        <w:ind w:left="420"/>
        <w:jc w:val="center"/>
        <w:rPr>
          <w:rFonts w:hint="eastAsia" w:ascii="宋体" w:hAnsi="宋体" w:cs="宋体"/>
          <w:color w:val="000000" w:themeColor="text1"/>
          <w:szCs w:val="21"/>
          <w14:textFill>
            <w14:solidFill>
              <w14:schemeClr w14:val="tx1"/>
            </w14:solidFill>
          </w14:textFill>
        </w:rPr>
      </w:pPr>
      <w:bookmarkStart w:id="247" w:name="_Toc497927084"/>
      <w:bookmarkStart w:id="248" w:name="_Toc9339"/>
      <w:bookmarkStart w:id="249" w:name="_Toc28672"/>
      <w:r>
        <w:rPr>
          <w:rFonts w:hint="eastAsia" w:ascii="宋体" w:hAnsi="宋体" w:cs="宋体"/>
          <w:b/>
          <w:bCs/>
          <w:color w:val="000000" w:themeColor="text1"/>
          <w:sz w:val="32"/>
          <w:szCs w:val="32"/>
          <w14:textFill>
            <w14:solidFill>
              <w14:schemeClr w14:val="tx1"/>
            </w14:solidFill>
          </w14:textFill>
        </w:rPr>
        <w:t>（三）其他有效证明材料目录</w:t>
      </w:r>
      <w:bookmarkEnd w:id="247"/>
      <w:bookmarkEnd w:id="248"/>
      <w:bookmarkEnd w:id="249"/>
    </w:p>
    <w:p w14:paraId="7924397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1.项目实施人员一览表（格式见附件）</w:t>
      </w:r>
      <w:r>
        <w:rPr>
          <w:rFonts w:hint="eastAsia" w:ascii="宋体" w:hAnsi="宋体" w:cs="宋体"/>
          <w:b/>
          <w:bCs/>
          <w:color w:val="000000" w:themeColor="text1"/>
          <w:sz w:val="24"/>
          <w14:textFill>
            <w14:solidFill>
              <w14:schemeClr w14:val="tx1"/>
            </w14:solidFill>
          </w14:textFill>
        </w:rPr>
        <w:t>（如有，请提供）；</w:t>
      </w:r>
    </w:p>
    <w:p w14:paraId="7DBE6FB6">
      <w:pPr>
        <w:spacing w:line="360" w:lineRule="auto"/>
        <w:ind w:firstLine="480" w:firstLineChars="200"/>
        <w:jc w:val="left"/>
        <w:rPr>
          <w:rFonts w:hint="eastAsia" w:ascii="宋体" w:hAnsi="宋体" w:cs="宋体"/>
          <w:b/>
          <w:bCs/>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2.“采购需求”需提供的有效证明文件</w:t>
      </w:r>
      <w:r>
        <w:rPr>
          <w:rFonts w:hint="eastAsia" w:ascii="宋体" w:hAnsi="宋体" w:cs="宋体"/>
          <w:b/>
          <w:bCs/>
          <w:color w:val="000000" w:themeColor="text1"/>
          <w:sz w:val="24"/>
          <w14:textFill>
            <w14:solidFill>
              <w14:schemeClr w14:val="tx1"/>
            </w14:solidFill>
          </w14:textFill>
        </w:rPr>
        <w:t>（如有，请提供）；</w:t>
      </w:r>
    </w:p>
    <w:p w14:paraId="0DD08A56">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供应商</w:t>
      </w:r>
      <w:r>
        <w:rPr>
          <w:rFonts w:hint="eastAsia" w:ascii="宋体" w:hAnsi="宋体" w:cs="宋体"/>
          <w:sz w:val="24"/>
          <w:lang w:eastAsia="zh-CN"/>
        </w:rPr>
        <w:t>自2023年1月1日以来同类业绩的相关证明材料（以中标、成交通知书或签订的采购合同扫描件为准，并能清晰反映所提供的服务类型、种类、金额）</w:t>
      </w:r>
      <w:r>
        <w:rPr>
          <w:rFonts w:hint="eastAsia" w:ascii="宋体" w:hAnsi="宋体" w:cs="宋体"/>
          <w:b/>
          <w:bCs/>
          <w:sz w:val="24"/>
        </w:rPr>
        <w:t>（如有，请提供）；</w:t>
      </w:r>
    </w:p>
    <w:p w14:paraId="1457CA6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4.供应商可结合本项目的评审办法视自身情况自行提交其它相关证明材料。</w:t>
      </w:r>
    </w:p>
    <w:p w14:paraId="06FC9E0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5.《中小企业声明函》（见附件）</w:t>
      </w:r>
      <w:r>
        <w:rPr>
          <w:rFonts w:hint="eastAsia" w:ascii="宋体" w:hAnsi="宋体" w:cs="宋体"/>
          <w:b/>
          <w:color w:val="000000" w:themeColor="text1"/>
          <w:sz w:val="24"/>
          <w14:textFill>
            <w14:solidFill>
              <w14:schemeClr w14:val="tx1"/>
            </w14:solidFill>
          </w14:textFill>
        </w:rPr>
        <w:t>（除监狱企业及残疾人福利性单位外，</w:t>
      </w:r>
      <w:r>
        <w:rPr>
          <w:rFonts w:hint="eastAsia" w:ascii="宋体" w:hAnsi="宋体" w:cs="宋体"/>
          <w:b/>
          <w:bCs/>
          <w:color w:val="000000" w:themeColor="text1"/>
          <w:sz w:val="24"/>
          <w14:textFill>
            <w14:solidFill>
              <w14:schemeClr w14:val="tx1"/>
            </w14:solidFill>
          </w14:textFill>
        </w:rPr>
        <w:t>如有，请提供</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24460B8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6.如提供服务的供应商属于监狱企业的，应当提供由省级以上监狱管理局、戒毒管理局等（含</w:t>
      </w:r>
    </w:p>
    <w:p w14:paraId="2E35870C">
      <w:pPr>
        <w:pStyle w:val="3"/>
        <w:ind w:left="0" w:firstLine="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新疆生产建设兵团）出具的属于监狱企业的证明文件, 否则不予享受优惠政策</w:t>
      </w:r>
      <w:r>
        <w:rPr>
          <w:rFonts w:hint="eastAsia" w:ascii="宋体" w:hAnsi="宋体" w:cs="宋体"/>
          <w:b/>
          <w:bCs w:val="0"/>
          <w:color w:val="000000" w:themeColor="text1"/>
          <w:sz w:val="24"/>
          <w14:textFill>
            <w14:solidFill>
              <w14:schemeClr w14:val="tx1"/>
            </w14:solidFill>
          </w14:textFill>
        </w:rPr>
        <w:t>（如供应商属于监狱企业的，</w:t>
      </w:r>
      <w:r>
        <w:rPr>
          <w:rFonts w:hint="eastAsia" w:ascii="宋体" w:hAnsi="宋体" w:cs="宋体"/>
          <w:b/>
          <w:color w:val="000000" w:themeColor="text1"/>
          <w:sz w:val="24"/>
          <w14:textFill>
            <w14:solidFill>
              <w14:schemeClr w14:val="tx1"/>
            </w14:solidFill>
          </w14:textFill>
        </w:rPr>
        <w:t>如有，请提供</w:t>
      </w:r>
      <w:r>
        <w:rPr>
          <w:rFonts w:hint="eastAsia" w:ascii="宋体" w:hAnsi="宋体" w:cs="宋体"/>
          <w:b/>
          <w:bCs w:val="0"/>
          <w:color w:val="000000" w:themeColor="text1"/>
          <w:sz w:val="24"/>
          <w14:textFill>
            <w14:solidFill>
              <w14:schemeClr w14:val="tx1"/>
            </w14:solidFill>
          </w14:textFill>
        </w:rPr>
        <w:t>）；</w:t>
      </w:r>
    </w:p>
    <w:p w14:paraId="568AB000">
      <w:pPr>
        <w:pStyle w:val="3"/>
        <w:ind w:left="420" w:firstLine="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符合条件的残疾人福利性单位在参加政府采购活动时，应当提供《残疾人福利性单位声明</w:t>
      </w:r>
    </w:p>
    <w:p w14:paraId="218EC545">
      <w:pPr>
        <w:pStyle w:val="3"/>
        <w:ind w:left="0" w:firstLine="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函》（见附件），并对声明的真实性负责</w:t>
      </w:r>
      <w:r>
        <w:rPr>
          <w:rFonts w:hint="eastAsia" w:ascii="宋体" w:hAnsi="宋体" w:cs="宋体"/>
          <w:b/>
          <w:bCs w:val="0"/>
          <w:color w:val="000000" w:themeColor="text1"/>
          <w:sz w:val="24"/>
          <w14:textFill>
            <w14:solidFill>
              <w14:schemeClr w14:val="tx1"/>
            </w14:solidFill>
          </w14:textFill>
        </w:rPr>
        <w:t>（如供应商属于残疾人福利性单位的，</w:t>
      </w:r>
      <w:r>
        <w:rPr>
          <w:rFonts w:hint="eastAsia" w:ascii="宋体" w:hAnsi="宋体" w:cs="宋体"/>
          <w:b/>
          <w:color w:val="000000" w:themeColor="text1"/>
          <w:sz w:val="24"/>
          <w14:textFill>
            <w14:solidFill>
              <w14:schemeClr w14:val="tx1"/>
            </w14:solidFill>
          </w14:textFill>
        </w:rPr>
        <w:t>如有，请提供</w:t>
      </w:r>
      <w:r>
        <w:rPr>
          <w:rFonts w:hint="eastAsia" w:ascii="宋体" w:hAnsi="宋体" w:cs="宋体"/>
          <w:b/>
          <w:bCs w:val="0"/>
          <w:color w:val="000000" w:themeColor="text1"/>
          <w:sz w:val="24"/>
          <w14:textFill>
            <w14:solidFill>
              <w14:schemeClr w14:val="tx1"/>
            </w14:solidFill>
          </w14:textFill>
        </w:rPr>
        <w:t>）；</w:t>
      </w:r>
    </w:p>
    <w:p w14:paraId="7D32B6AA">
      <w:pPr>
        <w:pStyle w:val="25"/>
        <w:rPr>
          <w:rFonts w:hint="eastAsia" w:ascii="宋体" w:hAnsi="宋体" w:cs="宋体"/>
          <w:b/>
          <w:bCs/>
          <w:color w:val="000000" w:themeColor="text1"/>
          <w14:textFill>
            <w14:solidFill>
              <w14:schemeClr w14:val="tx1"/>
            </w14:solidFill>
          </w14:textFill>
        </w:rPr>
      </w:pPr>
    </w:p>
    <w:p w14:paraId="1D96865B">
      <w:pPr>
        <w:pStyle w:val="25"/>
        <w:rPr>
          <w:rFonts w:hint="eastAsia" w:ascii="宋体" w:hAnsi="宋体" w:cs="宋体"/>
          <w:b/>
          <w:bCs/>
          <w:color w:val="000000" w:themeColor="text1"/>
          <w14:textFill>
            <w14:solidFill>
              <w14:schemeClr w14:val="tx1"/>
            </w14:solidFill>
          </w14:textFill>
        </w:rPr>
      </w:pPr>
    </w:p>
    <w:p w14:paraId="32AD086F">
      <w:pPr>
        <w:pStyle w:val="25"/>
        <w:rPr>
          <w:rFonts w:hint="eastAsia" w:ascii="宋体" w:hAnsi="宋体" w:cs="宋体"/>
          <w:b/>
          <w:bCs/>
          <w:color w:val="000000" w:themeColor="text1"/>
          <w14:textFill>
            <w14:solidFill>
              <w14:schemeClr w14:val="tx1"/>
            </w14:solidFill>
          </w14:textFill>
        </w:rPr>
      </w:pPr>
    </w:p>
    <w:p w14:paraId="332946B8">
      <w:pPr>
        <w:pStyle w:val="25"/>
        <w:rPr>
          <w:rFonts w:hint="eastAsia" w:ascii="宋体" w:hAnsi="宋体" w:cs="宋体"/>
          <w:b/>
          <w:bCs/>
          <w:color w:val="000000" w:themeColor="text1"/>
          <w14:textFill>
            <w14:solidFill>
              <w14:schemeClr w14:val="tx1"/>
            </w14:solidFill>
          </w14:textFill>
        </w:rPr>
      </w:pPr>
    </w:p>
    <w:p w14:paraId="518AC3C1">
      <w:pPr>
        <w:pStyle w:val="25"/>
        <w:rPr>
          <w:rFonts w:hint="eastAsia" w:ascii="宋体" w:hAnsi="宋体" w:cs="宋体"/>
          <w:b/>
          <w:bCs/>
          <w:color w:val="000000" w:themeColor="text1"/>
          <w14:textFill>
            <w14:solidFill>
              <w14:schemeClr w14:val="tx1"/>
            </w14:solidFill>
          </w14:textFill>
        </w:rPr>
      </w:pPr>
    </w:p>
    <w:p w14:paraId="5384A4D2">
      <w:pPr>
        <w:pStyle w:val="25"/>
        <w:rPr>
          <w:rFonts w:hint="eastAsia" w:ascii="宋体" w:hAnsi="宋体" w:cs="宋体"/>
          <w:b/>
          <w:bCs/>
          <w:color w:val="000000" w:themeColor="text1"/>
          <w14:textFill>
            <w14:solidFill>
              <w14:schemeClr w14:val="tx1"/>
            </w14:solidFill>
          </w14:textFill>
        </w:rPr>
      </w:pPr>
    </w:p>
    <w:p w14:paraId="22B3E0BC">
      <w:pPr>
        <w:pStyle w:val="25"/>
        <w:rPr>
          <w:rFonts w:hint="eastAsia" w:ascii="宋体" w:hAnsi="宋体" w:cs="宋体"/>
          <w:b/>
          <w:bCs/>
          <w:color w:val="000000" w:themeColor="text1"/>
          <w14:textFill>
            <w14:solidFill>
              <w14:schemeClr w14:val="tx1"/>
            </w14:solidFill>
          </w14:textFill>
        </w:rPr>
      </w:pPr>
    </w:p>
    <w:p w14:paraId="69C15AF8">
      <w:pPr>
        <w:pStyle w:val="25"/>
        <w:rPr>
          <w:rFonts w:hint="eastAsia" w:ascii="宋体" w:hAnsi="宋体" w:cs="宋体"/>
          <w:b/>
          <w:bCs/>
          <w:color w:val="000000" w:themeColor="text1"/>
          <w14:textFill>
            <w14:solidFill>
              <w14:schemeClr w14:val="tx1"/>
            </w14:solidFill>
          </w14:textFill>
        </w:rPr>
      </w:pPr>
    </w:p>
    <w:p w14:paraId="39CBD1A8">
      <w:pPr>
        <w:pStyle w:val="25"/>
        <w:rPr>
          <w:rFonts w:hint="eastAsia" w:ascii="宋体" w:hAnsi="宋体" w:cs="宋体"/>
          <w:b/>
          <w:bCs/>
          <w:color w:val="000000" w:themeColor="text1"/>
          <w14:textFill>
            <w14:solidFill>
              <w14:schemeClr w14:val="tx1"/>
            </w14:solidFill>
          </w14:textFill>
        </w:rPr>
      </w:pPr>
    </w:p>
    <w:p w14:paraId="5B36F3A5">
      <w:pPr>
        <w:pStyle w:val="25"/>
        <w:rPr>
          <w:rFonts w:hint="eastAsia" w:ascii="宋体" w:hAnsi="宋体" w:cs="宋体"/>
          <w:b/>
          <w:bCs/>
          <w:color w:val="000000" w:themeColor="text1"/>
          <w14:textFill>
            <w14:solidFill>
              <w14:schemeClr w14:val="tx1"/>
            </w14:solidFill>
          </w14:textFill>
        </w:rPr>
      </w:pPr>
    </w:p>
    <w:p w14:paraId="662DE412">
      <w:pPr>
        <w:pStyle w:val="25"/>
        <w:rPr>
          <w:rFonts w:hint="eastAsia" w:ascii="宋体" w:hAnsi="宋体" w:cs="宋体"/>
          <w:b/>
          <w:bCs/>
          <w:color w:val="000000" w:themeColor="text1"/>
          <w14:textFill>
            <w14:solidFill>
              <w14:schemeClr w14:val="tx1"/>
            </w14:solidFill>
          </w14:textFill>
        </w:rPr>
      </w:pPr>
    </w:p>
    <w:p w14:paraId="09936C4C">
      <w:pPr>
        <w:pStyle w:val="25"/>
        <w:rPr>
          <w:rFonts w:hint="eastAsia" w:ascii="宋体" w:hAnsi="宋体" w:cs="宋体"/>
          <w:b/>
          <w:bCs/>
          <w:color w:val="000000" w:themeColor="text1"/>
          <w14:textFill>
            <w14:solidFill>
              <w14:schemeClr w14:val="tx1"/>
            </w14:solidFill>
          </w14:textFill>
        </w:rPr>
      </w:pPr>
    </w:p>
    <w:p w14:paraId="77AE4658">
      <w:pPr>
        <w:pStyle w:val="25"/>
        <w:rPr>
          <w:rFonts w:hint="eastAsia" w:ascii="宋体" w:hAnsi="宋体" w:cs="宋体"/>
          <w:b/>
          <w:bCs/>
          <w:color w:val="000000" w:themeColor="text1"/>
          <w14:textFill>
            <w14:solidFill>
              <w14:schemeClr w14:val="tx1"/>
            </w14:solidFill>
          </w14:textFill>
        </w:rPr>
      </w:pPr>
    </w:p>
    <w:p w14:paraId="73CD9AA6">
      <w:pPr>
        <w:pStyle w:val="25"/>
        <w:rPr>
          <w:rFonts w:hint="eastAsia" w:ascii="宋体" w:hAnsi="宋体" w:cs="宋体"/>
          <w:b/>
          <w:bCs/>
          <w:color w:val="000000" w:themeColor="text1"/>
          <w14:textFill>
            <w14:solidFill>
              <w14:schemeClr w14:val="tx1"/>
            </w14:solidFill>
          </w14:textFill>
        </w:rPr>
      </w:pPr>
    </w:p>
    <w:p w14:paraId="31B2B5BC">
      <w:pPr>
        <w:pStyle w:val="25"/>
        <w:rPr>
          <w:rFonts w:hint="eastAsia" w:ascii="宋体" w:hAnsi="宋体" w:cs="宋体"/>
          <w:b/>
          <w:bCs/>
          <w:color w:val="000000" w:themeColor="text1"/>
          <w14:textFill>
            <w14:solidFill>
              <w14:schemeClr w14:val="tx1"/>
            </w14:solidFill>
          </w14:textFill>
        </w:rPr>
      </w:pPr>
    </w:p>
    <w:p w14:paraId="2FF2C8A3">
      <w:pPr>
        <w:pStyle w:val="25"/>
        <w:rPr>
          <w:rFonts w:hint="eastAsia" w:ascii="宋体" w:hAnsi="宋体" w:cs="宋体"/>
          <w:b/>
          <w:bCs/>
          <w:color w:val="000000" w:themeColor="text1"/>
          <w14:textFill>
            <w14:solidFill>
              <w14:schemeClr w14:val="tx1"/>
            </w14:solidFill>
          </w14:textFill>
        </w:rPr>
      </w:pPr>
    </w:p>
    <w:p w14:paraId="1007D8CE">
      <w:pPr>
        <w:pStyle w:val="25"/>
        <w:rPr>
          <w:rFonts w:hint="eastAsia" w:ascii="宋体" w:hAnsi="宋体" w:cs="宋体"/>
          <w:b/>
          <w:bCs/>
          <w:color w:val="000000" w:themeColor="text1"/>
          <w14:textFill>
            <w14:solidFill>
              <w14:schemeClr w14:val="tx1"/>
            </w14:solidFill>
          </w14:textFill>
        </w:rPr>
      </w:pPr>
    </w:p>
    <w:p w14:paraId="1815042C">
      <w:pPr>
        <w:pStyle w:val="25"/>
        <w:rPr>
          <w:rFonts w:hint="eastAsia" w:ascii="宋体" w:hAnsi="宋体" w:cs="宋体"/>
          <w:b/>
          <w:bCs/>
          <w:color w:val="000000" w:themeColor="text1"/>
          <w14:textFill>
            <w14:solidFill>
              <w14:schemeClr w14:val="tx1"/>
            </w14:solidFill>
          </w14:textFill>
        </w:rPr>
      </w:pPr>
    </w:p>
    <w:p w14:paraId="794DBB56">
      <w:pPr>
        <w:pStyle w:val="25"/>
        <w:rPr>
          <w:rFonts w:hint="eastAsia" w:ascii="宋体" w:hAnsi="宋体" w:cs="宋体"/>
          <w:b/>
          <w:bCs/>
          <w:color w:val="000000" w:themeColor="text1"/>
          <w14:textFill>
            <w14:solidFill>
              <w14:schemeClr w14:val="tx1"/>
            </w14:solidFill>
          </w14:textFill>
        </w:rPr>
      </w:pPr>
    </w:p>
    <w:p w14:paraId="3618CAA7">
      <w:pPr>
        <w:pStyle w:val="25"/>
        <w:rPr>
          <w:rFonts w:hint="eastAsia" w:ascii="宋体" w:hAnsi="宋体" w:cs="宋体"/>
          <w:b/>
          <w:bCs/>
          <w:color w:val="000000" w:themeColor="text1"/>
          <w14:textFill>
            <w14:solidFill>
              <w14:schemeClr w14:val="tx1"/>
            </w14:solidFill>
          </w14:textFill>
        </w:rPr>
      </w:pPr>
    </w:p>
    <w:p w14:paraId="70233E9C">
      <w:pPr>
        <w:pStyle w:val="25"/>
        <w:rPr>
          <w:rFonts w:hint="eastAsia" w:ascii="宋体" w:hAnsi="宋体" w:cs="宋体"/>
          <w:b/>
          <w:bCs/>
          <w:color w:val="000000" w:themeColor="text1"/>
          <w14:textFill>
            <w14:solidFill>
              <w14:schemeClr w14:val="tx1"/>
            </w14:solidFill>
          </w14:textFill>
        </w:rPr>
      </w:pPr>
    </w:p>
    <w:p w14:paraId="1325CDA0">
      <w:pPr>
        <w:pStyle w:val="25"/>
        <w:rPr>
          <w:rFonts w:hint="eastAsia" w:ascii="宋体" w:hAnsi="宋体" w:cs="宋体"/>
          <w:b/>
          <w:bCs/>
          <w:color w:val="000000" w:themeColor="text1"/>
          <w14:textFill>
            <w14:solidFill>
              <w14:schemeClr w14:val="tx1"/>
            </w14:solidFill>
          </w14:textFill>
        </w:rPr>
      </w:pPr>
    </w:p>
    <w:p w14:paraId="2C4E3CC8">
      <w:pPr>
        <w:pStyle w:val="25"/>
        <w:rPr>
          <w:rFonts w:hint="eastAsia" w:ascii="宋体" w:hAnsi="宋体" w:cs="宋体"/>
          <w:b/>
          <w:bCs/>
          <w:color w:val="000000" w:themeColor="text1"/>
          <w14:textFill>
            <w14:solidFill>
              <w14:schemeClr w14:val="tx1"/>
            </w14:solidFill>
          </w14:textFill>
        </w:rPr>
      </w:pPr>
    </w:p>
    <w:p w14:paraId="507E8D56">
      <w:pPr>
        <w:pStyle w:val="25"/>
        <w:rPr>
          <w:rFonts w:hint="eastAsia" w:ascii="宋体" w:hAnsi="宋体" w:cs="宋体"/>
          <w:b/>
          <w:bCs/>
          <w:color w:val="000000" w:themeColor="text1"/>
          <w14:textFill>
            <w14:solidFill>
              <w14:schemeClr w14:val="tx1"/>
            </w14:solidFill>
          </w14:textFill>
        </w:rPr>
      </w:pPr>
    </w:p>
    <w:p w14:paraId="2200FD6D">
      <w:pPr>
        <w:pStyle w:val="8"/>
        <w:rPr>
          <w:rFonts w:hint="eastAsia" w:ascii="宋体" w:hAnsi="宋体" w:cs="宋体"/>
          <w:b/>
          <w:color w:val="000000" w:themeColor="text1"/>
          <w:sz w:val="28"/>
          <w:szCs w:val="28"/>
          <w14:textFill>
            <w14:solidFill>
              <w14:schemeClr w14:val="tx1"/>
            </w14:solidFill>
          </w14:textFill>
        </w:rPr>
      </w:pPr>
    </w:p>
    <w:p w14:paraId="1B0708A1">
      <w:pPr>
        <w:pStyle w:val="11"/>
        <w:numPr>
          <w:ilvl w:val="0"/>
          <w:numId w:val="18"/>
        </w:numPr>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项目实施人员一览表 （如有，请提供）</w:t>
      </w:r>
    </w:p>
    <w:p w14:paraId="77E2CDA5">
      <w:pPr>
        <w:pStyle w:val="11"/>
        <w:rPr>
          <w:rFonts w:hint="eastAsia"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附件：</w:t>
      </w:r>
    </w:p>
    <w:p w14:paraId="52F825E1">
      <w:pPr>
        <w:pStyle w:val="11"/>
        <w:ind w:firstLine="472" w:firstLineChars="147"/>
        <w:jc w:val="center"/>
        <w:rPr>
          <w:rFonts w:hint="eastAsia"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项目实施人员一览表（格式）</w:t>
      </w:r>
    </w:p>
    <w:tbl>
      <w:tblPr>
        <w:tblStyle w:val="2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4FE7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14D21B28">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p>
        </w:tc>
        <w:tc>
          <w:tcPr>
            <w:tcW w:w="1050" w:type="dxa"/>
            <w:vAlign w:val="center"/>
          </w:tcPr>
          <w:p w14:paraId="5B688F04">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665" w:type="dxa"/>
            <w:vAlign w:val="center"/>
          </w:tcPr>
          <w:p w14:paraId="55438337">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专业技术资格</w:t>
            </w:r>
          </w:p>
        </w:tc>
        <w:tc>
          <w:tcPr>
            <w:tcW w:w="1200" w:type="dxa"/>
            <w:vAlign w:val="center"/>
          </w:tcPr>
          <w:p w14:paraId="1A0DAB00">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证书编号</w:t>
            </w:r>
          </w:p>
        </w:tc>
        <w:tc>
          <w:tcPr>
            <w:tcW w:w="2550" w:type="dxa"/>
            <w:vAlign w:val="center"/>
          </w:tcPr>
          <w:p w14:paraId="1965E68F">
            <w:pPr>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参加本单位工作时间</w:t>
            </w:r>
          </w:p>
        </w:tc>
        <w:tc>
          <w:tcPr>
            <w:tcW w:w="2610" w:type="dxa"/>
            <w:vAlign w:val="center"/>
          </w:tcPr>
          <w:p w14:paraId="754AC154">
            <w:pPr>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劳动合同编号</w:t>
            </w:r>
          </w:p>
        </w:tc>
      </w:tr>
      <w:tr w14:paraId="1FBB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080B9E67">
            <w:pPr>
              <w:spacing w:line="400" w:lineRule="exact"/>
              <w:rPr>
                <w:rFonts w:hint="eastAsia" w:ascii="宋体" w:hAnsi="宋体" w:cs="宋体"/>
                <w:color w:val="000000" w:themeColor="text1"/>
                <w:szCs w:val="21"/>
                <w14:textFill>
                  <w14:solidFill>
                    <w14:schemeClr w14:val="tx1"/>
                  </w14:solidFill>
                </w14:textFill>
              </w:rPr>
            </w:pPr>
          </w:p>
        </w:tc>
        <w:tc>
          <w:tcPr>
            <w:tcW w:w="1050" w:type="dxa"/>
          </w:tcPr>
          <w:p w14:paraId="40C89110">
            <w:pPr>
              <w:spacing w:line="400" w:lineRule="exact"/>
              <w:rPr>
                <w:rFonts w:hint="eastAsia" w:ascii="宋体" w:hAnsi="宋体" w:cs="宋体"/>
                <w:color w:val="000000" w:themeColor="text1"/>
                <w:szCs w:val="21"/>
                <w14:textFill>
                  <w14:solidFill>
                    <w14:schemeClr w14:val="tx1"/>
                  </w14:solidFill>
                </w14:textFill>
              </w:rPr>
            </w:pPr>
          </w:p>
        </w:tc>
        <w:tc>
          <w:tcPr>
            <w:tcW w:w="1665" w:type="dxa"/>
          </w:tcPr>
          <w:p w14:paraId="6971DCC4">
            <w:pPr>
              <w:spacing w:line="400" w:lineRule="exact"/>
              <w:rPr>
                <w:rFonts w:hint="eastAsia" w:ascii="宋体" w:hAnsi="宋体" w:cs="宋体"/>
                <w:color w:val="000000" w:themeColor="text1"/>
                <w:szCs w:val="21"/>
                <w14:textFill>
                  <w14:solidFill>
                    <w14:schemeClr w14:val="tx1"/>
                  </w14:solidFill>
                </w14:textFill>
              </w:rPr>
            </w:pPr>
          </w:p>
        </w:tc>
        <w:tc>
          <w:tcPr>
            <w:tcW w:w="1200" w:type="dxa"/>
          </w:tcPr>
          <w:p w14:paraId="502F2FC2">
            <w:pPr>
              <w:spacing w:line="400" w:lineRule="exact"/>
              <w:rPr>
                <w:rFonts w:hint="eastAsia" w:ascii="宋体" w:hAnsi="宋体" w:cs="宋体"/>
                <w:color w:val="000000" w:themeColor="text1"/>
                <w:szCs w:val="21"/>
                <w14:textFill>
                  <w14:solidFill>
                    <w14:schemeClr w14:val="tx1"/>
                  </w14:solidFill>
                </w14:textFill>
              </w:rPr>
            </w:pPr>
          </w:p>
        </w:tc>
        <w:tc>
          <w:tcPr>
            <w:tcW w:w="2550" w:type="dxa"/>
          </w:tcPr>
          <w:p w14:paraId="3D47F62D">
            <w:pPr>
              <w:spacing w:line="400" w:lineRule="exact"/>
              <w:rPr>
                <w:rFonts w:hint="eastAsia" w:ascii="宋体" w:hAnsi="宋体" w:cs="宋体"/>
                <w:color w:val="000000" w:themeColor="text1"/>
                <w:szCs w:val="21"/>
                <w14:textFill>
                  <w14:solidFill>
                    <w14:schemeClr w14:val="tx1"/>
                  </w14:solidFill>
                </w14:textFill>
              </w:rPr>
            </w:pPr>
          </w:p>
        </w:tc>
        <w:tc>
          <w:tcPr>
            <w:tcW w:w="2610" w:type="dxa"/>
          </w:tcPr>
          <w:p w14:paraId="0CBBE7E1">
            <w:pPr>
              <w:spacing w:line="400" w:lineRule="exact"/>
              <w:rPr>
                <w:rFonts w:hint="eastAsia" w:ascii="宋体" w:hAnsi="宋体" w:cs="宋体"/>
                <w:color w:val="000000" w:themeColor="text1"/>
                <w:szCs w:val="21"/>
                <w14:textFill>
                  <w14:solidFill>
                    <w14:schemeClr w14:val="tx1"/>
                  </w14:solidFill>
                </w14:textFill>
              </w:rPr>
            </w:pPr>
          </w:p>
        </w:tc>
      </w:tr>
      <w:tr w14:paraId="47FA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71714771">
            <w:pPr>
              <w:spacing w:line="400" w:lineRule="exact"/>
              <w:rPr>
                <w:rFonts w:hint="eastAsia" w:ascii="宋体" w:hAnsi="宋体" w:cs="宋体"/>
                <w:color w:val="000000" w:themeColor="text1"/>
                <w:szCs w:val="21"/>
                <w14:textFill>
                  <w14:solidFill>
                    <w14:schemeClr w14:val="tx1"/>
                  </w14:solidFill>
                </w14:textFill>
              </w:rPr>
            </w:pPr>
          </w:p>
        </w:tc>
        <w:tc>
          <w:tcPr>
            <w:tcW w:w="1050" w:type="dxa"/>
          </w:tcPr>
          <w:p w14:paraId="21CEB3D0">
            <w:pPr>
              <w:spacing w:line="400" w:lineRule="exact"/>
              <w:rPr>
                <w:rFonts w:hint="eastAsia" w:ascii="宋体" w:hAnsi="宋体" w:cs="宋体"/>
                <w:color w:val="000000" w:themeColor="text1"/>
                <w:szCs w:val="21"/>
                <w14:textFill>
                  <w14:solidFill>
                    <w14:schemeClr w14:val="tx1"/>
                  </w14:solidFill>
                </w14:textFill>
              </w:rPr>
            </w:pPr>
          </w:p>
        </w:tc>
        <w:tc>
          <w:tcPr>
            <w:tcW w:w="1665" w:type="dxa"/>
          </w:tcPr>
          <w:p w14:paraId="11D4EC7C">
            <w:pPr>
              <w:spacing w:line="400" w:lineRule="exact"/>
              <w:rPr>
                <w:rFonts w:hint="eastAsia" w:ascii="宋体" w:hAnsi="宋体" w:cs="宋体"/>
                <w:color w:val="000000" w:themeColor="text1"/>
                <w:szCs w:val="21"/>
                <w14:textFill>
                  <w14:solidFill>
                    <w14:schemeClr w14:val="tx1"/>
                  </w14:solidFill>
                </w14:textFill>
              </w:rPr>
            </w:pPr>
          </w:p>
        </w:tc>
        <w:tc>
          <w:tcPr>
            <w:tcW w:w="1200" w:type="dxa"/>
          </w:tcPr>
          <w:p w14:paraId="3081142F">
            <w:pPr>
              <w:spacing w:line="400" w:lineRule="exact"/>
              <w:rPr>
                <w:rFonts w:hint="eastAsia" w:ascii="宋体" w:hAnsi="宋体" w:cs="宋体"/>
                <w:color w:val="000000" w:themeColor="text1"/>
                <w:szCs w:val="21"/>
                <w14:textFill>
                  <w14:solidFill>
                    <w14:schemeClr w14:val="tx1"/>
                  </w14:solidFill>
                </w14:textFill>
              </w:rPr>
            </w:pPr>
          </w:p>
        </w:tc>
        <w:tc>
          <w:tcPr>
            <w:tcW w:w="2550" w:type="dxa"/>
          </w:tcPr>
          <w:p w14:paraId="62F01F52">
            <w:pPr>
              <w:spacing w:line="400" w:lineRule="exact"/>
              <w:rPr>
                <w:rFonts w:hint="eastAsia" w:ascii="宋体" w:hAnsi="宋体" w:cs="宋体"/>
                <w:color w:val="000000" w:themeColor="text1"/>
                <w:szCs w:val="21"/>
                <w14:textFill>
                  <w14:solidFill>
                    <w14:schemeClr w14:val="tx1"/>
                  </w14:solidFill>
                </w14:textFill>
              </w:rPr>
            </w:pPr>
          </w:p>
        </w:tc>
        <w:tc>
          <w:tcPr>
            <w:tcW w:w="2610" w:type="dxa"/>
          </w:tcPr>
          <w:p w14:paraId="30EE7B3C">
            <w:pPr>
              <w:spacing w:line="400" w:lineRule="exact"/>
              <w:rPr>
                <w:rFonts w:hint="eastAsia" w:ascii="宋体" w:hAnsi="宋体" w:cs="宋体"/>
                <w:color w:val="000000" w:themeColor="text1"/>
                <w:szCs w:val="21"/>
                <w14:textFill>
                  <w14:solidFill>
                    <w14:schemeClr w14:val="tx1"/>
                  </w14:solidFill>
                </w14:textFill>
              </w:rPr>
            </w:pPr>
          </w:p>
        </w:tc>
      </w:tr>
    </w:tbl>
    <w:p w14:paraId="6F8ABE37">
      <w:pPr>
        <w:spacing w:line="400" w:lineRule="exact"/>
        <w:rPr>
          <w:rFonts w:hint="eastAsia" w:ascii="宋体" w:hAnsi="宋体" w:cs="宋体"/>
          <w:color w:val="000000" w:themeColor="text1"/>
          <w:szCs w:val="21"/>
          <w14:textFill>
            <w14:solidFill>
              <w14:schemeClr w14:val="tx1"/>
            </w14:solidFill>
          </w14:textFill>
        </w:rPr>
      </w:pPr>
    </w:p>
    <w:p w14:paraId="38B02C82">
      <w:pPr>
        <w:snapToGrid w:val="0"/>
        <w:spacing w:line="400" w:lineRule="exact"/>
        <w:ind w:firstLine="1890" w:firstLineChars="900"/>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磋商供应商[公章(CA签章)，自然人签字或个人CA签章]：</w:t>
      </w:r>
      <w:r>
        <w:rPr>
          <w:rFonts w:hint="eastAsia" w:ascii="宋体" w:hAnsi="宋体" w:cs="宋体"/>
          <w:color w:val="000000" w:themeColor="text1"/>
          <w:szCs w:val="21"/>
          <w:u w:val="single"/>
          <w14:textFill>
            <w14:solidFill>
              <w14:schemeClr w14:val="tx1"/>
            </w14:solidFill>
          </w14:textFill>
        </w:rPr>
        <w:t xml:space="preserve">                                     </w:t>
      </w:r>
    </w:p>
    <w:p w14:paraId="59A839B0">
      <w:pPr>
        <w:pStyle w:val="3"/>
        <w:rPr>
          <w:rFonts w:hint="eastAsia" w:ascii="宋体" w:hAnsi="宋体" w:cs="宋体"/>
          <w:color w:val="000000" w:themeColor="text1"/>
          <w14:textFill>
            <w14:solidFill>
              <w14:schemeClr w14:val="tx1"/>
            </w14:solidFill>
          </w14:textFill>
        </w:rPr>
      </w:pPr>
    </w:p>
    <w:p w14:paraId="25B9F333">
      <w:pPr>
        <w:snapToGrid w:val="0"/>
        <w:spacing w:line="400" w:lineRule="exact"/>
        <w:ind w:firstLine="1680" w:firstLineChars="8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日          期：</w:t>
      </w:r>
      <w:r>
        <w:rPr>
          <w:rFonts w:hint="eastAsia" w:ascii="宋体" w:hAnsi="宋体" w:cs="宋体"/>
          <w:color w:val="000000" w:themeColor="text1"/>
          <w:u w:val="single"/>
          <w14:textFill>
            <w14:solidFill>
              <w14:schemeClr w14:val="tx1"/>
            </w14:solidFill>
          </w14:textFill>
        </w:rPr>
        <w:t xml:space="preserve">                                                   </w:t>
      </w:r>
    </w:p>
    <w:p w14:paraId="69B3B255">
      <w:pPr>
        <w:pStyle w:val="8"/>
        <w:rPr>
          <w:rFonts w:hint="eastAsia" w:ascii="宋体" w:hAnsi="宋体" w:cs="宋体"/>
          <w:color w:val="000000" w:themeColor="text1"/>
          <w14:textFill>
            <w14:solidFill>
              <w14:schemeClr w14:val="tx1"/>
            </w14:solidFill>
          </w14:textFill>
        </w:rPr>
      </w:pPr>
    </w:p>
    <w:p w14:paraId="2DCD59AC">
      <w:pPr>
        <w:spacing w:line="360" w:lineRule="auto"/>
        <w:rPr>
          <w:rFonts w:hint="eastAsia" w:ascii="宋体" w:hAnsi="宋体" w:cs="宋体"/>
          <w:color w:val="000000" w:themeColor="text1"/>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注：供应商根据自身情况结合本项目自行制定</w:t>
      </w:r>
    </w:p>
    <w:p w14:paraId="39F5D973">
      <w:pPr>
        <w:pStyle w:val="11"/>
        <w:spacing w:line="340" w:lineRule="exact"/>
        <w:rPr>
          <w:rFonts w:hint="eastAsia" w:hAnsi="宋体" w:cs="宋体"/>
          <w:b/>
          <w:color w:val="000000" w:themeColor="text1"/>
          <w:sz w:val="28"/>
          <w:szCs w:val="28"/>
          <w14:textFill>
            <w14:solidFill>
              <w14:schemeClr w14:val="tx1"/>
            </w14:solidFill>
          </w14:textFill>
        </w:rPr>
      </w:pPr>
    </w:p>
    <w:p w14:paraId="27A3F2EF">
      <w:pPr>
        <w:pStyle w:val="6"/>
        <w:rPr>
          <w:color w:val="000000" w:themeColor="text1"/>
          <w14:textFill>
            <w14:solidFill>
              <w14:schemeClr w14:val="tx1"/>
            </w14:solidFill>
          </w14:textFill>
        </w:rPr>
      </w:pPr>
    </w:p>
    <w:p w14:paraId="57AB92B7">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2.“采购需求”需提供的有效证明文件（如有，请提供）；</w:t>
      </w:r>
    </w:p>
    <w:p w14:paraId="6C2852CA">
      <w:pPr>
        <w:pStyle w:val="8"/>
        <w:rPr>
          <w:rFonts w:hint="eastAsia" w:ascii="宋体" w:hAnsi="宋体" w:cs="宋体"/>
          <w:b/>
          <w:color w:val="000000" w:themeColor="text1"/>
          <w14:textFill>
            <w14:solidFill>
              <w14:schemeClr w14:val="tx1"/>
            </w14:solidFill>
          </w14:textFill>
        </w:rPr>
      </w:pPr>
    </w:p>
    <w:p w14:paraId="61FD0731">
      <w:pPr>
        <w:pStyle w:val="11"/>
        <w:spacing w:line="340" w:lineRule="exact"/>
        <w:rPr>
          <w:rFonts w:hint="eastAsia" w:hAnsi="宋体" w:cs="宋体"/>
          <w:b/>
          <w:color w:val="000000" w:themeColor="text1"/>
          <w:sz w:val="28"/>
          <w:szCs w:val="28"/>
          <w14:textFill>
            <w14:solidFill>
              <w14:schemeClr w14:val="tx1"/>
            </w14:solidFill>
          </w14:textFill>
        </w:rPr>
      </w:pPr>
      <w:bookmarkStart w:id="250" w:name="_Toc3052"/>
      <w:bookmarkStart w:id="251" w:name="_Toc497927090"/>
      <w:bookmarkStart w:id="252" w:name="_Toc10161"/>
    </w:p>
    <w:p w14:paraId="73ADE64B">
      <w:pPr>
        <w:pStyle w:val="11"/>
        <w:spacing w:line="340" w:lineRule="exact"/>
        <w:rPr>
          <w:rFonts w:hint="eastAsia" w:hAnsi="宋体" w:cs="宋体"/>
          <w:b/>
          <w:color w:val="000000" w:themeColor="text1"/>
          <w:sz w:val="28"/>
          <w:szCs w:val="28"/>
          <w14:textFill>
            <w14:solidFill>
              <w14:schemeClr w14:val="tx1"/>
            </w14:solidFill>
          </w14:textFill>
        </w:rPr>
      </w:pPr>
    </w:p>
    <w:p w14:paraId="2D1AC99D">
      <w:pPr>
        <w:pStyle w:val="11"/>
        <w:spacing w:line="340" w:lineRule="exact"/>
        <w:rPr>
          <w:rFonts w:hint="eastAsia" w:hAnsi="宋体" w:cs="宋体"/>
          <w:b/>
          <w:color w:val="000000" w:themeColor="text1"/>
          <w:sz w:val="28"/>
          <w:szCs w:val="28"/>
          <w14:textFill>
            <w14:solidFill>
              <w14:schemeClr w14:val="tx1"/>
            </w14:solidFill>
          </w14:textFill>
        </w:rPr>
      </w:pPr>
    </w:p>
    <w:p w14:paraId="74B904FE">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3.</w:t>
      </w:r>
      <w:r>
        <w:rPr>
          <w:rFonts w:hint="eastAsia" w:hAnsi="宋体" w:cs="宋体"/>
          <w:b/>
          <w:color w:val="000000" w:themeColor="text1"/>
          <w:sz w:val="28"/>
          <w:szCs w:val="28"/>
          <w:lang w:val="en-US" w:eastAsia="zh-CN"/>
          <w14:textFill>
            <w14:solidFill>
              <w14:schemeClr w14:val="tx1"/>
            </w14:solidFill>
          </w14:textFill>
        </w:rPr>
        <w:t>供应商</w:t>
      </w:r>
      <w:r>
        <w:rPr>
          <w:rFonts w:hint="eastAsia" w:hAnsi="宋体" w:cs="宋体"/>
          <w:b/>
          <w:color w:val="000000" w:themeColor="text1"/>
          <w:sz w:val="28"/>
          <w:szCs w:val="28"/>
          <w:lang w:eastAsia="zh-CN"/>
          <w14:textFill>
            <w14:solidFill>
              <w14:schemeClr w14:val="tx1"/>
            </w14:solidFill>
          </w14:textFill>
        </w:rPr>
        <w:t>自2023年1月1日以来同类业绩的相关证明材料（以中标、成交通知书或签订的采购合同扫描件为准，并能清晰反映所提供的服务类型、种类、金额）</w:t>
      </w:r>
    </w:p>
    <w:p w14:paraId="4309CDB9">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（如有，请提供）；</w:t>
      </w:r>
      <w:bookmarkEnd w:id="250"/>
      <w:bookmarkEnd w:id="251"/>
      <w:bookmarkEnd w:id="252"/>
    </w:p>
    <w:p w14:paraId="6A2613C3">
      <w:pPr>
        <w:pStyle w:val="11"/>
        <w:spacing w:line="340" w:lineRule="exact"/>
        <w:rPr>
          <w:rFonts w:hint="eastAsia" w:hAnsi="宋体" w:cs="宋体"/>
          <w:b/>
          <w:color w:val="000000" w:themeColor="text1"/>
          <w:sz w:val="28"/>
          <w:szCs w:val="28"/>
          <w14:textFill>
            <w14:solidFill>
              <w14:schemeClr w14:val="tx1"/>
            </w14:solidFill>
          </w14:textFill>
        </w:rPr>
      </w:pPr>
    </w:p>
    <w:p w14:paraId="73ED1CB7">
      <w:pPr>
        <w:pStyle w:val="25"/>
        <w:rPr>
          <w:rFonts w:hint="eastAsia" w:ascii="宋体" w:hAnsi="宋体" w:cs="宋体"/>
          <w:b/>
          <w:color w:val="000000" w:themeColor="text1"/>
          <w:sz w:val="28"/>
          <w:szCs w:val="28"/>
          <w14:textFill>
            <w14:solidFill>
              <w14:schemeClr w14:val="tx1"/>
            </w14:solidFill>
          </w14:textFill>
        </w:rPr>
      </w:pPr>
    </w:p>
    <w:p w14:paraId="6A739F80">
      <w:pPr>
        <w:pStyle w:val="11"/>
        <w:spacing w:line="340" w:lineRule="exact"/>
        <w:rPr>
          <w:rFonts w:hint="eastAsia" w:hAnsi="宋体" w:cs="宋体"/>
          <w:color w:val="000000" w:themeColor="text1"/>
          <w14:textFill>
            <w14:solidFill>
              <w14:schemeClr w14:val="tx1"/>
            </w14:solidFill>
          </w14:textFill>
        </w:rPr>
      </w:pPr>
      <w:r>
        <w:rPr>
          <w:rFonts w:hint="eastAsia" w:hAnsi="宋体" w:cs="宋体"/>
          <w:b/>
          <w:color w:val="000000" w:themeColor="text1"/>
          <w:sz w:val="28"/>
          <w:szCs w:val="28"/>
          <w14:textFill>
            <w14:solidFill>
              <w14:schemeClr w14:val="tx1"/>
            </w14:solidFill>
          </w14:textFill>
        </w:rPr>
        <w:t xml:space="preserve">4.供应商可结合本项目的评审办法视自身情况自行提交其它相关证明材料。           </w:t>
      </w:r>
      <w:r>
        <w:rPr>
          <w:rFonts w:hint="eastAsia" w:hAnsi="宋体" w:cs="宋体"/>
          <w:color w:val="000000" w:themeColor="text1"/>
          <w:sz w:val="28"/>
          <w:szCs w:val="28"/>
          <w14:textFill>
            <w14:solidFill>
              <w14:schemeClr w14:val="tx1"/>
            </w14:solidFill>
          </w14:textFill>
        </w:rPr>
        <w:t xml:space="preserve"> </w:t>
      </w:r>
      <w:r>
        <w:rPr>
          <w:rFonts w:hint="eastAsia" w:hAnsi="宋体" w:cs="宋体"/>
          <w:color w:val="000000" w:themeColor="text1"/>
          <w14:textFill>
            <w14:solidFill>
              <w14:schemeClr w14:val="tx1"/>
            </w14:solidFill>
          </w14:textFill>
        </w:rPr>
        <w:t xml:space="preserve">      </w:t>
      </w:r>
    </w:p>
    <w:p w14:paraId="70BAD7A0">
      <w:pPr>
        <w:pStyle w:val="11"/>
        <w:spacing w:line="340" w:lineRule="exact"/>
        <w:rPr>
          <w:rFonts w:hint="eastAsia" w:hAnsi="宋体" w:cs="宋体"/>
          <w:b/>
          <w:color w:val="000000" w:themeColor="text1"/>
          <w:sz w:val="28"/>
          <w:szCs w:val="28"/>
          <w14:textFill>
            <w14:solidFill>
              <w14:schemeClr w14:val="tx1"/>
            </w14:solidFill>
          </w14:textFill>
        </w:rPr>
      </w:pPr>
    </w:p>
    <w:p w14:paraId="4AEF0511">
      <w:pPr>
        <w:pStyle w:val="11"/>
        <w:spacing w:line="340" w:lineRule="exact"/>
        <w:rPr>
          <w:rFonts w:hint="eastAsia" w:hAnsi="宋体" w:cs="宋体"/>
          <w:b/>
          <w:color w:val="000000" w:themeColor="text1"/>
          <w:sz w:val="28"/>
          <w:szCs w:val="28"/>
          <w14:textFill>
            <w14:solidFill>
              <w14:schemeClr w14:val="tx1"/>
            </w14:solidFill>
          </w14:textFill>
        </w:rPr>
      </w:pPr>
    </w:p>
    <w:p w14:paraId="4EA24567">
      <w:pPr>
        <w:pStyle w:val="11"/>
        <w:spacing w:line="340" w:lineRule="exact"/>
        <w:rPr>
          <w:rFonts w:hint="eastAsia" w:hAnsi="宋体" w:cs="宋体"/>
          <w:b/>
          <w:color w:val="000000" w:themeColor="text1"/>
          <w:sz w:val="28"/>
          <w:szCs w:val="28"/>
          <w14:textFill>
            <w14:solidFill>
              <w14:schemeClr w14:val="tx1"/>
            </w14:solidFill>
          </w14:textFill>
        </w:rPr>
      </w:pPr>
    </w:p>
    <w:p w14:paraId="424D4D4B">
      <w:pPr>
        <w:pStyle w:val="11"/>
        <w:spacing w:line="340" w:lineRule="exact"/>
        <w:rPr>
          <w:rFonts w:hint="eastAsia" w:hAnsi="宋体" w:cs="宋体"/>
          <w:b/>
          <w:color w:val="000000" w:themeColor="text1"/>
          <w:sz w:val="28"/>
          <w:szCs w:val="28"/>
          <w14:textFill>
            <w14:solidFill>
              <w14:schemeClr w14:val="tx1"/>
            </w14:solidFill>
          </w14:textFill>
        </w:rPr>
      </w:pPr>
    </w:p>
    <w:p w14:paraId="2A9B1E06">
      <w:pPr>
        <w:pStyle w:val="11"/>
        <w:spacing w:line="340" w:lineRule="exact"/>
        <w:rPr>
          <w:rFonts w:hint="eastAsia" w:hAnsi="宋体" w:cs="宋体"/>
          <w:b/>
          <w:color w:val="000000" w:themeColor="text1"/>
          <w:sz w:val="28"/>
          <w:szCs w:val="28"/>
          <w14:textFill>
            <w14:solidFill>
              <w14:schemeClr w14:val="tx1"/>
            </w14:solidFill>
          </w14:textFill>
        </w:rPr>
      </w:pPr>
    </w:p>
    <w:p w14:paraId="1BDB959D">
      <w:pPr>
        <w:pStyle w:val="11"/>
        <w:spacing w:line="340" w:lineRule="exact"/>
        <w:rPr>
          <w:rFonts w:hint="eastAsia" w:hAnsi="宋体" w:cs="宋体"/>
          <w:b/>
          <w:color w:val="000000" w:themeColor="text1"/>
          <w:sz w:val="28"/>
          <w:szCs w:val="28"/>
          <w14:textFill>
            <w14:solidFill>
              <w14:schemeClr w14:val="tx1"/>
            </w14:solidFill>
          </w14:textFill>
        </w:rPr>
      </w:pPr>
    </w:p>
    <w:p w14:paraId="52075BCF">
      <w:pPr>
        <w:pStyle w:val="11"/>
        <w:spacing w:line="340" w:lineRule="exact"/>
        <w:rPr>
          <w:rFonts w:hint="eastAsia" w:hAnsi="宋体" w:cs="宋体"/>
          <w:b/>
          <w:color w:val="000000" w:themeColor="text1"/>
          <w:sz w:val="28"/>
          <w:szCs w:val="28"/>
          <w14:textFill>
            <w14:solidFill>
              <w14:schemeClr w14:val="tx1"/>
            </w14:solidFill>
          </w14:textFill>
        </w:rPr>
      </w:pPr>
    </w:p>
    <w:p w14:paraId="7F5A01BE"/>
    <w:p w14:paraId="3B01C54B">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5.《中小企业声明函》（见附件）（除监狱企业及残疾人福利性单位外，如有，请提供）；</w:t>
      </w:r>
    </w:p>
    <w:p w14:paraId="4DFA9E0B">
      <w:pPr>
        <w:pStyle w:val="8"/>
        <w:rPr>
          <w:rFonts w:hint="eastAsia" w:ascii="宋体" w:hAnsi="宋体" w:cs="宋体"/>
          <w:color w:val="000000" w:themeColor="text1"/>
          <w14:textFill>
            <w14:solidFill>
              <w14:schemeClr w14:val="tx1"/>
            </w14:solidFill>
          </w14:textFill>
        </w:rPr>
      </w:pPr>
    </w:p>
    <w:p w14:paraId="228DF6FF">
      <w:pPr>
        <w:pStyle w:val="11"/>
        <w:rPr>
          <w:rFonts w:hint="eastAsia" w:hAnsi="宋体" w:cs="宋体"/>
          <w:b/>
          <w:bCs/>
          <w:color w:val="000000" w:themeColor="text1"/>
          <w:sz w:val="32"/>
          <w:szCs w:val="32"/>
          <w14:textFill>
            <w14:solidFill>
              <w14:schemeClr w14:val="tx1"/>
            </w14:solidFill>
          </w14:textFill>
        </w:rPr>
      </w:pPr>
      <w:r>
        <w:rPr>
          <w:rFonts w:hint="eastAsia" w:hAnsi="宋体" w:cs="宋体"/>
          <w:b/>
          <w:bCs/>
          <w:color w:val="000000" w:themeColor="text1"/>
          <w:sz w:val="32"/>
          <w:szCs w:val="32"/>
          <w14:textFill>
            <w14:solidFill>
              <w14:schemeClr w14:val="tx1"/>
            </w14:solidFill>
          </w14:textFill>
        </w:rPr>
        <w:t>附件：</w:t>
      </w:r>
    </w:p>
    <w:p w14:paraId="66672513">
      <w:pPr>
        <w:pStyle w:val="11"/>
        <w:spacing w:line="440" w:lineRule="exact"/>
        <w:jc w:val="center"/>
        <w:rPr>
          <w:rFonts w:ascii="Times New Roman" w:hAnsi="Times New Roman"/>
          <w:b/>
          <w:bCs/>
          <w:color w:val="000000"/>
          <w:sz w:val="28"/>
          <w:szCs w:val="28"/>
          <w:highlight w:val="none"/>
        </w:rPr>
      </w:pPr>
      <w:r>
        <w:rPr>
          <w:rFonts w:ascii="Times New Roman" w:hAnsi="Times New Roman"/>
          <w:b/>
          <w:bCs/>
          <w:color w:val="000000"/>
          <w:sz w:val="28"/>
          <w:szCs w:val="28"/>
          <w:highlight w:val="none"/>
        </w:rPr>
        <w:t>中小企业声明函</w:t>
      </w:r>
    </w:p>
    <w:p w14:paraId="42538192">
      <w:pPr>
        <w:pStyle w:val="11"/>
        <w:spacing w:line="440" w:lineRule="exact"/>
        <w:ind w:firstLine="444" w:firstLineChars="200"/>
        <w:rPr>
          <w:rFonts w:hint="eastAsia" w:hAnsi="宋体" w:cs="宋体"/>
          <w:color w:val="000000"/>
          <w:spacing w:val="6"/>
          <w:kern w:val="2"/>
          <w:sz w:val="21"/>
          <w:szCs w:val="21"/>
          <w:highlight w:val="none"/>
          <w:lang w:val="en-US" w:eastAsia="zh-CN" w:bidi="ar-SA"/>
        </w:rPr>
      </w:pPr>
      <w:r>
        <w:rPr>
          <w:rFonts w:hint="eastAsia" w:ascii="宋体" w:hAnsi="宋体" w:cs="宋体"/>
          <w:color w:val="000000"/>
          <w:spacing w:val="6"/>
          <w:kern w:val="2"/>
          <w:sz w:val="21"/>
          <w:szCs w:val="21"/>
          <w:highlight w:val="none"/>
          <w:lang w:val="en-US" w:eastAsia="zh-CN" w:bidi="ar-SA"/>
        </w:rPr>
        <w:t>本公司（联合体）郑重声明，根据《政府采购促进中小企业发展管理办法》（财库﹝2020﹞46 号）的规定，本公司（联合体）参加（</w:t>
      </w:r>
      <w:r>
        <w:rPr>
          <w:rFonts w:hint="eastAsia" w:ascii="宋体" w:hAnsi="宋体" w:cs="宋体"/>
          <w:color w:val="000000"/>
          <w:spacing w:val="6"/>
          <w:kern w:val="2"/>
          <w:sz w:val="21"/>
          <w:szCs w:val="21"/>
          <w:highlight w:val="none"/>
          <w:u w:val="single"/>
          <w:lang w:val="en-US" w:eastAsia="zh-CN" w:bidi="ar-SA"/>
        </w:rPr>
        <w:t>单</w:t>
      </w:r>
      <w:r>
        <w:rPr>
          <w:rFonts w:hint="eastAsia" w:hAnsi="宋体" w:cs="宋体"/>
          <w:color w:val="000000"/>
          <w:spacing w:val="6"/>
          <w:kern w:val="2"/>
          <w:sz w:val="21"/>
          <w:szCs w:val="21"/>
          <w:highlight w:val="none"/>
          <w:u w:val="single"/>
          <w:lang w:val="en-US" w:eastAsia="zh-CN" w:bidi="ar-SA"/>
        </w:rPr>
        <w:t xml:space="preserve"> </w:t>
      </w:r>
      <w:r>
        <w:rPr>
          <w:rFonts w:hint="eastAsia" w:ascii="宋体" w:hAnsi="宋体" w:cs="宋体"/>
          <w:color w:val="000000"/>
          <w:spacing w:val="6"/>
          <w:kern w:val="2"/>
          <w:sz w:val="21"/>
          <w:szCs w:val="21"/>
          <w:highlight w:val="none"/>
          <w:u w:val="single"/>
          <w:lang w:val="en-US" w:eastAsia="zh-CN" w:bidi="ar-SA"/>
        </w:rPr>
        <w:t>位</w:t>
      </w:r>
      <w:r>
        <w:rPr>
          <w:rFonts w:hint="eastAsia" w:hAnsi="宋体" w:cs="宋体"/>
          <w:color w:val="000000"/>
          <w:spacing w:val="6"/>
          <w:kern w:val="2"/>
          <w:sz w:val="21"/>
          <w:szCs w:val="21"/>
          <w:highlight w:val="none"/>
          <w:u w:val="single"/>
          <w:lang w:val="en-US" w:eastAsia="zh-CN" w:bidi="ar-SA"/>
        </w:rPr>
        <w:t xml:space="preserve"> </w:t>
      </w:r>
      <w:r>
        <w:rPr>
          <w:rFonts w:hint="eastAsia" w:ascii="宋体" w:hAnsi="宋体" w:cs="宋体"/>
          <w:color w:val="000000"/>
          <w:spacing w:val="6"/>
          <w:kern w:val="2"/>
          <w:sz w:val="21"/>
          <w:szCs w:val="21"/>
          <w:highlight w:val="none"/>
          <w:u w:val="single"/>
          <w:lang w:val="en-US" w:eastAsia="zh-CN" w:bidi="ar-SA"/>
        </w:rPr>
        <w:t>名</w:t>
      </w:r>
      <w:r>
        <w:rPr>
          <w:rFonts w:hint="eastAsia" w:hAnsi="宋体" w:cs="宋体"/>
          <w:color w:val="000000"/>
          <w:spacing w:val="6"/>
          <w:kern w:val="2"/>
          <w:sz w:val="21"/>
          <w:szCs w:val="21"/>
          <w:highlight w:val="none"/>
          <w:u w:val="single"/>
          <w:lang w:val="en-US" w:eastAsia="zh-CN" w:bidi="ar-SA"/>
        </w:rPr>
        <w:t xml:space="preserve"> </w:t>
      </w:r>
      <w:r>
        <w:rPr>
          <w:rFonts w:hint="eastAsia" w:ascii="宋体" w:hAnsi="宋体" w:cs="宋体"/>
          <w:color w:val="000000"/>
          <w:spacing w:val="6"/>
          <w:kern w:val="2"/>
          <w:sz w:val="21"/>
          <w:szCs w:val="21"/>
          <w:highlight w:val="none"/>
          <w:u w:val="single"/>
          <w:lang w:val="en-US" w:eastAsia="zh-CN" w:bidi="ar-SA"/>
        </w:rPr>
        <w:t>称</w:t>
      </w:r>
      <w:r>
        <w:rPr>
          <w:rFonts w:hint="eastAsia" w:ascii="宋体" w:hAnsi="宋体" w:cs="宋体"/>
          <w:color w:val="000000"/>
          <w:spacing w:val="6"/>
          <w:kern w:val="2"/>
          <w:sz w:val="21"/>
          <w:szCs w:val="21"/>
          <w:highlight w:val="none"/>
          <w:lang w:val="en-US" w:eastAsia="zh-CN" w:bidi="ar-SA"/>
        </w:rPr>
        <w:t>）的（</w:t>
      </w:r>
      <w:r>
        <w:rPr>
          <w:rFonts w:hint="eastAsia" w:ascii="宋体" w:hAnsi="宋体" w:cs="宋体"/>
          <w:color w:val="000000"/>
          <w:spacing w:val="6"/>
          <w:kern w:val="2"/>
          <w:sz w:val="21"/>
          <w:szCs w:val="21"/>
          <w:highlight w:val="none"/>
          <w:u w:val="single"/>
          <w:lang w:val="en-US" w:eastAsia="zh-CN" w:bidi="ar-SA"/>
        </w:rPr>
        <w:t>项</w:t>
      </w:r>
      <w:r>
        <w:rPr>
          <w:rFonts w:hint="eastAsia" w:hAnsi="宋体" w:cs="宋体"/>
          <w:color w:val="000000"/>
          <w:spacing w:val="6"/>
          <w:kern w:val="2"/>
          <w:sz w:val="21"/>
          <w:szCs w:val="21"/>
          <w:highlight w:val="none"/>
          <w:u w:val="single"/>
          <w:lang w:val="en-US" w:eastAsia="zh-CN" w:bidi="ar-SA"/>
        </w:rPr>
        <w:t xml:space="preserve"> </w:t>
      </w:r>
      <w:r>
        <w:rPr>
          <w:rFonts w:hint="eastAsia" w:ascii="宋体" w:hAnsi="宋体" w:cs="宋体"/>
          <w:color w:val="000000"/>
          <w:spacing w:val="6"/>
          <w:kern w:val="2"/>
          <w:sz w:val="21"/>
          <w:szCs w:val="21"/>
          <w:highlight w:val="none"/>
          <w:u w:val="single"/>
          <w:lang w:val="en-US" w:eastAsia="zh-CN" w:bidi="ar-SA"/>
        </w:rPr>
        <w:t>目</w:t>
      </w:r>
      <w:r>
        <w:rPr>
          <w:rFonts w:hint="eastAsia" w:hAnsi="宋体" w:cs="宋体"/>
          <w:color w:val="000000"/>
          <w:spacing w:val="6"/>
          <w:kern w:val="2"/>
          <w:sz w:val="21"/>
          <w:szCs w:val="21"/>
          <w:highlight w:val="none"/>
          <w:u w:val="single"/>
          <w:lang w:val="en-US" w:eastAsia="zh-CN" w:bidi="ar-SA"/>
        </w:rPr>
        <w:t xml:space="preserve"> </w:t>
      </w:r>
      <w:r>
        <w:rPr>
          <w:rFonts w:hint="eastAsia" w:ascii="宋体" w:hAnsi="宋体" w:cs="宋体"/>
          <w:color w:val="000000"/>
          <w:spacing w:val="6"/>
          <w:kern w:val="2"/>
          <w:sz w:val="21"/>
          <w:szCs w:val="21"/>
          <w:highlight w:val="none"/>
          <w:u w:val="single"/>
          <w:lang w:val="en-US" w:eastAsia="zh-CN" w:bidi="ar-SA"/>
        </w:rPr>
        <w:t>名</w:t>
      </w:r>
      <w:r>
        <w:rPr>
          <w:rFonts w:hint="eastAsia" w:hAnsi="宋体" w:cs="宋体"/>
          <w:color w:val="000000"/>
          <w:spacing w:val="6"/>
          <w:kern w:val="2"/>
          <w:sz w:val="21"/>
          <w:szCs w:val="21"/>
          <w:highlight w:val="none"/>
          <w:u w:val="single"/>
          <w:lang w:val="en-US" w:eastAsia="zh-CN" w:bidi="ar-SA"/>
        </w:rPr>
        <w:t xml:space="preserve"> </w:t>
      </w:r>
      <w:r>
        <w:rPr>
          <w:rFonts w:hint="eastAsia" w:ascii="宋体" w:hAnsi="宋体" w:cs="宋体"/>
          <w:color w:val="000000"/>
          <w:spacing w:val="6"/>
          <w:kern w:val="2"/>
          <w:sz w:val="21"/>
          <w:szCs w:val="21"/>
          <w:highlight w:val="none"/>
          <w:u w:val="single"/>
          <w:lang w:val="en-US" w:eastAsia="zh-CN" w:bidi="ar-SA"/>
        </w:rPr>
        <w:t>称</w:t>
      </w:r>
      <w:r>
        <w:rPr>
          <w:rFonts w:hint="eastAsia" w:ascii="宋体" w:hAnsi="宋体" w:cs="宋体"/>
          <w:color w:val="000000"/>
          <w:spacing w:val="6"/>
          <w:kern w:val="2"/>
          <w:sz w:val="21"/>
          <w:szCs w:val="21"/>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hAnsi="宋体" w:cs="宋体"/>
          <w:color w:val="000000"/>
          <w:spacing w:val="6"/>
          <w:kern w:val="2"/>
          <w:sz w:val="21"/>
          <w:szCs w:val="21"/>
          <w:highlight w:val="none"/>
          <w:lang w:val="en-US" w:eastAsia="zh-CN" w:bidi="ar-SA"/>
        </w:rPr>
        <w:t>：</w:t>
      </w:r>
    </w:p>
    <w:p w14:paraId="65FCD6E0">
      <w:pPr>
        <w:pStyle w:val="11"/>
        <w:numPr>
          <w:ilvl w:val="0"/>
          <w:numId w:val="0"/>
        </w:numPr>
        <w:spacing w:line="440" w:lineRule="exact"/>
        <w:ind w:firstLine="444" w:firstLineChars="200"/>
        <w:rPr>
          <w:rFonts w:hint="eastAsia"/>
          <w:color w:val="000000"/>
          <w:sz w:val="21"/>
          <w:szCs w:val="21"/>
          <w:highlight w:val="none"/>
          <w:lang w:val="en-US" w:eastAsia="zh-CN"/>
        </w:rPr>
      </w:pPr>
      <w:r>
        <w:rPr>
          <w:rFonts w:hint="eastAsia" w:hAnsi="宋体" w:cs="宋体"/>
          <w:color w:val="000000"/>
          <w:spacing w:val="6"/>
          <w:kern w:val="2"/>
          <w:sz w:val="21"/>
          <w:szCs w:val="21"/>
          <w:highlight w:val="none"/>
          <w:u w:val="none"/>
          <w:lang w:val="en-US" w:eastAsia="zh-CN" w:bidi="ar-SA"/>
        </w:rPr>
        <w:t>1.</w:t>
      </w:r>
      <w:r>
        <w:rPr>
          <w:rFonts w:hint="eastAsia" w:hAnsi="宋体" w:cs="宋体"/>
          <w:color w:val="000000"/>
          <w:spacing w:val="6"/>
          <w:kern w:val="2"/>
          <w:sz w:val="21"/>
          <w:szCs w:val="21"/>
          <w:highlight w:val="none"/>
          <w:u w:val="single"/>
          <w:lang w:val="en-US" w:eastAsia="zh-CN" w:bidi="ar-SA"/>
        </w:rPr>
        <w:t xml:space="preserve">（标的名称） </w:t>
      </w:r>
      <w:r>
        <w:rPr>
          <w:rFonts w:hint="eastAsia" w:hAnsi="宋体" w:cs="宋体"/>
          <w:color w:val="000000"/>
          <w:spacing w:val="6"/>
          <w:kern w:val="2"/>
          <w:sz w:val="21"/>
          <w:szCs w:val="21"/>
          <w:highlight w:val="none"/>
          <w:lang w:val="en-US" w:eastAsia="zh-CN" w:bidi="ar-SA"/>
        </w:rPr>
        <w:t>，属于</w:t>
      </w:r>
      <w:r>
        <w:rPr>
          <w:rFonts w:hint="eastAsia" w:hAnsi="宋体" w:cs="宋体"/>
          <w:color w:val="000000"/>
          <w:spacing w:val="6"/>
          <w:kern w:val="2"/>
          <w:sz w:val="21"/>
          <w:szCs w:val="21"/>
          <w:highlight w:val="none"/>
          <w:u w:val="single"/>
          <w:lang w:val="en-US" w:eastAsia="zh-CN" w:bidi="ar-SA"/>
        </w:rPr>
        <w:t>（采购文件中明确的所属行业）</w:t>
      </w:r>
      <w:r>
        <w:rPr>
          <w:rFonts w:hint="eastAsia" w:hAnsi="宋体" w:cs="宋体"/>
          <w:color w:val="000000"/>
          <w:spacing w:val="6"/>
          <w:kern w:val="2"/>
          <w:sz w:val="21"/>
          <w:szCs w:val="21"/>
          <w:highlight w:val="none"/>
          <w:lang w:val="en-US" w:eastAsia="zh-CN" w:bidi="ar-SA"/>
        </w:rPr>
        <w:t>； 承建（承接）企业为（</w:t>
      </w:r>
      <w:r>
        <w:rPr>
          <w:rFonts w:hint="eastAsia" w:hAnsi="宋体" w:cs="宋体"/>
          <w:color w:val="000000"/>
          <w:spacing w:val="6"/>
          <w:kern w:val="2"/>
          <w:sz w:val="21"/>
          <w:szCs w:val="21"/>
          <w:highlight w:val="none"/>
          <w:u w:val="single"/>
          <w:lang w:val="en-US" w:eastAsia="zh-CN" w:bidi="ar-SA"/>
        </w:rPr>
        <w:t>企业名称</w:t>
      </w:r>
      <w:r>
        <w:rPr>
          <w:rFonts w:hint="eastAsia" w:hAnsi="宋体" w:cs="宋体"/>
          <w:color w:val="000000"/>
          <w:spacing w:val="6"/>
          <w:kern w:val="2"/>
          <w:sz w:val="21"/>
          <w:szCs w:val="21"/>
          <w:highlight w:val="none"/>
          <w:lang w:val="en-US" w:eastAsia="zh-CN" w:bidi="ar-SA"/>
        </w:rPr>
        <w:t>），从业人员</w:t>
      </w:r>
      <w:r>
        <w:rPr>
          <w:rFonts w:hint="eastAsia" w:hAnsi="宋体" w:cs="宋体"/>
          <w:color w:val="000000"/>
          <w:spacing w:val="6"/>
          <w:kern w:val="2"/>
          <w:sz w:val="21"/>
          <w:szCs w:val="21"/>
          <w:highlight w:val="none"/>
          <w:u w:val="single"/>
          <w:lang w:val="en-US" w:eastAsia="zh-CN" w:bidi="ar-SA"/>
        </w:rPr>
        <w:t xml:space="preserve">   </w:t>
      </w:r>
      <w:r>
        <w:rPr>
          <w:rFonts w:hint="eastAsia" w:hAnsi="宋体" w:cs="宋体"/>
          <w:color w:val="000000"/>
          <w:spacing w:val="6"/>
          <w:kern w:val="2"/>
          <w:sz w:val="21"/>
          <w:szCs w:val="21"/>
          <w:highlight w:val="none"/>
          <w:lang w:val="en-US" w:eastAsia="zh-CN" w:bidi="ar-SA"/>
        </w:rPr>
        <w:t>人，营业 收入为</w:t>
      </w:r>
      <w:r>
        <w:rPr>
          <w:rFonts w:hint="eastAsia" w:hAnsi="宋体" w:cs="宋体"/>
          <w:color w:val="000000"/>
          <w:spacing w:val="6"/>
          <w:kern w:val="2"/>
          <w:sz w:val="21"/>
          <w:szCs w:val="21"/>
          <w:highlight w:val="none"/>
          <w:u w:val="single"/>
          <w:lang w:val="en-US" w:eastAsia="zh-CN" w:bidi="ar-SA"/>
        </w:rPr>
        <w:t xml:space="preserve">  </w:t>
      </w:r>
      <w:r>
        <w:rPr>
          <w:rFonts w:hint="eastAsia" w:hAnsi="宋体" w:cs="宋体"/>
          <w:color w:val="000000"/>
          <w:spacing w:val="6"/>
          <w:kern w:val="2"/>
          <w:sz w:val="21"/>
          <w:szCs w:val="21"/>
          <w:highlight w:val="none"/>
          <w:lang w:val="en-US" w:eastAsia="zh-CN" w:bidi="ar-SA"/>
        </w:rPr>
        <w:t>万元，资产总额为</w:t>
      </w:r>
      <w:r>
        <w:rPr>
          <w:rFonts w:hint="eastAsia" w:hAnsi="宋体" w:cs="宋体"/>
          <w:color w:val="000000"/>
          <w:spacing w:val="6"/>
          <w:kern w:val="2"/>
          <w:sz w:val="21"/>
          <w:szCs w:val="21"/>
          <w:highlight w:val="none"/>
          <w:u w:val="single"/>
          <w:lang w:val="en-US" w:eastAsia="zh-CN" w:bidi="ar-SA"/>
        </w:rPr>
        <w:t xml:space="preserve">  </w:t>
      </w:r>
      <w:r>
        <w:rPr>
          <w:rFonts w:hint="eastAsia" w:hAnsi="宋体" w:cs="宋体"/>
          <w:color w:val="000000"/>
          <w:spacing w:val="6"/>
          <w:kern w:val="2"/>
          <w:sz w:val="21"/>
          <w:szCs w:val="21"/>
          <w:highlight w:val="none"/>
          <w:lang w:val="en-US" w:eastAsia="zh-CN" w:bidi="ar-SA"/>
        </w:rPr>
        <w:t>万元，属于（</w:t>
      </w:r>
      <w:r>
        <w:rPr>
          <w:rFonts w:hint="eastAsia" w:hAnsi="宋体" w:cs="宋体"/>
          <w:color w:val="000000"/>
          <w:spacing w:val="6"/>
          <w:kern w:val="2"/>
          <w:sz w:val="21"/>
          <w:szCs w:val="21"/>
          <w:highlight w:val="none"/>
          <w:u w:val="single"/>
          <w:lang w:val="en-US" w:eastAsia="zh-CN" w:bidi="ar-SA"/>
        </w:rPr>
        <w:t>中型企业、 小型企业、微型企业</w:t>
      </w:r>
      <w:r>
        <w:rPr>
          <w:rFonts w:hint="eastAsia" w:hAnsi="宋体" w:cs="宋体"/>
          <w:color w:val="000000"/>
          <w:spacing w:val="6"/>
          <w:kern w:val="2"/>
          <w:sz w:val="21"/>
          <w:szCs w:val="21"/>
          <w:highlight w:val="none"/>
          <w:lang w:val="en-US" w:eastAsia="zh-CN" w:bidi="ar-SA"/>
        </w:rPr>
        <w:t>）</w:t>
      </w:r>
    </w:p>
    <w:p w14:paraId="587C7ED8">
      <w:pPr>
        <w:keepNext w:val="0"/>
        <w:keepLines w:val="0"/>
        <w:widowControl/>
        <w:suppressLineNumbers w:val="0"/>
        <w:ind w:firstLine="444" w:firstLineChars="200"/>
        <w:jc w:val="left"/>
        <w:rPr>
          <w:rFonts w:hint="eastAsia" w:ascii="宋体" w:hAnsi="宋体" w:cs="宋体"/>
          <w:color w:val="000000"/>
          <w:spacing w:val="6"/>
          <w:kern w:val="2"/>
          <w:sz w:val="21"/>
          <w:szCs w:val="21"/>
          <w:highlight w:val="none"/>
          <w:u w:val="none"/>
          <w:lang w:val="en-US" w:eastAsia="zh-CN" w:bidi="ar-SA"/>
        </w:rPr>
      </w:pPr>
      <w:r>
        <w:rPr>
          <w:rFonts w:hint="eastAsia" w:ascii="宋体" w:hAnsi="宋体" w:cs="宋体"/>
          <w:color w:val="000000"/>
          <w:spacing w:val="6"/>
          <w:kern w:val="2"/>
          <w:sz w:val="21"/>
          <w:szCs w:val="21"/>
          <w:highlight w:val="none"/>
          <w:u w:val="none"/>
          <w:lang w:val="en-US" w:eastAsia="zh-CN" w:bidi="ar-SA"/>
        </w:rPr>
        <w:t>2.</w:t>
      </w:r>
      <w:r>
        <w:rPr>
          <w:rFonts w:hint="eastAsia" w:ascii="宋体" w:hAnsi="宋体" w:cs="宋体"/>
          <w:color w:val="000000"/>
          <w:spacing w:val="6"/>
          <w:kern w:val="2"/>
          <w:sz w:val="21"/>
          <w:szCs w:val="21"/>
          <w:highlight w:val="none"/>
          <w:u w:val="single"/>
          <w:lang w:val="en-US" w:eastAsia="zh-CN" w:bidi="ar-SA"/>
        </w:rPr>
        <w:t xml:space="preserve">（标的名称） </w:t>
      </w:r>
      <w:r>
        <w:rPr>
          <w:rFonts w:hint="eastAsia" w:ascii="宋体" w:hAnsi="宋体" w:cs="宋体"/>
          <w:color w:val="000000"/>
          <w:spacing w:val="6"/>
          <w:kern w:val="2"/>
          <w:sz w:val="21"/>
          <w:szCs w:val="21"/>
          <w:highlight w:val="none"/>
          <w:u w:val="none"/>
          <w:lang w:val="en-US" w:eastAsia="zh-CN" w:bidi="ar-SA"/>
        </w:rPr>
        <w:t>，属于</w:t>
      </w:r>
      <w:r>
        <w:rPr>
          <w:rFonts w:hint="eastAsia" w:ascii="宋体" w:hAnsi="宋体" w:cs="宋体"/>
          <w:color w:val="000000"/>
          <w:spacing w:val="6"/>
          <w:kern w:val="2"/>
          <w:sz w:val="21"/>
          <w:szCs w:val="21"/>
          <w:highlight w:val="none"/>
          <w:u w:val="single"/>
          <w:lang w:val="en-US" w:eastAsia="zh-CN" w:bidi="ar-SA"/>
        </w:rPr>
        <w:t>（采购文件中明确的所属行业）</w:t>
      </w:r>
      <w:r>
        <w:rPr>
          <w:rFonts w:hint="eastAsia" w:ascii="宋体" w:hAnsi="宋体" w:cs="宋体"/>
          <w:color w:val="000000"/>
          <w:spacing w:val="6"/>
          <w:kern w:val="2"/>
          <w:sz w:val="21"/>
          <w:szCs w:val="21"/>
          <w:highlight w:val="none"/>
          <w:u w:val="none"/>
          <w:lang w:val="en-US" w:eastAsia="zh-CN" w:bidi="ar-SA"/>
        </w:rPr>
        <w:t>；承建（承接）企业为（</w:t>
      </w:r>
      <w:r>
        <w:rPr>
          <w:rFonts w:hint="eastAsia" w:ascii="宋体" w:hAnsi="宋体" w:cs="宋体"/>
          <w:color w:val="000000"/>
          <w:spacing w:val="6"/>
          <w:kern w:val="2"/>
          <w:sz w:val="21"/>
          <w:szCs w:val="21"/>
          <w:highlight w:val="none"/>
          <w:u w:val="single"/>
          <w:lang w:val="en-US" w:eastAsia="zh-CN" w:bidi="ar-SA"/>
        </w:rPr>
        <w:t>企业名称</w:t>
      </w:r>
      <w:r>
        <w:rPr>
          <w:rFonts w:hint="eastAsia" w:ascii="宋体" w:hAnsi="宋体" w:cs="宋体"/>
          <w:color w:val="000000"/>
          <w:spacing w:val="6"/>
          <w:kern w:val="2"/>
          <w:sz w:val="21"/>
          <w:szCs w:val="21"/>
          <w:highlight w:val="none"/>
          <w:u w:val="none"/>
          <w:lang w:val="en-US" w:eastAsia="zh-CN" w:bidi="ar-SA"/>
        </w:rPr>
        <w:t>），从业人员</w:t>
      </w:r>
      <w:r>
        <w:rPr>
          <w:rFonts w:hint="eastAsia" w:ascii="宋体" w:hAnsi="宋体" w:cs="宋体"/>
          <w:color w:val="000000"/>
          <w:spacing w:val="6"/>
          <w:kern w:val="2"/>
          <w:sz w:val="21"/>
          <w:szCs w:val="21"/>
          <w:highlight w:val="none"/>
          <w:u w:val="single"/>
          <w:lang w:val="en-US" w:eastAsia="zh-CN" w:bidi="ar-SA"/>
        </w:rPr>
        <w:t xml:space="preserve">  </w:t>
      </w:r>
      <w:r>
        <w:rPr>
          <w:rFonts w:hint="eastAsia" w:ascii="宋体" w:hAnsi="宋体" w:cs="宋体"/>
          <w:color w:val="000000"/>
          <w:spacing w:val="6"/>
          <w:kern w:val="2"/>
          <w:sz w:val="21"/>
          <w:szCs w:val="21"/>
          <w:highlight w:val="none"/>
          <w:u w:val="none"/>
          <w:lang w:val="en-US" w:eastAsia="zh-CN" w:bidi="ar-SA"/>
        </w:rPr>
        <w:t>人，营业收入为</w:t>
      </w:r>
      <w:r>
        <w:rPr>
          <w:rFonts w:hint="eastAsia" w:ascii="宋体" w:hAnsi="宋体" w:cs="宋体"/>
          <w:color w:val="000000"/>
          <w:spacing w:val="6"/>
          <w:kern w:val="2"/>
          <w:sz w:val="21"/>
          <w:szCs w:val="21"/>
          <w:highlight w:val="none"/>
          <w:u w:val="single"/>
          <w:lang w:val="en-US" w:eastAsia="zh-CN" w:bidi="ar-SA"/>
        </w:rPr>
        <w:t xml:space="preserve">  </w:t>
      </w:r>
      <w:r>
        <w:rPr>
          <w:rFonts w:hint="eastAsia" w:ascii="宋体" w:hAnsi="宋体" w:cs="宋体"/>
          <w:color w:val="000000"/>
          <w:spacing w:val="6"/>
          <w:kern w:val="2"/>
          <w:sz w:val="21"/>
          <w:szCs w:val="21"/>
          <w:highlight w:val="none"/>
          <w:u w:val="none"/>
          <w:lang w:val="en-US" w:eastAsia="zh-CN" w:bidi="ar-SA"/>
        </w:rPr>
        <w:t>万元，资产总额为</w:t>
      </w:r>
      <w:r>
        <w:rPr>
          <w:rFonts w:hint="eastAsia" w:ascii="宋体" w:hAnsi="宋体" w:cs="宋体"/>
          <w:color w:val="000000"/>
          <w:spacing w:val="6"/>
          <w:kern w:val="2"/>
          <w:sz w:val="21"/>
          <w:szCs w:val="21"/>
          <w:highlight w:val="none"/>
          <w:u w:val="single"/>
          <w:lang w:val="en-US" w:eastAsia="zh-CN" w:bidi="ar-SA"/>
        </w:rPr>
        <w:t xml:space="preserve">  </w:t>
      </w:r>
      <w:r>
        <w:rPr>
          <w:rFonts w:hint="eastAsia" w:ascii="宋体" w:hAnsi="宋体" w:cs="宋体"/>
          <w:color w:val="000000"/>
          <w:spacing w:val="6"/>
          <w:kern w:val="2"/>
          <w:sz w:val="21"/>
          <w:szCs w:val="21"/>
          <w:highlight w:val="none"/>
          <w:u w:val="none"/>
          <w:lang w:val="en-US" w:eastAsia="zh-CN" w:bidi="ar-SA"/>
        </w:rPr>
        <w:t>万元，属于（</w:t>
      </w:r>
      <w:r>
        <w:rPr>
          <w:rFonts w:hint="eastAsia" w:ascii="宋体" w:hAnsi="宋体" w:cs="宋体"/>
          <w:color w:val="000000"/>
          <w:spacing w:val="6"/>
          <w:kern w:val="2"/>
          <w:sz w:val="21"/>
          <w:szCs w:val="21"/>
          <w:highlight w:val="none"/>
          <w:u w:val="single"/>
          <w:lang w:val="en-US" w:eastAsia="zh-CN" w:bidi="ar-SA"/>
        </w:rPr>
        <w:t>中型企业、 小型企业、微型企业</w:t>
      </w:r>
      <w:r>
        <w:rPr>
          <w:rFonts w:hint="eastAsia" w:ascii="宋体" w:hAnsi="宋体" w:cs="宋体"/>
          <w:color w:val="000000"/>
          <w:spacing w:val="6"/>
          <w:kern w:val="2"/>
          <w:sz w:val="21"/>
          <w:szCs w:val="21"/>
          <w:highlight w:val="none"/>
          <w:u w:val="none"/>
          <w:lang w:val="en-US" w:eastAsia="zh-CN" w:bidi="ar-SA"/>
        </w:rPr>
        <w:t>）；</w:t>
      </w:r>
    </w:p>
    <w:p w14:paraId="58486537">
      <w:pPr>
        <w:pStyle w:val="6"/>
        <w:ind w:left="0" w:leftChars="0" w:firstLine="0" w:firstLineChars="0"/>
        <w:rPr>
          <w:rFonts w:hint="eastAsia"/>
          <w:color w:val="000000"/>
          <w:sz w:val="21"/>
          <w:szCs w:val="21"/>
          <w:highlight w:val="none"/>
          <w:lang w:val="en-US" w:eastAsia="zh-CN"/>
        </w:rPr>
      </w:pPr>
      <w:r>
        <w:rPr>
          <w:rFonts w:hint="eastAsia"/>
          <w:color w:val="000000"/>
          <w:sz w:val="21"/>
          <w:szCs w:val="21"/>
          <w:highlight w:val="none"/>
          <w:lang w:val="en-US" w:eastAsia="zh-CN"/>
        </w:rPr>
        <w:t>……</w:t>
      </w:r>
    </w:p>
    <w:p w14:paraId="4CE8C2C9">
      <w:pPr>
        <w:keepNext w:val="0"/>
        <w:keepLines w:val="0"/>
        <w:widowControl/>
        <w:suppressLineNumbers w:val="0"/>
        <w:jc w:val="left"/>
        <w:rPr>
          <w:rFonts w:hint="eastAsia" w:ascii="宋体" w:hAnsi="宋体" w:cs="宋体"/>
          <w:color w:val="000000"/>
          <w:spacing w:val="6"/>
          <w:kern w:val="2"/>
          <w:sz w:val="21"/>
          <w:szCs w:val="21"/>
          <w:highlight w:val="none"/>
          <w:lang w:val="en-US" w:eastAsia="zh-CN" w:bidi="ar-SA"/>
        </w:rPr>
      </w:pPr>
      <w:r>
        <w:rPr>
          <w:rFonts w:hint="eastAsia" w:ascii="宋体" w:hAnsi="宋体" w:cs="宋体"/>
          <w:color w:val="000000"/>
          <w:spacing w:val="6"/>
          <w:kern w:val="2"/>
          <w:sz w:val="21"/>
          <w:szCs w:val="21"/>
          <w:highlight w:val="none"/>
          <w:lang w:val="en-US" w:eastAsia="zh-CN" w:bidi="ar-SA"/>
        </w:rPr>
        <w:t>以上企业，不属于大企业的分支机构，不存在控股股东为大企业的情形，也不存在与大企业的负责人为同一人的情形。</w:t>
      </w:r>
    </w:p>
    <w:p w14:paraId="008D5EAA">
      <w:pPr>
        <w:keepNext w:val="0"/>
        <w:keepLines w:val="0"/>
        <w:widowControl/>
        <w:suppressLineNumbers w:val="0"/>
        <w:jc w:val="left"/>
        <w:rPr>
          <w:rFonts w:hint="eastAsia" w:ascii="宋体" w:hAnsi="宋体" w:cs="宋体"/>
          <w:color w:val="000000"/>
          <w:spacing w:val="6"/>
          <w:kern w:val="2"/>
          <w:sz w:val="21"/>
          <w:szCs w:val="21"/>
          <w:highlight w:val="none"/>
          <w:lang w:val="en-US" w:eastAsia="zh-CN" w:bidi="ar-SA"/>
        </w:rPr>
      </w:pPr>
      <w:r>
        <w:rPr>
          <w:rFonts w:hint="eastAsia" w:ascii="宋体" w:hAnsi="宋体" w:cs="宋体"/>
          <w:color w:val="000000"/>
          <w:spacing w:val="6"/>
          <w:kern w:val="2"/>
          <w:sz w:val="21"/>
          <w:szCs w:val="21"/>
          <w:highlight w:val="none"/>
          <w:lang w:val="en-US" w:eastAsia="zh-CN" w:bidi="ar-SA"/>
        </w:rPr>
        <w:t xml:space="preserve">本企业对上述声明内容的真实性负责。如有虚假，将依法承担相应责任。 </w:t>
      </w:r>
    </w:p>
    <w:p w14:paraId="1798BD86">
      <w:pPr>
        <w:pStyle w:val="32"/>
        <w:spacing w:after="40" w:line="400" w:lineRule="exact"/>
        <w:ind w:firstLine="640"/>
        <w:jc w:val="both"/>
        <w:rPr>
          <w:rFonts w:hint="eastAsia"/>
          <w:color w:val="000000"/>
          <w:sz w:val="24"/>
          <w:szCs w:val="24"/>
          <w:highlight w:val="none"/>
        </w:rPr>
      </w:pPr>
    </w:p>
    <w:p w14:paraId="08361F33">
      <w:pPr>
        <w:pStyle w:val="32"/>
        <w:spacing w:line="400" w:lineRule="exact"/>
        <w:ind w:firstLine="640"/>
        <w:jc w:val="both"/>
        <w:rPr>
          <w:rFonts w:hint="eastAsia" w:ascii="宋体" w:hAnsi="宋体" w:eastAsia="宋体" w:cs="宋体"/>
          <w:color w:val="000000"/>
          <w:spacing w:val="6"/>
          <w:kern w:val="2"/>
          <w:sz w:val="21"/>
          <w:szCs w:val="21"/>
          <w:highlight w:val="none"/>
          <w:lang w:val="en-US" w:eastAsia="zh-CN" w:bidi="ar-SA"/>
        </w:rPr>
      </w:pP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rFonts w:hint="eastAsia" w:ascii="宋体" w:hAnsi="宋体" w:eastAsia="宋体" w:cs="宋体"/>
          <w:color w:val="000000"/>
          <w:spacing w:val="6"/>
          <w:kern w:val="2"/>
          <w:sz w:val="21"/>
          <w:szCs w:val="21"/>
          <w:highlight w:val="none"/>
          <w:lang w:val="en-US" w:eastAsia="zh-CN" w:bidi="ar-SA"/>
        </w:rPr>
        <w:t xml:space="preserve">                        企业名称[盖公章（CA签章）]：</w:t>
      </w:r>
    </w:p>
    <w:p w14:paraId="65B8BD8F">
      <w:pPr>
        <w:pStyle w:val="32"/>
        <w:spacing w:line="400" w:lineRule="exact"/>
        <w:ind w:firstLine="640"/>
        <w:jc w:val="both"/>
        <w:rPr>
          <w:rFonts w:hint="eastAsia" w:ascii="宋体" w:hAnsi="宋体" w:eastAsia="宋体" w:cs="宋体"/>
          <w:color w:val="000000"/>
          <w:spacing w:val="6"/>
          <w:kern w:val="2"/>
          <w:sz w:val="21"/>
          <w:szCs w:val="21"/>
          <w:highlight w:val="none"/>
          <w:lang w:val="en-US" w:eastAsia="zh-CN" w:bidi="ar-SA"/>
        </w:rPr>
      </w:pPr>
      <w:r>
        <w:rPr>
          <w:rFonts w:hint="eastAsia" w:ascii="宋体" w:hAnsi="宋体" w:eastAsia="宋体" w:cs="宋体"/>
          <w:color w:val="000000"/>
          <w:spacing w:val="6"/>
          <w:kern w:val="2"/>
          <w:sz w:val="21"/>
          <w:szCs w:val="21"/>
          <w:highlight w:val="none"/>
          <w:lang w:val="en-US" w:eastAsia="zh-CN" w:bidi="ar-SA"/>
        </w:rPr>
        <w:t xml:space="preserve">                                                   日期：</w:t>
      </w:r>
    </w:p>
    <w:p w14:paraId="361A5DBF">
      <w:pPr>
        <w:pStyle w:val="11"/>
        <w:numPr>
          <w:ilvl w:val="0"/>
          <w:numId w:val="0"/>
        </w:numPr>
        <w:spacing w:line="440" w:lineRule="exact"/>
        <w:ind w:firstLine="422" w:firstLineChars="200"/>
        <w:rPr>
          <w:rFonts w:hAnsi="宋体" w:cs="宋体"/>
          <w:b/>
          <w:color w:val="000000"/>
          <w:sz w:val="21"/>
          <w:szCs w:val="21"/>
          <w:highlight w:val="none"/>
        </w:rPr>
      </w:pPr>
      <w:r>
        <w:rPr>
          <w:rFonts w:ascii="宋体" w:hAnsi="宋体" w:cs="宋体"/>
          <w:b/>
          <w:color w:val="000000"/>
          <w:kern w:val="2"/>
          <w:sz w:val="21"/>
          <w:szCs w:val="21"/>
          <w:lang w:val="en-US" w:eastAsia="zh-CN" w:bidi="ar-SA"/>
        </w:rPr>
        <w:t>1、</w:t>
      </w:r>
      <w:r>
        <w:rPr>
          <w:rFonts w:hint="eastAsia" w:hAnsi="宋体" w:cs="宋体"/>
          <w:b/>
          <w:bCs/>
          <w:color w:val="000000"/>
          <w:sz w:val="21"/>
          <w:szCs w:val="21"/>
          <w:highlight w:val="none"/>
        </w:rPr>
        <w:t>注：</w:t>
      </w:r>
      <w:r>
        <w:rPr>
          <w:rFonts w:hint="eastAsia" w:hAnsi="宋体" w:cs="宋体"/>
          <w:b/>
          <w:bCs/>
          <w:color w:val="000000"/>
          <w:sz w:val="21"/>
          <w:szCs w:val="21"/>
          <w:highlight w:val="none"/>
          <w:lang w:val="en-US" w:eastAsia="zh-CN"/>
        </w:rPr>
        <w:t>从业人员、营业收入、资产总额填报上一年度数据，无上一年度数据的新成立企业可不填报。</w:t>
      </w:r>
    </w:p>
    <w:p w14:paraId="0DADF6E6">
      <w:pPr>
        <w:pStyle w:val="6"/>
        <w:ind w:left="0"/>
        <w:rPr>
          <w:rFonts w:hint="eastAsia" w:ascii="宋体" w:hAnsi="宋体" w:cs="宋体"/>
          <w:color w:val="000000" w:themeColor="text1"/>
          <w14:textFill>
            <w14:solidFill>
              <w14:schemeClr w14:val="tx1"/>
            </w14:solidFill>
          </w14:textFill>
        </w:rPr>
      </w:pPr>
    </w:p>
    <w:p w14:paraId="26FE429F">
      <w:pPr>
        <w:pStyle w:val="8"/>
        <w:rPr>
          <w:rFonts w:hint="eastAsia" w:ascii="宋体" w:hAnsi="宋体" w:cs="宋体"/>
          <w:color w:val="000000" w:themeColor="text1"/>
          <w14:textFill>
            <w14:solidFill>
              <w14:schemeClr w14:val="tx1"/>
            </w14:solidFill>
          </w14:textFill>
        </w:rPr>
      </w:pPr>
    </w:p>
    <w:p w14:paraId="034E82D1">
      <w:pPr>
        <w:widowControl/>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18"/>
          <w:szCs w:val="18"/>
          <w:vertAlign w:val="superscript"/>
          <w:lang w:bidi="ar"/>
          <w14:textFill>
            <w14:solidFill>
              <w14:schemeClr w14:val="tx1"/>
            </w14:solidFill>
          </w14:textFill>
        </w:rPr>
        <w:t>1</w:t>
      </w:r>
      <w:r>
        <w:rPr>
          <w:rFonts w:hint="eastAsia" w:ascii="宋体" w:hAnsi="宋体" w:cs="宋体"/>
          <w:color w:val="000000" w:themeColor="text1"/>
          <w:kern w:val="0"/>
          <w:sz w:val="18"/>
          <w:szCs w:val="18"/>
          <w:lang w:bidi="ar"/>
          <w14:textFill>
            <w14:solidFill>
              <w14:schemeClr w14:val="tx1"/>
            </w14:solidFill>
          </w14:textFill>
        </w:rPr>
        <w:t>从业人员、营业收入、资产总额填报上一年度数据，无上一年度数据的新成立企业可不填报。</w:t>
      </w:r>
    </w:p>
    <w:p w14:paraId="75FD301D">
      <w:pPr>
        <w:pStyle w:val="11"/>
        <w:spacing w:line="440" w:lineRule="exact"/>
        <w:ind w:firstLine="504" w:firstLineChars="200"/>
        <w:rPr>
          <w:rFonts w:hint="eastAsia" w:hAnsi="宋体" w:cs="宋体"/>
          <w:color w:val="000000" w:themeColor="text1"/>
          <w:spacing w:val="6"/>
          <w:sz w:val="24"/>
          <w:szCs w:val="24"/>
          <w14:textFill>
            <w14:solidFill>
              <w14:schemeClr w14:val="tx1"/>
            </w14:solidFill>
          </w14:textFill>
        </w:rPr>
      </w:pPr>
    </w:p>
    <w:p w14:paraId="0D2BBE7A">
      <w:pPr>
        <w:pStyle w:val="11"/>
        <w:spacing w:line="440" w:lineRule="exact"/>
        <w:rPr>
          <w:rFonts w:hint="eastAsia" w:hAnsi="宋体" w:cs="宋体"/>
          <w:b/>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 xml:space="preserve"> </w:t>
      </w:r>
    </w:p>
    <w:p w14:paraId="62371520">
      <w:pPr>
        <w:rPr>
          <w:rFonts w:hint="eastAsia" w:ascii="宋体" w:hAnsi="宋体" w:cs="宋体"/>
          <w:b/>
          <w:bCs/>
          <w:color w:val="000000" w:themeColor="text1"/>
          <w:sz w:val="24"/>
          <w14:textFill>
            <w14:solidFill>
              <w14:schemeClr w14:val="tx1"/>
            </w14:solidFill>
          </w14:textFill>
        </w:rPr>
      </w:pPr>
    </w:p>
    <w:p w14:paraId="76325F6A">
      <w:pPr>
        <w:rPr>
          <w:rFonts w:hint="eastAsia" w:ascii="宋体" w:hAnsi="宋体" w:cs="宋体"/>
          <w:color w:val="000000" w:themeColor="text1"/>
          <w14:textFill>
            <w14:solidFill>
              <w14:schemeClr w14:val="tx1"/>
            </w14:solidFill>
          </w14:textFill>
        </w:rPr>
      </w:pPr>
    </w:p>
    <w:p w14:paraId="058349D7">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6.如提供服务的供应商属于监狱企业的，应当提供由省级以上监狱管理局、戒毒管理局等（含新疆生产建设兵团）出具的属于监狱企业的证明文件（如供应商属于监狱企业的，如有，请提供）；</w:t>
      </w:r>
    </w:p>
    <w:p w14:paraId="18B478FA">
      <w:pPr>
        <w:pStyle w:val="6"/>
        <w:rPr>
          <w:rFonts w:hint="eastAsia" w:ascii="宋体" w:hAnsi="宋体" w:cs="宋体"/>
          <w:color w:val="000000" w:themeColor="text1"/>
          <w14:textFill>
            <w14:solidFill>
              <w14:schemeClr w14:val="tx1"/>
            </w14:solidFill>
          </w14:textFill>
        </w:rPr>
      </w:pPr>
    </w:p>
    <w:p w14:paraId="5E91C751">
      <w:pPr>
        <w:pStyle w:val="11"/>
        <w:spacing w:line="340" w:lineRule="exact"/>
        <w:rPr>
          <w:rFonts w:hint="eastAsia" w:hAnsi="宋体" w:cs="宋体"/>
          <w:b/>
          <w:color w:val="000000" w:themeColor="text1"/>
          <w:sz w:val="28"/>
          <w:szCs w:val="28"/>
          <w14:textFill>
            <w14:solidFill>
              <w14:schemeClr w14:val="tx1"/>
            </w14:solidFill>
          </w14:textFill>
        </w:rPr>
      </w:pPr>
    </w:p>
    <w:p w14:paraId="1998469E">
      <w:pPr>
        <w:rPr>
          <w:rFonts w:hint="eastAsia" w:ascii="宋体" w:hAnsi="宋体" w:cs="宋体"/>
          <w:b/>
          <w:color w:val="000000" w:themeColor="text1"/>
          <w:sz w:val="28"/>
          <w:szCs w:val="28"/>
          <w14:textFill>
            <w14:solidFill>
              <w14:schemeClr w14:val="tx1"/>
            </w14:solidFill>
          </w14:textFill>
        </w:rPr>
      </w:pPr>
    </w:p>
    <w:p w14:paraId="01D9ED39">
      <w:pPr>
        <w:pStyle w:val="3"/>
        <w:rPr>
          <w:rFonts w:hint="eastAsia" w:ascii="宋体" w:hAnsi="宋体" w:cs="宋体"/>
          <w:b/>
          <w:color w:val="000000" w:themeColor="text1"/>
          <w:szCs w:val="28"/>
          <w:lang w:val="en-US"/>
          <w14:textFill>
            <w14:solidFill>
              <w14:schemeClr w14:val="tx1"/>
            </w14:solidFill>
          </w14:textFill>
        </w:rPr>
      </w:pPr>
    </w:p>
    <w:p w14:paraId="206E64AC"/>
    <w:p w14:paraId="4618E078">
      <w:pPr>
        <w:pStyle w:val="11"/>
        <w:spacing w:line="340" w:lineRule="exact"/>
        <w:rPr>
          <w:rFonts w:hint="eastAsia"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7.《残疾人福利性单位声明函》（见附件）（如供应商属于残疾人福利性单位的，如有，请提供）；</w:t>
      </w:r>
    </w:p>
    <w:p w14:paraId="43683F19">
      <w:pPr>
        <w:pStyle w:val="25"/>
        <w:rPr>
          <w:rFonts w:hint="eastAsia" w:ascii="宋体" w:hAnsi="宋体" w:cs="宋体"/>
          <w:b/>
          <w:color w:val="000000" w:themeColor="text1"/>
          <w:spacing w:val="6"/>
          <w:sz w:val="28"/>
          <w:szCs w:val="28"/>
          <w14:textFill>
            <w14:solidFill>
              <w14:schemeClr w14:val="tx1"/>
            </w14:solidFill>
          </w14:textFill>
        </w:rPr>
      </w:pPr>
    </w:p>
    <w:p w14:paraId="11498451">
      <w:pPr>
        <w:spacing w:line="588" w:lineRule="exact"/>
        <w:jc w:val="center"/>
        <w:rPr>
          <w:rFonts w:hint="eastAsia" w:ascii="宋体" w:hAnsi="宋体" w:cs="宋体"/>
          <w:b/>
          <w:color w:val="000000" w:themeColor="text1"/>
          <w:spacing w:val="6"/>
          <w:sz w:val="28"/>
          <w:szCs w:val="28"/>
          <w14:textFill>
            <w14:solidFill>
              <w14:schemeClr w14:val="tx1"/>
            </w14:solidFill>
          </w14:textFill>
        </w:rPr>
      </w:pPr>
      <w:r>
        <w:rPr>
          <w:rFonts w:hint="eastAsia" w:ascii="宋体" w:hAnsi="宋体" w:cs="宋体"/>
          <w:b/>
          <w:color w:val="000000" w:themeColor="text1"/>
          <w:spacing w:val="6"/>
          <w:sz w:val="28"/>
          <w:szCs w:val="28"/>
          <w14:textFill>
            <w14:solidFill>
              <w14:schemeClr w14:val="tx1"/>
            </w14:solidFill>
          </w14:textFill>
        </w:rPr>
        <w:t>残疾人福利性单位声明函</w:t>
      </w:r>
    </w:p>
    <w:p w14:paraId="4C65CFEC">
      <w:pPr>
        <w:spacing w:line="588"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s="宋体"/>
          <w:color w:val="000000" w:themeColor="text1"/>
          <w:sz w:val="24"/>
          <w14:textFill>
            <w14:solidFill>
              <w14:schemeClr w14:val="tx1"/>
            </w14:solidFill>
          </w14:textFill>
        </w:rPr>
        <w:t>〔2017〕141</w:t>
      </w:r>
      <w:r>
        <w:rPr>
          <w:rFonts w:hint="eastAsia" w:ascii="宋体" w:hAnsi="宋体" w:cs="宋体"/>
          <w:color w:val="000000" w:themeColor="text1"/>
          <w:spacing w:val="6"/>
          <w:sz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E668EC">
      <w:pPr>
        <w:spacing w:line="588"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14:paraId="3A541DEC">
      <w:pPr>
        <w:rPr>
          <w:rFonts w:hint="eastAsia" w:ascii="宋体" w:hAnsi="宋体" w:cs="宋体"/>
          <w:color w:val="000000" w:themeColor="text1"/>
          <w14:textFill>
            <w14:solidFill>
              <w14:schemeClr w14:val="tx1"/>
            </w14:solidFill>
          </w14:textFill>
        </w:rPr>
      </w:pPr>
    </w:p>
    <w:p w14:paraId="480CA7B2">
      <w:pPr>
        <w:tabs>
          <w:tab w:val="left" w:pos="4860"/>
        </w:tabs>
        <w:spacing w:line="588" w:lineRule="exact"/>
        <w:ind w:right="1560" w:firstLine="58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8"/>
          <w:szCs w:val="28"/>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 xml:space="preserve">  单位名称（</w:t>
      </w:r>
      <w:r>
        <w:rPr>
          <w:rFonts w:hint="eastAsia" w:ascii="宋体" w:hAnsi="宋体" w:cs="宋体"/>
          <w:color w:val="000000" w:themeColor="text1"/>
          <w:sz w:val="24"/>
          <w14:textFill>
            <w14:solidFill>
              <w14:schemeClr w14:val="tx1"/>
            </w14:solidFill>
          </w14:textFill>
        </w:rPr>
        <w:t>CA签章</w:t>
      </w:r>
      <w:r>
        <w:rPr>
          <w:rFonts w:hint="eastAsia" w:ascii="宋体" w:hAnsi="宋体" w:cs="宋体"/>
          <w:color w:val="000000" w:themeColor="text1"/>
          <w:spacing w:val="6"/>
          <w:sz w:val="24"/>
          <w14:textFill>
            <w14:solidFill>
              <w14:schemeClr w14:val="tx1"/>
            </w14:solidFill>
          </w14:textFill>
        </w:rPr>
        <w:t>）：</w:t>
      </w:r>
    </w:p>
    <w:p w14:paraId="288A4403">
      <w:pPr>
        <w:pStyle w:val="11"/>
        <w:ind w:firstLine="4032" w:firstLineChars="1600"/>
        <w:rPr>
          <w:rFonts w:hint="eastAsia" w:hAnsi="宋体" w:cs="宋体"/>
          <w:color w:val="000000" w:themeColor="text1"/>
          <w:spacing w:val="6"/>
          <w:sz w:val="24"/>
          <w:szCs w:val="24"/>
          <w14:textFill>
            <w14:solidFill>
              <w14:schemeClr w14:val="tx1"/>
            </w14:solidFill>
          </w14:textFill>
        </w:rPr>
      </w:pPr>
      <w:r>
        <w:rPr>
          <w:rFonts w:hint="eastAsia" w:hAnsi="宋体" w:cs="宋体"/>
          <w:color w:val="000000" w:themeColor="text1"/>
          <w:spacing w:val="6"/>
          <w:sz w:val="24"/>
          <w:szCs w:val="24"/>
          <w14:textFill>
            <w14:solidFill>
              <w14:schemeClr w14:val="tx1"/>
            </w14:solidFill>
          </w14:textFill>
        </w:rPr>
        <w:t>日    期：  年  月  日</w:t>
      </w:r>
    </w:p>
    <w:p w14:paraId="5B5FF397">
      <w:pPr>
        <w:pStyle w:val="8"/>
        <w:rPr>
          <w:rFonts w:hint="eastAsia" w:ascii="宋体" w:hAnsi="宋体" w:cs="宋体"/>
          <w:color w:val="000000" w:themeColor="text1"/>
          <w14:textFill>
            <w14:solidFill>
              <w14:schemeClr w14:val="tx1"/>
            </w14:solidFill>
          </w14:textFill>
        </w:rPr>
      </w:pPr>
    </w:p>
    <w:p w14:paraId="0B10D328">
      <w:pPr>
        <w:pStyle w:val="8"/>
        <w:rPr>
          <w:rFonts w:hint="eastAsia" w:ascii="宋体" w:hAnsi="宋体" w:cs="宋体"/>
          <w:color w:val="000000" w:themeColor="text1"/>
          <w14:textFill>
            <w14:solidFill>
              <w14:schemeClr w14:val="tx1"/>
            </w14:solidFill>
          </w14:textFill>
        </w:rPr>
      </w:pPr>
    </w:p>
    <w:p w14:paraId="1F815D35">
      <w:pPr>
        <w:pStyle w:val="8"/>
        <w:rPr>
          <w:rFonts w:hint="eastAsia" w:ascii="宋体" w:hAnsi="宋体" w:cs="宋体"/>
          <w:color w:val="000000" w:themeColor="text1"/>
          <w14:textFill>
            <w14:solidFill>
              <w14:schemeClr w14:val="tx1"/>
            </w14:solidFill>
          </w14:textFill>
        </w:rPr>
      </w:pPr>
    </w:p>
    <w:p w14:paraId="40E16C28">
      <w:pPr>
        <w:tabs>
          <w:tab w:val="left" w:pos="1305"/>
        </w:tabs>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w:t>
      </w:r>
      <w:r>
        <w:rPr>
          <w:rFonts w:hint="eastAsia" w:ascii="宋体" w:hAnsi="宋体" w:cs="宋体"/>
          <w:b/>
          <w:color w:val="000000" w:themeColor="text1"/>
          <w:szCs w:val="21"/>
          <w14:textFill>
            <w14:solidFill>
              <w14:schemeClr w14:val="tx1"/>
            </w14:solidFill>
          </w14:textFill>
        </w:rPr>
        <w:t>中标、成交供应商为残疾人福利性单位的，采购人或者其委托的采购代理机构应当随中标、成交结果同时公告其《残疾人福利性单位声明函》，接受社会监督</w:t>
      </w:r>
      <w:r>
        <w:rPr>
          <w:rFonts w:hint="eastAsia" w:ascii="宋体" w:hAnsi="宋体" w:cs="宋体"/>
          <w:color w:val="000000" w:themeColor="text1"/>
          <w:sz w:val="24"/>
          <w14:textFill>
            <w14:solidFill>
              <w14:schemeClr w14:val="tx1"/>
            </w14:solidFill>
          </w14:textFill>
        </w:rPr>
        <w:t>。</w:t>
      </w:r>
    </w:p>
    <w:p w14:paraId="22FF1353">
      <w:pPr>
        <w:rPr>
          <w:rFonts w:hint="eastAsia" w:ascii="宋体" w:hAnsi="宋体" w:cs="宋体"/>
          <w:color w:val="000000" w:themeColor="text1"/>
          <w14:textFill>
            <w14:solidFill>
              <w14:schemeClr w14:val="tx1"/>
            </w14:solidFill>
          </w14:textFill>
        </w:rPr>
      </w:pPr>
    </w:p>
    <w:sectPr>
      <w:pgSz w:w="11906" w:h="16838"/>
      <w:pgMar w:top="1440" w:right="935" w:bottom="1440" w:left="7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BD263">
    <w:pPr>
      <w:pStyle w:val="12"/>
      <w:pBdr>
        <w:bottom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2F175">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52F175">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7A05E380">
    <w:pPr>
      <w:pStyle w:val="12"/>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E4F0A">
    <w:pPr>
      <w:pStyle w:val="12"/>
      <w:pBdr>
        <w:bottom w:val="single" w:color="auto" w:sz="4" w:space="0"/>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A2AD2">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4A2AD2">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3E599DF2">
    <w:pPr>
      <w:pStyle w:val="12"/>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A92C">
    <w:pPr>
      <w:pStyle w:val="12"/>
      <w:pBdr>
        <w:bottom w:val="single" w:color="auto" w:sz="4" w:space="0"/>
      </w:pBdr>
      <w:tabs>
        <w:tab w:val="clear" w:pos="4153"/>
      </w:tabs>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06A7F">
                          <w:pPr>
                            <w:pStyle w:val="1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DF06A7F">
                    <w:pPr>
                      <w:pStyle w:val="12"/>
                    </w:pPr>
                    <w:r>
                      <w:fldChar w:fldCharType="begin"/>
                    </w:r>
                    <w:r>
                      <w:instrText xml:space="preserve"> PAGE  \* MERGEFORMAT </w:instrText>
                    </w:r>
                    <w:r>
                      <w:fldChar w:fldCharType="separate"/>
                    </w:r>
                    <w:r>
                      <w:t>- 3 -</w:t>
                    </w:r>
                    <w:r>
                      <w:fldChar w:fldCharType="end"/>
                    </w:r>
                  </w:p>
                </w:txbxContent>
              </v:textbox>
            </v:shape>
          </w:pict>
        </mc:Fallback>
      </mc:AlternateContent>
    </w:r>
  </w:p>
  <w:p w14:paraId="4B325943">
    <w:pPr>
      <w:pStyle w:val="12"/>
    </w:pPr>
    <w:r>
      <w:rPr>
        <w:rFonts w:hint="eastAsia"/>
      </w:rPr>
      <w:t>桂林市政府集中采购中心                                                                                 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C57C9">
    <w:pPr>
      <w:pStyle w:val="13"/>
      <w:jc w:val="left"/>
    </w:pPr>
    <w:r>
      <w:rPr>
        <w:rFonts w:hint="eastAsia" w:ascii="宋体" w:hAnsi="宋体" w:cs="宋体"/>
        <w:color w:val="000000" w:themeColor="text1"/>
        <w14:textFill>
          <w14:solidFill>
            <w14:schemeClr w14:val="tx1"/>
          </w14:solidFill>
        </w14:textFill>
      </w:rPr>
      <w:t>桂林国家高新区七星区数字城管应急指挥中心高清视频监控456个摄像头线路及平台服务项目       GLZC2025-C3-990195-GLSZ</w:t>
    </w: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C0CD">
    <w:pPr>
      <w:pStyle w:val="13"/>
      <w:jc w:val="left"/>
      <w:rPr>
        <w:color w:val="000000" w:themeColor="text1"/>
        <w:highlight w:val="yellow"/>
        <w14:textFill>
          <w14:solidFill>
            <w14:schemeClr w14:val="tx1"/>
          </w14:solidFill>
        </w14:textFill>
      </w:rPr>
    </w:pPr>
    <w:r>
      <w:rPr>
        <w:rFonts w:hint="eastAsia" w:ascii="宋体" w:hAnsi="宋体" w:cs="宋体"/>
        <w:color w:val="000000" w:themeColor="text1"/>
        <w14:textFill>
          <w14:solidFill>
            <w14:schemeClr w14:val="tx1"/>
          </w14:solidFill>
        </w14:textFill>
      </w:rPr>
      <w:t>桂林国家高新区七星区数字城管应急指挥中心高清视频监控456个摄像头线路及平台服务项目        GLZC2025-C3-990195-GLSZ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8F3076F7"/>
    <w:multiLevelType w:val="singleLevel"/>
    <w:tmpl w:val="8F3076F7"/>
    <w:lvl w:ilvl="0" w:tentative="0">
      <w:start w:val="1"/>
      <w:numFmt w:val="decimal"/>
      <w:suff w:val="nothing"/>
      <w:lvlText w:val="%1、"/>
      <w:lvlJc w:val="left"/>
    </w:lvl>
  </w:abstractNum>
  <w:abstractNum w:abstractNumId="2">
    <w:nsid w:val="BB4CF58C"/>
    <w:multiLevelType w:val="singleLevel"/>
    <w:tmpl w:val="BB4CF58C"/>
    <w:lvl w:ilvl="0" w:tentative="0">
      <w:start w:val="2"/>
      <w:numFmt w:val="decimal"/>
      <w:suff w:val="nothing"/>
      <w:lvlText w:val="（%1）"/>
      <w:lvlJc w:val="left"/>
    </w:lvl>
  </w:abstractNum>
  <w:abstractNum w:abstractNumId="3">
    <w:nsid w:val="F8DB3558"/>
    <w:multiLevelType w:val="singleLevel"/>
    <w:tmpl w:val="F8DB3558"/>
    <w:lvl w:ilvl="0" w:tentative="0">
      <w:start w:val="1"/>
      <w:numFmt w:val="decimal"/>
      <w:suff w:val="nothing"/>
      <w:lvlText w:val="（%1）"/>
      <w:lvlJc w:val="left"/>
    </w:lvl>
  </w:abstractNum>
  <w:abstractNum w:abstractNumId="4">
    <w:nsid w:val="023DC6C4"/>
    <w:multiLevelType w:val="singleLevel"/>
    <w:tmpl w:val="023DC6C4"/>
    <w:lvl w:ilvl="0" w:tentative="0">
      <w:start w:val="4"/>
      <w:numFmt w:val="decimal"/>
      <w:suff w:val="nothing"/>
      <w:lvlText w:val="（%1）"/>
      <w:lvlJc w:val="left"/>
    </w:lvl>
  </w:abstractNum>
  <w:abstractNum w:abstractNumId="5">
    <w:nsid w:val="0BFBAB98"/>
    <w:multiLevelType w:val="singleLevel"/>
    <w:tmpl w:val="0BFBAB98"/>
    <w:lvl w:ilvl="0" w:tentative="0">
      <w:start w:val="1"/>
      <w:numFmt w:val="decimal"/>
      <w:suff w:val="nothing"/>
      <w:lvlText w:val="%1、"/>
      <w:lvlJc w:val="left"/>
    </w:lvl>
  </w:abstractNum>
  <w:abstractNum w:abstractNumId="6">
    <w:nsid w:val="18ED4F94"/>
    <w:multiLevelType w:val="singleLevel"/>
    <w:tmpl w:val="18ED4F94"/>
    <w:lvl w:ilvl="0" w:tentative="0">
      <w:start w:val="1"/>
      <w:numFmt w:val="chineseCounting"/>
      <w:suff w:val="nothing"/>
      <w:lvlText w:val="（%1）"/>
      <w:lvlJc w:val="left"/>
      <w:rPr>
        <w:rFonts w:hint="eastAsia"/>
      </w:rPr>
    </w:lvl>
  </w:abstractNum>
  <w:abstractNum w:abstractNumId="7">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8">
    <w:nsid w:val="1FD97BE0"/>
    <w:multiLevelType w:val="singleLevel"/>
    <w:tmpl w:val="1FD97BE0"/>
    <w:lvl w:ilvl="0" w:tentative="0">
      <w:start w:val="1"/>
      <w:numFmt w:val="chineseCounting"/>
      <w:suff w:val="nothing"/>
      <w:lvlText w:val="（%1）"/>
      <w:lvlJc w:val="left"/>
      <w:rPr>
        <w:rFonts w:hint="eastAsia"/>
      </w:rPr>
    </w:lvl>
  </w:abstractNum>
  <w:abstractNum w:abstractNumId="9">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2EBEB4BA"/>
    <w:multiLevelType w:val="singleLevel"/>
    <w:tmpl w:val="2EBEB4BA"/>
    <w:lvl w:ilvl="0" w:tentative="0">
      <w:start w:val="26"/>
      <w:numFmt w:val="decimal"/>
      <w:suff w:val="space"/>
      <w:lvlText w:val="%1."/>
      <w:lvlJc w:val="left"/>
    </w:lvl>
  </w:abstractNum>
  <w:abstractNum w:abstractNumId="11">
    <w:nsid w:val="30C02995"/>
    <w:multiLevelType w:val="singleLevel"/>
    <w:tmpl w:val="30C02995"/>
    <w:lvl w:ilvl="0" w:tentative="0">
      <w:start w:val="1"/>
      <w:numFmt w:val="chineseCounting"/>
      <w:suff w:val="nothing"/>
      <w:lvlText w:val="（%1）"/>
      <w:lvlJc w:val="left"/>
      <w:rPr>
        <w:rFonts w:hint="eastAsia"/>
      </w:rPr>
    </w:lvl>
  </w:abstractNum>
  <w:abstractNum w:abstractNumId="12">
    <w:nsid w:val="393ADA10"/>
    <w:multiLevelType w:val="singleLevel"/>
    <w:tmpl w:val="393ADA10"/>
    <w:lvl w:ilvl="0" w:tentative="0">
      <w:start w:val="31"/>
      <w:numFmt w:val="decimal"/>
      <w:suff w:val="space"/>
      <w:lvlText w:val="%1."/>
      <w:lvlJc w:val="left"/>
      <w:rPr>
        <w:rFonts w:hint="default" w:ascii="宋体" w:hAnsi="宋体" w:eastAsia="宋体" w:cstheme="minorEastAsia"/>
        <w:b/>
        <w:bCs/>
      </w:rPr>
    </w:lvl>
  </w:abstractNum>
  <w:abstractNum w:abstractNumId="13">
    <w:nsid w:val="4603DC6E"/>
    <w:multiLevelType w:val="singleLevel"/>
    <w:tmpl w:val="4603DC6E"/>
    <w:lvl w:ilvl="0" w:tentative="0">
      <w:start w:val="2"/>
      <w:numFmt w:val="decimal"/>
      <w:suff w:val="nothing"/>
      <w:lvlText w:val="（%1）"/>
      <w:lvlJc w:val="left"/>
    </w:lvl>
  </w:abstractNum>
  <w:abstractNum w:abstractNumId="14">
    <w:nsid w:val="4A64B513"/>
    <w:multiLevelType w:val="singleLevel"/>
    <w:tmpl w:val="4A64B513"/>
    <w:lvl w:ilvl="0" w:tentative="0">
      <w:start w:val="1"/>
      <w:numFmt w:val="decimal"/>
      <w:lvlText w:val="%1."/>
      <w:lvlJc w:val="left"/>
      <w:pPr>
        <w:tabs>
          <w:tab w:val="left" w:pos="312"/>
        </w:tabs>
      </w:pPr>
    </w:lvl>
  </w:abstractNum>
  <w:abstractNum w:abstractNumId="15">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6">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6AD43707"/>
    <w:multiLevelType w:val="singleLevel"/>
    <w:tmpl w:val="6AD43707"/>
    <w:lvl w:ilvl="0" w:tentative="0">
      <w:start w:val="5"/>
      <w:numFmt w:val="decimal"/>
      <w:suff w:val="space"/>
      <w:lvlText w:val="%1."/>
      <w:lvlJc w:val="left"/>
    </w:lvl>
  </w:abstractNum>
  <w:num w:numId="1">
    <w:abstractNumId w:val="7"/>
  </w:num>
  <w:num w:numId="2">
    <w:abstractNumId w:val="17"/>
  </w:num>
  <w:num w:numId="3">
    <w:abstractNumId w:val="4"/>
  </w:num>
  <w:num w:numId="4">
    <w:abstractNumId w:val="3"/>
  </w:num>
  <w:num w:numId="5">
    <w:abstractNumId w:val="2"/>
  </w:num>
  <w:num w:numId="6">
    <w:abstractNumId w:val="10"/>
  </w:num>
  <w:num w:numId="7">
    <w:abstractNumId w:val="12"/>
  </w:num>
  <w:num w:numId="8">
    <w:abstractNumId w:val="6"/>
  </w:num>
  <w:num w:numId="9">
    <w:abstractNumId w:val="1"/>
  </w:num>
  <w:num w:numId="10">
    <w:abstractNumId w:val="11"/>
  </w:num>
  <w:num w:numId="11">
    <w:abstractNumId w:val="5"/>
  </w:num>
  <w:num w:numId="12">
    <w:abstractNumId w:val="13"/>
  </w:num>
  <w:num w:numId="13">
    <w:abstractNumId w:val="16"/>
    <w:lvlOverride w:ilvl="0">
      <w:startOverride w:val="2"/>
    </w:lvlOverride>
  </w:num>
  <w:num w:numId="14">
    <w:abstractNumId w:val="9"/>
    <w:lvlOverride w:ilvl="0">
      <w:startOverride w:val="2"/>
    </w:lvlOverride>
  </w:num>
  <w:num w:numId="15">
    <w:abstractNumId w:val="0"/>
  </w:num>
  <w:num w:numId="16">
    <w:abstractNumId w:val="8"/>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TVjYTQ1ODg4ZWFjOTVkNzYyNThlNjZmZjAwZWQifQ=="/>
  </w:docVars>
  <w:rsids>
    <w:rsidRoot w:val="00810747"/>
    <w:rsid w:val="00216035"/>
    <w:rsid w:val="00225378"/>
    <w:rsid w:val="00530B70"/>
    <w:rsid w:val="00594BCC"/>
    <w:rsid w:val="006040DE"/>
    <w:rsid w:val="00810747"/>
    <w:rsid w:val="0094282C"/>
    <w:rsid w:val="00A11EF1"/>
    <w:rsid w:val="00A86FD2"/>
    <w:rsid w:val="00A93AD7"/>
    <w:rsid w:val="0100033D"/>
    <w:rsid w:val="018E7169"/>
    <w:rsid w:val="01D3087D"/>
    <w:rsid w:val="01DA1F5E"/>
    <w:rsid w:val="0224187C"/>
    <w:rsid w:val="02306473"/>
    <w:rsid w:val="027345B1"/>
    <w:rsid w:val="02B95509"/>
    <w:rsid w:val="031406F5"/>
    <w:rsid w:val="036C7E00"/>
    <w:rsid w:val="03A46AC7"/>
    <w:rsid w:val="03FD6699"/>
    <w:rsid w:val="04491BB8"/>
    <w:rsid w:val="04F91234"/>
    <w:rsid w:val="05075F25"/>
    <w:rsid w:val="051031AE"/>
    <w:rsid w:val="055763DD"/>
    <w:rsid w:val="05822DD6"/>
    <w:rsid w:val="05E82D27"/>
    <w:rsid w:val="060C5A1F"/>
    <w:rsid w:val="065000D1"/>
    <w:rsid w:val="065B15E4"/>
    <w:rsid w:val="06D53145"/>
    <w:rsid w:val="06FD4AAE"/>
    <w:rsid w:val="076C2901"/>
    <w:rsid w:val="079A3A7D"/>
    <w:rsid w:val="07B94814"/>
    <w:rsid w:val="08181318"/>
    <w:rsid w:val="083F7130"/>
    <w:rsid w:val="0848088C"/>
    <w:rsid w:val="086C50AC"/>
    <w:rsid w:val="086F410F"/>
    <w:rsid w:val="088A4597"/>
    <w:rsid w:val="08AB0CC5"/>
    <w:rsid w:val="09120680"/>
    <w:rsid w:val="09523CC3"/>
    <w:rsid w:val="095C18FB"/>
    <w:rsid w:val="095F3199"/>
    <w:rsid w:val="09625C60"/>
    <w:rsid w:val="09D02317"/>
    <w:rsid w:val="09F83D38"/>
    <w:rsid w:val="0A7F7F97"/>
    <w:rsid w:val="0AA70314"/>
    <w:rsid w:val="0AAF3A7A"/>
    <w:rsid w:val="0B57681E"/>
    <w:rsid w:val="0B837613"/>
    <w:rsid w:val="0BEB51B8"/>
    <w:rsid w:val="0C511F62"/>
    <w:rsid w:val="0C6437C3"/>
    <w:rsid w:val="0C825799"/>
    <w:rsid w:val="0C9C22B2"/>
    <w:rsid w:val="0D026C5D"/>
    <w:rsid w:val="0D200E92"/>
    <w:rsid w:val="0D76638D"/>
    <w:rsid w:val="0D8F6142"/>
    <w:rsid w:val="0DA648C3"/>
    <w:rsid w:val="0DCE4E13"/>
    <w:rsid w:val="0DE50984"/>
    <w:rsid w:val="0E0C0298"/>
    <w:rsid w:val="0E3177FA"/>
    <w:rsid w:val="0E924889"/>
    <w:rsid w:val="0EA33B28"/>
    <w:rsid w:val="0EBA28D2"/>
    <w:rsid w:val="0ED463D8"/>
    <w:rsid w:val="0F152394"/>
    <w:rsid w:val="0F2549CB"/>
    <w:rsid w:val="0F27223E"/>
    <w:rsid w:val="0F64150A"/>
    <w:rsid w:val="0F6634D4"/>
    <w:rsid w:val="0F6B6C1D"/>
    <w:rsid w:val="0F704352"/>
    <w:rsid w:val="0F8C55A0"/>
    <w:rsid w:val="0FAA5ED0"/>
    <w:rsid w:val="0FBE604B"/>
    <w:rsid w:val="0FF73B0C"/>
    <w:rsid w:val="10480E2B"/>
    <w:rsid w:val="10AF7892"/>
    <w:rsid w:val="110660A6"/>
    <w:rsid w:val="11403395"/>
    <w:rsid w:val="114F789B"/>
    <w:rsid w:val="11597C91"/>
    <w:rsid w:val="11B51014"/>
    <w:rsid w:val="11FA23C3"/>
    <w:rsid w:val="12086AC4"/>
    <w:rsid w:val="1228680F"/>
    <w:rsid w:val="12617F82"/>
    <w:rsid w:val="12AB1A09"/>
    <w:rsid w:val="12BE53D5"/>
    <w:rsid w:val="12FC7CAB"/>
    <w:rsid w:val="13280AA0"/>
    <w:rsid w:val="132F0080"/>
    <w:rsid w:val="138F5FD4"/>
    <w:rsid w:val="140D11E4"/>
    <w:rsid w:val="14661880"/>
    <w:rsid w:val="14C50C9C"/>
    <w:rsid w:val="14F055ED"/>
    <w:rsid w:val="1506135C"/>
    <w:rsid w:val="154A2F50"/>
    <w:rsid w:val="158E0196"/>
    <w:rsid w:val="15A32992"/>
    <w:rsid w:val="15D75A18"/>
    <w:rsid w:val="15DE6554"/>
    <w:rsid w:val="15FE02A2"/>
    <w:rsid w:val="16783AEC"/>
    <w:rsid w:val="16A135AF"/>
    <w:rsid w:val="16FC64CC"/>
    <w:rsid w:val="178E0439"/>
    <w:rsid w:val="17B46DA6"/>
    <w:rsid w:val="17F73B16"/>
    <w:rsid w:val="18332674"/>
    <w:rsid w:val="184F13F4"/>
    <w:rsid w:val="185F6D12"/>
    <w:rsid w:val="1869705A"/>
    <w:rsid w:val="18980476"/>
    <w:rsid w:val="18AD54A5"/>
    <w:rsid w:val="18C46C28"/>
    <w:rsid w:val="18E92A80"/>
    <w:rsid w:val="18EB4A4A"/>
    <w:rsid w:val="190855FC"/>
    <w:rsid w:val="19566367"/>
    <w:rsid w:val="19983FDD"/>
    <w:rsid w:val="1A41745E"/>
    <w:rsid w:val="1A420699"/>
    <w:rsid w:val="1A7538EC"/>
    <w:rsid w:val="1AA80E44"/>
    <w:rsid w:val="1AAF2DD5"/>
    <w:rsid w:val="1ABB044E"/>
    <w:rsid w:val="1AD91BE5"/>
    <w:rsid w:val="1B116885"/>
    <w:rsid w:val="1BE24908"/>
    <w:rsid w:val="1BFA4303"/>
    <w:rsid w:val="1C0C792F"/>
    <w:rsid w:val="1C624D13"/>
    <w:rsid w:val="1C84143D"/>
    <w:rsid w:val="1C8B48E5"/>
    <w:rsid w:val="1CAB69CA"/>
    <w:rsid w:val="1CDA70A8"/>
    <w:rsid w:val="1D1207F7"/>
    <w:rsid w:val="1D264315"/>
    <w:rsid w:val="1D39247F"/>
    <w:rsid w:val="1DF47EFC"/>
    <w:rsid w:val="1E0433AB"/>
    <w:rsid w:val="1E2F000C"/>
    <w:rsid w:val="1E937715"/>
    <w:rsid w:val="1EEE0DF0"/>
    <w:rsid w:val="1F183821"/>
    <w:rsid w:val="1F5A35D2"/>
    <w:rsid w:val="1F60531F"/>
    <w:rsid w:val="1FD22E3D"/>
    <w:rsid w:val="1FDA4BFF"/>
    <w:rsid w:val="1FE74446"/>
    <w:rsid w:val="205A504A"/>
    <w:rsid w:val="20B37D9B"/>
    <w:rsid w:val="20E648BC"/>
    <w:rsid w:val="210F2308"/>
    <w:rsid w:val="211846B7"/>
    <w:rsid w:val="21197C6C"/>
    <w:rsid w:val="211F672C"/>
    <w:rsid w:val="21207093"/>
    <w:rsid w:val="225455FE"/>
    <w:rsid w:val="2277112F"/>
    <w:rsid w:val="22AA7723"/>
    <w:rsid w:val="23716D7E"/>
    <w:rsid w:val="23C40371"/>
    <w:rsid w:val="23F2522B"/>
    <w:rsid w:val="24396880"/>
    <w:rsid w:val="243F20F7"/>
    <w:rsid w:val="2446347C"/>
    <w:rsid w:val="24485B15"/>
    <w:rsid w:val="24743B45"/>
    <w:rsid w:val="24961D0D"/>
    <w:rsid w:val="250B512D"/>
    <w:rsid w:val="25212425"/>
    <w:rsid w:val="253F23A5"/>
    <w:rsid w:val="2573442A"/>
    <w:rsid w:val="258E014A"/>
    <w:rsid w:val="25E33BEE"/>
    <w:rsid w:val="26E10F1D"/>
    <w:rsid w:val="26FB3479"/>
    <w:rsid w:val="272F7D88"/>
    <w:rsid w:val="273863DE"/>
    <w:rsid w:val="27840543"/>
    <w:rsid w:val="27CB43C4"/>
    <w:rsid w:val="28074CD0"/>
    <w:rsid w:val="28534CC7"/>
    <w:rsid w:val="28594C54"/>
    <w:rsid w:val="28E26223"/>
    <w:rsid w:val="295D0BC8"/>
    <w:rsid w:val="29953516"/>
    <w:rsid w:val="29B6075C"/>
    <w:rsid w:val="29D50B09"/>
    <w:rsid w:val="2AE15CAC"/>
    <w:rsid w:val="2AFD3577"/>
    <w:rsid w:val="2B2D2CB7"/>
    <w:rsid w:val="2B336409"/>
    <w:rsid w:val="2B352B08"/>
    <w:rsid w:val="2C772424"/>
    <w:rsid w:val="2C99771A"/>
    <w:rsid w:val="2D441F05"/>
    <w:rsid w:val="2D9613C0"/>
    <w:rsid w:val="2E1C4627"/>
    <w:rsid w:val="2E7A7B29"/>
    <w:rsid w:val="2E862DF3"/>
    <w:rsid w:val="2EB37960"/>
    <w:rsid w:val="2EC102CF"/>
    <w:rsid w:val="2F2F6467"/>
    <w:rsid w:val="2FB344DB"/>
    <w:rsid w:val="30297EDA"/>
    <w:rsid w:val="318D4498"/>
    <w:rsid w:val="31B149B4"/>
    <w:rsid w:val="31BF7BF7"/>
    <w:rsid w:val="31C2390C"/>
    <w:rsid w:val="322702FA"/>
    <w:rsid w:val="3229451B"/>
    <w:rsid w:val="32DE64A9"/>
    <w:rsid w:val="32EA39FB"/>
    <w:rsid w:val="33196C24"/>
    <w:rsid w:val="33572640"/>
    <w:rsid w:val="337A3E72"/>
    <w:rsid w:val="337C47C4"/>
    <w:rsid w:val="33EB47AB"/>
    <w:rsid w:val="343C2813"/>
    <w:rsid w:val="34B20E21"/>
    <w:rsid w:val="34C82D26"/>
    <w:rsid w:val="34D16D92"/>
    <w:rsid w:val="35033E7C"/>
    <w:rsid w:val="3525713B"/>
    <w:rsid w:val="35301D0A"/>
    <w:rsid w:val="355A28E3"/>
    <w:rsid w:val="35D54660"/>
    <w:rsid w:val="35DE3514"/>
    <w:rsid w:val="35E80603"/>
    <w:rsid w:val="369E0EF6"/>
    <w:rsid w:val="3733375B"/>
    <w:rsid w:val="375E31F0"/>
    <w:rsid w:val="37D2222D"/>
    <w:rsid w:val="37D66EDB"/>
    <w:rsid w:val="37F250A8"/>
    <w:rsid w:val="389153B5"/>
    <w:rsid w:val="38C46BF7"/>
    <w:rsid w:val="393378F9"/>
    <w:rsid w:val="3A322081"/>
    <w:rsid w:val="3AAE55F0"/>
    <w:rsid w:val="3AB573C6"/>
    <w:rsid w:val="3ADE7FCD"/>
    <w:rsid w:val="3AE3235D"/>
    <w:rsid w:val="3B07350D"/>
    <w:rsid w:val="3B721655"/>
    <w:rsid w:val="3B9308FD"/>
    <w:rsid w:val="3C1732DC"/>
    <w:rsid w:val="3CE97946"/>
    <w:rsid w:val="3D103642"/>
    <w:rsid w:val="3D145A6E"/>
    <w:rsid w:val="3D396BD8"/>
    <w:rsid w:val="3D736C38"/>
    <w:rsid w:val="3D8F3346"/>
    <w:rsid w:val="3DE934F6"/>
    <w:rsid w:val="3E286B85"/>
    <w:rsid w:val="3E6E4482"/>
    <w:rsid w:val="3E974BA8"/>
    <w:rsid w:val="3EA6791E"/>
    <w:rsid w:val="3ECA3969"/>
    <w:rsid w:val="3EEA117C"/>
    <w:rsid w:val="3F1F11DE"/>
    <w:rsid w:val="3FCA687E"/>
    <w:rsid w:val="400D7D0B"/>
    <w:rsid w:val="4075220D"/>
    <w:rsid w:val="40754A75"/>
    <w:rsid w:val="40E46AC7"/>
    <w:rsid w:val="40E50A48"/>
    <w:rsid w:val="40FC7F4D"/>
    <w:rsid w:val="41166258"/>
    <w:rsid w:val="417A5DD3"/>
    <w:rsid w:val="41967399"/>
    <w:rsid w:val="42377C6F"/>
    <w:rsid w:val="424C141A"/>
    <w:rsid w:val="427A0DB5"/>
    <w:rsid w:val="427A2817"/>
    <w:rsid w:val="429F0D52"/>
    <w:rsid w:val="42A930FC"/>
    <w:rsid w:val="42C910A8"/>
    <w:rsid w:val="43006D78"/>
    <w:rsid w:val="43344EEA"/>
    <w:rsid w:val="43651D76"/>
    <w:rsid w:val="43A37B4B"/>
    <w:rsid w:val="43B77931"/>
    <w:rsid w:val="4484172B"/>
    <w:rsid w:val="44EE472D"/>
    <w:rsid w:val="44FF5255"/>
    <w:rsid w:val="45A87672"/>
    <w:rsid w:val="463D7DE3"/>
    <w:rsid w:val="46AE3691"/>
    <w:rsid w:val="46B330BD"/>
    <w:rsid w:val="475C24EB"/>
    <w:rsid w:val="47A66758"/>
    <w:rsid w:val="47CB7BB4"/>
    <w:rsid w:val="47DC187E"/>
    <w:rsid w:val="47F72C56"/>
    <w:rsid w:val="47F92430"/>
    <w:rsid w:val="4822043E"/>
    <w:rsid w:val="483876EE"/>
    <w:rsid w:val="483F0499"/>
    <w:rsid w:val="48492CEC"/>
    <w:rsid w:val="484C255F"/>
    <w:rsid w:val="48557468"/>
    <w:rsid w:val="48833029"/>
    <w:rsid w:val="48CE11C6"/>
    <w:rsid w:val="48ED63DD"/>
    <w:rsid w:val="48FC3F85"/>
    <w:rsid w:val="49143C78"/>
    <w:rsid w:val="491F7C74"/>
    <w:rsid w:val="49AD702E"/>
    <w:rsid w:val="49F7299F"/>
    <w:rsid w:val="4A1E1CDA"/>
    <w:rsid w:val="4A4E5672"/>
    <w:rsid w:val="4A5D5D91"/>
    <w:rsid w:val="4A615E38"/>
    <w:rsid w:val="4A653DAC"/>
    <w:rsid w:val="4AF02D81"/>
    <w:rsid w:val="4B1044A4"/>
    <w:rsid w:val="4B6052BB"/>
    <w:rsid w:val="4B887D52"/>
    <w:rsid w:val="4BDF2047"/>
    <w:rsid w:val="4C48746A"/>
    <w:rsid w:val="4CA50490"/>
    <w:rsid w:val="4CEA55EC"/>
    <w:rsid w:val="4D085C18"/>
    <w:rsid w:val="4D153A30"/>
    <w:rsid w:val="4D4759EB"/>
    <w:rsid w:val="4DF07841"/>
    <w:rsid w:val="4E355844"/>
    <w:rsid w:val="4E3F5A59"/>
    <w:rsid w:val="4E5C54C6"/>
    <w:rsid w:val="4E8D742E"/>
    <w:rsid w:val="4ED048AC"/>
    <w:rsid w:val="4F4421E2"/>
    <w:rsid w:val="4F71031D"/>
    <w:rsid w:val="4FBC446F"/>
    <w:rsid w:val="500B71A4"/>
    <w:rsid w:val="50AB1369"/>
    <w:rsid w:val="50DD43F7"/>
    <w:rsid w:val="51456CD1"/>
    <w:rsid w:val="51F41765"/>
    <w:rsid w:val="52552603"/>
    <w:rsid w:val="52666914"/>
    <w:rsid w:val="533E276C"/>
    <w:rsid w:val="536E3CD2"/>
    <w:rsid w:val="537A3880"/>
    <w:rsid w:val="539577E7"/>
    <w:rsid w:val="53DE45D6"/>
    <w:rsid w:val="54482775"/>
    <w:rsid w:val="544C4D9E"/>
    <w:rsid w:val="548060ED"/>
    <w:rsid w:val="548B08B3"/>
    <w:rsid w:val="54977258"/>
    <w:rsid w:val="552A1E7A"/>
    <w:rsid w:val="558A20A7"/>
    <w:rsid w:val="55DB7536"/>
    <w:rsid w:val="562C1C22"/>
    <w:rsid w:val="56894D18"/>
    <w:rsid w:val="575E5568"/>
    <w:rsid w:val="57835872"/>
    <w:rsid w:val="581E2071"/>
    <w:rsid w:val="585645F5"/>
    <w:rsid w:val="58C919AA"/>
    <w:rsid w:val="58DB5A41"/>
    <w:rsid w:val="593B28A8"/>
    <w:rsid w:val="594F1EAF"/>
    <w:rsid w:val="59D72213"/>
    <w:rsid w:val="5A8C2C8F"/>
    <w:rsid w:val="5B1A029B"/>
    <w:rsid w:val="5B77749C"/>
    <w:rsid w:val="5B9E5E56"/>
    <w:rsid w:val="5BA37FCD"/>
    <w:rsid w:val="5BE732CC"/>
    <w:rsid w:val="5C007491"/>
    <w:rsid w:val="5C075B6D"/>
    <w:rsid w:val="5C162B49"/>
    <w:rsid w:val="5C54587E"/>
    <w:rsid w:val="5C5A4C54"/>
    <w:rsid w:val="5CBF4DCB"/>
    <w:rsid w:val="5D056076"/>
    <w:rsid w:val="5D184CAE"/>
    <w:rsid w:val="5E1D2F76"/>
    <w:rsid w:val="5E467EBE"/>
    <w:rsid w:val="5E847F27"/>
    <w:rsid w:val="5E985640"/>
    <w:rsid w:val="5EA40D32"/>
    <w:rsid w:val="5EB23D46"/>
    <w:rsid w:val="5ED354E6"/>
    <w:rsid w:val="5EE60CE9"/>
    <w:rsid w:val="5EF3065B"/>
    <w:rsid w:val="5F276DA9"/>
    <w:rsid w:val="5F9A5E4E"/>
    <w:rsid w:val="5FE76279"/>
    <w:rsid w:val="5FED5F7E"/>
    <w:rsid w:val="603A36FB"/>
    <w:rsid w:val="604016B3"/>
    <w:rsid w:val="60591866"/>
    <w:rsid w:val="605F48BD"/>
    <w:rsid w:val="60C618D1"/>
    <w:rsid w:val="60F726A5"/>
    <w:rsid w:val="60F8107F"/>
    <w:rsid w:val="61680316"/>
    <w:rsid w:val="617925EB"/>
    <w:rsid w:val="61E13DF7"/>
    <w:rsid w:val="62821DC8"/>
    <w:rsid w:val="629E6C38"/>
    <w:rsid w:val="62B64D4D"/>
    <w:rsid w:val="62F13FD7"/>
    <w:rsid w:val="6329551F"/>
    <w:rsid w:val="63416D0D"/>
    <w:rsid w:val="638B61DA"/>
    <w:rsid w:val="63BF5E84"/>
    <w:rsid w:val="63CA40E4"/>
    <w:rsid w:val="63D35447"/>
    <w:rsid w:val="64DA26C9"/>
    <w:rsid w:val="651F4987"/>
    <w:rsid w:val="657123B4"/>
    <w:rsid w:val="65AA315B"/>
    <w:rsid w:val="65AE1BAE"/>
    <w:rsid w:val="66D734E4"/>
    <w:rsid w:val="67386876"/>
    <w:rsid w:val="67C768D1"/>
    <w:rsid w:val="67EB1AD0"/>
    <w:rsid w:val="67F61C98"/>
    <w:rsid w:val="681B125A"/>
    <w:rsid w:val="68DB72BC"/>
    <w:rsid w:val="690A0C77"/>
    <w:rsid w:val="6922194D"/>
    <w:rsid w:val="69337D87"/>
    <w:rsid w:val="69413E1A"/>
    <w:rsid w:val="69590077"/>
    <w:rsid w:val="69621CAA"/>
    <w:rsid w:val="69960D5D"/>
    <w:rsid w:val="69AF0748"/>
    <w:rsid w:val="69FF2091"/>
    <w:rsid w:val="6A0C16F7"/>
    <w:rsid w:val="6A3F4EAA"/>
    <w:rsid w:val="6A4A0BD5"/>
    <w:rsid w:val="6A4D633E"/>
    <w:rsid w:val="6A9B4825"/>
    <w:rsid w:val="6AF83593"/>
    <w:rsid w:val="6B1E5B86"/>
    <w:rsid w:val="6B3B477B"/>
    <w:rsid w:val="6B535D44"/>
    <w:rsid w:val="6B6C68F1"/>
    <w:rsid w:val="6B9876E6"/>
    <w:rsid w:val="6BB3513A"/>
    <w:rsid w:val="6C6E48EB"/>
    <w:rsid w:val="6C6E6699"/>
    <w:rsid w:val="6C735895"/>
    <w:rsid w:val="6C9C7F3A"/>
    <w:rsid w:val="6CE35466"/>
    <w:rsid w:val="6D4A0EB4"/>
    <w:rsid w:val="6D691460"/>
    <w:rsid w:val="6D837F22"/>
    <w:rsid w:val="6DEF4134"/>
    <w:rsid w:val="6DF64B98"/>
    <w:rsid w:val="6E4C47B8"/>
    <w:rsid w:val="6E712470"/>
    <w:rsid w:val="6E8847B2"/>
    <w:rsid w:val="6EDB0E3B"/>
    <w:rsid w:val="6F141779"/>
    <w:rsid w:val="6F40431D"/>
    <w:rsid w:val="6F4446BA"/>
    <w:rsid w:val="6F4D6A39"/>
    <w:rsid w:val="6F72024E"/>
    <w:rsid w:val="6FC62348"/>
    <w:rsid w:val="6FF70753"/>
    <w:rsid w:val="7026759E"/>
    <w:rsid w:val="70D56AB2"/>
    <w:rsid w:val="70F9549B"/>
    <w:rsid w:val="711D41EA"/>
    <w:rsid w:val="71924FC1"/>
    <w:rsid w:val="719B6B25"/>
    <w:rsid w:val="71F413EE"/>
    <w:rsid w:val="729606F7"/>
    <w:rsid w:val="72AE7DEA"/>
    <w:rsid w:val="72C93C83"/>
    <w:rsid w:val="72D71FB6"/>
    <w:rsid w:val="72ED761A"/>
    <w:rsid w:val="72FF629D"/>
    <w:rsid w:val="731A4AE1"/>
    <w:rsid w:val="73994D87"/>
    <w:rsid w:val="74E4399C"/>
    <w:rsid w:val="74F55BA9"/>
    <w:rsid w:val="75117320"/>
    <w:rsid w:val="753752C0"/>
    <w:rsid w:val="75485532"/>
    <w:rsid w:val="75524DAA"/>
    <w:rsid w:val="75E5251D"/>
    <w:rsid w:val="75EA6D90"/>
    <w:rsid w:val="75FA5EB9"/>
    <w:rsid w:val="761F211F"/>
    <w:rsid w:val="7621715D"/>
    <w:rsid w:val="762229CE"/>
    <w:rsid w:val="76286BF4"/>
    <w:rsid w:val="7645008C"/>
    <w:rsid w:val="77093E9B"/>
    <w:rsid w:val="77C47AB5"/>
    <w:rsid w:val="77DD0911"/>
    <w:rsid w:val="77E34BBF"/>
    <w:rsid w:val="78304EC9"/>
    <w:rsid w:val="785858A1"/>
    <w:rsid w:val="78BD6A06"/>
    <w:rsid w:val="78C434C3"/>
    <w:rsid w:val="78D42685"/>
    <w:rsid w:val="795934A7"/>
    <w:rsid w:val="79725A1A"/>
    <w:rsid w:val="79865022"/>
    <w:rsid w:val="79C10582"/>
    <w:rsid w:val="79D16021"/>
    <w:rsid w:val="7A1545F8"/>
    <w:rsid w:val="7A24483B"/>
    <w:rsid w:val="7A862E00"/>
    <w:rsid w:val="7AF41E35"/>
    <w:rsid w:val="7B002BB2"/>
    <w:rsid w:val="7B044EA1"/>
    <w:rsid w:val="7B65510B"/>
    <w:rsid w:val="7B7427C3"/>
    <w:rsid w:val="7BB06386"/>
    <w:rsid w:val="7C2823C0"/>
    <w:rsid w:val="7C3E7E36"/>
    <w:rsid w:val="7C473CAE"/>
    <w:rsid w:val="7C5A4544"/>
    <w:rsid w:val="7C705DF9"/>
    <w:rsid w:val="7D471233"/>
    <w:rsid w:val="7DDD367E"/>
    <w:rsid w:val="7E114DDB"/>
    <w:rsid w:val="7E5C0B48"/>
    <w:rsid w:val="7ED92098"/>
    <w:rsid w:val="7EFB200E"/>
    <w:rsid w:val="7F8C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27"/>
    <w:qFormat/>
    <w:uiPriority w:val="0"/>
    <w:pPr>
      <w:keepNext/>
      <w:keepLines/>
      <w:spacing w:before="260" w:after="260"/>
      <w:outlineLvl w:val="2"/>
    </w:pPr>
    <w:rPr>
      <w:rFonts w:ascii="Calibri" w:hAnsi="Calibri"/>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annotation text"/>
    <w:basedOn w:val="1"/>
    <w:link w:val="30"/>
    <w:qFormat/>
    <w:uiPriority w:val="0"/>
    <w:pPr>
      <w:jc w:val="left"/>
    </w:pPr>
  </w:style>
  <w:style w:type="paragraph" w:styleId="8">
    <w:name w:val="Body Text"/>
    <w:basedOn w:val="1"/>
    <w:qFormat/>
    <w:uiPriority w:val="0"/>
  </w:style>
  <w:style w:type="paragraph" w:styleId="9">
    <w:name w:val="Body Text Indent"/>
    <w:basedOn w:val="1"/>
    <w:qFormat/>
    <w:uiPriority w:val="0"/>
    <w:pPr>
      <w:spacing w:after="120"/>
      <w:ind w:left="420" w:leftChars="200"/>
    </w:pPr>
  </w:style>
  <w:style w:type="paragraph" w:styleId="10">
    <w:name w:val="toc 3"/>
    <w:basedOn w:val="1"/>
    <w:next w:val="1"/>
    <w:unhideWhenUsed/>
    <w:qFormat/>
    <w:uiPriority w:val="39"/>
    <w:pPr>
      <w:ind w:left="840" w:leftChars="400"/>
    </w:pPr>
  </w:style>
  <w:style w:type="paragraph" w:styleId="11">
    <w:name w:val="Plain Text"/>
    <w:basedOn w:val="1"/>
    <w:next w:val="1"/>
    <w:qFormat/>
    <w:uiPriority w:val="99"/>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List 4"/>
    <w:basedOn w:val="1"/>
    <w:unhideWhenUsed/>
    <w:qFormat/>
    <w:uiPriority w:val="99"/>
    <w:pPr>
      <w:ind w:left="100" w:leftChars="600" w:hanging="200" w:hangingChars="200"/>
      <w:contextualSpacing/>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link w:val="31"/>
    <w:qFormat/>
    <w:uiPriority w:val="0"/>
    <w:rPr>
      <w:b/>
      <w:bCs/>
    </w:rPr>
  </w:style>
  <w:style w:type="paragraph" w:styleId="19">
    <w:name w:val="Body Text First Indent 2"/>
    <w:basedOn w:val="9"/>
    <w:unhideWhenUsed/>
    <w:qFormat/>
    <w:uiPriority w:val="99"/>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annotation reference"/>
    <w:basedOn w:val="22"/>
    <w:qFormat/>
    <w:uiPriority w:val="0"/>
    <w:rPr>
      <w:sz w:val="21"/>
      <w:szCs w:val="21"/>
    </w:rPr>
  </w:style>
  <w:style w:type="paragraph" w:customStyle="1" w:styleId="2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列表段落1"/>
    <w:basedOn w:val="1"/>
    <w:qFormat/>
    <w:uiPriority w:val="99"/>
    <w:pPr>
      <w:ind w:firstLine="420" w:firstLineChars="200"/>
    </w:pPr>
  </w:style>
  <w:style w:type="character" w:customStyle="1" w:styleId="27">
    <w:name w:val="标题 3 字符"/>
    <w:link w:val="4"/>
    <w:qFormat/>
    <w:uiPriority w:val="0"/>
    <w:rPr>
      <w:rFonts w:ascii="Calibri" w:hAnsi="Calibri" w:eastAsia="宋体"/>
      <w:b/>
      <w:sz w:val="32"/>
    </w:rPr>
  </w:style>
  <w:style w:type="paragraph" w:customStyle="1" w:styleId="28">
    <w:name w:val="Char1 Char Char Char Char Char Char"/>
    <w:basedOn w:val="1"/>
    <w:qFormat/>
    <w:uiPriority w:val="0"/>
    <w:rPr>
      <w:rFonts w:ascii="Tahoma" w:hAnsi="Tahoma"/>
      <w:sz w:val="24"/>
      <w:szCs w:val="20"/>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批注文字 字符"/>
    <w:basedOn w:val="22"/>
    <w:link w:val="7"/>
    <w:qFormat/>
    <w:uiPriority w:val="0"/>
    <w:rPr>
      <w:kern w:val="2"/>
      <w:sz w:val="21"/>
      <w:szCs w:val="24"/>
    </w:rPr>
  </w:style>
  <w:style w:type="character" w:customStyle="1" w:styleId="31">
    <w:name w:val="批注主题 字符"/>
    <w:basedOn w:val="30"/>
    <w:link w:val="18"/>
    <w:qFormat/>
    <w:uiPriority w:val="0"/>
    <w:rPr>
      <w:b/>
      <w:bCs/>
      <w:kern w:val="2"/>
      <w:sz w:val="21"/>
      <w:szCs w:val="24"/>
    </w:rPr>
  </w:style>
  <w:style w:type="paragraph" w:customStyle="1" w:styleId="32">
    <w:name w:val="Body text|1"/>
    <w:basedOn w:val="1"/>
    <w:qFormat/>
    <w:uiPriority w:val="0"/>
    <w:pPr>
      <w:spacing w:line="350" w:lineRule="auto"/>
      <w:ind w:firstLine="400"/>
      <w:jc w:val="left"/>
    </w:pPr>
    <w:rPr>
      <w:rFonts w:ascii="宋体" w:hAnsi="宋体" w:cs="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41286</Words>
  <Characters>44116</Characters>
  <Lines>368</Lines>
  <Paragraphs>103</Paragraphs>
  <TotalTime>30</TotalTime>
  <ScaleCrop>false</ScaleCrop>
  <LinksUpToDate>false</LinksUpToDate>
  <CharactersWithSpaces>47470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2025-06-17T00:28:00Z</dcterms:created>
  <dc:creator>Administrator</dc:creator>
  <cp:lastModifiedBy>萝卜</cp:lastModifiedBy>
  <cp:lastPrinted>2024-11-07T01:37:00Z</cp:lastPrinted>
  <dcterms:modified xsi:type="dcterms:W3CDTF">2025-07-04T02:30:43Z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3A4B8887405C498685E37F90D19A79AB_13</vt:lpwstr>
  </property>
  <property fmtid="{D5CDD505-2E9C-101B-9397-08002B2CF9AE}" pid="4" name="KSOTemplateDocerSaveRecord">
    <vt:lpwstr>eyJoZGlkIjoiZjNlZTEzMDI0YTcxMWIwNTY2YWRjODhjN2VkNDk3MzAiLCJ1c2VySWQiOiI1ODU2NTg3ODcifQ==</vt:lpwstr>
  </property>
</Properties>
</file>