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D8AFD">
      <w:pPr>
        <w:pStyle w:val="16"/>
        <w:jc w:val="center"/>
        <w:rPr>
          <w:rFonts w:hAnsi="宋体" w:cs="宋体"/>
          <w:b/>
          <w:bCs/>
          <w:color w:val="auto"/>
          <w:spacing w:val="80"/>
          <w:sz w:val="60"/>
          <w:szCs w:val="60"/>
          <w:highlight w:val="none"/>
        </w:rPr>
      </w:pPr>
      <w:bookmarkStart w:id="408" w:name="_GoBack"/>
      <w:r>
        <w:rPr>
          <w:rFonts w:hint="eastAsia" w:hAnsi="宋体" w:cs="宋体"/>
          <w:b/>
          <w:bCs/>
          <w:color w:val="auto"/>
          <w:spacing w:val="80"/>
          <w:sz w:val="60"/>
          <w:szCs w:val="60"/>
          <w:highlight w:val="none"/>
        </w:rPr>
        <w:t>桂林市政府集中采购中心</w:t>
      </w:r>
    </w:p>
    <w:p w14:paraId="4B04CAA4">
      <w:pPr>
        <w:pStyle w:val="16"/>
        <w:jc w:val="center"/>
        <w:rPr>
          <w:rFonts w:hAnsi="宋体" w:cs="宋体"/>
          <w:b/>
          <w:bCs/>
          <w:color w:val="auto"/>
          <w:spacing w:val="80"/>
          <w:sz w:val="72"/>
          <w:highlight w:val="none"/>
        </w:rPr>
      </w:pPr>
    </w:p>
    <w:p w14:paraId="74006BB3">
      <w:pPr>
        <w:pStyle w:val="16"/>
        <w:jc w:val="center"/>
        <w:rPr>
          <w:rFonts w:hAnsi="宋体" w:cs="宋体"/>
          <w:b/>
          <w:bCs/>
          <w:color w:val="auto"/>
          <w:sz w:val="72"/>
          <w:highlight w:val="none"/>
        </w:rPr>
      </w:pPr>
    </w:p>
    <w:p w14:paraId="569DA975">
      <w:pPr>
        <w:pStyle w:val="16"/>
        <w:jc w:val="center"/>
        <w:rPr>
          <w:rFonts w:hAnsi="宋体" w:cs="宋体"/>
          <w:color w:val="auto"/>
          <w:highlight w:val="none"/>
        </w:rPr>
      </w:pPr>
    </w:p>
    <w:p w14:paraId="53ADC818">
      <w:pPr>
        <w:spacing w:line="1400" w:lineRule="exact"/>
        <w:jc w:val="center"/>
        <w:rPr>
          <w:rFonts w:ascii="宋体" w:hAnsi="宋体" w:cs="宋体"/>
          <w:b/>
          <w:color w:val="auto"/>
          <w:spacing w:val="60"/>
          <w:sz w:val="112"/>
          <w:szCs w:val="112"/>
          <w:highlight w:val="none"/>
        </w:rPr>
      </w:pPr>
      <w:r>
        <w:rPr>
          <w:rFonts w:hint="eastAsia" w:ascii="宋体" w:hAnsi="宋体" w:cs="宋体"/>
          <w:b/>
          <w:color w:val="auto"/>
          <w:spacing w:val="60"/>
          <w:sz w:val="112"/>
          <w:szCs w:val="112"/>
          <w:highlight w:val="none"/>
        </w:rPr>
        <w:t>招标文件</w:t>
      </w:r>
    </w:p>
    <w:p w14:paraId="4570158C">
      <w:pPr>
        <w:pStyle w:val="16"/>
        <w:rPr>
          <w:rFonts w:hAnsi="宋体" w:cs="宋体"/>
          <w:color w:val="auto"/>
          <w:highlight w:val="none"/>
        </w:rPr>
      </w:pPr>
    </w:p>
    <w:p w14:paraId="6490671B">
      <w:pPr>
        <w:pStyle w:val="16"/>
        <w:ind w:firstLine="3885" w:firstLineChars="1850"/>
        <w:rPr>
          <w:rFonts w:hAnsi="宋体" w:cs="宋体"/>
          <w:color w:val="auto"/>
          <w:highlight w:val="none"/>
        </w:rPr>
      </w:pPr>
    </w:p>
    <w:p w14:paraId="291C9F1D">
      <w:pPr>
        <w:pStyle w:val="16"/>
        <w:rPr>
          <w:rFonts w:hAnsi="宋体" w:cs="宋体"/>
          <w:color w:val="auto"/>
          <w:highlight w:val="none"/>
        </w:rPr>
      </w:pPr>
    </w:p>
    <w:p w14:paraId="7E4406FA">
      <w:pPr>
        <w:pStyle w:val="16"/>
        <w:rPr>
          <w:rFonts w:hAnsi="宋体" w:cs="宋体"/>
          <w:color w:val="auto"/>
          <w:highlight w:val="none"/>
        </w:rPr>
      </w:pPr>
    </w:p>
    <w:p w14:paraId="77B5172D">
      <w:pPr>
        <w:pStyle w:val="16"/>
        <w:rPr>
          <w:rFonts w:hAnsi="宋体" w:cs="宋体"/>
          <w:color w:val="auto"/>
          <w:highlight w:val="none"/>
        </w:rPr>
      </w:pPr>
    </w:p>
    <w:p w14:paraId="2A0A6AD5">
      <w:pPr>
        <w:jc w:val="center"/>
        <w:rPr>
          <w:rFonts w:hint="eastAsia" w:ascii="宋体" w:hAnsi="宋体" w:eastAsia="宋体" w:cs="宋体"/>
          <w:b/>
          <w:bCs/>
          <w:color w:val="auto"/>
          <w:spacing w:val="-36"/>
          <w:w w:val="90"/>
          <w:sz w:val="32"/>
          <w:highlight w:val="none"/>
          <w:lang w:eastAsia="zh-CN"/>
        </w:rPr>
      </w:pPr>
      <w:r>
        <w:rPr>
          <w:rFonts w:hint="eastAsia" w:ascii="宋体" w:hAnsi="宋体" w:cs="宋体"/>
          <w:b/>
          <w:bCs/>
          <w:color w:val="auto"/>
          <w:spacing w:val="40"/>
          <w:sz w:val="32"/>
          <w:highlight w:val="none"/>
        </w:rPr>
        <w:t>项目名称：</w:t>
      </w:r>
      <w:r>
        <w:rPr>
          <w:rFonts w:hint="eastAsia" w:ascii="宋体" w:hAnsi="宋体" w:cs="宋体"/>
          <w:b/>
          <w:bCs/>
          <w:color w:val="auto"/>
          <w:spacing w:val="40"/>
          <w:sz w:val="32"/>
          <w:highlight w:val="none"/>
          <w:lang w:eastAsia="zh-CN"/>
        </w:rPr>
        <w:t>荔浦市教育局荔浦市学校扩班及更换教学设备设施采购项目（重1）</w:t>
      </w:r>
    </w:p>
    <w:p w14:paraId="3B877594">
      <w:pPr>
        <w:jc w:val="center"/>
        <w:rPr>
          <w:rFonts w:hint="eastAsia" w:ascii="宋体" w:hAnsi="宋体" w:eastAsia="宋体" w:cs="宋体"/>
          <w:b/>
          <w:bCs/>
          <w:color w:val="auto"/>
          <w:sz w:val="32"/>
          <w:highlight w:val="none"/>
          <w:lang w:eastAsia="zh-CN"/>
        </w:rPr>
      </w:pPr>
      <w:r>
        <w:rPr>
          <w:rFonts w:hint="eastAsia" w:ascii="宋体" w:hAnsi="宋体" w:cs="宋体"/>
          <w:b/>
          <w:bCs/>
          <w:color w:val="auto"/>
          <w:spacing w:val="40"/>
          <w:sz w:val="32"/>
          <w:highlight w:val="none"/>
        </w:rPr>
        <w:t>项目编号：</w:t>
      </w:r>
      <w:r>
        <w:rPr>
          <w:rFonts w:hint="eastAsia" w:ascii="宋体" w:hAnsi="宋体" w:cs="宋体"/>
          <w:b/>
          <w:bCs/>
          <w:color w:val="auto"/>
          <w:spacing w:val="40"/>
          <w:sz w:val="32"/>
          <w:highlight w:val="none"/>
          <w:lang w:eastAsia="zh-CN"/>
        </w:rPr>
        <w:t>GLZC2025-G1-310035-GLSZ</w:t>
      </w:r>
    </w:p>
    <w:p w14:paraId="7CEBE9BF">
      <w:pPr>
        <w:ind w:left="-2" w:leftChars="-1" w:firstLine="840" w:firstLineChars="400"/>
        <w:rPr>
          <w:rFonts w:ascii="宋体" w:hAnsi="宋体" w:cs="宋体"/>
          <w:color w:val="auto"/>
          <w:highlight w:val="none"/>
        </w:rPr>
      </w:pPr>
      <w:r>
        <w:rPr>
          <w:rFonts w:hint="eastAsia" w:ascii="宋体" w:hAnsi="宋体" w:cs="宋体"/>
          <w:color w:val="auto"/>
          <w:highlight w:val="none"/>
        </w:rPr>
        <w:cr/>
      </w:r>
    </w:p>
    <w:p w14:paraId="0B2479D9">
      <w:pPr>
        <w:ind w:left="-2" w:leftChars="-1" w:firstLine="840" w:firstLineChars="400"/>
        <w:rPr>
          <w:rFonts w:ascii="宋体" w:hAnsi="宋体" w:cs="宋体"/>
          <w:color w:val="auto"/>
          <w:highlight w:val="none"/>
        </w:rPr>
      </w:pPr>
    </w:p>
    <w:p w14:paraId="6461065B">
      <w:pPr>
        <w:ind w:left="-2" w:leftChars="-1" w:firstLine="630" w:firstLineChars="300"/>
        <w:rPr>
          <w:rFonts w:ascii="宋体" w:hAnsi="宋体" w:cs="宋体"/>
          <w:color w:val="auto"/>
          <w:highlight w:val="none"/>
        </w:rPr>
      </w:pPr>
      <w:r>
        <w:rPr>
          <w:rFonts w:hint="eastAsia" w:ascii="宋体" w:hAnsi="宋体" w:cs="宋体"/>
          <w:color w:val="auto"/>
          <w:highlight w:val="none"/>
        </w:rPr>
        <w:t>　</w:t>
      </w:r>
      <w:r>
        <w:rPr>
          <w:rFonts w:hint="eastAsia" w:ascii="宋体" w:hAnsi="宋体" w:cs="宋体"/>
          <w:color w:val="auto"/>
          <w:highlight w:val="none"/>
        </w:rPr>
        <w:tab/>
      </w:r>
    </w:p>
    <w:p w14:paraId="0261335B">
      <w:pPr>
        <w:ind w:left="103" w:leftChars="49" w:firstLine="1470" w:firstLineChars="700"/>
        <w:jc w:val="center"/>
        <w:rPr>
          <w:rFonts w:ascii="宋体" w:hAnsi="宋体" w:cs="宋体"/>
          <w:b/>
          <w:bCs/>
          <w:color w:val="auto"/>
          <w:spacing w:val="40"/>
          <w:sz w:val="32"/>
          <w:szCs w:val="32"/>
          <w:highlight w:val="none"/>
        </w:rPr>
      </w:pPr>
      <w:r>
        <w:rPr>
          <w:rFonts w:hint="eastAsia" w:ascii="宋体" w:hAnsi="宋体" w:cs="宋体"/>
          <w:color w:val="auto"/>
          <w:highlight w:val="none"/>
        </w:rPr>
        <w:cr/>
      </w:r>
      <w:r>
        <w:rPr>
          <w:rFonts w:hint="eastAsia" w:ascii="宋体" w:hAnsi="宋体" w:cs="宋体"/>
          <w:b/>
          <w:bCs/>
          <w:color w:val="auto"/>
          <w:spacing w:val="40"/>
          <w:sz w:val="32"/>
          <w:szCs w:val="32"/>
          <w:highlight w:val="none"/>
        </w:rPr>
        <w:t>采购代理机构：桂林市政府集中采购中心</w:t>
      </w:r>
    </w:p>
    <w:p w14:paraId="138DA22E">
      <w:pPr>
        <w:jc w:val="center"/>
        <w:rPr>
          <w:rFonts w:hint="eastAsia" w:ascii="宋体" w:hAnsi="宋体" w:eastAsia="宋体" w:cs="宋体"/>
          <w:b/>
          <w:bCs/>
          <w:color w:val="auto"/>
          <w:sz w:val="32"/>
          <w:highlight w:val="none"/>
          <w:lang w:eastAsia="zh-CN"/>
        </w:rPr>
      </w:pPr>
      <w:r>
        <w:rPr>
          <w:rFonts w:hint="eastAsia" w:ascii="宋体" w:hAnsi="宋体" w:cs="宋体"/>
          <w:b/>
          <w:bCs/>
          <w:color w:val="auto"/>
          <w:sz w:val="32"/>
          <w:highlight w:val="none"/>
          <w:lang w:eastAsia="zh-CN"/>
        </w:rPr>
        <w:t>2025年</w:t>
      </w:r>
      <w:r>
        <w:rPr>
          <w:rFonts w:hint="eastAsia" w:ascii="宋体" w:hAnsi="宋体" w:cs="宋体"/>
          <w:b/>
          <w:bCs/>
          <w:color w:val="auto"/>
          <w:sz w:val="32"/>
          <w:highlight w:val="none"/>
          <w:lang w:val="en-US" w:eastAsia="zh-CN"/>
        </w:rPr>
        <w:t>7</w:t>
      </w:r>
      <w:r>
        <w:rPr>
          <w:rFonts w:hint="eastAsia" w:ascii="宋体" w:hAnsi="宋体" w:cs="宋体"/>
          <w:b/>
          <w:bCs/>
          <w:color w:val="auto"/>
          <w:sz w:val="32"/>
          <w:highlight w:val="none"/>
          <w:lang w:eastAsia="zh-CN"/>
        </w:rPr>
        <w:t>月</w:t>
      </w:r>
      <w:r>
        <w:rPr>
          <w:rFonts w:hint="eastAsia" w:ascii="宋体" w:hAnsi="宋体" w:cs="宋体"/>
          <w:b/>
          <w:bCs/>
          <w:color w:val="auto"/>
          <w:sz w:val="32"/>
          <w:highlight w:val="none"/>
          <w:lang w:val="en-US" w:eastAsia="zh-CN"/>
        </w:rPr>
        <w:t>18</w:t>
      </w:r>
      <w:r>
        <w:rPr>
          <w:rFonts w:hint="eastAsia" w:ascii="宋体" w:hAnsi="宋体" w:cs="宋体"/>
          <w:b/>
          <w:bCs/>
          <w:color w:val="auto"/>
          <w:sz w:val="32"/>
          <w:highlight w:val="none"/>
          <w:lang w:eastAsia="zh-CN"/>
        </w:rPr>
        <w:t>日</w:t>
      </w:r>
    </w:p>
    <w:p w14:paraId="526CDA62">
      <w:pPr>
        <w:jc w:val="center"/>
        <w:rPr>
          <w:rFonts w:ascii="宋体" w:hAnsi="宋体" w:cs="宋体"/>
          <w:bCs/>
          <w:color w:val="auto"/>
          <w:sz w:val="30"/>
          <w:szCs w:val="30"/>
          <w:highlight w:val="none"/>
        </w:rPr>
      </w:pPr>
    </w:p>
    <w:p w14:paraId="6AD9D958">
      <w:pPr>
        <w:pStyle w:val="115"/>
        <w:jc w:val="center"/>
        <w:rPr>
          <w:rFonts w:ascii="宋体" w:hAnsi="宋体" w:eastAsia="宋体" w:cs="宋体"/>
          <w:color w:val="auto"/>
          <w:highlight w:val="none"/>
          <w:lang w:val="zh-CN"/>
        </w:rPr>
        <w:sectPr>
          <w:headerReference r:id="rId3" w:type="default"/>
          <w:footerReference r:id="rId4" w:type="default"/>
          <w:pgSz w:w="11906" w:h="16838"/>
          <w:pgMar w:top="1440" w:right="1080" w:bottom="1440" w:left="1080" w:header="851" w:footer="992" w:gutter="0"/>
          <w:pgNumType w:fmt="numberInDash"/>
          <w:cols w:space="720" w:num="1"/>
          <w:docGrid w:type="lines" w:linePitch="312" w:charSpace="0"/>
        </w:sectPr>
      </w:pPr>
    </w:p>
    <w:p w14:paraId="49D737D4">
      <w:pPr>
        <w:jc w:val="center"/>
        <w:rPr>
          <w:rFonts w:ascii="宋体" w:hAnsi="宋体" w:cs="宋体"/>
          <w:b/>
          <w:bCs/>
          <w:color w:val="auto"/>
          <w:highlight w:val="none"/>
        </w:rPr>
      </w:pPr>
      <w:r>
        <w:rPr>
          <w:rFonts w:hint="eastAsia" w:ascii="宋体" w:hAnsi="宋体" w:cs="宋体"/>
          <w:b/>
          <w:bCs/>
          <w:color w:val="auto"/>
          <w:highlight w:val="none"/>
        </w:rPr>
        <w:t>目 录</w:t>
      </w:r>
    </w:p>
    <w:p w14:paraId="1A974DE1">
      <w:pPr>
        <w:rPr>
          <w:rFonts w:ascii="宋体" w:hAnsi="宋体" w:cs="宋体"/>
          <w:color w:val="auto"/>
          <w:szCs w:val="21"/>
          <w:highlight w:val="none"/>
        </w:rPr>
      </w:pPr>
    </w:p>
    <w:p w14:paraId="43220E07">
      <w:pPr>
        <w:pStyle w:val="22"/>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TOC \o "1-3" \h \u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_Toc23145 </w:instrText>
      </w:r>
      <w:r>
        <w:rPr>
          <w:rFonts w:hint="eastAsia" w:ascii="宋体" w:hAnsi="宋体" w:cs="宋体"/>
          <w:color w:val="auto"/>
          <w:szCs w:val="21"/>
          <w:highlight w:val="none"/>
        </w:rPr>
        <w:fldChar w:fldCharType="separate"/>
      </w:r>
      <w:r>
        <w:rPr>
          <w:rFonts w:hint="eastAsia" w:ascii="宋体" w:hAnsi="宋体" w:cs="宋体"/>
          <w:color w:val="auto"/>
          <w:szCs w:val="32"/>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_Toc23145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cs="宋体"/>
          <w:color w:val="auto"/>
          <w:szCs w:val="21"/>
          <w:highlight w:val="none"/>
        </w:rPr>
        <w:fldChar w:fldCharType="end"/>
      </w:r>
    </w:p>
    <w:p w14:paraId="2FBC2F6B">
      <w:pPr>
        <w:pStyle w:val="22"/>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_Toc2177 </w:instrText>
      </w:r>
      <w:r>
        <w:rPr>
          <w:rFonts w:hint="eastAsia" w:ascii="宋体" w:hAnsi="宋体" w:cs="宋体"/>
          <w:color w:val="auto"/>
          <w:szCs w:val="21"/>
          <w:highlight w:val="none"/>
        </w:rPr>
        <w:fldChar w:fldCharType="separate"/>
      </w:r>
      <w:r>
        <w:rPr>
          <w:rFonts w:hint="eastAsia" w:ascii="宋体" w:hAnsi="宋体" w:cs="宋体"/>
          <w:bCs/>
          <w:color w:val="auto"/>
          <w:kern w:val="44"/>
          <w:szCs w:val="32"/>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_Toc2177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color w:val="auto"/>
          <w:szCs w:val="21"/>
          <w:highlight w:val="none"/>
        </w:rPr>
        <w:fldChar w:fldCharType="end"/>
      </w:r>
    </w:p>
    <w:p w14:paraId="57D3A9EB">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_Toc29166 </w:instrText>
      </w:r>
      <w:r>
        <w:rPr>
          <w:rFonts w:hint="eastAsia" w:ascii="宋体" w:hAnsi="宋体" w:cs="宋体"/>
          <w:color w:val="auto"/>
          <w:szCs w:val="21"/>
          <w:highlight w:val="none"/>
        </w:rPr>
        <w:fldChar w:fldCharType="separate"/>
      </w:r>
      <w:r>
        <w:rPr>
          <w:rFonts w:hint="eastAsia" w:ascii="宋体" w:hAnsi="宋体" w:cs="宋体"/>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_Toc29166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color w:val="auto"/>
          <w:szCs w:val="21"/>
          <w:highlight w:val="none"/>
        </w:rPr>
        <w:fldChar w:fldCharType="end"/>
      </w:r>
    </w:p>
    <w:p w14:paraId="619B88AC">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_Toc30267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一、总则</w:t>
      </w:r>
      <w:r>
        <w:rPr>
          <w:color w:val="auto"/>
          <w:highlight w:val="none"/>
        </w:rPr>
        <w:tab/>
      </w:r>
      <w:r>
        <w:rPr>
          <w:color w:val="auto"/>
          <w:highlight w:val="none"/>
        </w:rPr>
        <w:fldChar w:fldCharType="begin"/>
      </w:r>
      <w:r>
        <w:rPr>
          <w:color w:val="auto"/>
          <w:highlight w:val="none"/>
        </w:rPr>
        <w:instrText xml:space="preserve"> PAGEREF _Toc30267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7428BC04">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_Toc5249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 项目名称及项目编号</w:t>
      </w:r>
      <w:r>
        <w:rPr>
          <w:color w:val="auto"/>
          <w:highlight w:val="none"/>
        </w:rPr>
        <w:tab/>
      </w:r>
      <w:r>
        <w:rPr>
          <w:color w:val="auto"/>
          <w:highlight w:val="none"/>
        </w:rPr>
        <w:fldChar w:fldCharType="begin"/>
      </w:r>
      <w:r>
        <w:rPr>
          <w:color w:val="auto"/>
          <w:highlight w:val="none"/>
        </w:rPr>
        <w:instrText xml:space="preserve"> PAGEREF _Toc5249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00F06A13">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_Toc12634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 适应范围</w:t>
      </w:r>
      <w:r>
        <w:rPr>
          <w:color w:val="auto"/>
          <w:highlight w:val="none"/>
        </w:rPr>
        <w:tab/>
      </w:r>
      <w:r>
        <w:rPr>
          <w:color w:val="auto"/>
          <w:highlight w:val="none"/>
        </w:rPr>
        <w:fldChar w:fldCharType="begin"/>
      </w:r>
      <w:r>
        <w:rPr>
          <w:color w:val="auto"/>
          <w:highlight w:val="none"/>
        </w:rPr>
        <w:instrText xml:space="preserve"> PAGEREF _Toc12634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40127270">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_Toc18496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 定义</w:t>
      </w:r>
      <w:r>
        <w:rPr>
          <w:color w:val="auto"/>
          <w:highlight w:val="none"/>
        </w:rPr>
        <w:tab/>
      </w:r>
      <w:r>
        <w:rPr>
          <w:color w:val="auto"/>
          <w:highlight w:val="none"/>
        </w:rPr>
        <w:fldChar w:fldCharType="begin"/>
      </w:r>
      <w:r>
        <w:rPr>
          <w:color w:val="auto"/>
          <w:highlight w:val="none"/>
        </w:rPr>
        <w:instrText xml:space="preserve"> PAGEREF _Toc18496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712C508E">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_Toc32235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 招标方式、评分办法</w:t>
      </w:r>
      <w:r>
        <w:rPr>
          <w:color w:val="auto"/>
          <w:highlight w:val="none"/>
        </w:rPr>
        <w:tab/>
      </w:r>
      <w:r>
        <w:rPr>
          <w:color w:val="auto"/>
          <w:highlight w:val="none"/>
        </w:rPr>
        <w:fldChar w:fldCharType="begin"/>
      </w:r>
      <w:r>
        <w:rPr>
          <w:color w:val="auto"/>
          <w:highlight w:val="none"/>
        </w:rPr>
        <w:instrText xml:space="preserve"> PAGEREF _Toc32235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1B2771C7">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_Toc26051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 投标人资格</w:t>
      </w:r>
      <w:r>
        <w:rPr>
          <w:color w:val="auto"/>
          <w:highlight w:val="none"/>
        </w:rPr>
        <w:tab/>
      </w:r>
      <w:r>
        <w:rPr>
          <w:color w:val="auto"/>
          <w:highlight w:val="none"/>
        </w:rPr>
        <w:fldChar w:fldCharType="begin"/>
      </w:r>
      <w:r>
        <w:rPr>
          <w:color w:val="auto"/>
          <w:highlight w:val="none"/>
        </w:rPr>
        <w:instrText xml:space="preserve"> PAGEREF _Toc26051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3A383029">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_Toc22525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 投标费用</w:t>
      </w:r>
      <w:r>
        <w:rPr>
          <w:color w:val="auto"/>
          <w:highlight w:val="none"/>
        </w:rPr>
        <w:tab/>
      </w:r>
      <w:r>
        <w:rPr>
          <w:color w:val="auto"/>
          <w:highlight w:val="none"/>
        </w:rPr>
        <w:fldChar w:fldCharType="begin"/>
      </w:r>
      <w:r>
        <w:rPr>
          <w:color w:val="auto"/>
          <w:highlight w:val="none"/>
        </w:rPr>
        <w:instrText xml:space="preserve"> PAGEREF _Toc22525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131CAF0F">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_Toc12782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 联合体投标要求</w:t>
      </w:r>
      <w:r>
        <w:rPr>
          <w:color w:val="auto"/>
          <w:highlight w:val="none"/>
        </w:rPr>
        <w:tab/>
      </w:r>
      <w:r>
        <w:rPr>
          <w:color w:val="auto"/>
          <w:highlight w:val="none"/>
        </w:rPr>
        <w:fldChar w:fldCharType="begin"/>
      </w:r>
      <w:r>
        <w:rPr>
          <w:color w:val="auto"/>
          <w:highlight w:val="none"/>
        </w:rPr>
        <w:instrText xml:space="preserve"> PAGEREF _Toc12782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494F9894">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_Toc15435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8. 转包与分包</w:t>
      </w:r>
      <w:r>
        <w:rPr>
          <w:color w:val="auto"/>
          <w:highlight w:val="none"/>
        </w:rPr>
        <w:tab/>
      </w:r>
      <w:r>
        <w:rPr>
          <w:color w:val="auto"/>
          <w:highlight w:val="none"/>
        </w:rPr>
        <w:fldChar w:fldCharType="begin"/>
      </w:r>
      <w:r>
        <w:rPr>
          <w:color w:val="auto"/>
          <w:highlight w:val="none"/>
        </w:rPr>
        <w:instrText xml:space="preserve"> PAGEREF _Toc15435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75AF55A0">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_Toc15318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9. 特别说明</w:t>
      </w:r>
      <w:r>
        <w:rPr>
          <w:color w:val="auto"/>
          <w:highlight w:val="none"/>
        </w:rPr>
        <w:tab/>
      </w:r>
      <w:r>
        <w:rPr>
          <w:color w:val="auto"/>
          <w:highlight w:val="none"/>
        </w:rPr>
        <w:fldChar w:fldCharType="begin"/>
      </w:r>
      <w:r>
        <w:rPr>
          <w:color w:val="auto"/>
          <w:highlight w:val="none"/>
        </w:rPr>
        <w:instrText xml:space="preserve"> PAGEREF _Toc15318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cs="宋体"/>
          <w:color w:val="auto"/>
          <w:szCs w:val="21"/>
          <w:highlight w:val="none"/>
        </w:rPr>
        <w:fldChar w:fldCharType="end"/>
      </w:r>
    </w:p>
    <w:p w14:paraId="453F4183">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_Toc27588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10. 质疑和投诉</w:t>
      </w:r>
      <w:r>
        <w:rPr>
          <w:color w:val="auto"/>
          <w:highlight w:val="none"/>
        </w:rPr>
        <w:tab/>
      </w:r>
      <w:r>
        <w:rPr>
          <w:color w:val="auto"/>
          <w:highlight w:val="none"/>
        </w:rPr>
        <w:fldChar w:fldCharType="begin"/>
      </w:r>
      <w:r>
        <w:rPr>
          <w:color w:val="auto"/>
          <w:highlight w:val="none"/>
        </w:rPr>
        <w:instrText xml:space="preserve"> PAGEREF _Toc27588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cs="宋体"/>
          <w:color w:val="auto"/>
          <w:szCs w:val="21"/>
          <w:highlight w:val="none"/>
        </w:rPr>
        <w:fldChar w:fldCharType="end"/>
      </w:r>
    </w:p>
    <w:p w14:paraId="77CD8C0D">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_Toc28922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二、招标文件</w:t>
      </w:r>
      <w:r>
        <w:rPr>
          <w:color w:val="auto"/>
          <w:highlight w:val="none"/>
        </w:rPr>
        <w:tab/>
      </w:r>
      <w:r>
        <w:rPr>
          <w:color w:val="auto"/>
          <w:highlight w:val="none"/>
        </w:rPr>
        <w:fldChar w:fldCharType="begin"/>
      </w:r>
      <w:r>
        <w:rPr>
          <w:color w:val="auto"/>
          <w:highlight w:val="none"/>
        </w:rPr>
        <w:instrText xml:space="preserve"> PAGEREF _Toc28922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31E0C541">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11. 招标文件的构成</w:t>
      </w:r>
      <w:r>
        <w:rPr>
          <w:color w:val="auto"/>
          <w:highlight w:val="none"/>
        </w:rPr>
        <w:tab/>
      </w:r>
      <w:r>
        <w:rPr>
          <w:color w:val="auto"/>
          <w:highlight w:val="none"/>
        </w:rPr>
        <w:fldChar w:fldCharType="begin"/>
      </w:r>
      <w:r>
        <w:rPr>
          <w:color w:val="auto"/>
          <w:highlight w:val="none"/>
        </w:rPr>
        <w:instrText xml:space="preserve"> PAGEREF _Toc74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56374BEF">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_Toc7087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12. 招标文件的澄清与修改</w:t>
      </w:r>
      <w:r>
        <w:rPr>
          <w:color w:val="auto"/>
          <w:highlight w:val="none"/>
        </w:rPr>
        <w:tab/>
      </w:r>
      <w:r>
        <w:rPr>
          <w:color w:val="auto"/>
          <w:highlight w:val="none"/>
        </w:rPr>
        <w:fldChar w:fldCharType="begin"/>
      </w:r>
      <w:r>
        <w:rPr>
          <w:color w:val="auto"/>
          <w:highlight w:val="none"/>
        </w:rPr>
        <w:instrText xml:space="preserve"> PAGEREF _Toc7087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7D9E84EE">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_Toc15089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_Toc15089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55A6C44B">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_Toc24710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13. 投标文件的组成及要求</w:t>
      </w:r>
      <w:r>
        <w:rPr>
          <w:color w:val="auto"/>
          <w:highlight w:val="none"/>
        </w:rPr>
        <w:tab/>
      </w:r>
      <w:r>
        <w:rPr>
          <w:color w:val="auto"/>
          <w:highlight w:val="none"/>
        </w:rPr>
        <w:fldChar w:fldCharType="begin"/>
      </w:r>
      <w:r>
        <w:rPr>
          <w:color w:val="auto"/>
          <w:highlight w:val="none"/>
        </w:rPr>
        <w:instrText xml:space="preserve"> PAGEREF _Toc24710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0E5DCA7D">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_Toc7852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14. 投标文件的语言及计量</w:t>
      </w:r>
      <w:r>
        <w:rPr>
          <w:color w:val="auto"/>
          <w:highlight w:val="none"/>
        </w:rPr>
        <w:tab/>
      </w:r>
      <w:r>
        <w:rPr>
          <w:color w:val="auto"/>
          <w:highlight w:val="none"/>
        </w:rPr>
        <w:fldChar w:fldCharType="begin"/>
      </w:r>
      <w:r>
        <w:rPr>
          <w:color w:val="auto"/>
          <w:highlight w:val="none"/>
        </w:rPr>
        <w:instrText xml:space="preserve"> PAGEREF _Toc7852 \h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cs="宋体"/>
          <w:color w:val="auto"/>
          <w:szCs w:val="21"/>
          <w:highlight w:val="none"/>
        </w:rPr>
        <w:fldChar w:fldCharType="end"/>
      </w:r>
    </w:p>
    <w:p w14:paraId="546A0819">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_Toc27838 </w:instrText>
      </w:r>
      <w:r>
        <w:rPr>
          <w:rFonts w:hint="eastAsia" w:ascii="宋体" w:hAnsi="宋体" w:cs="宋体"/>
          <w:color w:val="auto"/>
          <w:szCs w:val="21"/>
          <w:highlight w:val="none"/>
        </w:rPr>
        <w:fldChar w:fldCharType="separate"/>
      </w:r>
      <w:r>
        <w:rPr>
          <w:rFonts w:hint="eastAsia" w:ascii="宋体" w:hAnsi="宋体" w:eastAsia="宋体" w:cs="宋体"/>
          <w:color w:val="auto"/>
          <w:szCs w:val="21"/>
          <w:highlight w:val="none"/>
          <w:lang w:val="en-US" w:eastAsia="zh-CN"/>
        </w:rPr>
        <w:t>15.</w:t>
      </w:r>
      <w:r>
        <w:rPr>
          <w:rFonts w:hint="eastAsia" w:ascii="宋体" w:hAnsi="宋体" w:cs="宋体"/>
          <w:color w:val="auto"/>
          <w:szCs w:val="21"/>
          <w:highlight w:val="none"/>
        </w:rPr>
        <w:t>投标报价</w:t>
      </w:r>
      <w:r>
        <w:rPr>
          <w:color w:val="auto"/>
          <w:highlight w:val="none"/>
        </w:rPr>
        <w:tab/>
      </w:r>
      <w:r>
        <w:rPr>
          <w:color w:val="auto"/>
          <w:highlight w:val="none"/>
        </w:rPr>
        <w:fldChar w:fldCharType="begin"/>
      </w:r>
      <w:r>
        <w:rPr>
          <w:color w:val="auto"/>
          <w:highlight w:val="none"/>
        </w:rPr>
        <w:instrText xml:space="preserve"> PAGEREF _Toc27838 \h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cs="宋体"/>
          <w:color w:val="auto"/>
          <w:szCs w:val="21"/>
          <w:highlight w:val="none"/>
        </w:rPr>
        <w:fldChar w:fldCharType="end"/>
      </w:r>
    </w:p>
    <w:p w14:paraId="7D20866B">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_Toc26983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 投标有效期</w:t>
      </w:r>
      <w:r>
        <w:rPr>
          <w:color w:val="auto"/>
          <w:highlight w:val="none"/>
        </w:rPr>
        <w:tab/>
      </w:r>
      <w:r>
        <w:rPr>
          <w:color w:val="auto"/>
          <w:highlight w:val="none"/>
        </w:rPr>
        <w:fldChar w:fldCharType="begin"/>
      </w:r>
      <w:r>
        <w:rPr>
          <w:color w:val="auto"/>
          <w:highlight w:val="none"/>
        </w:rPr>
        <w:instrText xml:space="preserve"> PAGEREF _Toc26983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cs="宋体"/>
          <w:color w:val="auto"/>
          <w:szCs w:val="21"/>
          <w:highlight w:val="none"/>
        </w:rPr>
        <w:fldChar w:fldCharType="end"/>
      </w:r>
    </w:p>
    <w:p w14:paraId="4107DF00">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_Toc32126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 投标保证金</w:t>
      </w:r>
      <w:r>
        <w:rPr>
          <w:color w:val="auto"/>
          <w:highlight w:val="none"/>
        </w:rPr>
        <w:tab/>
      </w:r>
      <w:r>
        <w:rPr>
          <w:color w:val="auto"/>
          <w:highlight w:val="none"/>
        </w:rPr>
        <w:fldChar w:fldCharType="begin"/>
      </w:r>
      <w:r>
        <w:rPr>
          <w:color w:val="auto"/>
          <w:highlight w:val="none"/>
        </w:rPr>
        <w:instrText xml:space="preserve"> PAGEREF _Toc32126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cs="宋体"/>
          <w:color w:val="auto"/>
          <w:szCs w:val="21"/>
          <w:highlight w:val="none"/>
        </w:rPr>
        <w:fldChar w:fldCharType="end"/>
      </w:r>
    </w:p>
    <w:p w14:paraId="54705961">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_Toc9976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 投标文件的制作</w:t>
      </w:r>
      <w:r>
        <w:rPr>
          <w:color w:val="auto"/>
          <w:highlight w:val="none"/>
        </w:rPr>
        <w:tab/>
      </w:r>
      <w:r>
        <w:rPr>
          <w:color w:val="auto"/>
          <w:highlight w:val="none"/>
        </w:rPr>
        <w:fldChar w:fldCharType="begin"/>
      </w:r>
      <w:r>
        <w:rPr>
          <w:color w:val="auto"/>
          <w:highlight w:val="none"/>
        </w:rPr>
        <w:instrText xml:space="preserve"> PAGEREF _Toc9976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cs="宋体"/>
          <w:color w:val="auto"/>
          <w:szCs w:val="21"/>
          <w:highlight w:val="none"/>
        </w:rPr>
        <w:fldChar w:fldCharType="end"/>
      </w:r>
    </w:p>
    <w:p w14:paraId="055C3C93">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_Toc11643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 投标文件的补充、修改和撤回</w:t>
      </w:r>
      <w:r>
        <w:rPr>
          <w:color w:val="auto"/>
          <w:highlight w:val="none"/>
        </w:rPr>
        <w:tab/>
      </w:r>
      <w:r>
        <w:rPr>
          <w:color w:val="auto"/>
          <w:highlight w:val="none"/>
        </w:rPr>
        <w:fldChar w:fldCharType="begin"/>
      </w:r>
      <w:r>
        <w:rPr>
          <w:color w:val="auto"/>
          <w:highlight w:val="none"/>
        </w:rPr>
        <w:instrText xml:space="preserve"> PAGEREF _Toc11643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cs="宋体"/>
          <w:color w:val="auto"/>
          <w:szCs w:val="21"/>
          <w:highlight w:val="none"/>
        </w:rPr>
        <w:fldChar w:fldCharType="end"/>
      </w:r>
    </w:p>
    <w:p w14:paraId="74C28FE6">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_Toc13453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20. 投标文件的递交和解密</w:t>
      </w:r>
      <w:r>
        <w:rPr>
          <w:color w:val="auto"/>
          <w:highlight w:val="none"/>
        </w:rPr>
        <w:tab/>
      </w:r>
      <w:r>
        <w:rPr>
          <w:color w:val="auto"/>
          <w:highlight w:val="none"/>
        </w:rPr>
        <w:fldChar w:fldCharType="begin"/>
      </w:r>
      <w:r>
        <w:rPr>
          <w:color w:val="auto"/>
          <w:highlight w:val="none"/>
        </w:rPr>
        <w:instrText xml:space="preserve"> PAGEREF _Toc13453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cs="宋体"/>
          <w:color w:val="auto"/>
          <w:szCs w:val="21"/>
          <w:highlight w:val="none"/>
        </w:rPr>
        <w:fldChar w:fldCharType="end"/>
      </w:r>
    </w:p>
    <w:p w14:paraId="1460087F">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_Toc9530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四、开标</w:t>
      </w:r>
      <w:r>
        <w:rPr>
          <w:color w:val="auto"/>
          <w:highlight w:val="none"/>
        </w:rPr>
        <w:tab/>
      </w:r>
      <w:r>
        <w:rPr>
          <w:color w:val="auto"/>
          <w:highlight w:val="none"/>
        </w:rPr>
        <w:fldChar w:fldCharType="begin"/>
      </w:r>
      <w:r>
        <w:rPr>
          <w:color w:val="auto"/>
          <w:highlight w:val="none"/>
        </w:rPr>
        <w:instrText xml:space="preserve"> PAGEREF _Toc9530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cs="宋体"/>
          <w:color w:val="auto"/>
          <w:szCs w:val="21"/>
          <w:highlight w:val="none"/>
        </w:rPr>
        <w:fldChar w:fldCharType="end"/>
      </w:r>
    </w:p>
    <w:p w14:paraId="77116091">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_Toc120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21. 开标时间及地点</w:t>
      </w:r>
      <w:r>
        <w:rPr>
          <w:color w:val="auto"/>
          <w:highlight w:val="none"/>
        </w:rPr>
        <w:tab/>
      </w:r>
      <w:r>
        <w:rPr>
          <w:color w:val="auto"/>
          <w:highlight w:val="none"/>
        </w:rPr>
        <w:fldChar w:fldCharType="begin"/>
      </w:r>
      <w:r>
        <w:rPr>
          <w:color w:val="auto"/>
          <w:highlight w:val="none"/>
        </w:rPr>
        <w:instrText xml:space="preserve"> PAGEREF _Toc120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cs="宋体"/>
          <w:color w:val="auto"/>
          <w:szCs w:val="21"/>
          <w:highlight w:val="none"/>
        </w:rPr>
        <w:fldChar w:fldCharType="end"/>
      </w:r>
    </w:p>
    <w:p w14:paraId="0D0C71E8">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_Toc27161 </w:instrText>
      </w:r>
      <w:r>
        <w:rPr>
          <w:rFonts w:hint="eastAsia" w:ascii="宋体" w:hAnsi="宋体" w:cs="宋体"/>
          <w:color w:val="auto"/>
          <w:szCs w:val="21"/>
          <w:highlight w:val="none"/>
        </w:rPr>
        <w:fldChar w:fldCharType="separate"/>
      </w:r>
      <w:r>
        <w:rPr>
          <w:rFonts w:hint="eastAsia" w:ascii="宋体" w:hAnsi="宋体" w:cs="宋体"/>
          <w:bCs/>
          <w:color w:val="auto"/>
          <w:szCs w:val="21"/>
          <w:highlight w:val="none"/>
        </w:rPr>
        <w:t>22. 开标程序</w:t>
      </w:r>
      <w:r>
        <w:rPr>
          <w:color w:val="auto"/>
          <w:highlight w:val="none"/>
        </w:rPr>
        <w:tab/>
      </w:r>
      <w:r>
        <w:rPr>
          <w:color w:val="auto"/>
          <w:highlight w:val="none"/>
        </w:rPr>
        <w:fldChar w:fldCharType="begin"/>
      </w:r>
      <w:r>
        <w:rPr>
          <w:color w:val="auto"/>
          <w:highlight w:val="none"/>
        </w:rPr>
        <w:instrText xml:space="preserve"> PAGEREF _Toc27161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cs="宋体"/>
          <w:color w:val="auto"/>
          <w:szCs w:val="21"/>
          <w:highlight w:val="none"/>
        </w:rPr>
        <w:fldChar w:fldCharType="end"/>
      </w:r>
    </w:p>
    <w:p w14:paraId="44D6D12D">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_Toc29078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五、资格性审查</w:t>
      </w:r>
      <w:r>
        <w:rPr>
          <w:color w:val="auto"/>
          <w:highlight w:val="none"/>
        </w:rPr>
        <w:tab/>
      </w:r>
      <w:r>
        <w:rPr>
          <w:color w:val="auto"/>
          <w:highlight w:val="none"/>
        </w:rPr>
        <w:fldChar w:fldCharType="begin"/>
      </w:r>
      <w:r>
        <w:rPr>
          <w:color w:val="auto"/>
          <w:highlight w:val="none"/>
        </w:rPr>
        <w:instrText xml:space="preserve"> PAGEREF _Toc29078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cs="宋体"/>
          <w:color w:val="auto"/>
          <w:szCs w:val="21"/>
          <w:highlight w:val="none"/>
        </w:rPr>
        <w:fldChar w:fldCharType="end"/>
      </w:r>
    </w:p>
    <w:p w14:paraId="16E39991">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_Toc10929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23. 资格性审查</w:t>
      </w:r>
      <w:r>
        <w:rPr>
          <w:color w:val="auto"/>
          <w:highlight w:val="none"/>
        </w:rPr>
        <w:tab/>
      </w:r>
      <w:r>
        <w:rPr>
          <w:color w:val="auto"/>
          <w:highlight w:val="none"/>
        </w:rPr>
        <w:fldChar w:fldCharType="begin"/>
      </w:r>
      <w:r>
        <w:rPr>
          <w:color w:val="auto"/>
          <w:highlight w:val="none"/>
        </w:rPr>
        <w:instrText xml:space="preserve"> PAGEREF _Toc10929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cs="宋体"/>
          <w:color w:val="auto"/>
          <w:szCs w:val="21"/>
          <w:highlight w:val="none"/>
        </w:rPr>
        <w:fldChar w:fldCharType="end"/>
      </w:r>
    </w:p>
    <w:p w14:paraId="2CFEE5D5">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_Toc31387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六、评标</w:t>
      </w:r>
      <w:r>
        <w:rPr>
          <w:color w:val="auto"/>
          <w:highlight w:val="none"/>
        </w:rPr>
        <w:tab/>
      </w:r>
      <w:r>
        <w:rPr>
          <w:color w:val="auto"/>
          <w:highlight w:val="none"/>
        </w:rPr>
        <w:fldChar w:fldCharType="begin"/>
      </w:r>
      <w:r>
        <w:rPr>
          <w:color w:val="auto"/>
          <w:highlight w:val="none"/>
        </w:rPr>
        <w:instrText xml:space="preserve"> PAGEREF _Toc31387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cs="宋体"/>
          <w:color w:val="auto"/>
          <w:szCs w:val="21"/>
          <w:highlight w:val="none"/>
        </w:rPr>
        <w:fldChar w:fldCharType="end"/>
      </w:r>
    </w:p>
    <w:p w14:paraId="0EC38E8E">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_Toc7006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24. 评标委员会组成</w:t>
      </w:r>
      <w:r>
        <w:rPr>
          <w:color w:val="auto"/>
          <w:highlight w:val="none"/>
        </w:rPr>
        <w:tab/>
      </w:r>
      <w:r>
        <w:rPr>
          <w:color w:val="auto"/>
          <w:highlight w:val="none"/>
        </w:rPr>
        <w:fldChar w:fldCharType="begin"/>
      </w:r>
      <w:r>
        <w:rPr>
          <w:color w:val="auto"/>
          <w:highlight w:val="none"/>
        </w:rPr>
        <w:instrText xml:space="preserve"> PAGEREF _Toc7006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cs="宋体"/>
          <w:color w:val="auto"/>
          <w:szCs w:val="21"/>
          <w:highlight w:val="none"/>
        </w:rPr>
        <w:fldChar w:fldCharType="end"/>
      </w:r>
    </w:p>
    <w:p w14:paraId="30816E97">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_Toc16646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25. 评标原则</w:t>
      </w:r>
      <w:r>
        <w:rPr>
          <w:color w:val="auto"/>
          <w:highlight w:val="none"/>
        </w:rPr>
        <w:tab/>
      </w:r>
      <w:r>
        <w:rPr>
          <w:color w:val="auto"/>
          <w:highlight w:val="none"/>
        </w:rPr>
        <w:fldChar w:fldCharType="begin"/>
      </w:r>
      <w:r>
        <w:rPr>
          <w:color w:val="auto"/>
          <w:highlight w:val="none"/>
        </w:rPr>
        <w:instrText xml:space="preserve"> PAGEREF _Toc16646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cs="宋体"/>
          <w:color w:val="auto"/>
          <w:szCs w:val="21"/>
          <w:highlight w:val="none"/>
        </w:rPr>
        <w:fldChar w:fldCharType="end"/>
      </w:r>
    </w:p>
    <w:p w14:paraId="64D9A850">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_Toc19434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26. 评标</w:t>
      </w:r>
      <w:r>
        <w:rPr>
          <w:color w:val="auto"/>
          <w:highlight w:val="none"/>
        </w:rPr>
        <w:tab/>
      </w:r>
      <w:r>
        <w:rPr>
          <w:color w:val="auto"/>
          <w:highlight w:val="none"/>
        </w:rPr>
        <w:fldChar w:fldCharType="begin"/>
      </w:r>
      <w:r>
        <w:rPr>
          <w:color w:val="auto"/>
          <w:highlight w:val="none"/>
        </w:rPr>
        <w:instrText xml:space="preserve"> PAGEREF _Toc19434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cs="宋体"/>
          <w:color w:val="auto"/>
          <w:szCs w:val="21"/>
          <w:highlight w:val="none"/>
        </w:rPr>
        <w:fldChar w:fldCharType="end"/>
      </w:r>
    </w:p>
    <w:p w14:paraId="6763A6D8">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_Toc15511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27. 推荐及确定中标候选供应商原则</w:t>
      </w:r>
      <w:r>
        <w:rPr>
          <w:color w:val="auto"/>
          <w:highlight w:val="none"/>
        </w:rPr>
        <w:tab/>
      </w:r>
      <w:r>
        <w:rPr>
          <w:color w:val="auto"/>
          <w:highlight w:val="none"/>
        </w:rPr>
        <w:fldChar w:fldCharType="begin"/>
      </w:r>
      <w:r>
        <w:rPr>
          <w:color w:val="auto"/>
          <w:highlight w:val="none"/>
        </w:rPr>
        <w:instrText xml:space="preserve"> PAGEREF _Toc15511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09427C55">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_Toc26545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28. 属于下列情况之一者，投标无效</w:t>
      </w:r>
      <w:r>
        <w:rPr>
          <w:color w:val="auto"/>
          <w:highlight w:val="none"/>
        </w:rPr>
        <w:tab/>
      </w:r>
      <w:r>
        <w:rPr>
          <w:color w:val="auto"/>
          <w:highlight w:val="none"/>
        </w:rPr>
        <w:fldChar w:fldCharType="begin"/>
      </w:r>
      <w:r>
        <w:rPr>
          <w:color w:val="auto"/>
          <w:highlight w:val="none"/>
        </w:rPr>
        <w:instrText xml:space="preserve"> PAGEREF _Toc26545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3C22F182">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_Toc7025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29. 投标人有下列情形之一的，视为串通投标，投标文件将被视为无效</w:t>
      </w:r>
      <w:r>
        <w:rPr>
          <w:color w:val="auto"/>
          <w:highlight w:val="none"/>
        </w:rPr>
        <w:tab/>
      </w:r>
      <w:r>
        <w:rPr>
          <w:color w:val="auto"/>
          <w:highlight w:val="none"/>
        </w:rPr>
        <w:fldChar w:fldCharType="begin"/>
      </w:r>
      <w:r>
        <w:rPr>
          <w:color w:val="auto"/>
          <w:highlight w:val="none"/>
        </w:rPr>
        <w:instrText xml:space="preserve"> PAGEREF _Toc7025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436F7257">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_Toc7092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30. 属于下列情形之一的，应予废标</w:t>
      </w:r>
      <w:r>
        <w:rPr>
          <w:color w:val="auto"/>
          <w:highlight w:val="none"/>
        </w:rPr>
        <w:tab/>
      </w:r>
      <w:r>
        <w:rPr>
          <w:color w:val="auto"/>
          <w:highlight w:val="none"/>
        </w:rPr>
        <w:fldChar w:fldCharType="begin"/>
      </w:r>
      <w:r>
        <w:rPr>
          <w:color w:val="auto"/>
          <w:highlight w:val="none"/>
        </w:rPr>
        <w:instrText xml:space="preserve"> PAGEREF _Toc7092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6F08890B">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_Toc22610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31. 开标、评标过程的监控</w:t>
      </w:r>
      <w:r>
        <w:rPr>
          <w:color w:val="auto"/>
          <w:highlight w:val="none"/>
        </w:rPr>
        <w:tab/>
      </w:r>
      <w:r>
        <w:rPr>
          <w:color w:val="auto"/>
          <w:highlight w:val="none"/>
        </w:rPr>
        <w:fldChar w:fldCharType="begin"/>
      </w:r>
      <w:r>
        <w:rPr>
          <w:color w:val="auto"/>
          <w:highlight w:val="none"/>
        </w:rPr>
        <w:instrText xml:space="preserve"> PAGEREF _Toc22610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color w:val="auto"/>
          <w:szCs w:val="21"/>
          <w:highlight w:val="none"/>
        </w:rPr>
        <w:fldChar w:fldCharType="end"/>
      </w:r>
    </w:p>
    <w:p w14:paraId="1D4366D9">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_Toc31349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32. 信用查询</w:t>
      </w:r>
      <w:r>
        <w:rPr>
          <w:color w:val="auto"/>
          <w:highlight w:val="none"/>
        </w:rPr>
        <w:tab/>
      </w:r>
      <w:r>
        <w:rPr>
          <w:color w:val="auto"/>
          <w:highlight w:val="none"/>
        </w:rPr>
        <w:fldChar w:fldCharType="begin"/>
      </w:r>
      <w:r>
        <w:rPr>
          <w:color w:val="auto"/>
          <w:highlight w:val="none"/>
        </w:rPr>
        <w:instrText xml:space="preserve"> PAGEREF _Toc31349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color w:val="auto"/>
          <w:szCs w:val="21"/>
          <w:highlight w:val="none"/>
        </w:rPr>
        <w:fldChar w:fldCharType="end"/>
      </w:r>
    </w:p>
    <w:p w14:paraId="1C34F25C">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_Toc7046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33. 中标公告及中标通知书</w:t>
      </w:r>
      <w:r>
        <w:rPr>
          <w:color w:val="auto"/>
          <w:highlight w:val="none"/>
        </w:rPr>
        <w:tab/>
      </w:r>
      <w:r>
        <w:rPr>
          <w:color w:val="auto"/>
          <w:highlight w:val="none"/>
        </w:rPr>
        <w:fldChar w:fldCharType="begin"/>
      </w:r>
      <w:r>
        <w:rPr>
          <w:color w:val="auto"/>
          <w:highlight w:val="none"/>
        </w:rPr>
        <w:instrText xml:space="preserve"> PAGEREF _Toc7046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color w:val="auto"/>
          <w:szCs w:val="21"/>
          <w:highlight w:val="none"/>
        </w:rPr>
        <w:fldChar w:fldCharType="end"/>
      </w:r>
    </w:p>
    <w:p w14:paraId="4A8A7AD0">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_Toc13207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七、履约保证金及签订合同</w:t>
      </w:r>
      <w:r>
        <w:rPr>
          <w:color w:val="auto"/>
          <w:highlight w:val="none"/>
        </w:rPr>
        <w:tab/>
      </w:r>
      <w:r>
        <w:rPr>
          <w:color w:val="auto"/>
          <w:highlight w:val="none"/>
        </w:rPr>
        <w:fldChar w:fldCharType="begin"/>
      </w:r>
      <w:r>
        <w:rPr>
          <w:color w:val="auto"/>
          <w:highlight w:val="none"/>
        </w:rPr>
        <w:instrText xml:space="preserve"> PAGEREF _Toc13207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color w:val="auto"/>
          <w:szCs w:val="21"/>
          <w:highlight w:val="none"/>
        </w:rPr>
        <w:fldChar w:fldCharType="end"/>
      </w:r>
    </w:p>
    <w:p w14:paraId="0A99A2AF">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_Toc1155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34. 履约保证金</w:t>
      </w:r>
      <w:r>
        <w:rPr>
          <w:color w:val="auto"/>
          <w:highlight w:val="none"/>
        </w:rPr>
        <w:tab/>
      </w:r>
      <w:r>
        <w:rPr>
          <w:color w:val="auto"/>
          <w:highlight w:val="none"/>
        </w:rPr>
        <w:fldChar w:fldCharType="begin"/>
      </w:r>
      <w:r>
        <w:rPr>
          <w:color w:val="auto"/>
          <w:highlight w:val="none"/>
        </w:rPr>
        <w:instrText xml:space="preserve"> PAGEREF _Toc1155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color w:val="auto"/>
          <w:szCs w:val="21"/>
          <w:highlight w:val="none"/>
        </w:rPr>
        <w:fldChar w:fldCharType="end"/>
      </w:r>
    </w:p>
    <w:p w14:paraId="3C120900">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_Toc10573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35. 签订合同</w:t>
      </w:r>
      <w:r>
        <w:rPr>
          <w:color w:val="auto"/>
          <w:highlight w:val="none"/>
        </w:rPr>
        <w:tab/>
      </w:r>
      <w:r>
        <w:rPr>
          <w:color w:val="auto"/>
          <w:highlight w:val="none"/>
        </w:rPr>
        <w:fldChar w:fldCharType="begin"/>
      </w:r>
      <w:r>
        <w:rPr>
          <w:color w:val="auto"/>
          <w:highlight w:val="none"/>
        </w:rPr>
        <w:instrText xml:space="preserve"> PAGEREF _Toc10573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color w:val="auto"/>
          <w:szCs w:val="21"/>
          <w:highlight w:val="none"/>
        </w:rPr>
        <w:fldChar w:fldCharType="end"/>
      </w:r>
    </w:p>
    <w:p w14:paraId="4125151B">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_Toc16906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八、其他事项</w:t>
      </w:r>
      <w:r>
        <w:rPr>
          <w:color w:val="auto"/>
          <w:highlight w:val="none"/>
        </w:rPr>
        <w:tab/>
      </w:r>
      <w:r>
        <w:rPr>
          <w:color w:val="auto"/>
          <w:highlight w:val="none"/>
        </w:rPr>
        <w:fldChar w:fldCharType="begin"/>
      </w:r>
      <w:r>
        <w:rPr>
          <w:color w:val="auto"/>
          <w:highlight w:val="none"/>
        </w:rPr>
        <w:instrText xml:space="preserve"> PAGEREF _Toc16906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72F74061">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_Toc16916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36. 招标代理服务费</w:t>
      </w:r>
      <w:r>
        <w:rPr>
          <w:color w:val="auto"/>
          <w:highlight w:val="none"/>
        </w:rPr>
        <w:tab/>
      </w:r>
      <w:r>
        <w:rPr>
          <w:color w:val="auto"/>
          <w:highlight w:val="none"/>
        </w:rPr>
        <w:fldChar w:fldCharType="begin"/>
      </w:r>
      <w:r>
        <w:rPr>
          <w:color w:val="auto"/>
          <w:highlight w:val="none"/>
        </w:rPr>
        <w:instrText xml:space="preserve"> PAGEREF _Toc16916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291F3D36">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_Toc16736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37. 解释权</w:t>
      </w:r>
      <w:r>
        <w:rPr>
          <w:color w:val="auto"/>
          <w:highlight w:val="none"/>
        </w:rPr>
        <w:tab/>
      </w:r>
      <w:r>
        <w:rPr>
          <w:color w:val="auto"/>
          <w:highlight w:val="none"/>
        </w:rPr>
        <w:fldChar w:fldCharType="begin"/>
      </w:r>
      <w:r>
        <w:rPr>
          <w:color w:val="auto"/>
          <w:highlight w:val="none"/>
        </w:rPr>
        <w:instrText xml:space="preserve"> PAGEREF _Toc16736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65EA3C19">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_Toc27309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38. 监督管理机构</w:t>
      </w:r>
      <w:r>
        <w:rPr>
          <w:color w:val="auto"/>
          <w:highlight w:val="none"/>
        </w:rPr>
        <w:tab/>
      </w:r>
      <w:r>
        <w:rPr>
          <w:color w:val="auto"/>
          <w:highlight w:val="none"/>
        </w:rPr>
        <w:fldChar w:fldCharType="begin"/>
      </w:r>
      <w:r>
        <w:rPr>
          <w:color w:val="auto"/>
          <w:highlight w:val="none"/>
        </w:rPr>
        <w:instrText xml:space="preserve"> PAGEREF _Toc27309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1E80E55E">
      <w:pPr>
        <w:pStyle w:val="22"/>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_Toc18662 </w:instrText>
      </w:r>
      <w:r>
        <w:rPr>
          <w:rFonts w:hint="eastAsia" w:ascii="宋体" w:hAnsi="宋体" w:cs="宋体"/>
          <w:color w:val="auto"/>
          <w:szCs w:val="21"/>
          <w:highlight w:val="none"/>
        </w:rPr>
        <w:fldChar w:fldCharType="separate"/>
      </w:r>
      <w:r>
        <w:rPr>
          <w:rFonts w:hint="eastAsia"/>
          <w:color w:val="auto"/>
          <w:szCs w:val="32"/>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_Toc18662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cs="宋体"/>
          <w:color w:val="auto"/>
          <w:szCs w:val="21"/>
          <w:highlight w:val="none"/>
        </w:rPr>
        <w:fldChar w:fldCharType="end"/>
      </w:r>
    </w:p>
    <w:p w14:paraId="05CB0016">
      <w:pPr>
        <w:pStyle w:val="22"/>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_Toc28876 </w:instrText>
      </w:r>
      <w:r>
        <w:rPr>
          <w:rFonts w:hint="eastAsia" w:ascii="宋体" w:hAnsi="宋体" w:cs="宋体"/>
          <w:color w:val="auto"/>
          <w:szCs w:val="21"/>
          <w:highlight w:val="none"/>
        </w:rPr>
        <w:fldChar w:fldCharType="separate"/>
      </w:r>
      <w:r>
        <w:rPr>
          <w:rFonts w:hint="eastAsia" w:ascii="宋体" w:hAnsi="宋体" w:cs="宋体"/>
          <w:color w:val="auto"/>
          <w:szCs w:val="32"/>
          <w:highlight w:val="none"/>
        </w:rPr>
        <w:t xml:space="preserve">第四章 </w:t>
      </w:r>
      <w:r>
        <w:rPr>
          <w:rFonts w:hint="eastAsia" w:ascii="宋体" w:hAnsi="宋体" w:cs="宋体"/>
          <w:color w:val="auto"/>
          <w:szCs w:val="32"/>
          <w:highlight w:val="none"/>
          <w:lang w:val="en-US" w:eastAsia="zh-CN"/>
        </w:rPr>
        <w:t xml:space="preserve"> </w:t>
      </w:r>
      <w:r>
        <w:rPr>
          <w:rFonts w:hint="eastAsia" w:ascii="宋体" w:hAnsi="宋体" w:cs="宋体"/>
          <w:color w:val="auto"/>
          <w:szCs w:val="32"/>
          <w:highlight w:val="none"/>
        </w:rPr>
        <w:t>评标办法</w:t>
      </w:r>
      <w:r>
        <w:rPr>
          <w:color w:val="auto"/>
          <w:highlight w:val="none"/>
        </w:rPr>
        <w:tab/>
      </w:r>
      <w:r>
        <w:rPr>
          <w:color w:val="auto"/>
          <w:highlight w:val="none"/>
        </w:rPr>
        <w:fldChar w:fldCharType="begin"/>
      </w:r>
      <w:r>
        <w:rPr>
          <w:color w:val="auto"/>
          <w:highlight w:val="none"/>
        </w:rPr>
        <w:instrText xml:space="preserve"> PAGEREF _Toc28876 \h </w:instrText>
      </w:r>
      <w:r>
        <w:rPr>
          <w:color w:val="auto"/>
          <w:highlight w:val="none"/>
        </w:rPr>
        <w:fldChar w:fldCharType="separate"/>
      </w:r>
      <w:r>
        <w:rPr>
          <w:color w:val="auto"/>
          <w:highlight w:val="none"/>
        </w:rPr>
        <w:t>- 60 -</w:t>
      </w:r>
      <w:r>
        <w:rPr>
          <w:color w:val="auto"/>
          <w:highlight w:val="none"/>
        </w:rPr>
        <w:fldChar w:fldCharType="end"/>
      </w:r>
      <w:r>
        <w:rPr>
          <w:rFonts w:hint="eastAsia" w:ascii="宋体" w:hAnsi="宋体" w:cs="宋体"/>
          <w:color w:val="auto"/>
          <w:szCs w:val="21"/>
          <w:highlight w:val="none"/>
        </w:rPr>
        <w:fldChar w:fldCharType="end"/>
      </w:r>
    </w:p>
    <w:p w14:paraId="4062B88D">
      <w:pPr>
        <w:pStyle w:val="22"/>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_Toc32408 </w:instrText>
      </w:r>
      <w:r>
        <w:rPr>
          <w:rFonts w:hint="eastAsia" w:ascii="宋体" w:hAnsi="宋体" w:cs="宋体"/>
          <w:color w:val="auto"/>
          <w:szCs w:val="21"/>
          <w:highlight w:val="none"/>
        </w:rPr>
        <w:fldChar w:fldCharType="separate"/>
      </w:r>
      <w:r>
        <w:rPr>
          <w:rFonts w:hint="eastAsia" w:ascii="宋体" w:hAnsi="宋体" w:cs="宋体"/>
          <w:bCs/>
          <w:color w:val="auto"/>
          <w:kern w:val="44"/>
          <w:szCs w:val="32"/>
          <w:highlight w:val="none"/>
        </w:rPr>
        <w:t>第五章  采购合同（合同主要条款及格式）</w:t>
      </w:r>
      <w:r>
        <w:rPr>
          <w:color w:val="auto"/>
          <w:highlight w:val="none"/>
        </w:rPr>
        <w:tab/>
      </w:r>
      <w:r>
        <w:rPr>
          <w:color w:val="auto"/>
          <w:highlight w:val="none"/>
        </w:rPr>
        <w:fldChar w:fldCharType="begin"/>
      </w:r>
      <w:r>
        <w:rPr>
          <w:color w:val="auto"/>
          <w:highlight w:val="none"/>
        </w:rPr>
        <w:instrText xml:space="preserve"> PAGEREF _Toc32408 \h </w:instrText>
      </w:r>
      <w:r>
        <w:rPr>
          <w:color w:val="auto"/>
          <w:highlight w:val="none"/>
        </w:rPr>
        <w:fldChar w:fldCharType="separate"/>
      </w:r>
      <w:r>
        <w:rPr>
          <w:color w:val="auto"/>
          <w:highlight w:val="none"/>
        </w:rPr>
        <w:t>- 66 -</w:t>
      </w:r>
      <w:r>
        <w:rPr>
          <w:color w:val="auto"/>
          <w:highlight w:val="none"/>
        </w:rPr>
        <w:fldChar w:fldCharType="end"/>
      </w:r>
      <w:r>
        <w:rPr>
          <w:rFonts w:hint="eastAsia" w:ascii="宋体" w:hAnsi="宋体" w:cs="宋体"/>
          <w:color w:val="auto"/>
          <w:szCs w:val="21"/>
          <w:highlight w:val="none"/>
        </w:rPr>
        <w:fldChar w:fldCharType="end"/>
      </w:r>
    </w:p>
    <w:p w14:paraId="1FBEC7FE">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_Toc7473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第一条  合同标的及合同金额</w:t>
      </w:r>
      <w:r>
        <w:rPr>
          <w:color w:val="auto"/>
          <w:highlight w:val="none"/>
        </w:rPr>
        <w:tab/>
      </w:r>
      <w:r>
        <w:rPr>
          <w:color w:val="auto"/>
          <w:highlight w:val="none"/>
        </w:rPr>
        <w:fldChar w:fldCharType="begin"/>
      </w:r>
      <w:r>
        <w:rPr>
          <w:color w:val="auto"/>
          <w:highlight w:val="none"/>
        </w:rPr>
        <w:instrText xml:space="preserve"> PAGEREF _Toc7473 \h </w:instrText>
      </w:r>
      <w:r>
        <w:rPr>
          <w:color w:val="auto"/>
          <w:highlight w:val="none"/>
        </w:rPr>
        <w:fldChar w:fldCharType="separate"/>
      </w:r>
      <w:r>
        <w:rPr>
          <w:color w:val="auto"/>
          <w:highlight w:val="none"/>
        </w:rPr>
        <w:t>- 66 -</w:t>
      </w:r>
      <w:r>
        <w:rPr>
          <w:color w:val="auto"/>
          <w:highlight w:val="none"/>
        </w:rPr>
        <w:fldChar w:fldCharType="end"/>
      </w:r>
      <w:r>
        <w:rPr>
          <w:rFonts w:hint="eastAsia" w:ascii="宋体" w:hAnsi="宋体" w:cs="宋体"/>
          <w:color w:val="auto"/>
          <w:szCs w:val="21"/>
          <w:highlight w:val="none"/>
        </w:rPr>
        <w:fldChar w:fldCharType="end"/>
      </w:r>
    </w:p>
    <w:p w14:paraId="4530EBE9">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_Toc8219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第二条  质量保证</w:t>
      </w:r>
      <w:r>
        <w:rPr>
          <w:color w:val="auto"/>
          <w:highlight w:val="none"/>
        </w:rPr>
        <w:tab/>
      </w:r>
      <w:r>
        <w:rPr>
          <w:color w:val="auto"/>
          <w:highlight w:val="none"/>
        </w:rPr>
        <w:fldChar w:fldCharType="begin"/>
      </w:r>
      <w:r>
        <w:rPr>
          <w:color w:val="auto"/>
          <w:highlight w:val="none"/>
        </w:rPr>
        <w:instrText xml:space="preserve"> PAGEREF _Toc8219 \h </w:instrText>
      </w:r>
      <w:r>
        <w:rPr>
          <w:color w:val="auto"/>
          <w:highlight w:val="none"/>
        </w:rPr>
        <w:fldChar w:fldCharType="separate"/>
      </w:r>
      <w:r>
        <w:rPr>
          <w:color w:val="auto"/>
          <w:highlight w:val="none"/>
        </w:rPr>
        <w:t>- 66 -</w:t>
      </w:r>
      <w:r>
        <w:rPr>
          <w:color w:val="auto"/>
          <w:highlight w:val="none"/>
        </w:rPr>
        <w:fldChar w:fldCharType="end"/>
      </w:r>
      <w:r>
        <w:rPr>
          <w:rFonts w:hint="eastAsia" w:ascii="宋体" w:hAnsi="宋体" w:cs="宋体"/>
          <w:color w:val="auto"/>
          <w:szCs w:val="21"/>
          <w:highlight w:val="none"/>
        </w:rPr>
        <w:fldChar w:fldCharType="end"/>
      </w:r>
    </w:p>
    <w:p w14:paraId="2FB8BFF2">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_Toc5930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第三条  权利保证</w:t>
      </w:r>
      <w:r>
        <w:rPr>
          <w:color w:val="auto"/>
          <w:highlight w:val="none"/>
        </w:rPr>
        <w:tab/>
      </w:r>
      <w:r>
        <w:rPr>
          <w:color w:val="auto"/>
          <w:highlight w:val="none"/>
        </w:rPr>
        <w:fldChar w:fldCharType="begin"/>
      </w:r>
      <w:r>
        <w:rPr>
          <w:color w:val="auto"/>
          <w:highlight w:val="none"/>
        </w:rPr>
        <w:instrText xml:space="preserve"> PAGEREF _Toc5930 \h </w:instrText>
      </w:r>
      <w:r>
        <w:rPr>
          <w:color w:val="auto"/>
          <w:highlight w:val="none"/>
        </w:rPr>
        <w:fldChar w:fldCharType="separate"/>
      </w:r>
      <w:r>
        <w:rPr>
          <w:color w:val="auto"/>
          <w:highlight w:val="none"/>
        </w:rPr>
        <w:t>- 66 -</w:t>
      </w:r>
      <w:r>
        <w:rPr>
          <w:color w:val="auto"/>
          <w:highlight w:val="none"/>
        </w:rPr>
        <w:fldChar w:fldCharType="end"/>
      </w:r>
      <w:r>
        <w:rPr>
          <w:rFonts w:hint="eastAsia" w:ascii="宋体" w:hAnsi="宋体" w:cs="宋体"/>
          <w:color w:val="auto"/>
          <w:szCs w:val="21"/>
          <w:highlight w:val="none"/>
        </w:rPr>
        <w:fldChar w:fldCharType="end"/>
      </w:r>
    </w:p>
    <w:p w14:paraId="12A46FAA">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_Toc7877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第四条  货物包装、运输</w:t>
      </w:r>
      <w:r>
        <w:rPr>
          <w:color w:val="auto"/>
          <w:highlight w:val="none"/>
        </w:rPr>
        <w:tab/>
      </w:r>
      <w:r>
        <w:rPr>
          <w:color w:val="auto"/>
          <w:highlight w:val="none"/>
        </w:rPr>
        <w:fldChar w:fldCharType="begin"/>
      </w:r>
      <w:r>
        <w:rPr>
          <w:color w:val="auto"/>
          <w:highlight w:val="none"/>
        </w:rPr>
        <w:instrText xml:space="preserve"> PAGEREF _Toc7877 \h </w:instrText>
      </w:r>
      <w:r>
        <w:rPr>
          <w:color w:val="auto"/>
          <w:highlight w:val="none"/>
        </w:rPr>
        <w:fldChar w:fldCharType="separate"/>
      </w:r>
      <w:r>
        <w:rPr>
          <w:color w:val="auto"/>
          <w:highlight w:val="none"/>
        </w:rPr>
        <w:t>- 66 -</w:t>
      </w:r>
      <w:r>
        <w:rPr>
          <w:color w:val="auto"/>
          <w:highlight w:val="none"/>
        </w:rPr>
        <w:fldChar w:fldCharType="end"/>
      </w:r>
      <w:r>
        <w:rPr>
          <w:rFonts w:hint="eastAsia" w:ascii="宋体" w:hAnsi="宋体" w:cs="宋体"/>
          <w:color w:val="auto"/>
          <w:szCs w:val="21"/>
          <w:highlight w:val="none"/>
        </w:rPr>
        <w:fldChar w:fldCharType="end"/>
      </w:r>
    </w:p>
    <w:p w14:paraId="50C729F0">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_Toc15628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第五条  交付</w:t>
      </w:r>
      <w:r>
        <w:rPr>
          <w:color w:val="auto"/>
          <w:highlight w:val="none"/>
        </w:rPr>
        <w:tab/>
      </w:r>
      <w:r>
        <w:rPr>
          <w:color w:val="auto"/>
          <w:highlight w:val="none"/>
        </w:rPr>
        <w:fldChar w:fldCharType="begin"/>
      </w:r>
      <w:r>
        <w:rPr>
          <w:color w:val="auto"/>
          <w:highlight w:val="none"/>
        </w:rPr>
        <w:instrText xml:space="preserve"> PAGEREF _Toc15628 \h </w:instrText>
      </w:r>
      <w:r>
        <w:rPr>
          <w:color w:val="auto"/>
          <w:highlight w:val="none"/>
        </w:rPr>
        <w:fldChar w:fldCharType="separate"/>
      </w:r>
      <w:r>
        <w:rPr>
          <w:color w:val="auto"/>
          <w:highlight w:val="none"/>
        </w:rPr>
        <w:t>- 66 -</w:t>
      </w:r>
      <w:r>
        <w:rPr>
          <w:color w:val="auto"/>
          <w:highlight w:val="none"/>
        </w:rPr>
        <w:fldChar w:fldCharType="end"/>
      </w:r>
      <w:r>
        <w:rPr>
          <w:rFonts w:hint="eastAsia" w:ascii="宋体" w:hAnsi="宋体" w:cs="宋体"/>
          <w:color w:val="auto"/>
          <w:szCs w:val="21"/>
          <w:highlight w:val="none"/>
        </w:rPr>
        <w:fldChar w:fldCharType="end"/>
      </w:r>
    </w:p>
    <w:p w14:paraId="3B3A26F7">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_Toc4258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第六条  验收方式</w:t>
      </w:r>
      <w:r>
        <w:rPr>
          <w:color w:val="auto"/>
          <w:highlight w:val="none"/>
        </w:rPr>
        <w:tab/>
      </w:r>
      <w:r>
        <w:rPr>
          <w:color w:val="auto"/>
          <w:highlight w:val="none"/>
        </w:rPr>
        <w:fldChar w:fldCharType="begin"/>
      </w:r>
      <w:r>
        <w:rPr>
          <w:color w:val="auto"/>
          <w:highlight w:val="none"/>
        </w:rPr>
        <w:instrText xml:space="preserve"> PAGEREF _Toc4258 \h </w:instrText>
      </w:r>
      <w:r>
        <w:rPr>
          <w:color w:val="auto"/>
          <w:highlight w:val="none"/>
        </w:rPr>
        <w:fldChar w:fldCharType="separate"/>
      </w:r>
      <w:r>
        <w:rPr>
          <w:color w:val="auto"/>
          <w:highlight w:val="none"/>
        </w:rPr>
        <w:t>- 67 -</w:t>
      </w:r>
      <w:r>
        <w:rPr>
          <w:color w:val="auto"/>
          <w:highlight w:val="none"/>
        </w:rPr>
        <w:fldChar w:fldCharType="end"/>
      </w:r>
      <w:r>
        <w:rPr>
          <w:rFonts w:hint="eastAsia" w:ascii="宋体" w:hAnsi="宋体" w:cs="宋体"/>
          <w:color w:val="auto"/>
          <w:szCs w:val="21"/>
          <w:highlight w:val="none"/>
        </w:rPr>
        <w:fldChar w:fldCharType="end"/>
      </w:r>
    </w:p>
    <w:p w14:paraId="6F113424">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_Toc18127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第七条  安装和培训</w:t>
      </w:r>
      <w:r>
        <w:rPr>
          <w:color w:val="auto"/>
          <w:highlight w:val="none"/>
        </w:rPr>
        <w:tab/>
      </w:r>
      <w:r>
        <w:rPr>
          <w:color w:val="auto"/>
          <w:highlight w:val="none"/>
        </w:rPr>
        <w:fldChar w:fldCharType="begin"/>
      </w:r>
      <w:r>
        <w:rPr>
          <w:color w:val="auto"/>
          <w:highlight w:val="none"/>
        </w:rPr>
        <w:instrText xml:space="preserve"> PAGEREF _Toc18127 \h </w:instrText>
      </w:r>
      <w:r>
        <w:rPr>
          <w:color w:val="auto"/>
          <w:highlight w:val="none"/>
        </w:rPr>
        <w:fldChar w:fldCharType="separate"/>
      </w:r>
      <w:r>
        <w:rPr>
          <w:color w:val="auto"/>
          <w:highlight w:val="none"/>
        </w:rPr>
        <w:t>- 67 -</w:t>
      </w:r>
      <w:r>
        <w:rPr>
          <w:color w:val="auto"/>
          <w:highlight w:val="none"/>
        </w:rPr>
        <w:fldChar w:fldCharType="end"/>
      </w:r>
      <w:r>
        <w:rPr>
          <w:rFonts w:hint="eastAsia" w:ascii="宋体" w:hAnsi="宋体" w:cs="宋体"/>
          <w:color w:val="auto"/>
          <w:szCs w:val="21"/>
          <w:highlight w:val="none"/>
        </w:rPr>
        <w:fldChar w:fldCharType="end"/>
      </w:r>
    </w:p>
    <w:p w14:paraId="57780E51">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_Toc7514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第八条  售后服务、保修期</w:t>
      </w:r>
      <w:r>
        <w:rPr>
          <w:color w:val="auto"/>
          <w:highlight w:val="none"/>
        </w:rPr>
        <w:tab/>
      </w:r>
      <w:r>
        <w:rPr>
          <w:color w:val="auto"/>
          <w:highlight w:val="none"/>
        </w:rPr>
        <w:fldChar w:fldCharType="begin"/>
      </w:r>
      <w:r>
        <w:rPr>
          <w:color w:val="auto"/>
          <w:highlight w:val="none"/>
        </w:rPr>
        <w:instrText xml:space="preserve"> PAGEREF _Toc7514 \h </w:instrText>
      </w:r>
      <w:r>
        <w:rPr>
          <w:color w:val="auto"/>
          <w:highlight w:val="none"/>
        </w:rPr>
        <w:fldChar w:fldCharType="separate"/>
      </w:r>
      <w:r>
        <w:rPr>
          <w:color w:val="auto"/>
          <w:highlight w:val="none"/>
        </w:rPr>
        <w:t>- 67 -</w:t>
      </w:r>
      <w:r>
        <w:rPr>
          <w:color w:val="auto"/>
          <w:highlight w:val="none"/>
        </w:rPr>
        <w:fldChar w:fldCharType="end"/>
      </w:r>
      <w:r>
        <w:rPr>
          <w:rFonts w:hint="eastAsia" w:ascii="宋体" w:hAnsi="宋体" w:cs="宋体"/>
          <w:color w:val="auto"/>
          <w:szCs w:val="21"/>
          <w:highlight w:val="none"/>
        </w:rPr>
        <w:fldChar w:fldCharType="end"/>
      </w:r>
    </w:p>
    <w:p w14:paraId="5898A839">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_Toc7345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第九条  税费</w:t>
      </w:r>
      <w:r>
        <w:rPr>
          <w:color w:val="auto"/>
          <w:highlight w:val="none"/>
        </w:rPr>
        <w:tab/>
      </w:r>
      <w:r>
        <w:rPr>
          <w:color w:val="auto"/>
          <w:highlight w:val="none"/>
        </w:rPr>
        <w:fldChar w:fldCharType="begin"/>
      </w:r>
      <w:r>
        <w:rPr>
          <w:color w:val="auto"/>
          <w:highlight w:val="none"/>
        </w:rPr>
        <w:instrText xml:space="preserve"> PAGEREF _Toc7345 \h </w:instrText>
      </w:r>
      <w:r>
        <w:rPr>
          <w:color w:val="auto"/>
          <w:highlight w:val="none"/>
        </w:rPr>
        <w:fldChar w:fldCharType="separate"/>
      </w:r>
      <w:r>
        <w:rPr>
          <w:color w:val="auto"/>
          <w:highlight w:val="none"/>
        </w:rPr>
        <w:t>- 67 -</w:t>
      </w:r>
      <w:r>
        <w:rPr>
          <w:color w:val="auto"/>
          <w:highlight w:val="none"/>
        </w:rPr>
        <w:fldChar w:fldCharType="end"/>
      </w:r>
      <w:r>
        <w:rPr>
          <w:rFonts w:hint="eastAsia" w:ascii="宋体" w:hAnsi="宋体" w:cs="宋体"/>
          <w:color w:val="auto"/>
          <w:szCs w:val="21"/>
          <w:highlight w:val="none"/>
        </w:rPr>
        <w:fldChar w:fldCharType="end"/>
      </w:r>
    </w:p>
    <w:p w14:paraId="04937F52">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_Toc24524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第十条  付款方式</w:t>
      </w:r>
      <w:r>
        <w:rPr>
          <w:color w:val="auto"/>
          <w:highlight w:val="none"/>
        </w:rPr>
        <w:tab/>
      </w:r>
      <w:r>
        <w:rPr>
          <w:color w:val="auto"/>
          <w:highlight w:val="none"/>
        </w:rPr>
        <w:fldChar w:fldCharType="begin"/>
      </w:r>
      <w:r>
        <w:rPr>
          <w:color w:val="auto"/>
          <w:highlight w:val="none"/>
        </w:rPr>
        <w:instrText xml:space="preserve"> PAGEREF _Toc24524 \h </w:instrText>
      </w:r>
      <w:r>
        <w:rPr>
          <w:color w:val="auto"/>
          <w:highlight w:val="none"/>
        </w:rPr>
        <w:fldChar w:fldCharType="separate"/>
      </w:r>
      <w:r>
        <w:rPr>
          <w:color w:val="auto"/>
          <w:highlight w:val="none"/>
        </w:rPr>
        <w:t>- 67 -</w:t>
      </w:r>
      <w:r>
        <w:rPr>
          <w:color w:val="auto"/>
          <w:highlight w:val="none"/>
        </w:rPr>
        <w:fldChar w:fldCharType="end"/>
      </w:r>
      <w:r>
        <w:rPr>
          <w:rFonts w:hint="eastAsia" w:ascii="宋体" w:hAnsi="宋体" w:cs="宋体"/>
          <w:color w:val="auto"/>
          <w:szCs w:val="21"/>
          <w:highlight w:val="none"/>
        </w:rPr>
        <w:fldChar w:fldCharType="end"/>
      </w:r>
    </w:p>
    <w:p w14:paraId="01491ACA">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_Toc16951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第十一条  违约责任</w:t>
      </w:r>
      <w:r>
        <w:rPr>
          <w:color w:val="auto"/>
          <w:highlight w:val="none"/>
        </w:rPr>
        <w:tab/>
      </w:r>
      <w:r>
        <w:rPr>
          <w:color w:val="auto"/>
          <w:highlight w:val="none"/>
        </w:rPr>
        <w:fldChar w:fldCharType="begin"/>
      </w:r>
      <w:r>
        <w:rPr>
          <w:color w:val="auto"/>
          <w:highlight w:val="none"/>
        </w:rPr>
        <w:instrText xml:space="preserve"> PAGEREF _Toc16951 \h </w:instrText>
      </w:r>
      <w:r>
        <w:rPr>
          <w:color w:val="auto"/>
          <w:highlight w:val="none"/>
        </w:rPr>
        <w:fldChar w:fldCharType="separate"/>
      </w:r>
      <w:r>
        <w:rPr>
          <w:color w:val="auto"/>
          <w:highlight w:val="none"/>
        </w:rPr>
        <w:t>- 67 -</w:t>
      </w:r>
      <w:r>
        <w:rPr>
          <w:color w:val="auto"/>
          <w:highlight w:val="none"/>
        </w:rPr>
        <w:fldChar w:fldCharType="end"/>
      </w:r>
      <w:r>
        <w:rPr>
          <w:rFonts w:hint="eastAsia" w:ascii="宋体" w:hAnsi="宋体" w:cs="宋体"/>
          <w:color w:val="auto"/>
          <w:szCs w:val="21"/>
          <w:highlight w:val="none"/>
        </w:rPr>
        <w:fldChar w:fldCharType="end"/>
      </w:r>
    </w:p>
    <w:p w14:paraId="3B7BB1AA">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_Toc12051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第十二条  不可抗力事件处理</w:t>
      </w:r>
      <w:r>
        <w:rPr>
          <w:color w:val="auto"/>
          <w:highlight w:val="none"/>
        </w:rPr>
        <w:tab/>
      </w:r>
      <w:r>
        <w:rPr>
          <w:color w:val="auto"/>
          <w:highlight w:val="none"/>
        </w:rPr>
        <w:fldChar w:fldCharType="begin"/>
      </w:r>
      <w:r>
        <w:rPr>
          <w:color w:val="auto"/>
          <w:highlight w:val="none"/>
        </w:rPr>
        <w:instrText xml:space="preserve"> PAGEREF _Toc12051 \h </w:instrText>
      </w:r>
      <w:r>
        <w:rPr>
          <w:color w:val="auto"/>
          <w:highlight w:val="none"/>
        </w:rPr>
        <w:fldChar w:fldCharType="separate"/>
      </w:r>
      <w:r>
        <w:rPr>
          <w:color w:val="auto"/>
          <w:highlight w:val="none"/>
        </w:rPr>
        <w:t>- 68 -</w:t>
      </w:r>
      <w:r>
        <w:rPr>
          <w:color w:val="auto"/>
          <w:highlight w:val="none"/>
        </w:rPr>
        <w:fldChar w:fldCharType="end"/>
      </w:r>
      <w:r>
        <w:rPr>
          <w:rFonts w:hint="eastAsia" w:ascii="宋体" w:hAnsi="宋体" w:cs="宋体"/>
          <w:color w:val="auto"/>
          <w:szCs w:val="21"/>
          <w:highlight w:val="none"/>
        </w:rPr>
        <w:fldChar w:fldCharType="end"/>
      </w:r>
    </w:p>
    <w:p w14:paraId="4DB67732">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_Toc14871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第十三条  合同争议解决</w:t>
      </w:r>
      <w:r>
        <w:rPr>
          <w:color w:val="auto"/>
          <w:highlight w:val="none"/>
        </w:rPr>
        <w:tab/>
      </w:r>
      <w:r>
        <w:rPr>
          <w:color w:val="auto"/>
          <w:highlight w:val="none"/>
        </w:rPr>
        <w:fldChar w:fldCharType="begin"/>
      </w:r>
      <w:r>
        <w:rPr>
          <w:color w:val="auto"/>
          <w:highlight w:val="none"/>
        </w:rPr>
        <w:instrText xml:space="preserve"> PAGEREF _Toc14871 \h </w:instrText>
      </w:r>
      <w:r>
        <w:rPr>
          <w:color w:val="auto"/>
          <w:highlight w:val="none"/>
        </w:rPr>
        <w:fldChar w:fldCharType="separate"/>
      </w:r>
      <w:r>
        <w:rPr>
          <w:color w:val="auto"/>
          <w:highlight w:val="none"/>
        </w:rPr>
        <w:t>- 68 -</w:t>
      </w:r>
      <w:r>
        <w:rPr>
          <w:color w:val="auto"/>
          <w:highlight w:val="none"/>
        </w:rPr>
        <w:fldChar w:fldCharType="end"/>
      </w:r>
      <w:r>
        <w:rPr>
          <w:rFonts w:hint="eastAsia" w:ascii="宋体" w:hAnsi="宋体" w:cs="宋体"/>
          <w:color w:val="auto"/>
          <w:szCs w:val="21"/>
          <w:highlight w:val="none"/>
        </w:rPr>
        <w:fldChar w:fldCharType="end"/>
      </w:r>
    </w:p>
    <w:p w14:paraId="2834ACBF">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_Toc10423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第十四条  合同生效及其它</w:t>
      </w:r>
      <w:r>
        <w:rPr>
          <w:color w:val="auto"/>
          <w:highlight w:val="none"/>
        </w:rPr>
        <w:tab/>
      </w:r>
      <w:r>
        <w:rPr>
          <w:color w:val="auto"/>
          <w:highlight w:val="none"/>
        </w:rPr>
        <w:fldChar w:fldCharType="begin"/>
      </w:r>
      <w:r>
        <w:rPr>
          <w:color w:val="auto"/>
          <w:highlight w:val="none"/>
        </w:rPr>
        <w:instrText xml:space="preserve"> PAGEREF _Toc10423 \h </w:instrText>
      </w:r>
      <w:r>
        <w:rPr>
          <w:color w:val="auto"/>
          <w:highlight w:val="none"/>
        </w:rPr>
        <w:fldChar w:fldCharType="separate"/>
      </w:r>
      <w:r>
        <w:rPr>
          <w:color w:val="auto"/>
          <w:highlight w:val="none"/>
        </w:rPr>
        <w:t>- 68 -</w:t>
      </w:r>
      <w:r>
        <w:rPr>
          <w:color w:val="auto"/>
          <w:highlight w:val="none"/>
        </w:rPr>
        <w:fldChar w:fldCharType="end"/>
      </w:r>
      <w:r>
        <w:rPr>
          <w:rFonts w:hint="eastAsia" w:ascii="宋体" w:hAnsi="宋体" w:cs="宋体"/>
          <w:color w:val="auto"/>
          <w:szCs w:val="21"/>
          <w:highlight w:val="none"/>
        </w:rPr>
        <w:fldChar w:fldCharType="end"/>
      </w:r>
    </w:p>
    <w:p w14:paraId="3146E417">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_Toc24704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第十五条  合同的变更、终止与转让</w:t>
      </w:r>
      <w:r>
        <w:rPr>
          <w:color w:val="auto"/>
          <w:highlight w:val="none"/>
        </w:rPr>
        <w:tab/>
      </w:r>
      <w:r>
        <w:rPr>
          <w:color w:val="auto"/>
          <w:highlight w:val="none"/>
        </w:rPr>
        <w:fldChar w:fldCharType="begin"/>
      </w:r>
      <w:r>
        <w:rPr>
          <w:color w:val="auto"/>
          <w:highlight w:val="none"/>
        </w:rPr>
        <w:instrText xml:space="preserve"> PAGEREF _Toc24704 \h </w:instrText>
      </w:r>
      <w:r>
        <w:rPr>
          <w:color w:val="auto"/>
          <w:highlight w:val="none"/>
        </w:rPr>
        <w:fldChar w:fldCharType="separate"/>
      </w:r>
      <w:r>
        <w:rPr>
          <w:color w:val="auto"/>
          <w:highlight w:val="none"/>
        </w:rPr>
        <w:t>- 68 -</w:t>
      </w:r>
      <w:r>
        <w:rPr>
          <w:color w:val="auto"/>
          <w:highlight w:val="none"/>
        </w:rPr>
        <w:fldChar w:fldCharType="end"/>
      </w:r>
      <w:r>
        <w:rPr>
          <w:rFonts w:hint="eastAsia" w:ascii="宋体" w:hAnsi="宋体" w:cs="宋体"/>
          <w:color w:val="auto"/>
          <w:szCs w:val="21"/>
          <w:highlight w:val="none"/>
        </w:rPr>
        <w:fldChar w:fldCharType="end"/>
      </w:r>
    </w:p>
    <w:p w14:paraId="0E090763">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_Toc22041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第十六条  签订本合同依据</w:t>
      </w:r>
      <w:r>
        <w:rPr>
          <w:color w:val="auto"/>
          <w:highlight w:val="none"/>
        </w:rPr>
        <w:tab/>
      </w:r>
      <w:r>
        <w:rPr>
          <w:color w:val="auto"/>
          <w:highlight w:val="none"/>
        </w:rPr>
        <w:fldChar w:fldCharType="begin"/>
      </w:r>
      <w:r>
        <w:rPr>
          <w:color w:val="auto"/>
          <w:highlight w:val="none"/>
        </w:rPr>
        <w:instrText xml:space="preserve"> PAGEREF _Toc22041 \h </w:instrText>
      </w:r>
      <w:r>
        <w:rPr>
          <w:color w:val="auto"/>
          <w:highlight w:val="none"/>
        </w:rPr>
        <w:fldChar w:fldCharType="separate"/>
      </w:r>
      <w:r>
        <w:rPr>
          <w:color w:val="auto"/>
          <w:highlight w:val="none"/>
        </w:rPr>
        <w:t>- 68 -</w:t>
      </w:r>
      <w:r>
        <w:rPr>
          <w:color w:val="auto"/>
          <w:highlight w:val="none"/>
        </w:rPr>
        <w:fldChar w:fldCharType="end"/>
      </w:r>
      <w:r>
        <w:rPr>
          <w:rFonts w:hint="eastAsia" w:ascii="宋体" w:hAnsi="宋体" w:cs="宋体"/>
          <w:color w:val="auto"/>
          <w:szCs w:val="21"/>
          <w:highlight w:val="none"/>
        </w:rPr>
        <w:fldChar w:fldCharType="end"/>
      </w:r>
    </w:p>
    <w:p w14:paraId="2FCCC0C0">
      <w:pPr>
        <w:pStyle w:val="22"/>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_Toc26274 </w:instrText>
      </w:r>
      <w:r>
        <w:rPr>
          <w:rFonts w:hint="eastAsia" w:ascii="宋体" w:hAnsi="宋体" w:cs="宋体"/>
          <w:color w:val="auto"/>
          <w:szCs w:val="21"/>
          <w:highlight w:val="none"/>
        </w:rPr>
        <w:fldChar w:fldCharType="separate"/>
      </w:r>
      <w:r>
        <w:rPr>
          <w:rFonts w:hint="eastAsia" w:ascii="宋体" w:hAnsi="宋体" w:cs="宋体"/>
          <w:bCs/>
          <w:color w:val="auto"/>
          <w:kern w:val="44"/>
          <w:szCs w:val="32"/>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_Toc26274 \h </w:instrText>
      </w:r>
      <w:r>
        <w:rPr>
          <w:color w:val="auto"/>
          <w:highlight w:val="none"/>
        </w:rPr>
        <w:fldChar w:fldCharType="separate"/>
      </w:r>
      <w:r>
        <w:rPr>
          <w:color w:val="auto"/>
          <w:highlight w:val="none"/>
        </w:rPr>
        <w:t>- 69 -</w:t>
      </w:r>
      <w:r>
        <w:rPr>
          <w:color w:val="auto"/>
          <w:highlight w:val="none"/>
        </w:rPr>
        <w:fldChar w:fldCharType="end"/>
      </w:r>
      <w:r>
        <w:rPr>
          <w:rFonts w:hint="eastAsia" w:ascii="宋体" w:hAnsi="宋体" w:cs="宋体"/>
          <w:color w:val="auto"/>
          <w:szCs w:val="21"/>
          <w:highlight w:val="none"/>
        </w:rPr>
        <w:fldChar w:fldCharType="end"/>
      </w:r>
    </w:p>
    <w:p w14:paraId="2F3B07C8">
      <w:pPr>
        <w:jc w:val="center"/>
        <w:outlineLvl w:val="0"/>
        <w:rPr>
          <w:rFonts w:ascii="宋体" w:hAnsi="宋体" w:cs="宋体"/>
          <w:color w:val="auto"/>
          <w:sz w:val="32"/>
          <w:szCs w:val="32"/>
          <w:highlight w:val="none"/>
        </w:rPr>
        <w:sectPr>
          <w:pgSz w:w="11906" w:h="16838"/>
          <w:pgMar w:top="1440" w:right="1080" w:bottom="1440" w:left="1080" w:header="851" w:footer="992" w:gutter="0"/>
          <w:pgNumType w:fmt="numberInDash" w:start="1"/>
          <w:cols w:space="720" w:num="1"/>
          <w:docGrid w:type="lines" w:linePitch="312" w:charSpace="0"/>
        </w:sectPr>
      </w:pPr>
      <w:r>
        <w:rPr>
          <w:rFonts w:hint="eastAsia" w:ascii="宋体" w:hAnsi="宋体" w:cs="宋体"/>
          <w:color w:val="auto"/>
          <w:szCs w:val="21"/>
          <w:highlight w:val="none"/>
        </w:rPr>
        <w:fldChar w:fldCharType="end"/>
      </w:r>
    </w:p>
    <w:p w14:paraId="55196243">
      <w:pPr>
        <w:pStyle w:val="3"/>
        <w:numPr>
          <w:ilvl w:val="0"/>
          <w:numId w:val="1"/>
        </w:numPr>
        <w:tabs>
          <w:tab w:val="left" w:pos="0"/>
          <w:tab w:val="left" w:pos="3165"/>
          <w:tab w:val="center" w:pos="4153"/>
        </w:tabs>
        <w:autoSpaceDE w:val="0"/>
        <w:autoSpaceDN w:val="0"/>
        <w:adjustRightInd w:val="0"/>
        <w:spacing w:before="0" w:after="0" w:line="440" w:lineRule="exact"/>
        <w:jc w:val="center"/>
        <w:rPr>
          <w:rFonts w:ascii="宋体" w:hAnsi="宋体" w:cs="宋体"/>
          <w:color w:val="auto"/>
          <w:sz w:val="32"/>
          <w:szCs w:val="32"/>
          <w:highlight w:val="none"/>
        </w:rPr>
      </w:pPr>
      <w:bookmarkStart w:id="0" w:name="_Toc8183"/>
      <w:bookmarkStart w:id="1" w:name="_Toc15058"/>
      <w:bookmarkStart w:id="2" w:name="_Toc205"/>
      <w:bookmarkStart w:id="3" w:name="_Toc23145"/>
      <w:bookmarkStart w:id="4" w:name="_Toc28359001"/>
      <w:bookmarkStart w:id="5" w:name="_Toc35393789"/>
      <w:r>
        <w:rPr>
          <w:rFonts w:hint="eastAsia" w:ascii="宋体" w:hAnsi="宋体" w:cs="宋体"/>
          <w:color w:val="auto"/>
          <w:sz w:val="32"/>
          <w:szCs w:val="32"/>
          <w:highlight w:val="none"/>
        </w:rPr>
        <w:t>公开招标公告</w:t>
      </w:r>
      <w:bookmarkEnd w:id="0"/>
      <w:bookmarkEnd w:id="1"/>
      <w:bookmarkEnd w:id="2"/>
      <w:bookmarkEnd w:id="3"/>
      <w:bookmarkEnd w:id="4"/>
      <w:bookmarkEnd w:id="5"/>
    </w:p>
    <w:tbl>
      <w:tblPr>
        <w:tblStyle w:val="31"/>
        <w:tblpPr w:leftFromText="180" w:rightFromText="180" w:vertAnchor="text" w:tblpX="38" w:tblpY="134"/>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01EB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9962" w:type="dxa"/>
          </w:tcPr>
          <w:p w14:paraId="638BBD01">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755F796">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桂林市政府集中采购中心受</w:t>
            </w:r>
            <w:r>
              <w:rPr>
                <w:rFonts w:hint="eastAsia" w:ascii="宋体" w:hAnsi="宋体" w:cs="宋体"/>
                <w:color w:val="auto"/>
                <w:sz w:val="24"/>
                <w:highlight w:val="none"/>
                <w:u w:val="single"/>
                <w:lang w:eastAsia="zh-CN"/>
              </w:rPr>
              <w:t>荔浦市教育局</w:t>
            </w:r>
            <w:r>
              <w:rPr>
                <w:rFonts w:hint="eastAsia" w:ascii="宋体" w:hAnsi="宋体" w:cs="宋体"/>
                <w:color w:val="auto"/>
                <w:sz w:val="24"/>
                <w:highlight w:val="none"/>
              </w:rPr>
              <w:t>委托，根据《中华人民共和国政府采购法》《中华人民共和国政府采购法实施条例》及《政府采购货物和服务招标投标管理办法》（财政部令第87号）等规定，现就</w:t>
            </w:r>
            <w:r>
              <w:rPr>
                <w:rFonts w:hint="eastAsia" w:ascii="宋体" w:hAnsi="宋体" w:cs="宋体"/>
                <w:color w:val="auto"/>
                <w:sz w:val="24"/>
                <w:highlight w:val="none"/>
                <w:u w:val="single"/>
                <w:lang w:eastAsia="zh-CN"/>
              </w:rPr>
              <w:t>荔浦市教育局荔浦市学校扩班及更换教学设备设施采购项目（重1）</w:t>
            </w:r>
            <w:r>
              <w:rPr>
                <w:rFonts w:hint="eastAsia" w:ascii="宋体" w:hAnsi="宋体" w:cs="宋体"/>
                <w:color w:val="auto"/>
                <w:sz w:val="24"/>
                <w:highlight w:val="none"/>
              </w:rPr>
              <w:t>项目进行公开招标，欢迎符合条件的供应商前来投标，并于</w:t>
            </w:r>
            <w:r>
              <w:rPr>
                <w:rFonts w:hint="eastAsia" w:ascii="宋体" w:hAnsi="宋体" w:cs="宋体"/>
                <w:color w:val="auto"/>
                <w:sz w:val="24"/>
                <w:highlight w:val="none"/>
                <w:lang w:eastAsia="zh-CN"/>
              </w:rPr>
              <w:t>2025年8月8日</w:t>
            </w:r>
            <w:r>
              <w:rPr>
                <w:rFonts w:hint="eastAsia" w:ascii="宋体" w:hAnsi="宋体" w:cs="宋体"/>
                <w:color w:val="auto"/>
                <w:sz w:val="24"/>
                <w:highlight w:val="none"/>
              </w:rPr>
              <w:t>上午9时30分前递交投标文件。现将本次公开招标的有关事项公告如下：</w:t>
            </w:r>
          </w:p>
        </w:tc>
      </w:tr>
    </w:tbl>
    <w:p w14:paraId="3BD8BC12">
      <w:pPr>
        <w:rPr>
          <w:rFonts w:ascii="宋体" w:hAnsi="宋体" w:cs="宋体"/>
          <w:color w:val="auto"/>
          <w:sz w:val="24"/>
          <w:highlight w:val="none"/>
        </w:rPr>
      </w:pPr>
    </w:p>
    <w:p w14:paraId="15D15915">
      <w:pPr>
        <w:rPr>
          <w:rFonts w:ascii="宋体" w:hAnsi="宋体" w:cs="宋体"/>
          <w:color w:val="auto"/>
          <w:sz w:val="24"/>
          <w:highlight w:val="none"/>
        </w:rPr>
      </w:pPr>
      <w:bookmarkStart w:id="6" w:name="_Toc35393790"/>
      <w:bookmarkStart w:id="7" w:name="_Toc28359079"/>
      <w:bookmarkStart w:id="8" w:name="_Toc35393621"/>
      <w:bookmarkStart w:id="9" w:name="_Toc28359002"/>
      <w:bookmarkStart w:id="10" w:name="_Hlk24379207"/>
      <w:r>
        <w:rPr>
          <w:rFonts w:hint="eastAsia" w:ascii="宋体" w:hAnsi="宋体" w:cs="宋体"/>
          <w:color w:val="auto"/>
          <w:sz w:val="24"/>
          <w:highlight w:val="none"/>
        </w:rPr>
        <w:t>一、项目基本情况</w:t>
      </w:r>
      <w:bookmarkEnd w:id="6"/>
      <w:bookmarkEnd w:id="7"/>
      <w:bookmarkEnd w:id="8"/>
      <w:bookmarkEnd w:id="9"/>
    </w:p>
    <w:p w14:paraId="65769021">
      <w:pPr>
        <w:spacing w:line="38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GLZC2025-G1-310035-GLSZ</w:t>
      </w:r>
    </w:p>
    <w:p w14:paraId="1A20D0D5">
      <w:pPr>
        <w:spacing w:line="38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荔浦市教育局荔浦市学校扩班及更换教学设备设施采购项目（重1）</w:t>
      </w:r>
    </w:p>
    <w:bookmarkEnd w:id="10"/>
    <w:p w14:paraId="262071C7">
      <w:pPr>
        <w:spacing w:line="38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预算金额：</w:t>
      </w:r>
      <w:r>
        <w:rPr>
          <w:rFonts w:hint="eastAsia" w:ascii="宋体" w:hAnsi="宋体" w:cs="宋体"/>
          <w:color w:val="auto"/>
          <w:sz w:val="24"/>
          <w:highlight w:val="none"/>
          <w:lang w:eastAsia="zh-CN"/>
        </w:rPr>
        <w:t>人民币壹佰捌拾玖万元整（¥1890000.00元）</w:t>
      </w:r>
    </w:p>
    <w:p w14:paraId="5065D153">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采购需求：</w:t>
      </w:r>
    </w:p>
    <w:tbl>
      <w:tblPr>
        <w:tblStyle w:val="31"/>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820"/>
        <w:gridCol w:w="1005"/>
        <w:gridCol w:w="1745"/>
        <w:gridCol w:w="2725"/>
      </w:tblGrid>
      <w:tr w14:paraId="41B1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97" w:type="dxa"/>
            <w:vAlign w:val="center"/>
          </w:tcPr>
          <w:p w14:paraId="76634C0E">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项号</w:t>
            </w:r>
          </w:p>
        </w:tc>
        <w:tc>
          <w:tcPr>
            <w:tcW w:w="2820" w:type="dxa"/>
            <w:vAlign w:val="center"/>
          </w:tcPr>
          <w:p w14:paraId="6AD2DB46">
            <w:pPr>
              <w:spacing w:line="380" w:lineRule="exact"/>
              <w:jc w:val="center"/>
              <w:rPr>
                <w:rFonts w:ascii="宋体" w:hAnsi="宋体" w:cs="宋体"/>
                <w:color w:val="auto"/>
                <w:sz w:val="24"/>
                <w:highlight w:val="none"/>
              </w:rPr>
            </w:pPr>
            <w:r>
              <w:rPr>
                <w:rFonts w:hint="default" w:ascii="宋体" w:hAnsi="宋体" w:cs="宋体"/>
                <w:color w:val="auto"/>
                <w:sz w:val="24"/>
                <w:highlight w:val="none"/>
                <w:lang w:val="en-US"/>
              </w:rPr>
              <w:t>货物</w:t>
            </w:r>
            <w:r>
              <w:rPr>
                <w:rFonts w:hint="eastAsia" w:ascii="宋体" w:hAnsi="宋体" w:cs="宋体"/>
                <w:color w:val="auto"/>
                <w:sz w:val="24"/>
                <w:highlight w:val="none"/>
              </w:rPr>
              <w:t>名称</w:t>
            </w:r>
          </w:p>
        </w:tc>
        <w:tc>
          <w:tcPr>
            <w:tcW w:w="1005" w:type="dxa"/>
            <w:vAlign w:val="center"/>
          </w:tcPr>
          <w:p w14:paraId="7AD12A67">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单位</w:t>
            </w:r>
          </w:p>
        </w:tc>
        <w:tc>
          <w:tcPr>
            <w:tcW w:w="1745" w:type="dxa"/>
            <w:vAlign w:val="center"/>
          </w:tcPr>
          <w:p w14:paraId="6AD82EA2">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2725" w:type="dxa"/>
            <w:vAlign w:val="center"/>
          </w:tcPr>
          <w:p w14:paraId="0B76268E">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主要技术参数</w:t>
            </w:r>
          </w:p>
        </w:tc>
      </w:tr>
      <w:tr w14:paraId="2339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97" w:type="dxa"/>
            <w:vAlign w:val="center"/>
          </w:tcPr>
          <w:p w14:paraId="3A774615">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820" w:type="dxa"/>
            <w:vAlign w:val="center"/>
          </w:tcPr>
          <w:p w14:paraId="602FD125">
            <w:pPr>
              <w:spacing w:line="380" w:lineRule="exact"/>
              <w:jc w:val="center"/>
              <w:rPr>
                <w:rFonts w:ascii="宋体" w:hAnsi="宋体" w:cs="宋体"/>
                <w:color w:val="auto"/>
                <w:sz w:val="24"/>
                <w:highlight w:val="none"/>
              </w:rPr>
            </w:pPr>
            <w:r>
              <w:rPr>
                <w:rFonts w:hint="eastAsia" w:ascii="宋体" w:hAnsi="宋体" w:cs="宋体"/>
                <w:color w:val="auto"/>
                <w:sz w:val="24"/>
                <w:highlight w:val="none"/>
                <w:lang w:eastAsia="zh-CN"/>
              </w:rPr>
              <w:t>荔浦市学校扩班及更换教学设备设施</w:t>
            </w:r>
          </w:p>
        </w:tc>
        <w:tc>
          <w:tcPr>
            <w:tcW w:w="1005" w:type="dxa"/>
            <w:vAlign w:val="center"/>
          </w:tcPr>
          <w:p w14:paraId="5BE082F5">
            <w:pPr>
              <w:spacing w:line="38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批</w:t>
            </w:r>
          </w:p>
        </w:tc>
        <w:tc>
          <w:tcPr>
            <w:tcW w:w="1745" w:type="dxa"/>
            <w:vAlign w:val="center"/>
          </w:tcPr>
          <w:p w14:paraId="6691D8B8">
            <w:pPr>
              <w:adjustRightInd w:val="0"/>
              <w:snapToGrid w:val="0"/>
              <w:spacing w:line="560" w:lineRule="exact"/>
              <w:jc w:val="center"/>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1</w:t>
            </w:r>
          </w:p>
        </w:tc>
        <w:tc>
          <w:tcPr>
            <w:tcW w:w="2725" w:type="dxa"/>
            <w:vAlign w:val="center"/>
          </w:tcPr>
          <w:p w14:paraId="4746BE78">
            <w:pPr>
              <w:snapToGrid w:val="0"/>
              <w:spacing w:line="380" w:lineRule="exact"/>
              <w:jc w:val="center"/>
              <w:rPr>
                <w:rFonts w:ascii="宋体" w:hAnsi="宋体" w:cs="宋体"/>
                <w:color w:val="auto"/>
                <w:sz w:val="24"/>
                <w:highlight w:val="none"/>
              </w:rPr>
            </w:pPr>
            <w:r>
              <w:rPr>
                <w:rFonts w:hint="eastAsia" w:ascii="宋体" w:hAnsi="宋体" w:cs="宋体"/>
                <w:color w:val="auto"/>
                <w:sz w:val="24"/>
                <w:highlight w:val="none"/>
              </w:rPr>
              <w:t>详见招标文件</w:t>
            </w:r>
          </w:p>
        </w:tc>
      </w:tr>
    </w:tbl>
    <w:p w14:paraId="26CCB7B6">
      <w:pPr>
        <w:spacing w:line="38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合同履行期限：自合同签订之日起至中标人承诺免费保修期满。</w:t>
      </w:r>
    </w:p>
    <w:p w14:paraId="6F53766E">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b/>
          <w:bCs/>
          <w:color w:val="auto"/>
          <w:sz w:val="24"/>
          <w:highlight w:val="none"/>
        </w:rPr>
        <w:t>不接受</w:t>
      </w:r>
      <w:r>
        <w:rPr>
          <w:rFonts w:hint="eastAsia" w:ascii="宋体" w:hAnsi="宋体" w:cs="宋体"/>
          <w:color w:val="auto"/>
          <w:sz w:val="24"/>
          <w:highlight w:val="none"/>
        </w:rPr>
        <w:t>联合体投标。</w:t>
      </w:r>
    </w:p>
    <w:p w14:paraId="2274D618">
      <w:pPr>
        <w:rPr>
          <w:rFonts w:ascii="宋体" w:hAnsi="宋体" w:cs="宋体"/>
          <w:color w:val="auto"/>
          <w:sz w:val="24"/>
          <w:highlight w:val="none"/>
        </w:rPr>
      </w:pPr>
      <w:bookmarkStart w:id="11" w:name="_Toc28359003"/>
      <w:bookmarkStart w:id="12" w:name="_Toc35393791"/>
      <w:bookmarkStart w:id="13" w:name="_Toc35393622"/>
      <w:bookmarkStart w:id="14" w:name="_Toc28359080"/>
      <w:r>
        <w:rPr>
          <w:rFonts w:hint="eastAsia" w:ascii="宋体" w:hAnsi="宋体" w:cs="宋体"/>
          <w:color w:val="auto"/>
          <w:sz w:val="24"/>
          <w:highlight w:val="none"/>
        </w:rPr>
        <w:t>二、申请人的资格要求：</w:t>
      </w:r>
      <w:bookmarkEnd w:id="11"/>
      <w:bookmarkEnd w:id="12"/>
      <w:bookmarkEnd w:id="13"/>
      <w:bookmarkEnd w:id="14"/>
    </w:p>
    <w:p w14:paraId="6633B20F">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43B6C2C1">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ADBD0D8">
      <w:pPr>
        <w:spacing w:line="380" w:lineRule="exact"/>
        <w:ind w:firstLine="480" w:firstLineChars="200"/>
        <w:rPr>
          <w:rFonts w:hint="eastAsia" w:ascii="宋体" w:hAnsi="宋体" w:eastAsia="宋体" w:cs="宋体"/>
          <w:color w:val="auto"/>
          <w:sz w:val="24"/>
          <w:highlight w:val="none"/>
          <w:lang w:val="en-US" w:eastAsia="zh-CN"/>
        </w:rPr>
      </w:pPr>
      <w:bookmarkStart w:id="15" w:name="_Toc28359004"/>
      <w:bookmarkStart w:id="16" w:name="_Toc28359081"/>
      <w:r>
        <w:rPr>
          <w:rFonts w:hint="eastAsia" w:ascii="宋体" w:hAnsi="宋体" w:cs="宋体"/>
          <w:color w:val="auto"/>
          <w:sz w:val="24"/>
          <w:highlight w:val="none"/>
        </w:rPr>
        <w:t>3.落实政府采购政策需满足的资格要求：</w:t>
      </w:r>
      <w:r>
        <w:rPr>
          <w:rFonts w:hint="eastAsia" w:ascii="宋体" w:hAnsi="宋体" w:cs="宋体"/>
          <w:color w:val="auto"/>
          <w:sz w:val="24"/>
          <w:highlight w:val="none"/>
          <w:lang w:val="en-US" w:eastAsia="zh-CN"/>
        </w:rPr>
        <w:t>无。</w:t>
      </w:r>
    </w:p>
    <w:p w14:paraId="2BE0DF0A">
      <w:pPr>
        <w:spacing w:line="380" w:lineRule="exact"/>
        <w:ind w:firstLine="480" w:firstLineChars="200"/>
        <w:rPr>
          <w:rFonts w:ascii="宋体" w:hAnsi="宋体" w:cs="宋体"/>
          <w:i/>
          <w:iCs/>
          <w:color w:val="auto"/>
          <w:sz w:val="24"/>
          <w:highlight w:val="none"/>
          <w:u w:val="single"/>
        </w:rPr>
      </w:pPr>
      <w:r>
        <w:rPr>
          <w:rFonts w:hint="eastAsia" w:ascii="宋体" w:hAnsi="宋体" w:cs="宋体"/>
          <w:color w:val="auto"/>
          <w:sz w:val="24"/>
          <w:highlight w:val="none"/>
        </w:rPr>
        <w:t>4.本项目的特定资格要求：无。</w:t>
      </w:r>
    </w:p>
    <w:p w14:paraId="0205C412">
      <w:pPr>
        <w:rPr>
          <w:rFonts w:ascii="宋体" w:hAnsi="宋体" w:cs="宋体"/>
          <w:color w:val="auto"/>
          <w:sz w:val="24"/>
          <w:highlight w:val="none"/>
        </w:rPr>
      </w:pPr>
      <w:bookmarkStart w:id="17" w:name="_Toc35393623"/>
      <w:bookmarkStart w:id="18" w:name="_Toc35393792"/>
      <w:r>
        <w:rPr>
          <w:rFonts w:hint="eastAsia" w:ascii="宋体" w:hAnsi="宋体" w:cs="宋体"/>
          <w:color w:val="auto"/>
          <w:sz w:val="24"/>
          <w:highlight w:val="none"/>
        </w:rPr>
        <w:t>三、获取招标文件</w:t>
      </w:r>
      <w:bookmarkEnd w:id="15"/>
      <w:bookmarkEnd w:id="16"/>
      <w:bookmarkEnd w:id="17"/>
      <w:bookmarkEnd w:id="18"/>
    </w:p>
    <w:p w14:paraId="1FC6C0BF">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1.招标文件获取时间：</w:t>
      </w:r>
      <w:r>
        <w:rPr>
          <w:rFonts w:hint="eastAsia" w:ascii="宋体" w:hAnsi="宋体" w:cs="宋体"/>
          <w:color w:val="auto"/>
          <w:sz w:val="24"/>
          <w:highlight w:val="none"/>
          <w:lang w:eastAsia="zh-CN"/>
        </w:rPr>
        <w:t>2025年7月18日</w:t>
      </w:r>
      <w:r>
        <w:rPr>
          <w:rFonts w:hint="eastAsia" w:ascii="宋体" w:hAnsi="宋体" w:cs="宋体"/>
          <w:color w:val="auto"/>
          <w:sz w:val="24"/>
          <w:highlight w:val="none"/>
        </w:rPr>
        <w:t>至</w:t>
      </w:r>
      <w:r>
        <w:rPr>
          <w:rFonts w:hint="eastAsia" w:ascii="宋体" w:hAnsi="宋体" w:cs="宋体"/>
          <w:color w:val="auto"/>
          <w:sz w:val="24"/>
          <w:highlight w:val="none"/>
          <w:lang w:eastAsia="zh-CN"/>
        </w:rPr>
        <w:t>2025年8月8日</w:t>
      </w:r>
      <w:r>
        <w:rPr>
          <w:rFonts w:hint="eastAsia" w:ascii="宋体" w:hAnsi="宋体" w:cs="宋体"/>
          <w:color w:val="auto"/>
          <w:sz w:val="24"/>
          <w:highlight w:val="none"/>
        </w:rPr>
        <w:t>上午9时30分。</w:t>
      </w:r>
    </w:p>
    <w:p w14:paraId="693D95D8">
      <w:pPr>
        <w:spacing w:line="380" w:lineRule="exact"/>
        <w:ind w:firstLine="480" w:firstLineChars="200"/>
        <w:rPr>
          <w:color w:val="auto"/>
          <w:highlight w:val="none"/>
        </w:rPr>
      </w:pPr>
      <w:r>
        <w:rPr>
          <w:rFonts w:hint="eastAsia" w:ascii="宋体" w:hAnsi="宋体" w:cs="宋体"/>
          <w:color w:val="auto"/>
          <w:sz w:val="24"/>
          <w:highlight w:val="none"/>
        </w:rPr>
        <w:t>2.地点及方式：潜在供应商请登录“广西政府采购云平台”获取该项目招标文件。</w:t>
      </w:r>
    </w:p>
    <w:p w14:paraId="3008400E">
      <w:pPr>
        <w:ind w:firstLine="480" w:firstLineChars="200"/>
        <w:rPr>
          <w:rFonts w:ascii="宋体" w:hAnsi="宋体" w:cs="宋体"/>
          <w:color w:val="auto"/>
          <w:sz w:val="24"/>
          <w:highlight w:val="none"/>
        </w:rPr>
      </w:pPr>
      <w:r>
        <w:rPr>
          <w:rFonts w:hint="eastAsia" w:ascii="宋体" w:hAnsi="宋体" w:cs="宋体"/>
          <w:color w:val="auto"/>
          <w:sz w:val="24"/>
          <w:highlight w:val="none"/>
        </w:rPr>
        <w:t>3.招标文件售价：本项目招标文件不收取费用。</w:t>
      </w:r>
    </w:p>
    <w:p w14:paraId="21BB967F">
      <w:pPr>
        <w:rPr>
          <w:rFonts w:ascii="宋体" w:hAnsi="宋体" w:cs="宋体"/>
          <w:color w:val="auto"/>
          <w:sz w:val="24"/>
          <w:highlight w:val="none"/>
        </w:rPr>
      </w:pPr>
      <w:bookmarkStart w:id="19" w:name="_Toc28359005"/>
      <w:bookmarkStart w:id="20" w:name="_Toc28359082"/>
      <w:bookmarkStart w:id="21" w:name="_Toc35393624"/>
      <w:bookmarkStart w:id="22" w:name="_Toc35393793"/>
      <w:r>
        <w:rPr>
          <w:rFonts w:hint="eastAsia" w:ascii="宋体" w:hAnsi="宋体" w:cs="宋体"/>
          <w:color w:val="auto"/>
          <w:sz w:val="24"/>
          <w:highlight w:val="none"/>
        </w:rPr>
        <w:t>四、提交投标文件</w:t>
      </w:r>
      <w:bookmarkEnd w:id="19"/>
      <w:bookmarkEnd w:id="20"/>
      <w:r>
        <w:rPr>
          <w:rFonts w:hint="eastAsia" w:ascii="宋体" w:hAnsi="宋体" w:cs="宋体"/>
          <w:color w:val="auto"/>
          <w:sz w:val="24"/>
          <w:highlight w:val="none"/>
        </w:rPr>
        <w:t>截止时间、开标时间和地点</w:t>
      </w:r>
      <w:bookmarkEnd w:id="21"/>
      <w:bookmarkEnd w:id="22"/>
    </w:p>
    <w:p w14:paraId="604A6B7A">
      <w:pPr>
        <w:spacing w:line="3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截止时间：</w:t>
      </w:r>
      <w:r>
        <w:rPr>
          <w:rFonts w:hint="eastAsia" w:ascii="宋体" w:hAnsi="宋体" w:cs="宋体"/>
          <w:color w:val="auto"/>
          <w:sz w:val="24"/>
          <w:highlight w:val="none"/>
          <w:lang w:eastAsia="zh-CN"/>
        </w:rPr>
        <w:t>2025年8月8日</w:t>
      </w:r>
      <w:r>
        <w:rPr>
          <w:rFonts w:hint="eastAsia" w:ascii="宋体" w:hAnsi="宋体" w:cs="宋体"/>
          <w:color w:val="auto"/>
          <w:sz w:val="24"/>
          <w:highlight w:val="none"/>
        </w:rPr>
        <w:t>上午9时30分</w:t>
      </w:r>
      <w:r>
        <w:rPr>
          <w:rFonts w:hint="eastAsia" w:ascii="宋体" w:hAnsi="宋体" w:cs="宋体"/>
          <w:bCs/>
          <w:color w:val="auto"/>
          <w:sz w:val="24"/>
          <w:highlight w:val="none"/>
        </w:rPr>
        <w:t>（北京时间）。</w:t>
      </w:r>
    </w:p>
    <w:p w14:paraId="4C2A53D8">
      <w:pPr>
        <w:spacing w:line="380" w:lineRule="exact"/>
        <w:ind w:firstLine="480" w:firstLineChars="200"/>
        <w:rPr>
          <w:rFonts w:ascii="宋体" w:hAnsi="宋体" w:cs="宋体"/>
          <w:color w:val="auto"/>
          <w:highlight w:val="none"/>
        </w:rPr>
      </w:pPr>
      <w:r>
        <w:rPr>
          <w:rFonts w:hint="eastAsia" w:ascii="宋体" w:hAnsi="宋体" w:cs="宋体"/>
          <w:color w:val="auto"/>
          <w:sz w:val="24"/>
          <w:highlight w:val="none"/>
        </w:rPr>
        <w:t>地    点：通过广西政府采购云平台实行在线投标。</w:t>
      </w:r>
    </w:p>
    <w:p w14:paraId="56361017">
      <w:pPr>
        <w:spacing w:line="38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开标时间：</w:t>
      </w:r>
      <w:r>
        <w:rPr>
          <w:rFonts w:hint="eastAsia" w:ascii="宋体" w:hAnsi="宋体" w:cs="宋体"/>
          <w:color w:val="auto"/>
          <w:sz w:val="24"/>
          <w:highlight w:val="none"/>
          <w:lang w:eastAsia="zh-CN"/>
        </w:rPr>
        <w:t>2025年8月8日</w:t>
      </w:r>
      <w:r>
        <w:rPr>
          <w:rFonts w:hint="eastAsia" w:ascii="宋体" w:hAnsi="宋体" w:cs="宋体"/>
          <w:color w:val="auto"/>
          <w:sz w:val="24"/>
          <w:highlight w:val="none"/>
        </w:rPr>
        <w:t>上午9时30分</w:t>
      </w:r>
      <w:r>
        <w:rPr>
          <w:rFonts w:hint="eastAsia" w:ascii="宋体" w:hAnsi="宋体" w:cs="宋体"/>
          <w:bCs/>
          <w:color w:val="auto"/>
          <w:sz w:val="24"/>
          <w:highlight w:val="none"/>
        </w:rPr>
        <w:t>（北京时间）</w:t>
      </w:r>
      <w:r>
        <w:rPr>
          <w:rFonts w:hint="eastAsia" w:ascii="宋体" w:hAnsi="宋体" w:cs="宋体"/>
          <w:color w:val="auto"/>
          <w:sz w:val="24"/>
          <w:highlight w:val="none"/>
        </w:rPr>
        <w:t>截标后。</w:t>
      </w:r>
    </w:p>
    <w:p w14:paraId="33DD1769">
      <w:pPr>
        <w:spacing w:line="380" w:lineRule="exact"/>
        <w:ind w:firstLine="480" w:firstLineChars="200"/>
        <w:rPr>
          <w:rFonts w:ascii="宋体" w:hAnsi="宋体" w:cs="宋体"/>
          <w:color w:val="auto"/>
          <w:highlight w:val="none"/>
        </w:rPr>
      </w:pPr>
      <w:r>
        <w:rPr>
          <w:rFonts w:hint="eastAsia" w:ascii="宋体" w:hAnsi="宋体" w:cs="宋体"/>
          <w:color w:val="auto"/>
          <w:sz w:val="24"/>
          <w:highlight w:val="none"/>
        </w:rPr>
        <w:t>地点：桂林市公共资源交易中心</w:t>
      </w:r>
      <w:r>
        <w:rPr>
          <w:rFonts w:hint="eastAsia" w:ascii="宋体" w:hAnsi="宋体" w:cs="宋体"/>
          <w:color w:val="auto"/>
          <w:sz w:val="24"/>
          <w:highlight w:val="none"/>
          <w:u w:val="single"/>
          <w:lang w:eastAsia="zh-CN"/>
        </w:rPr>
        <w:t>4号政采开标仓</w:t>
      </w:r>
      <w:r>
        <w:rPr>
          <w:rFonts w:hint="eastAsia" w:ascii="宋体" w:hAnsi="宋体" w:cs="宋体"/>
          <w:color w:val="auto"/>
          <w:sz w:val="24"/>
          <w:highlight w:val="none"/>
        </w:rPr>
        <w:t>通过广西政府采购云平台实行在线解密开启。</w:t>
      </w:r>
    </w:p>
    <w:p w14:paraId="1C0B6BD1">
      <w:pPr>
        <w:rPr>
          <w:rFonts w:ascii="宋体" w:hAnsi="宋体" w:cs="宋体"/>
          <w:color w:val="auto"/>
          <w:sz w:val="24"/>
          <w:highlight w:val="none"/>
        </w:rPr>
      </w:pPr>
      <w:bookmarkStart w:id="23" w:name="_Toc28359084"/>
      <w:bookmarkStart w:id="24" w:name="_Toc35393625"/>
      <w:bookmarkStart w:id="25" w:name="_Toc28359007"/>
      <w:bookmarkStart w:id="26" w:name="_Toc35393794"/>
      <w:r>
        <w:rPr>
          <w:rFonts w:hint="eastAsia" w:ascii="宋体" w:hAnsi="宋体" w:cs="宋体"/>
          <w:color w:val="auto"/>
          <w:sz w:val="24"/>
          <w:highlight w:val="none"/>
        </w:rPr>
        <w:t>五、公告期限</w:t>
      </w:r>
      <w:bookmarkEnd w:id="23"/>
      <w:bookmarkEnd w:id="24"/>
      <w:bookmarkEnd w:id="25"/>
      <w:bookmarkEnd w:id="26"/>
    </w:p>
    <w:p w14:paraId="16837744">
      <w:pPr>
        <w:spacing w:line="3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50BD166A">
      <w:pPr>
        <w:rPr>
          <w:rFonts w:ascii="宋体" w:hAnsi="宋体" w:cs="宋体"/>
          <w:color w:val="auto"/>
          <w:sz w:val="24"/>
          <w:highlight w:val="none"/>
        </w:rPr>
      </w:pPr>
      <w:bookmarkStart w:id="27" w:name="_Toc35393795"/>
      <w:bookmarkStart w:id="28" w:name="_Toc35393626"/>
      <w:r>
        <w:rPr>
          <w:rFonts w:hint="eastAsia" w:ascii="宋体" w:hAnsi="宋体" w:cs="宋体"/>
          <w:color w:val="auto"/>
          <w:sz w:val="24"/>
          <w:highlight w:val="none"/>
        </w:rPr>
        <w:t>六、其他补充事宜</w:t>
      </w:r>
      <w:bookmarkEnd w:id="27"/>
      <w:bookmarkEnd w:id="28"/>
    </w:p>
    <w:p w14:paraId="5D9FD2F6">
      <w:pPr>
        <w:spacing w:line="380" w:lineRule="exact"/>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b/>
          <w:bCs/>
          <w:color w:val="auto"/>
          <w:sz w:val="24"/>
          <w:highlight w:val="none"/>
        </w:rPr>
        <w:t>本项目无需缴纳投标保证金。</w:t>
      </w:r>
    </w:p>
    <w:p w14:paraId="22BDE08B">
      <w:pPr>
        <w:spacing w:line="360" w:lineRule="exact"/>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人可视自身情况决定是否出席开标会议；如出席开标会议，可以由法定代表人、负责人、自然人或其委托代理人出席开标会议（出席代表需携带本人身份证原件，未携带身份证所造成一切后果，由其自行承担）。</w:t>
      </w:r>
    </w:p>
    <w:p w14:paraId="3764B568">
      <w:pPr>
        <w:spacing w:line="380" w:lineRule="exact"/>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本项目信息发布媒体：</w:t>
      </w:r>
    </w:p>
    <w:p w14:paraId="0841AEC4">
      <w:pPr>
        <w:spacing w:line="380" w:lineRule="exact"/>
        <w:ind w:firstLine="480" w:firstLineChars="200"/>
        <w:rPr>
          <w:rFonts w:hint="eastAsia" w:ascii="宋体" w:hAnsi="宋体" w:cs="宋体"/>
          <w:color w:val="auto"/>
          <w:sz w:val="24"/>
          <w:highlight w:val="none"/>
        </w:rPr>
      </w:pPr>
      <w:bookmarkStart w:id="29" w:name="_Toc35393796"/>
      <w:bookmarkStart w:id="30" w:name="_Toc28359008"/>
      <w:bookmarkStart w:id="31" w:name="_Toc35393627"/>
      <w:bookmarkStart w:id="32" w:name="_Toc28359085"/>
      <w:r>
        <w:rPr>
          <w:rFonts w:hint="eastAsia" w:ascii="宋体" w:hAnsi="宋体" w:cs="宋体"/>
          <w:color w:val="auto"/>
          <w:sz w:val="24"/>
          <w:highlight w:val="none"/>
        </w:rPr>
        <w:t>桂林市政府采购网（zfcg.czj.guilin.gov.cn）</w:t>
      </w:r>
    </w:p>
    <w:p w14:paraId="24C6FFB5">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广西壮族自治区政府采购网（www.ccgp-guangxi.gov.cn）</w:t>
      </w:r>
    </w:p>
    <w:p w14:paraId="7276656B">
      <w:pPr>
        <w:ind w:firstLine="480" w:firstLineChars="200"/>
        <w:rPr>
          <w:color w:val="auto"/>
          <w:highlight w:val="none"/>
        </w:rPr>
      </w:pPr>
      <w:r>
        <w:rPr>
          <w:rFonts w:hint="eastAsia" w:ascii="宋体" w:hAnsi="宋体" w:cs="宋体"/>
          <w:color w:val="auto"/>
          <w:sz w:val="24"/>
          <w:highlight w:val="none"/>
        </w:rPr>
        <w:t>中国政府采购网（www.ccgp.gov.cn/）</w:t>
      </w:r>
    </w:p>
    <w:p w14:paraId="1A44904D">
      <w:pPr>
        <w:pStyle w:val="108"/>
        <w:ind w:firstLine="48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4.投标文件解密时间：截标时间后</w:t>
      </w:r>
      <w:r>
        <w:rPr>
          <w:rFonts w:hint="eastAsia" w:ascii="宋体" w:hAnsi="宋体" w:eastAsia="宋体" w:cs="宋体"/>
          <w:color w:val="auto"/>
          <w:kern w:val="2"/>
          <w:highlight w:val="none"/>
          <w:u w:val="single"/>
        </w:rPr>
        <w:t>30</w:t>
      </w:r>
      <w:r>
        <w:rPr>
          <w:rFonts w:hint="eastAsia" w:ascii="宋体" w:hAnsi="宋体" w:eastAsia="宋体" w:cs="宋体"/>
          <w:color w:val="auto"/>
          <w:kern w:val="2"/>
          <w:highlight w:val="none"/>
        </w:rPr>
        <w:t>分钟内（</w:t>
      </w:r>
      <w:r>
        <w:rPr>
          <w:rFonts w:hint="eastAsia" w:ascii="宋体" w:hAnsi="宋体" w:eastAsia="宋体" w:cs="宋体"/>
          <w:color w:val="auto"/>
          <w:kern w:val="2"/>
          <w:highlight w:val="none"/>
          <w:u w:val="single"/>
          <w:lang w:eastAsia="zh-CN"/>
        </w:rPr>
        <w:t>2025年8月8日</w:t>
      </w:r>
      <w:r>
        <w:rPr>
          <w:rFonts w:hint="eastAsia" w:ascii="宋体" w:hAnsi="宋体" w:eastAsia="宋体" w:cs="宋体"/>
          <w:color w:val="auto"/>
          <w:kern w:val="2"/>
          <w:highlight w:val="none"/>
          <w:u w:val="single"/>
        </w:rPr>
        <w:t>上午9时30分至10时00分</w:t>
      </w:r>
      <w:r>
        <w:rPr>
          <w:rFonts w:hint="eastAsia" w:ascii="宋体" w:hAnsi="宋体" w:eastAsia="宋体" w:cs="宋体"/>
          <w:color w:val="auto"/>
          <w:kern w:val="2"/>
          <w:highlight w:val="none"/>
        </w:rPr>
        <w:t>)投标人可以登录广西政府采购云平台，用“项目采购-开标评标”功能进行解密投标文件。</w:t>
      </w:r>
    </w:p>
    <w:p w14:paraId="0028C1D5">
      <w:pPr>
        <w:pStyle w:val="108"/>
        <w:ind w:firstLine="482" w:firstLineChars="200"/>
        <w:rPr>
          <w:rFonts w:ascii="宋体" w:hAnsi="宋体" w:eastAsia="宋体" w:cs="宋体"/>
          <w:b/>
          <w:bCs/>
          <w:color w:val="auto"/>
          <w:kern w:val="2"/>
          <w:highlight w:val="none"/>
        </w:rPr>
      </w:pPr>
      <w:r>
        <w:rPr>
          <w:rFonts w:hint="eastAsia" w:ascii="宋体" w:hAnsi="宋体" w:eastAsia="宋体" w:cs="宋体"/>
          <w:b/>
          <w:bCs/>
          <w:color w:val="auto"/>
          <w:szCs w:val="21"/>
          <w:highlight w:val="none"/>
        </w:rPr>
        <w:t>注：投标文件网上递交截止时间后，各投标人须在解密时限内对上传广西政府采购云的投标文件进行解密，所有投标人在规定的解密时限内解密完成或解密时限结束后，我中心开启已解密的响应文件。投标人超过解密时限未解密的，系统默认自动放弃，造成投标无效的后果由投标人自行承担。</w:t>
      </w:r>
      <w:r>
        <w:rPr>
          <w:rFonts w:hint="eastAsia" w:ascii="宋体" w:hAnsi="宋体" w:eastAsia="宋体" w:cs="宋体"/>
          <w:b/>
          <w:bCs/>
          <w:color w:val="auto"/>
          <w:kern w:val="2"/>
          <w:highlight w:val="none"/>
        </w:rPr>
        <w:t>解密响应文件后，30分钟内在线签字确认，超过时间没有在线签字确认的系统将自动视为供应商认可。</w:t>
      </w:r>
    </w:p>
    <w:p w14:paraId="24865B75">
      <w:pPr>
        <w:pStyle w:val="108"/>
        <w:rPr>
          <w:rFonts w:ascii="宋体" w:hAnsi="宋体" w:eastAsia="宋体" w:cs="宋体"/>
          <w:color w:val="auto"/>
          <w:kern w:val="2"/>
          <w:highlight w:val="none"/>
        </w:rPr>
      </w:pPr>
      <w:r>
        <w:rPr>
          <w:rFonts w:hint="eastAsia" w:ascii="宋体" w:hAnsi="宋体" w:eastAsia="宋体" w:cs="宋体"/>
          <w:color w:val="auto"/>
          <w:kern w:val="2"/>
          <w:highlight w:val="none"/>
        </w:rPr>
        <w:t>七、在线投标（电子投标）说明</w:t>
      </w:r>
    </w:p>
    <w:p w14:paraId="0F9B3DF0">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项目通过广西政府采购云平台实行在线投标响应（电子投标），投标人需要先安装“广西政府采购云平台客户端”，并按照本招标文件和广西政府采购云平台的要求，通过“广西政府采购云平台客户端”编制并加密投标文件。投标人未按规定编制并加密的投标文件，广西政府采购云平台将予以拒收。</w:t>
      </w:r>
    </w:p>
    <w:p w14:paraId="0F7524BB">
      <w:pPr>
        <w:pStyle w:val="108"/>
        <w:ind w:firstLine="48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广西政府采购云平台客户端”请自行前往广西政府采购网下载并安装；电子投标具体操作流程参考《政府采购项目电子交易管理操作指南-供应商》；在使用广西政府采购云投标客户端时，建议使用WIN7及以上操作系统,通过广西政府采购云平台参与在线投标时如遇平台技术问题详询95763。</w:t>
      </w:r>
    </w:p>
    <w:p w14:paraId="5038E09F">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为确保网上操作合法、有效和安全，投标人应当在投标截止时间前完成在“广西政府采购云平台”的身份认证，确保在电子投标过程中能够对相关数据电子文件进行加密和使用电子签章。使用“广西政府采购云平台客户端”需要提前申领CA数字证书，申领流程请自行前往广西政府采购云平台网站进行查阅；</w:t>
      </w:r>
      <w:r>
        <w:rPr>
          <w:rFonts w:hint="eastAsia" w:ascii="宋体" w:hAnsi="宋体" w:cs="宋体"/>
          <w:b/>
          <w:bCs/>
          <w:color w:val="auto"/>
          <w:sz w:val="24"/>
          <w:highlight w:val="none"/>
        </w:rPr>
        <w:t>（完成CA数字证书办理预计一周左右，建议供应商获取投标文件后立即办理）</w:t>
      </w:r>
    </w:p>
    <w:p w14:paraId="41D291B2">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人应当在投标截止时间前，将生成的“投标文件”上传递交至广西政府采购云平台。投标文件递交截止时间前可以撤回电子投标文件。补充或者修改电子投标文件的，应当先行撤回原文件，补充、修改后重新传输递交，投标文件递交截止时间前未完成传输的，视为撤回投标文件。</w:t>
      </w:r>
    </w:p>
    <w:p w14:paraId="105D36D8">
      <w:pPr>
        <w:pStyle w:val="108"/>
        <w:ind w:firstLine="48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4.本采购项目为广西政府采购云全流程电子化操作，参与投标的供应商需自备计算机和网络设备（设备需可视频通话和读取广西政府采购云CA数字证书），确保投标过程顺利进行；因供应商自身设备或网络原因造成的一切后果，由供应商自行承担。</w:t>
      </w:r>
    </w:p>
    <w:p w14:paraId="2749E81A">
      <w:pPr>
        <w:rPr>
          <w:color w:val="auto"/>
          <w:highlight w:val="none"/>
        </w:rPr>
      </w:pPr>
      <w:r>
        <w:rPr>
          <w:rFonts w:hint="eastAsia" w:ascii="宋体" w:hAnsi="宋体" w:cs="宋体"/>
          <w:color w:val="auto"/>
          <w:sz w:val="24"/>
          <w:highlight w:val="none"/>
        </w:rPr>
        <w:t>八、对本次招标提出询问，请按以下方式联系。</w:t>
      </w:r>
      <w:bookmarkEnd w:id="29"/>
      <w:bookmarkEnd w:id="30"/>
      <w:bookmarkEnd w:id="31"/>
      <w:bookmarkEnd w:id="32"/>
    </w:p>
    <w:p w14:paraId="376B374F">
      <w:pPr>
        <w:widowControl/>
        <w:spacing w:line="3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1.采购人信息</w:t>
      </w:r>
    </w:p>
    <w:p w14:paraId="71C74A43">
      <w:pPr>
        <w:spacing w:line="340" w:lineRule="exact"/>
        <w:ind w:firstLine="480" w:firstLineChars="200"/>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名 称：</w:t>
      </w:r>
      <w:r>
        <w:rPr>
          <w:rFonts w:hint="eastAsia" w:ascii="宋体" w:hAnsi="宋体" w:cs="宋体"/>
          <w:color w:val="auto"/>
          <w:sz w:val="24"/>
          <w:highlight w:val="none"/>
          <w:u w:val="single"/>
          <w:lang w:eastAsia="zh-CN"/>
        </w:rPr>
        <w:t>荔浦市教育局</w:t>
      </w:r>
    </w:p>
    <w:p w14:paraId="49E3A9B2">
      <w:pPr>
        <w:spacing w:line="340" w:lineRule="exact"/>
        <w:ind w:firstLine="480" w:firstLineChars="200"/>
        <w:jc w:val="left"/>
        <w:rPr>
          <w:rFonts w:hint="eastAsia" w:ascii="宋体" w:hAnsi="宋体" w:eastAsia="宋体" w:cs="宋体"/>
          <w:color w:val="auto"/>
          <w:sz w:val="24"/>
          <w:highlight w:val="none"/>
          <w:u w:val="single"/>
          <w:lang w:eastAsia="zh-CN"/>
        </w:rPr>
      </w:pPr>
      <w:bookmarkStart w:id="33" w:name="_Toc28359086"/>
      <w:bookmarkStart w:id="34" w:name="_Toc28359009"/>
      <w:r>
        <w:rPr>
          <w:rFonts w:hint="eastAsia" w:ascii="宋体" w:hAnsi="宋体" w:cs="宋体"/>
          <w:color w:val="auto"/>
          <w:sz w:val="24"/>
          <w:highlight w:val="none"/>
        </w:rPr>
        <w:t>地 址：</w:t>
      </w:r>
      <w:r>
        <w:rPr>
          <w:rFonts w:hint="eastAsia" w:ascii="宋体" w:hAnsi="宋体" w:cs="宋体"/>
          <w:color w:val="auto"/>
          <w:sz w:val="24"/>
          <w:highlight w:val="none"/>
          <w:u w:val="single"/>
          <w:lang w:eastAsia="zh-CN"/>
        </w:rPr>
        <w:t>荔浦市荔城镇滨江南路13号</w:t>
      </w:r>
    </w:p>
    <w:p w14:paraId="7F4DA05C">
      <w:pPr>
        <w:spacing w:line="340" w:lineRule="exact"/>
        <w:ind w:firstLine="480" w:firstLineChars="200"/>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联系方式：</w:t>
      </w:r>
      <w:r>
        <w:rPr>
          <w:rFonts w:hint="eastAsia" w:ascii="宋体" w:hAnsi="宋体" w:cs="宋体"/>
          <w:color w:val="auto"/>
          <w:sz w:val="24"/>
          <w:highlight w:val="none"/>
          <w:u w:val="single"/>
          <w:lang w:eastAsia="zh-CN"/>
        </w:rPr>
        <w:t>何老师</w:t>
      </w:r>
      <w:r>
        <w:rPr>
          <w:rFonts w:hint="eastAsia" w:ascii="宋体" w:hAnsi="宋体" w:cs="宋体"/>
          <w:color w:val="auto"/>
          <w:sz w:val="24"/>
          <w:highlight w:val="none"/>
          <w:u w:val="single"/>
          <w:lang w:val="en-US" w:eastAsia="zh-CN"/>
        </w:rPr>
        <w:t>0773-</w:t>
      </w:r>
      <w:r>
        <w:rPr>
          <w:rFonts w:hint="eastAsia" w:ascii="宋体" w:hAnsi="宋体" w:cs="宋体"/>
          <w:color w:val="auto"/>
          <w:sz w:val="24"/>
          <w:highlight w:val="none"/>
          <w:u w:val="single"/>
          <w:lang w:eastAsia="zh-CN"/>
        </w:rPr>
        <w:t>7220609</w:t>
      </w:r>
    </w:p>
    <w:p w14:paraId="1D2F094D">
      <w:pPr>
        <w:spacing w:line="3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2.采购代理机构信息</w:t>
      </w:r>
      <w:bookmarkEnd w:id="33"/>
      <w:bookmarkEnd w:id="34"/>
    </w:p>
    <w:p w14:paraId="32DF2524">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桂林市政府集中采购中心</w:t>
      </w:r>
      <w:r>
        <w:rPr>
          <w:rFonts w:hint="eastAsia" w:ascii="宋体" w:hAnsi="宋体" w:cs="宋体"/>
          <w:color w:val="auto"/>
          <w:sz w:val="24"/>
          <w:highlight w:val="none"/>
        </w:rPr>
        <w:t>　</w:t>
      </w:r>
    </w:p>
    <w:p w14:paraId="41C7C937">
      <w:pPr>
        <w:spacing w:line="3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桂林市临桂区西城中路69号创业大厦西辅楼5楼</w:t>
      </w:r>
    </w:p>
    <w:p w14:paraId="64EDE307">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联系方式：</w:t>
      </w:r>
      <w:bookmarkStart w:id="35" w:name="_Toc28359087"/>
      <w:bookmarkStart w:id="36" w:name="_Toc28359010"/>
      <w:r>
        <w:rPr>
          <w:rFonts w:hint="eastAsia" w:ascii="宋体" w:hAnsi="宋体" w:cs="宋体"/>
          <w:color w:val="auto"/>
          <w:sz w:val="24"/>
          <w:highlight w:val="none"/>
          <w:u w:val="single"/>
        </w:rPr>
        <w:t>0773-5625211</w:t>
      </w:r>
    </w:p>
    <w:p w14:paraId="3C8AD9C4">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3.项目联系方式</w:t>
      </w:r>
      <w:bookmarkEnd w:id="35"/>
      <w:bookmarkEnd w:id="36"/>
    </w:p>
    <w:p w14:paraId="2DB8C1DC">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rPr>
        <w:t>李劲林</w:t>
      </w:r>
    </w:p>
    <w:p w14:paraId="04DFE621">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0773-5625211</w:t>
      </w:r>
    </w:p>
    <w:p w14:paraId="78F48641">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4.政府采购监督管理机构</w:t>
      </w:r>
    </w:p>
    <w:p w14:paraId="017A22A2">
      <w:pPr>
        <w:spacing w:line="3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u w:val="single"/>
          <w:lang w:eastAsia="zh-CN"/>
        </w:rPr>
        <w:t>荔浦市财政局</w:t>
      </w:r>
    </w:p>
    <w:p w14:paraId="1304989F">
      <w:pPr>
        <w:spacing w:line="340" w:lineRule="exact"/>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联系方式：</w:t>
      </w:r>
      <w:r>
        <w:rPr>
          <w:rFonts w:hint="eastAsia" w:ascii="宋体" w:hAnsi="宋体" w:cs="宋体"/>
          <w:color w:val="auto"/>
          <w:sz w:val="24"/>
          <w:highlight w:val="none"/>
          <w:u w:val="single"/>
          <w:lang w:eastAsia="zh-CN"/>
        </w:rPr>
        <w:t>0773-7233366</w:t>
      </w:r>
    </w:p>
    <w:p w14:paraId="438E4B94">
      <w:pPr>
        <w:jc w:val="center"/>
        <w:outlineLvl w:val="0"/>
        <w:rPr>
          <w:rFonts w:ascii="宋体" w:hAnsi="宋体" w:cs="宋体"/>
          <w:color w:val="auto"/>
          <w:sz w:val="32"/>
          <w:szCs w:val="32"/>
          <w:highlight w:val="none"/>
        </w:rPr>
      </w:pPr>
      <w:r>
        <w:rPr>
          <w:rFonts w:hint="eastAsia" w:ascii="宋体" w:hAnsi="宋体" w:cs="宋体"/>
          <w:color w:val="auto"/>
          <w:sz w:val="32"/>
          <w:szCs w:val="32"/>
          <w:highlight w:val="none"/>
        </w:rPr>
        <w:br w:type="page"/>
      </w:r>
      <w:bookmarkStart w:id="37" w:name="_Toc2177"/>
      <w:bookmarkStart w:id="38" w:name="_Toc23983"/>
      <w:bookmarkStart w:id="39" w:name="_Toc12553"/>
      <w:bookmarkStart w:id="40" w:name="_Toc13685"/>
      <w:bookmarkStart w:id="41" w:name="_Toc5932"/>
      <w:r>
        <w:rPr>
          <w:rFonts w:hint="eastAsia" w:ascii="宋体" w:hAnsi="宋体" w:cs="宋体"/>
          <w:b/>
          <w:bCs/>
          <w:color w:val="auto"/>
          <w:kern w:val="44"/>
          <w:sz w:val="32"/>
          <w:szCs w:val="32"/>
          <w:highlight w:val="none"/>
        </w:rPr>
        <w:t>第二章  投标人须知</w:t>
      </w:r>
      <w:bookmarkEnd w:id="37"/>
      <w:bookmarkEnd w:id="38"/>
      <w:bookmarkEnd w:id="39"/>
      <w:bookmarkEnd w:id="40"/>
      <w:bookmarkEnd w:id="41"/>
    </w:p>
    <w:p w14:paraId="5A2795B3">
      <w:pPr>
        <w:tabs>
          <w:tab w:val="left" w:pos="1065"/>
          <w:tab w:val="center" w:pos="4411"/>
        </w:tabs>
        <w:spacing w:line="440" w:lineRule="exact"/>
        <w:jc w:val="center"/>
        <w:outlineLvl w:val="1"/>
        <w:rPr>
          <w:rFonts w:ascii="宋体" w:hAnsi="宋体" w:cs="宋体"/>
          <w:b/>
          <w:color w:val="auto"/>
          <w:sz w:val="24"/>
          <w:highlight w:val="none"/>
        </w:rPr>
      </w:pPr>
      <w:bookmarkStart w:id="42" w:name="_Toc29166"/>
      <w:bookmarkStart w:id="43" w:name="_Toc495841753"/>
      <w:bookmarkStart w:id="44" w:name="_Toc4750"/>
      <w:bookmarkStart w:id="45" w:name="_Toc14750"/>
      <w:bookmarkStart w:id="46" w:name="_Toc13996"/>
      <w:bookmarkStart w:id="47" w:name="_Toc14222"/>
      <w:r>
        <w:rPr>
          <w:rFonts w:hint="eastAsia" w:ascii="宋体" w:hAnsi="宋体" w:cs="宋体"/>
          <w:b/>
          <w:color w:val="auto"/>
          <w:sz w:val="24"/>
          <w:highlight w:val="none"/>
        </w:rPr>
        <w:t>投标人须知前附表</w:t>
      </w:r>
      <w:bookmarkEnd w:id="42"/>
      <w:bookmarkEnd w:id="43"/>
      <w:bookmarkEnd w:id="44"/>
      <w:bookmarkEnd w:id="45"/>
      <w:bookmarkEnd w:id="46"/>
      <w:bookmarkEnd w:id="47"/>
    </w:p>
    <w:tbl>
      <w:tblPr>
        <w:tblStyle w:val="31"/>
        <w:tblW w:w="9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3"/>
        <w:gridCol w:w="1587"/>
        <w:gridCol w:w="7011"/>
      </w:tblGrid>
      <w:tr w14:paraId="00DB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456" w:type="dxa"/>
            <w:shd w:val="clear" w:color="auto" w:fill="8DB3E2"/>
            <w:vAlign w:val="center"/>
          </w:tcPr>
          <w:p w14:paraId="6206C159">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63" w:type="dxa"/>
            <w:shd w:val="clear" w:color="auto" w:fill="8DB3E2"/>
            <w:vAlign w:val="center"/>
          </w:tcPr>
          <w:p w14:paraId="7CD3DF82">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587" w:type="dxa"/>
            <w:shd w:val="clear" w:color="auto" w:fill="8DB3E2"/>
            <w:vAlign w:val="center"/>
          </w:tcPr>
          <w:p w14:paraId="5D954F82">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7011" w:type="dxa"/>
            <w:shd w:val="clear" w:color="auto" w:fill="8DB3E2"/>
            <w:vAlign w:val="center"/>
          </w:tcPr>
          <w:p w14:paraId="349C7180">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内容、要求</w:t>
            </w:r>
          </w:p>
        </w:tc>
      </w:tr>
      <w:tr w14:paraId="7AC3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0788270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63" w:type="dxa"/>
            <w:vAlign w:val="center"/>
          </w:tcPr>
          <w:p w14:paraId="3001977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87" w:type="dxa"/>
            <w:vAlign w:val="center"/>
          </w:tcPr>
          <w:p w14:paraId="1EE1AEF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项目名称及项目编号</w:t>
            </w:r>
          </w:p>
        </w:tc>
        <w:tc>
          <w:tcPr>
            <w:tcW w:w="7011" w:type="dxa"/>
            <w:vAlign w:val="center"/>
          </w:tcPr>
          <w:p w14:paraId="020AF565">
            <w:pPr>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荔浦市教育局荔浦市学校扩班及更换教学设备设施采购项目（重1）</w:t>
            </w:r>
          </w:p>
          <w:p w14:paraId="1F710DEA">
            <w:pPr>
              <w:spacing w:line="340" w:lineRule="exact"/>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GLZC2025-G1-310035-GLSZ</w:t>
            </w:r>
            <w:r>
              <w:rPr>
                <w:rFonts w:hint="eastAsia" w:ascii="宋体" w:hAnsi="宋体" w:cs="宋体"/>
                <w:color w:val="auto"/>
                <w:szCs w:val="21"/>
                <w:highlight w:val="none"/>
              </w:rPr>
              <w:t xml:space="preserve">  </w:t>
            </w:r>
          </w:p>
        </w:tc>
      </w:tr>
      <w:tr w14:paraId="5561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56" w:type="dxa"/>
            <w:vAlign w:val="center"/>
          </w:tcPr>
          <w:p w14:paraId="7CDAC23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863" w:type="dxa"/>
            <w:vAlign w:val="center"/>
          </w:tcPr>
          <w:p w14:paraId="50DAD2D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587" w:type="dxa"/>
            <w:vAlign w:val="center"/>
          </w:tcPr>
          <w:p w14:paraId="75CB231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投标人资格</w:t>
            </w:r>
          </w:p>
        </w:tc>
        <w:tc>
          <w:tcPr>
            <w:tcW w:w="7011" w:type="dxa"/>
            <w:vAlign w:val="center"/>
          </w:tcPr>
          <w:p w14:paraId="23A22F7B">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5.1符合《中华人民共和国政府采购法》第二十二条和《政府采购法实施条例》第十八条规定，并且在国内注册或登记、具备合法资格，提供本次采购货物或服务的供应商。</w:t>
            </w:r>
          </w:p>
          <w:p w14:paraId="76DF8696">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5.2 本项目不接受联合体投标。</w:t>
            </w:r>
          </w:p>
          <w:p w14:paraId="70A22412">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54C6969">
            <w:pPr>
              <w:spacing w:line="380" w:lineRule="exac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5.4 落实政府采购政策需满足的资格要求：</w:t>
            </w:r>
            <w:r>
              <w:rPr>
                <w:rFonts w:hint="eastAsia" w:ascii="宋体" w:hAnsi="宋体" w:cs="宋体"/>
                <w:b/>
                <w:bCs/>
                <w:color w:val="auto"/>
                <w:szCs w:val="21"/>
                <w:highlight w:val="none"/>
                <w:lang w:val="en-US" w:eastAsia="zh-CN"/>
              </w:rPr>
              <w:t>无。</w:t>
            </w:r>
          </w:p>
          <w:p w14:paraId="4B8F2620">
            <w:pPr>
              <w:pStyle w:val="108"/>
              <w:rPr>
                <w:color w:val="auto"/>
                <w:highlight w:val="none"/>
              </w:rPr>
            </w:pPr>
            <w:r>
              <w:rPr>
                <w:rFonts w:hint="eastAsia" w:ascii="宋体" w:hAnsi="宋体" w:eastAsia="宋体" w:cs="宋体"/>
                <w:b/>
                <w:bCs/>
                <w:color w:val="auto"/>
                <w:kern w:val="2"/>
                <w:sz w:val="21"/>
                <w:szCs w:val="21"/>
                <w:highlight w:val="none"/>
              </w:rPr>
              <w:t>5.5 本项目的特定资格要求：无。</w:t>
            </w:r>
          </w:p>
        </w:tc>
      </w:tr>
      <w:tr w14:paraId="0043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6" w:type="dxa"/>
            <w:vAlign w:val="center"/>
          </w:tcPr>
          <w:p w14:paraId="47295EE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63" w:type="dxa"/>
            <w:vAlign w:val="center"/>
          </w:tcPr>
          <w:p w14:paraId="1F9B07E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587" w:type="dxa"/>
            <w:vAlign w:val="center"/>
          </w:tcPr>
          <w:p w14:paraId="1C64D13C">
            <w:pPr>
              <w:spacing w:line="400" w:lineRule="exact"/>
              <w:jc w:val="center"/>
              <w:rPr>
                <w:rFonts w:ascii="宋体" w:hAnsi="宋体" w:cs="宋体"/>
                <w:color w:val="auto"/>
                <w:position w:val="-2"/>
                <w:szCs w:val="21"/>
                <w:highlight w:val="none"/>
              </w:rPr>
            </w:pPr>
            <w:r>
              <w:rPr>
                <w:rFonts w:hint="eastAsia" w:ascii="宋体" w:hAnsi="宋体" w:cs="宋体"/>
                <w:color w:val="auto"/>
                <w:szCs w:val="21"/>
                <w:highlight w:val="none"/>
              </w:rPr>
              <w:t>投标费用</w:t>
            </w:r>
          </w:p>
        </w:tc>
        <w:tc>
          <w:tcPr>
            <w:tcW w:w="7011" w:type="dxa"/>
            <w:vAlign w:val="center"/>
          </w:tcPr>
          <w:p w14:paraId="7CEA8F3C">
            <w:pPr>
              <w:spacing w:line="400" w:lineRule="exact"/>
              <w:rPr>
                <w:rFonts w:ascii="宋体" w:hAnsi="宋体" w:cs="宋体"/>
                <w:color w:val="auto"/>
                <w:szCs w:val="21"/>
                <w:highlight w:val="none"/>
              </w:rPr>
            </w:pPr>
            <w:r>
              <w:rPr>
                <w:rFonts w:hint="eastAsia" w:ascii="宋体" w:hAnsi="宋体" w:cs="宋体"/>
                <w:color w:val="auto"/>
                <w:szCs w:val="21"/>
                <w:highlight w:val="none"/>
              </w:rPr>
              <w:t>不论投标结果如何，投标人均应自行承担所有与投标有关的全部费用。</w:t>
            </w:r>
          </w:p>
        </w:tc>
      </w:tr>
      <w:tr w14:paraId="7EFE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596D777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63" w:type="dxa"/>
            <w:vAlign w:val="center"/>
          </w:tcPr>
          <w:p w14:paraId="0B4D7A74">
            <w:pPr>
              <w:spacing w:line="36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15</w:t>
            </w:r>
          </w:p>
        </w:tc>
        <w:tc>
          <w:tcPr>
            <w:tcW w:w="1587" w:type="dxa"/>
            <w:vAlign w:val="center"/>
          </w:tcPr>
          <w:p w14:paraId="475F708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采购预算金额及投标报价</w:t>
            </w:r>
          </w:p>
        </w:tc>
        <w:tc>
          <w:tcPr>
            <w:tcW w:w="7011" w:type="dxa"/>
            <w:vAlign w:val="center"/>
          </w:tcPr>
          <w:p w14:paraId="3C716F7C">
            <w:pPr>
              <w:spacing w:line="360" w:lineRule="exact"/>
              <w:rPr>
                <w:rFonts w:ascii="宋体" w:hAnsi="宋体" w:cs="宋体"/>
                <w:color w:val="auto"/>
                <w:szCs w:val="21"/>
                <w:highlight w:val="none"/>
              </w:rPr>
            </w:pPr>
            <w:r>
              <w:rPr>
                <w:rFonts w:hint="eastAsia" w:ascii="宋体" w:hAnsi="宋体" w:cs="宋体"/>
                <w:color w:val="auto"/>
                <w:szCs w:val="21"/>
                <w:highlight w:val="none"/>
              </w:rPr>
              <w:t>15.1投标报价应按招标文件中第六章“投标文件（格式）”填写，本项目采购预算金额：</w:t>
            </w:r>
            <w:r>
              <w:rPr>
                <w:rFonts w:hint="eastAsia" w:ascii="宋体" w:hAnsi="宋体" w:cs="宋体"/>
                <w:color w:val="auto"/>
                <w:szCs w:val="21"/>
                <w:highlight w:val="none"/>
                <w:lang w:eastAsia="zh-CN"/>
              </w:rPr>
              <w:t>人民币壹佰捌拾玖万元整（¥1890000.00元）。</w:t>
            </w:r>
            <w:r>
              <w:rPr>
                <w:rFonts w:hint="eastAsia" w:ascii="宋体" w:hAnsi="宋体" w:cs="宋体"/>
                <w:color w:val="auto"/>
                <w:szCs w:val="21"/>
                <w:highlight w:val="none"/>
              </w:rPr>
              <w:t>投标报价超过</w:t>
            </w:r>
            <w:r>
              <w:rPr>
                <w:rFonts w:hint="eastAsia" w:ascii="宋体" w:hAnsi="宋体" w:cs="宋体"/>
                <w:color w:val="auto"/>
                <w:szCs w:val="21"/>
                <w:highlight w:val="none"/>
                <w:lang w:val="en-US" w:eastAsia="zh-CN"/>
              </w:rPr>
              <w:t>预算金额</w:t>
            </w:r>
            <w:r>
              <w:rPr>
                <w:rFonts w:hint="eastAsia" w:ascii="宋体" w:hAnsi="宋体" w:cs="宋体"/>
                <w:color w:val="auto"/>
                <w:szCs w:val="21"/>
                <w:highlight w:val="none"/>
              </w:rPr>
              <w:t>的，投标文件按无效处理。</w:t>
            </w:r>
          </w:p>
          <w:p w14:paraId="0008ED28">
            <w:pPr>
              <w:spacing w:line="360" w:lineRule="exact"/>
              <w:rPr>
                <w:rFonts w:ascii="宋体" w:hAnsi="宋体" w:cs="宋体"/>
                <w:color w:val="auto"/>
                <w:szCs w:val="21"/>
                <w:highlight w:val="none"/>
              </w:rPr>
            </w:pPr>
            <w:r>
              <w:rPr>
                <w:rFonts w:hint="eastAsia" w:ascii="宋体" w:hAnsi="宋体" w:cs="宋体"/>
                <w:color w:val="auto"/>
                <w:szCs w:val="21"/>
                <w:highlight w:val="none"/>
              </w:rPr>
              <w:t>15.2投标人必须就“采购需求”中所投分标内容作完整唯一报价，否则，其投标将被拒绝；投标文件只允许有一个报价，有选择的或有条件的报价将不予接受。</w:t>
            </w:r>
          </w:p>
          <w:p w14:paraId="4DAB3E40">
            <w:pPr>
              <w:spacing w:line="360" w:lineRule="exact"/>
              <w:rPr>
                <w:color w:val="auto"/>
                <w:highlight w:val="none"/>
              </w:rPr>
            </w:pPr>
            <w:r>
              <w:rPr>
                <w:rFonts w:hint="eastAsia" w:ascii="宋体" w:hAnsi="宋体" w:cs="宋体"/>
                <w:color w:val="auto"/>
                <w:szCs w:val="21"/>
                <w:highlight w:val="none"/>
              </w:rPr>
              <w:t>15.3投标报价应包括本次招标采购范围内货物价款、货物随配标准附件、包装、运输、装卸、保险、税金、货到位以及安装、安装所需辅材、调试、检验、售后服务、培训、保修及其他所有成本费用的总和，投标人应综合考虑在报价中。</w:t>
            </w:r>
          </w:p>
        </w:tc>
      </w:tr>
      <w:tr w14:paraId="353D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56" w:type="dxa"/>
            <w:vAlign w:val="center"/>
          </w:tcPr>
          <w:p w14:paraId="60A6DCC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63" w:type="dxa"/>
            <w:vAlign w:val="center"/>
          </w:tcPr>
          <w:p w14:paraId="0A0CE8A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16.1</w:t>
            </w:r>
          </w:p>
        </w:tc>
        <w:tc>
          <w:tcPr>
            <w:tcW w:w="1587" w:type="dxa"/>
            <w:vAlign w:val="center"/>
          </w:tcPr>
          <w:p w14:paraId="63F1EF3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7011" w:type="dxa"/>
            <w:vAlign w:val="center"/>
          </w:tcPr>
          <w:p w14:paraId="1738B22C">
            <w:pPr>
              <w:spacing w:line="400" w:lineRule="exact"/>
              <w:rPr>
                <w:rFonts w:ascii="宋体" w:hAnsi="宋体" w:cs="宋体"/>
                <w:color w:val="auto"/>
                <w:szCs w:val="21"/>
                <w:highlight w:val="none"/>
              </w:rPr>
            </w:pPr>
            <w:r>
              <w:rPr>
                <w:rFonts w:hint="eastAsia" w:ascii="宋体" w:hAnsi="宋体" w:cs="宋体"/>
                <w:color w:val="auto"/>
                <w:szCs w:val="21"/>
                <w:highlight w:val="none"/>
              </w:rPr>
              <w:t>投标截止时间之日起90天。</w:t>
            </w:r>
          </w:p>
        </w:tc>
      </w:tr>
      <w:tr w14:paraId="3CF9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75E9032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863" w:type="dxa"/>
            <w:vAlign w:val="center"/>
          </w:tcPr>
          <w:p w14:paraId="738C91E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1587" w:type="dxa"/>
            <w:vAlign w:val="center"/>
          </w:tcPr>
          <w:p w14:paraId="5BAE481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7011" w:type="dxa"/>
          </w:tcPr>
          <w:p w14:paraId="1B6EB07E">
            <w:pPr>
              <w:spacing w:line="400" w:lineRule="exact"/>
              <w:rPr>
                <w:rFonts w:ascii="宋体" w:hAnsi="宋体" w:cs="宋体"/>
                <w:color w:val="auto"/>
                <w:szCs w:val="21"/>
                <w:highlight w:val="none"/>
              </w:rPr>
            </w:pPr>
            <w:r>
              <w:rPr>
                <w:rFonts w:hint="eastAsia" w:ascii="宋体" w:hAnsi="宋体" w:cs="宋体"/>
                <w:b/>
                <w:bCs/>
                <w:color w:val="auto"/>
                <w:szCs w:val="21"/>
                <w:highlight w:val="none"/>
              </w:rPr>
              <w:t>本项目无需缴纳投标保证金</w:t>
            </w:r>
            <w:r>
              <w:rPr>
                <w:rFonts w:hint="eastAsia" w:ascii="宋体" w:hAnsi="宋体" w:cs="宋体"/>
                <w:color w:val="auto"/>
                <w:szCs w:val="21"/>
                <w:highlight w:val="none"/>
              </w:rPr>
              <w:t>。</w:t>
            </w:r>
          </w:p>
        </w:tc>
      </w:tr>
      <w:tr w14:paraId="3B95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4B2AE6F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863" w:type="dxa"/>
            <w:vAlign w:val="center"/>
          </w:tcPr>
          <w:p w14:paraId="2FE4D9DD">
            <w:pPr>
              <w:spacing w:line="400" w:lineRule="exact"/>
              <w:jc w:val="center"/>
              <w:rPr>
                <w:rFonts w:ascii="宋体" w:hAnsi="宋体" w:cs="宋体"/>
                <w:color w:val="auto"/>
                <w:position w:val="10"/>
                <w:szCs w:val="21"/>
                <w:highlight w:val="none"/>
              </w:rPr>
            </w:pPr>
            <w:r>
              <w:rPr>
                <w:rFonts w:hint="eastAsia" w:ascii="宋体" w:hAnsi="宋体" w:cs="宋体"/>
                <w:color w:val="auto"/>
                <w:szCs w:val="21"/>
                <w:highlight w:val="none"/>
              </w:rPr>
              <w:t>18</w:t>
            </w:r>
          </w:p>
        </w:tc>
        <w:tc>
          <w:tcPr>
            <w:tcW w:w="1587" w:type="dxa"/>
            <w:vAlign w:val="center"/>
          </w:tcPr>
          <w:p w14:paraId="29A26722">
            <w:pPr>
              <w:spacing w:line="400" w:lineRule="exact"/>
              <w:jc w:val="center"/>
              <w:rPr>
                <w:rFonts w:ascii="宋体" w:hAnsi="宋体" w:cs="宋体"/>
                <w:color w:val="auto"/>
                <w:position w:val="10"/>
                <w:szCs w:val="21"/>
                <w:highlight w:val="none"/>
              </w:rPr>
            </w:pPr>
            <w:r>
              <w:rPr>
                <w:rFonts w:hint="eastAsia" w:ascii="宋体" w:hAnsi="宋体" w:cs="宋体"/>
                <w:color w:val="auto"/>
                <w:szCs w:val="21"/>
                <w:highlight w:val="none"/>
              </w:rPr>
              <w:t>投标文件的制作</w:t>
            </w:r>
          </w:p>
        </w:tc>
        <w:tc>
          <w:tcPr>
            <w:tcW w:w="7011" w:type="dxa"/>
            <w:vAlign w:val="center"/>
          </w:tcPr>
          <w:p w14:paraId="45B9DD10">
            <w:pPr>
              <w:spacing w:line="360" w:lineRule="exact"/>
              <w:rPr>
                <w:rFonts w:ascii="宋体" w:hAnsi="宋体" w:cs="宋体"/>
                <w:color w:val="auto"/>
                <w:szCs w:val="21"/>
                <w:highlight w:val="none"/>
              </w:rPr>
            </w:pPr>
            <w:r>
              <w:rPr>
                <w:rFonts w:hint="eastAsia" w:ascii="宋体" w:hAnsi="宋体" w:cs="宋体"/>
                <w:color w:val="auto"/>
                <w:szCs w:val="21"/>
                <w:highlight w:val="none"/>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14:paraId="7C14BA1F">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18.2 供应商法人（负责人）或授权代表持有广西政府采购云个人CA签章的，应在投标文件中涉及到签字的位置使用个人CA签章，没有办理广西政府采购云个人CA签章的可在投标文件中涉及到签字的位置手写签字后扫描或者拍照做成 PDF 的格式上传即可。 </w:t>
            </w:r>
          </w:p>
          <w:p w14:paraId="29B4A4F9">
            <w:pPr>
              <w:spacing w:line="360" w:lineRule="exact"/>
              <w:rPr>
                <w:rFonts w:ascii="宋体" w:hAnsi="宋体" w:cs="宋体"/>
                <w:color w:val="auto"/>
                <w:szCs w:val="21"/>
                <w:highlight w:val="none"/>
              </w:rPr>
            </w:pPr>
            <w:r>
              <w:rPr>
                <w:rFonts w:hint="eastAsia" w:ascii="宋体" w:hAnsi="宋体" w:cs="宋体"/>
                <w:color w:val="auto"/>
                <w:szCs w:val="21"/>
                <w:highlight w:val="none"/>
              </w:rPr>
              <w:t>18.3 投标文件不得涂改，若有修改错漏处，须法定代表人（负责人）或授权委托人签字（或个人CA签章）。投标文件因字迹潦草或表达不清所引起的后果由供应商负责。</w:t>
            </w:r>
          </w:p>
          <w:p w14:paraId="68873F17">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18.4评审前准备 </w:t>
            </w:r>
          </w:p>
          <w:p w14:paraId="540936FA">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18.4.1本项目实行网上评审，采用电子投标文件；若供应商参与投标，自行承担投标一切费用。 </w:t>
            </w:r>
          </w:p>
          <w:p w14:paraId="4237F0FE">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18.4.2各供应商在截标前应确保成为广西政府采购云平台正式注册入库供应商，并完成 CA 数字证书申领。因未注册入库、未办理 CA 数字证书等原因造成无法投标或投标失败等后果由供应商自行承担。 </w:t>
            </w:r>
          </w:p>
          <w:p w14:paraId="006F0397">
            <w:pPr>
              <w:spacing w:line="360" w:lineRule="exact"/>
              <w:rPr>
                <w:rFonts w:ascii="宋体" w:hAnsi="宋体" w:cs="宋体"/>
                <w:color w:val="auto"/>
                <w:szCs w:val="21"/>
                <w:highlight w:val="none"/>
              </w:rPr>
            </w:pPr>
            <w:r>
              <w:rPr>
                <w:rFonts w:hint="eastAsia" w:ascii="宋体" w:hAnsi="宋体" w:cs="宋体"/>
                <w:color w:val="auto"/>
                <w:szCs w:val="21"/>
                <w:highlight w:val="none"/>
              </w:rPr>
              <w:t>18.4.3供应商将广西政府采购云平台客户端下载、安装完成后，可通过账号密码或 CA 登录客户端进行投标文件制作。客户端请至网站下载专区查看，如有问题可拨打广西政府采购云客户服务热线 95763 进行咨询。</w:t>
            </w:r>
          </w:p>
        </w:tc>
      </w:tr>
      <w:tr w14:paraId="6FBD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8B707E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863" w:type="dxa"/>
            <w:vAlign w:val="center"/>
          </w:tcPr>
          <w:p w14:paraId="2FB2F91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19.1</w:t>
            </w:r>
          </w:p>
        </w:tc>
        <w:tc>
          <w:tcPr>
            <w:tcW w:w="1587" w:type="dxa"/>
            <w:vAlign w:val="center"/>
          </w:tcPr>
          <w:p w14:paraId="557D92A1">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投标文件的补充、修改和撤回</w:t>
            </w:r>
          </w:p>
        </w:tc>
        <w:tc>
          <w:tcPr>
            <w:tcW w:w="7011" w:type="dxa"/>
            <w:vAlign w:val="center"/>
          </w:tcPr>
          <w:p w14:paraId="4694FE60">
            <w:pPr>
              <w:spacing w:line="360" w:lineRule="exact"/>
              <w:rPr>
                <w:rFonts w:ascii="宋体" w:hAnsi="宋体" w:cs="宋体"/>
                <w:color w:val="auto"/>
                <w:szCs w:val="21"/>
                <w:highlight w:val="none"/>
              </w:rPr>
            </w:pPr>
            <w:r>
              <w:rPr>
                <w:rFonts w:hint="eastAsia" w:ascii="宋体" w:hAnsi="宋体" w:cs="宋体"/>
                <w:color w:val="auto"/>
                <w:szCs w:val="21"/>
                <w:highlight w:val="none"/>
              </w:rPr>
              <w:t>19.1 投标文件递交截止时间前可以撤回电子投标文件。补充或者修改电子投标文件的，应当先行撤回原文件，补充、修改后重新传输递交，投标文件递交截止时间前未完成传输的，视为撤回投标文件。</w:t>
            </w:r>
          </w:p>
        </w:tc>
      </w:tr>
      <w:tr w14:paraId="6E77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0444771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863" w:type="dxa"/>
            <w:vAlign w:val="center"/>
          </w:tcPr>
          <w:p w14:paraId="55FE9FB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20.1</w:t>
            </w:r>
          </w:p>
        </w:tc>
        <w:tc>
          <w:tcPr>
            <w:tcW w:w="1587" w:type="dxa"/>
            <w:vAlign w:val="center"/>
          </w:tcPr>
          <w:p w14:paraId="371FDBD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投标文件递交</w:t>
            </w:r>
          </w:p>
        </w:tc>
        <w:tc>
          <w:tcPr>
            <w:tcW w:w="7011" w:type="dxa"/>
            <w:vAlign w:val="center"/>
          </w:tcPr>
          <w:p w14:paraId="750D1FDF">
            <w:pPr>
              <w:spacing w:line="360" w:lineRule="exact"/>
              <w:rPr>
                <w:rFonts w:ascii="宋体" w:hAnsi="宋体" w:cs="宋体"/>
                <w:color w:val="auto"/>
                <w:szCs w:val="21"/>
                <w:highlight w:val="none"/>
              </w:rPr>
            </w:pPr>
            <w:r>
              <w:rPr>
                <w:rFonts w:hint="eastAsia" w:ascii="宋体" w:hAnsi="宋体" w:cs="宋体"/>
                <w:color w:val="auto"/>
                <w:szCs w:val="21"/>
                <w:highlight w:val="none"/>
              </w:rPr>
              <w:t>20.1投标文件递交截止时间：于</w:t>
            </w:r>
            <w:r>
              <w:rPr>
                <w:rFonts w:hint="eastAsia" w:ascii="宋体" w:hAnsi="宋体" w:cs="宋体"/>
                <w:color w:val="auto"/>
                <w:szCs w:val="21"/>
                <w:highlight w:val="none"/>
                <w:lang w:eastAsia="zh-CN"/>
              </w:rPr>
              <w:t>2025年8月8日</w:t>
            </w:r>
            <w:r>
              <w:rPr>
                <w:rFonts w:hint="eastAsia" w:ascii="宋体" w:hAnsi="宋体" w:cs="宋体"/>
                <w:color w:val="auto"/>
                <w:szCs w:val="21"/>
                <w:highlight w:val="none"/>
              </w:rPr>
              <w:t>上午9时30分之前将电子投标文件上传到广西政府采购云平台。应按照本项目招标文件和广西政府采购云平台的要求编制、加密传输投标文件。供应商在使用系统进行投标的过程中遇到涉及平台使用的任何问题，可致电广西政府采购云平台技术支持热线咨询，联系方式：95763。</w:t>
            </w:r>
          </w:p>
        </w:tc>
      </w:tr>
      <w:tr w14:paraId="17A3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59DDE98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63" w:type="dxa"/>
            <w:vAlign w:val="center"/>
          </w:tcPr>
          <w:p w14:paraId="109613C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20.2</w:t>
            </w:r>
          </w:p>
        </w:tc>
        <w:tc>
          <w:tcPr>
            <w:tcW w:w="1587" w:type="dxa"/>
            <w:vAlign w:val="center"/>
          </w:tcPr>
          <w:p w14:paraId="62A3BA7A">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投标文件解密</w:t>
            </w:r>
          </w:p>
        </w:tc>
        <w:tc>
          <w:tcPr>
            <w:tcW w:w="7011" w:type="dxa"/>
            <w:vAlign w:val="center"/>
          </w:tcPr>
          <w:p w14:paraId="07F4E725">
            <w:pPr>
              <w:spacing w:line="360" w:lineRule="exact"/>
              <w:rPr>
                <w:rFonts w:ascii="宋体" w:hAnsi="宋体" w:cs="宋体"/>
                <w:color w:val="auto"/>
                <w:highlight w:val="none"/>
              </w:rPr>
            </w:pPr>
            <w:r>
              <w:rPr>
                <w:rFonts w:hint="eastAsia" w:ascii="宋体" w:hAnsi="宋体" w:cs="宋体"/>
                <w:color w:val="auto"/>
                <w:szCs w:val="21"/>
                <w:highlight w:val="none"/>
              </w:rPr>
              <w:t>20.2</w:t>
            </w:r>
            <w:r>
              <w:rPr>
                <w:rFonts w:hint="eastAsia" w:ascii="宋体" w:hAnsi="宋体" w:cs="宋体"/>
                <w:color w:val="auto"/>
                <w:highlight w:val="none"/>
              </w:rPr>
              <w:t>投标文件解密时间：截标时间后</w:t>
            </w:r>
            <w:r>
              <w:rPr>
                <w:rFonts w:hint="eastAsia" w:ascii="宋体" w:hAnsi="宋体" w:cs="宋体"/>
                <w:color w:val="auto"/>
                <w:highlight w:val="none"/>
                <w:u w:val="single"/>
              </w:rPr>
              <w:t>30</w:t>
            </w:r>
            <w:r>
              <w:rPr>
                <w:rFonts w:hint="eastAsia" w:ascii="宋体" w:hAnsi="宋体" w:cs="宋体"/>
                <w:color w:val="auto"/>
                <w:highlight w:val="none"/>
              </w:rPr>
              <w:t>分钟内（</w:t>
            </w:r>
            <w:r>
              <w:rPr>
                <w:rFonts w:hint="eastAsia" w:ascii="宋体" w:hAnsi="宋体" w:cs="宋体"/>
                <w:color w:val="auto"/>
                <w:highlight w:val="none"/>
                <w:lang w:eastAsia="zh-CN"/>
              </w:rPr>
              <w:t>2025年8月8日</w:t>
            </w:r>
            <w:r>
              <w:rPr>
                <w:rFonts w:hint="eastAsia" w:ascii="宋体" w:hAnsi="宋体" w:cs="宋体"/>
                <w:color w:val="auto"/>
                <w:highlight w:val="none"/>
              </w:rPr>
              <w:t>上午9时30分至10时00分)投标人可以登录广西政府采购云平台，用“项目采购-开标评标”功能进行解密投标文件。</w:t>
            </w:r>
          </w:p>
          <w:p w14:paraId="2A1B1CDB">
            <w:pPr>
              <w:spacing w:line="360" w:lineRule="exact"/>
              <w:rPr>
                <w:rFonts w:ascii="宋体" w:hAnsi="宋体" w:cs="宋体"/>
                <w:color w:val="auto"/>
                <w:szCs w:val="21"/>
                <w:highlight w:val="none"/>
              </w:rPr>
            </w:pPr>
            <w:r>
              <w:rPr>
                <w:rFonts w:hint="eastAsia" w:ascii="宋体" w:hAnsi="宋体" w:cs="宋体"/>
                <w:b/>
                <w:bCs/>
                <w:color w:val="auto"/>
                <w:szCs w:val="21"/>
                <w:highlight w:val="none"/>
              </w:rPr>
              <w:t>注：投标文件网上递交截止时间后，各投标人须在解密时限内对上传广西政府采购云的投标文件进行解密，所有投标人在规定的解密时限内解密完成或解密时限结束后，我中心开启已解密的响应文件。投标人超过解密时限未解密的，系统默认自动放弃，造成投标无效的后果由投标人自行承担。解密响应文件后，30分钟内在线签字确认，超过时间没有在线签字确认的系统将自动视为供应商认可</w:t>
            </w:r>
          </w:p>
        </w:tc>
      </w:tr>
      <w:tr w14:paraId="2ED7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231B9BD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63" w:type="dxa"/>
            <w:vAlign w:val="center"/>
          </w:tcPr>
          <w:p w14:paraId="4B97347E">
            <w:pPr>
              <w:spacing w:line="360" w:lineRule="exact"/>
              <w:jc w:val="center"/>
              <w:rPr>
                <w:rFonts w:ascii="宋体" w:hAnsi="宋体" w:cs="宋体"/>
                <w:color w:val="auto"/>
                <w:position w:val="-2"/>
                <w:szCs w:val="21"/>
                <w:highlight w:val="none"/>
              </w:rPr>
            </w:pPr>
            <w:r>
              <w:rPr>
                <w:rFonts w:hint="eastAsia" w:ascii="宋体" w:hAnsi="宋体" w:cs="宋体"/>
                <w:color w:val="auto"/>
                <w:szCs w:val="21"/>
                <w:highlight w:val="none"/>
              </w:rPr>
              <w:t>21.1</w:t>
            </w:r>
          </w:p>
        </w:tc>
        <w:tc>
          <w:tcPr>
            <w:tcW w:w="1587" w:type="dxa"/>
            <w:vAlign w:val="center"/>
          </w:tcPr>
          <w:p w14:paraId="267F44AE">
            <w:pPr>
              <w:spacing w:line="360" w:lineRule="exact"/>
              <w:jc w:val="center"/>
              <w:rPr>
                <w:rFonts w:ascii="宋体" w:hAnsi="宋体" w:cs="宋体"/>
                <w:color w:val="auto"/>
                <w:position w:val="-2"/>
                <w:szCs w:val="21"/>
                <w:highlight w:val="none"/>
              </w:rPr>
            </w:pPr>
            <w:r>
              <w:rPr>
                <w:rFonts w:hint="eastAsia" w:ascii="宋体" w:hAnsi="宋体" w:cs="宋体"/>
                <w:color w:val="auto"/>
                <w:szCs w:val="21"/>
                <w:highlight w:val="none"/>
              </w:rPr>
              <w:t>开标时间及地点</w:t>
            </w:r>
          </w:p>
        </w:tc>
        <w:tc>
          <w:tcPr>
            <w:tcW w:w="7011" w:type="dxa"/>
          </w:tcPr>
          <w:p w14:paraId="2F0A60A1">
            <w:pPr>
              <w:spacing w:line="400" w:lineRule="exact"/>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lang w:eastAsia="zh-CN"/>
              </w:rPr>
              <w:t>2025年8月8日</w:t>
            </w:r>
            <w:r>
              <w:rPr>
                <w:rFonts w:hint="eastAsia" w:ascii="宋体" w:hAnsi="宋体" w:cs="宋体"/>
                <w:color w:val="auto"/>
                <w:szCs w:val="21"/>
                <w:highlight w:val="none"/>
              </w:rPr>
              <w:t>上午9时30分（北京时间）截标后。地点：桂林市公共资源交易中心</w:t>
            </w:r>
            <w:r>
              <w:rPr>
                <w:rFonts w:hint="eastAsia" w:ascii="宋体" w:hAnsi="宋体" w:cs="宋体"/>
                <w:color w:val="auto"/>
                <w:szCs w:val="21"/>
                <w:highlight w:val="none"/>
                <w:lang w:eastAsia="zh-CN"/>
              </w:rPr>
              <w:t>4号政采开标仓</w:t>
            </w:r>
            <w:r>
              <w:rPr>
                <w:rFonts w:hint="eastAsia" w:ascii="宋体" w:hAnsi="宋体" w:cs="宋体"/>
                <w:color w:val="auto"/>
                <w:szCs w:val="21"/>
                <w:highlight w:val="none"/>
              </w:rPr>
              <w:t>通过广西政府采购云平台实行在线解密开启。</w:t>
            </w:r>
          </w:p>
        </w:tc>
      </w:tr>
      <w:tr w14:paraId="42EC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456" w:type="dxa"/>
            <w:vAlign w:val="center"/>
          </w:tcPr>
          <w:p w14:paraId="7F2D423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63" w:type="dxa"/>
            <w:vAlign w:val="center"/>
          </w:tcPr>
          <w:p w14:paraId="3B34A44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24</w:t>
            </w:r>
          </w:p>
        </w:tc>
        <w:tc>
          <w:tcPr>
            <w:tcW w:w="1587" w:type="dxa"/>
            <w:vAlign w:val="center"/>
          </w:tcPr>
          <w:p w14:paraId="5CA692D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评标委员会组成</w:t>
            </w:r>
          </w:p>
        </w:tc>
        <w:tc>
          <w:tcPr>
            <w:tcW w:w="7011" w:type="dxa"/>
            <w:vAlign w:val="center"/>
          </w:tcPr>
          <w:p w14:paraId="69775D18">
            <w:pPr>
              <w:spacing w:line="360" w:lineRule="exact"/>
              <w:rPr>
                <w:rFonts w:ascii="宋体" w:hAnsi="宋体" w:cs="宋体"/>
                <w:color w:val="auto"/>
                <w:szCs w:val="21"/>
                <w:highlight w:val="none"/>
              </w:rPr>
            </w:pPr>
            <w:r>
              <w:rPr>
                <w:rFonts w:hint="eastAsia" w:ascii="宋体" w:hAnsi="宋体" w:cs="宋体"/>
                <w:color w:val="auto"/>
                <w:szCs w:val="21"/>
                <w:highlight w:val="none"/>
              </w:rPr>
              <w:t>评标委员会由采购人代表和评审专家组成，成员人数共5人，其中采购人代表1人，评审专家4人。</w:t>
            </w:r>
          </w:p>
        </w:tc>
      </w:tr>
      <w:tr w14:paraId="2426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vAlign w:val="center"/>
          </w:tcPr>
          <w:p w14:paraId="4C39B51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863" w:type="dxa"/>
            <w:vAlign w:val="center"/>
          </w:tcPr>
          <w:p w14:paraId="56B741E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25.1</w:t>
            </w:r>
          </w:p>
        </w:tc>
        <w:tc>
          <w:tcPr>
            <w:tcW w:w="1587" w:type="dxa"/>
            <w:vAlign w:val="center"/>
          </w:tcPr>
          <w:p w14:paraId="4DB2ED3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评标办法</w:t>
            </w:r>
          </w:p>
        </w:tc>
        <w:tc>
          <w:tcPr>
            <w:tcW w:w="7011" w:type="dxa"/>
            <w:vAlign w:val="center"/>
          </w:tcPr>
          <w:p w14:paraId="684AFFE7">
            <w:pPr>
              <w:spacing w:line="360" w:lineRule="exact"/>
              <w:rPr>
                <w:rFonts w:ascii="宋体" w:hAnsi="宋体" w:cs="宋体"/>
                <w:color w:val="auto"/>
                <w:szCs w:val="21"/>
                <w:highlight w:val="none"/>
              </w:rPr>
            </w:pPr>
            <w:r>
              <w:rPr>
                <w:rFonts w:hint="eastAsia" w:ascii="宋体" w:hAnsi="宋体" w:cs="宋体"/>
                <w:color w:val="auto"/>
                <w:szCs w:val="21"/>
                <w:highlight w:val="none"/>
              </w:rPr>
              <w:t>综合评分法，具体评标内容及标准详见第四章。</w:t>
            </w:r>
          </w:p>
        </w:tc>
      </w:tr>
      <w:tr w14:paraId="142A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56" w:type="dxa"/>
            <w:vAlign w:val="center"/>
          </w:tcPr>
          <w:p w14:paraId="0B90AD7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863" w:type="dxa"/>
            <w:vAlign w:val="center"/>
          </w:tcPr>
          <w:p w14:paraId="0B85CF9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w:t>
            </w:r>
          </w:p>
        </w:tc>
        <w:tc>
          <w:tcPr>
            <w:tcW w:w="1587" w:type="dxa"/>
            <w:vAlign w:val="center"/>
          </w:tcPr>
          <w:p w14:paraId="37FEE946">
            <w:pPr>
              <w:tabs>
                <w:tab w:val="left" w:pos="114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信用查询</w:t>
            </w:r>
          </w:p>
        </w:tc>
        <w:tc>
          <w:tcPr>
            <w:tcW w:w="7011" w:type="dxa"/>
            <w:vAlign w:val="center"/>
          </w:tcPr>
          <w:p w14:paraId="49F6CD20">
            <w:pPr>
              <w:autoSpaceDE w:val="0"/>
              <w:autoSpaceDN w:val="0"/>
              <w:snapToGrid w:val="0"/>
              <w:spacing w:line="340" w:lineRule="exact"/>
              <w:textAlignment w:val="bottom"/>
              <w:rPr>
                <w:rFonts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根据《关于做好政府采购有关信用主体标识码登记及在政府采购活动中查询使用信用记录有关问题的通知》（桂财采〔2016〕37号），由采购代理机构对第一中标候选供应商进行信用查询：</w:t>
            </w:r>
          </w:p>
          <w:p w14:paraId="76328DA4">
            <w:pPr>
              <w:autoSpaceDE w:val="0"/>
              <w:autoSpaceDN w:val="0"/>
              <w:snapToGrid w:val="0"/>
              <w:spacing w:line="340" w:lineRule="exact"/>
              <w:textAlignment w:val="bottom"/>
              <w:rPr>
                <w:rFonts w:ascii="宋体" w:hAnsi="宋体" w:cs="宋体"/>
                <w:color w:val="auto"/>
                <w:szCs w:val="21"/>
                <w:highlight w:val="none"/>
              </w:rPr>
            </w:pPr>
            <w:r>
              <w:rPr>
                <w:rFonts w:hint="eastAsia" w:ascii="宋体" w:hAnsi="宋体" w:cs="宋体"/>
                <w:color w:val="auto"/>
                <w:szCs w:val="21"/>
                <w:highlight w:val="none"/>
              </w:rPr>
              <w:t>⑴查询渠道：“信用中国”网站(www.creditchina.gov.cn)、中国政府采购网(www.ccgp.gov.cn)等；</w:t>
            </w:r>
          </w:p>
          <w:p w14:paraId="58B90821">
            <w:pPr>
              <w:autoSpaceDE w:val="0"/>
              <w:autoSpaceDN w:val="0"/>
              <w:snapToGrid w:val="0"/>
              <w:spacing w:line="340" w:lineRule="exact"/>
              <w:textAlignment w:val="bottom"/>
              <w:rPr>
                <w:rFonts w:ascii="宋体" w:hAnsi="宋体" w:cs="宋体"/>
                <w:color w:val="auto"/>
                <w:szCs w:val="21"/>
                <w:highlight w:val="none"/>
              </w:rPr>
            </w:pPr>
            <w:r>
              <w:rPr>
                <w:rFonts w:hint="eastAsia" w:ascii="宋体" w:hAnsi="宋体" w:cs="宋体"/>
                <w:color w:val="auto"/>
                <w:szCs w:val="21"/>
                <w:highlight w:val="none"/>
              </w:rPr>
              <w:t>⑵查询时间：中标通知书发出前；</w:t>
            </w:r>
          </w:p>
          <w:p w14:paraId="25FCC9D7">
            <w:pPr>
              <w:autoSpaceDE w:val="0"/>
              <w:autoSpaceDN w:val="0"/>
              <w:snapToGrid w:val="0"/>
              <w:spacing w:line="340" w:lineRule="exact"/>
              <w:textAlignment w:val="bottom"/>
              <w:rPr>
                <w:rFonts w:ascii="宋体" w:hAnsi="宋体" w:cs="宋体"/>
                <w:color w:val="auto"/>
                <w:szCs w:val="21"/>
                <w:highlight w:val="none"/>
              </w:rPr>
            </w:pPr>
            <w:r>
              <w:rPr>
                <w:rFonts w:hint="eastAsia" w:ascii="宋体" w:hAnsi="宋体" w:cs="宋体"/>
                <w:color w:val="auto"/>
                <w:szCs w:val="21"/>
                <w:highlight w:val="none"/>
              </w:rPr>
              <w:t>⑶信用信息查询记录和证据留存方式：在查询网站中直接打印查询记录，打印材料作为采购活动资料保存；</w:t>
            </w:r>
          </w:p>
          <w:p w14:paraId="0FAF5786">
            <w:pPr>
              <w:spacing w:line="340" w:lineRule="exact"/>
              <w:rPr>
                <w:rFonts w:ascii="宋体" w:hAnsi="宋体" w:cs="宋体"/>
                <w:color w:val="auto"/>
                <w:szCs w:val="21"/>
                <w:highlight w:val="none"/>
              </w:rPr>
            </w:pPr>
            <w:r>
              <w:rPr>
                <w:rFonts w:hint="eastAsia" w:ascii="宋体" w:hAnsi="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14:paraId="3B28506F">
            <w:pPr>
              <w:spacing w:line="340" w:lineRule="exact"/>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1FA4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56" w:type="dxa"/>
            <w:vAlign w:val="center"/>
          </w:tcPr>
          <w:p w14:paraId="54CED78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63" w:type="dxa"/>
            <w:vAlign w:val="center"/>
          </w:tcPr>
          <w:p w14:paraId="6402B78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w:t>
            </w:r>
          </w:p>
        </w:tc>
        <w:tc>
          <w:tcPr>
            <w:tcW w:w="1587" w:type="dxa"/>
            <w:vAlign w:val="center"/>
          </w:tcPr>
          <w:p w14:paraId="017E9C8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中标公告及中标通知书</w:t>
            </w:r>
          </w:p>
        </w:tc>
        <w:tc>
          <w:tcPr>
            <w:tcW w:w="7011" w:type="dxa"/>
            <w:vAlign w:val="center"/>
          </w:tcPr>
          <w:p w14:paraId="53F63E13">
            <w:pPr>
              <w:tabs>
                <w:tab w:val="left" w:pos="455"/>
              </w:tabs>
              <w:spacing w:line="360" w:lineRule="exact"/>
              <w:rPr>
                <w:rFonts w:ascii="宋体" w:hAnsi="宋体" w:cs="宋体"/>
                <w:color w:val="auto"/>
                <w:szCs w:val="21"/>
                <w:highlight w:val="none"/>
              </w:rPr>
            </w:pPr>
            <w:r>
              <w:rPr>
                <w:rFonts w:hint="eastAsia" w:ascii="宋体" w:hAnsi="宋体" w:cs="宋体"/>
                <w:color w:val="auto"/>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14:paraId="38DCE5B7">
            <w:pPr>
              <w:spacing w:line="360" w:lineRule="exact"/>
              <w:rPr>
                <w:rFonts w:ascii="宋体" w:hAnsi="宋体" w:cs="宋体"/>
                <w:color w:val="auto"/>
                <w:szCs w:val="21"/>
                <w:highlight w:val="none"/>
              </w:rPr>
            </w:pPr>
            <w:r>
              <w:rPr>
                <w:rFonts w:hint="eastAsia" w:ascii="宋体" w:hAnsi="宋体" w:cs="宋体"/>
                <w:color w:val="auto"/>
                <w:szCs w:val="21"/>
                <w:highlight w:val="none"/>
              </w:rPr>
              <w:t>33.2在发布中标公告的同时，采购代理机构在线向中标供应商发出电子中标通知书。</w:t>
            </w:r>
          </w:p>
        </w:tc>
      </w:tr>
      <w:tr w14:paraId="623B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vAlign w:val="center"/>
          </w:tcPr>
          <w:p w14:paraId="4FBBF7F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863" w:type="dxa"/>
            <w:vAlign w:val="center"/>
          </w:tcPr>
          <w:p w14:paraId="0149315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w:t>
            </w:r>
          </w:p>
        </w:tc>
        <w:tc>
          <w:tcPr>
            <w:tcW w:w="1587" w:type="dxa"/>
            <w:vAlign w:val="center"/>
          </w:tcPr>
          <w:p w14:paraId="1B73D97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011" w:type="dxa"/>
            <w:vAlign w:val="center"/>
          </w:tcPr>
          <w:p w14:paraId="67D400BD">
            <w:pPr>
              <w:spacing w:line="360" w:lineRule="exact"/>
              <w:rPr>
                <w:color w:val="auto"/>
                <w:highlight w:val="none"/>
              </w:rPr>
            </w:pPr>
            <w:r>
              <w:rPr>
                <w:rFonts w:hint="eastAsia" w:ascii="宋体" w:hAnsi="宋体" w:cs="宋体"/>
                <w:color w:val="auto"/>
                <w:kern w:val="0"/>
                <w:szCs w:val="21"/>
                <w:highlight w:val="none"/>
              </w:rPr>
              <w:t>本项目无需缴纳履约保证金</w:t>
            </w:r>
          </w:p>
        </w:tc>
      </w:tr>
      <w:tr w14:paraId="5710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vAlign w:val="center"/>
          </w:tcPr>
          <w:p w14:paraId="4BAB102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863" w:type="dxa"/>
            <w:vAlign w:val="center"/>
          </w:tcPr>
          <w:p w14:paraId="332F9F8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35.1</w:t>
            </w:r>
          </w:p>
        </w:tc>
        <w:tc>
          <w:tcPr>
            <w:tcW w:w="1587" w:type="dxa"/>
            <w:vAlign w:val="center"/>
          </w:tcPr>
          <w:p w14:paraId="3CD0E1F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签订合同时间</w:t>
            </w:r>
          </w:p>
        </w:tc>
        <w:tc>
          <w:tcPr>
            <w:tcW w:w="7011" w:type="dxa"/>
            <w:vAlign w:val="center"/>
          </w:tcPr>
          <w:p w14:paraId="05BEF2AE">
            <w:pPr>
              <w:spacing w:line="360" w:lineRule="exact"/>
              <w:rPr>
                <w:rFonts w:hAnsi="宋体" w:cs="宋体"/>
                <w:color w:val="auto"/>
                <w:szCs w:val="21"/>
                <w:highlight w:val="none"/>
              </w:rPr>
            </w:pPr>
            <w:r>
              <w:rPr>
                <w:rFonts w:hint="eastAsia" w:ascii="宋体" w:hAnsi="宋体" w:cs="宋体"/>
                <w:color w:val="auto"/>
                <w:szCs w:val="21"/>
                <w:highlight w:val="none"/>
              </w:rPr>
              <w:t>中标通知书发出之日起</w:t>
            </w:r>
            <w:r>
              <w:rPr>
                <w:rFonts w:hint="eastAsia" w:ascii="宋体" w:hAnsi="宋体" w:cs="宋体"/>
                <w:color w:val="auto"/>
                <w:szCs w:val="21"/>
                <w:highlight w:val="none"/>
                <w:lang w:val="en-US" w:eastAsia="zh-CN"/>
              </w:rPr>
              <w:t>8个工作</w:t>
            </w:r>
            <w:r>
              <w:rPr>
                <w:rFonts w:hint="eastAsia" w:ascii="宋体" w:hAnsi="宋体" w:cs="宋体"/>
                <w:color w:val="auto"/>
                <w:szCs w:val="21"/>
                <w:highlight w:val="none"/>
              </w:rPr>
              <w:t>日内。中标供应商收到中标通知书后，应按规定与采购人在“广西政府采购云平台”上在线签订电子合同。</w:t>
            </w:r>
          </w:p>
        </w:tc>
      </w:tr>
      <w:tr w14:paraId="143A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56" w:type="dxa"/>
            <w:vAlign w:val="center"/>
          </w:tcPr>
          <w:p w14:paraId="5925F37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863" w:type="dxa"/>
            <w:vAlign w:val="center"/>
          </w:tcPr>
          <w:p w14:paraId="056A0CF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35.4</w:t>
            </w:r>
          </w:p>
        </w:tc>
        <w:tc>
          <w:tcPr>
            <w:tcW w:w="1587" w:type="dxa"/>
            <w:vAlign w:val="center"/>
          </w:tcPr>
          <w:p w14:paraId="3D4C50A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合同备案存档</w:t>
            </w:r>
          </w:p>
        </w:tc>
        <w:tc>
          <w:tcPr>
            <w:tcW w:w="7011" w:type="dxa"/>
            <w:vAlign w:val="center"/>
          </w:tcPr>
          <w:p w14:paraId="7B648184">
            <w:pPr>
              <w:spacing w:line="360" w:lineRule="exact"/>
              <w:rPr>
                <w:rFonts w:ascii="宋体" w:hAnsi="宋体" w:cs="宋体"/>
                <w:color w:val="auto"/>
                <w:szCs w:val="21"/>
                <w:highlight w:val="none"/>
              </w:rPr>
            </w:pPr>
            <w:r>
              <w:rPr>
                <w:rFonts w:hint="eastAsia" w:ascii="宋体" w:hAnsi="宋体" w:cs="宋体"/>
                <w:color w:val="auto"/>
                <w:szCs w:val="21"/>
                <w:highlight w:val="none"/>
              </w:rPr>
              <w:t>政府采购合同双方自签订之日起将自动存档于“广西政府采购云平台”上，采购人于合同签订之日起七个工作日内将一份合同原件送本级财政部门备案。</w:t>
            </w:r>
          </w:p>
        </w:tc>
      </w:tr>
      <w:tr w14:paraId="2804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vAlign w:val="center"/>
          </w:tcPr>
          <w:p w14:paraId="488127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863" w:type="dxa"/>
            <w:vAlign w:val="center"/>
          </w:tcPr>
          <w:p w14:paraId="4B3BD31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w:t>
            </w:r>
          </w:p>
        </w:tc>
        <w:tc>
          <w:tcPr>
            <w:tcW w:w="1587" w:type="dxa"/>
            <w:vAlign w:val="center"/>
          </w:tcPr>
          <w:p w14:paraId="43E1EB6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招标代理服务费</w:t>
            </w:r>
          </w:p>
        </w:tc>
        <w:tc>
          <w:tcPr>
            <w:tcW w:w="7011" w:type="dxa"/>
            <w:vAlign w:val="center"/>
          </w:tcPr>
          <w:p w14:paraId="53856EDB">
            <w:pPr>
              <w:spacing w:line="360" w:lineRule="exact"/>
              <w:rPr>
                <w:rFonts w:ascii="宋体" w:hAnsi="宋体" w:cs="宋体"/>
                <w:color w:val="auto"/>
                <w:szCs w:val="21"/>
                <w:highlight w:val="none"/>
              </w:rPr>
            </w:pPr>
            <w:r>
              <w:rPr>
                <w:rFonts w:hint="eastAsia" w:ascii="宋体" w:hAnsi="宋体" w:cs="宋体"/>
                <w:color w:val="auto"/>
                <w:szCs w:val="21"/>
                <w:highlight w:val="none"/>
              </w:rPr>
              <w:t>本项目免收代理服务费。</w:t>
            </w:r>
          </w:p>
        </w:tc>
      </w:tr>
      <w:tr w14:paraId="49B9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56" w:type="dxa"/>
            <w:vAlign w:val="center"/>
          </w:tcPr>
          <w:p w14:paraId="77F68DE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863" w:type="dxa"/>
            <w:vAlign w:val="center"/>
          </w:tcPr>
          <w:p w14:paraId="76A1EFD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w:t>
            </w:r>
          </w:p>
        </w:tc>
        <w:tc>
          <w:tcPr>
            <w:tcW w:w="1587" w:type="dxa"/>
            <w:vAlign w:val="center"/>
          </w:tcPr>
          <w:p w14:paraId="1C443FD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7011" w:type="dxa"/>
            <w:vAlign w:val="center"/>
          </w:tcPr>
          <w:p w14:paraId="2DF278F5">
            <w:pPr>
              <w:spacing w:line="360" w:lineRule="exact"/>
              <w:rPr>
                <w:rFonts w:ascii="宋体" w:hAnsi="宋体" w:cs="宋体"/>
                <w:color w:val="auto"/>
                <w:szCs w:val="21"/>
                <w:highlight w:val="none"/>
              </w:rPr>
            </w:pPr>
            <w:r>
              <w:rPr>
                <w:rFonts w:hint="eastAsia" w:ascii="宋体" w:hAnsi="宋体" w:cs="宋体"/>
                <w:color w:val="auto"/>
                <w:szCs w:val="21"/>
                <w:highlight w:val="none"/>
              </w:rPr>
              <w:t>本招标文件是根据《中华人民共和国政府采购法》《中华人民共和国政府采购法实施条例》及《政府采购货物和服务招标投标管理办法》（财政部令第87号）等相关规定编制，本招标文件的解释权属于桂林市政府集中采购中心。</w:t>
            </w:r>
          </w:p>
        </w:tc>
      </w:tr>
      <w:tr w14:paraId="3A9A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56" w:type="dxa"/>
            <w:vAlign w:val="center"/>
          </w:tcPr>
          <w:p w14:paraId="62225EC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863" w:type="dxa"/>
            <w:vAlign w:val="center"/>
          </w:tcPr>
          <w:p w14:paraId="0A0ED2E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38</w:t>
            </w:r>
          </w:p>
        </w:tc>
        <w:tc>
          <w:tcPr>
            <w:tcW w:w="1587" w:type="dxa"/>
            <w:vAlign w:val="center"/>
          </w:tcPr>
          <w:p w14:paraId="2A7690E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监督管理机构</w:t>
            </w:r>
          </w:p>
        </w:tc>
        <w:tc>
          <w:tcPr>
            <w:tcW w:w="7011" w:type="dxa"/>
            <w:vAlign w:val="center"/>
          </w:tcPr>
          <w:p w14:paraId="19DA1A4F">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荔浦市财政局</w:t>
            </w:r>
            <w:r>
              <w:rPr>
                <w:rFonts w:hint="eastAsia" w:ascii="宋体" w:hAnsi="宋体" w:cs="宋体"/>
                <w:color w:val="auto"/>
                <w:szCs w:val="21"/>
                <w:highlight w:val="none"/>
              </w:rPr>
              <w:t xml:space="preserve">     电话：</w:t>
            </w:r>
            <w:r>
              <w:rPr>
                <w:rFonts w:hint="eastAsia" w:ascii="宋体" w:hAnsi="宋体" w:cs="宋体"/>
                <w:color w:val="auto"/>
                <w:szCs w:val="21"/>
                <w:highlight w:val="none"/>
                <w:lang w:eastAsia="zh-CN"/>
              </w:rPr>
              <w:t>0773-7233366</w:t>
            </w:r>
          </w:p>
        </w:tc>
      </w:tr>
    </w:tbl>
    <w:p w14:paraId="1EFFB192">
      <w:pPr>
        <w:spacing w:line="360" w:lineRule="auto"/>
        <w:jc w:val="center"/>
        <w:outlineLvl w:val="1"/>
        <w:rPr>
          <w:rFonts w:ascii="宋体" w:hAnsi="宋体" w:cs="宋体"/>
          <w:b/>
          <w:color w:val="auto"/>
          <w:sz w:val="28"/>
          <w:szCs w:val="28"/>
          <w:highlight w:val="none"/>
        </w:rPr>
      </w:pPr>
      <w:bookmarkStart w:id="48" w:name="_Toc495841754"/>
      <w:bookmarkStart w:id="49" w:name="_Toc3679"/>
      <w:r>
        <w:rPr>
          <w:rFonts w:hint="eastAsia" w:ascii="宋体" w:hAnsi="宋体" w:cs="宋体"/>
          <w:b/>
          <w:color w:val="auto"/>
          <w:sz w:val="28"/>
          <w:szCs w:val="28"/>
          <w:highlight w:val="none"/>
        </w:rPr>
        <w:br w:type="page"/>
      </w:r>
      <w:bookmarkStart w:id="50" w:name="_Toc30267"/>
      <w:bookmarkStart w:id="51" w:name="_Toc1600"/>
      <w:bookmarkStart w:id="52" w:name="_Toc7996"/>
      <w:bookmarkStart w:id="53" w:name="_Toc5235"/>
      <w:r>
        <w:rPr>
          <w:rFonts w:hint="eastAsia" w:ascii="宋体" w:hAnsi="宋体" w:cs="宋体"/>
          <w:b/>
          <w:color w:val="auto"/>
          <w:sz w:val="28"/>
          <w:szCs w:val="28"/>
          <w:highlight w:val="none"/>
        </w:rPr>
        <w:t>一、总则</w:t>
      </w:r>
      <w:bookmarkEnd w:id="48"/>
      <w:bookmarkEnd w:id="49"/>
      <w:bookmarkEnd w:id="50"/>
      <w:bookmarkEnd w:id="51"/>
      <w:bookmarkEnd w:id="52"/>
      <w:bookmarkEnd w:id="53"/>
    </w:p>
    <w:p w14:paraId="45342468">
      <w:pPr>
        <w:spacing w:line="400" w:lineRule="exact"/>
        <w:ind w:firstLine="413" w:firstLineChars="196"/>
        <w:outlineLvl w:val="2"/>
        <w:rPr>
          <w:rFonts w:ascii="宋体" w:hAnsi="宋体" w:cs="宋体"/>
          <w:b/>
          <w:color w:val="auto"/>
          <w:szCs w:val="21"/>
          <w:highlight w:val="none"/>
        </w:rPr>
      </w:pPr>
      <w:bookmarkStart w:id="54" w:name="_Toc6156"/>
      <w:bookmarkStart w:id="55" w:name="_Toc5249"/>
      <w:bookmarkStart w:id="56" w:name="_Toc21928"/>
      <w:bookmarkStart w:id="57" w:name="_Toc23807"/>
      <w:bookmarkStart w:id="58" w:name="_Toc30841"/>
      <w:r>
        <w:rPr>
          <w:rFonts w:hint="eastAsia" w:ascii="宋体" w:hAnsi="宋体" w:cs="宋体"/>
          <w:b/>
          <w:color w:val="auto"/>
          <w:szCs w:val="21"/>
          <w:highlight w:val="none"/>
        </w:rPr>
        <w:t>1. 项目名称及项目编号</w:t>
      </w:r>
      <w:bookmarkEnd w:id="54"/>
      <w:bookmarkEnd w:id="55"/>
      <w:bookmarkEnd w:id="56"/>
      <w:bookmarkEnd w:id="57"/>
      <w:bookmarkEnd w:id="58"/>
    </w:p>
    <w:p w14:paraId="1ADD4CED">
      <w:pPr>
        <w:spacing w:line="340" w:lineRule="exact"/>
        <w:ind w:firstLine="420" w:firstLineChars="200"/>
        <w:rPr>
          <w:rFonts w:hint="eastAsia" w:ascii="宋体" w:hAnsi="宋体" w:eastAsia="宋体" w:cs="宋体"/>
          <w:color w:val="auto"/>
          <w:szCs w:val="21"/>
          <w:highlight w:val="none"/>
          <w:lang w:eastAsia="zh-CN"/>
        </w:rPr>
      </w:pPr>
      <w:bookmarkStart w:id="59" w:name="_Toc340"/>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荔浦市教育局荔浦市学校扩班及更换教学设备设施采购项目（重1）</w:t>
      </w:r>
    </w:p>
    <w:p w14:paraId="0EDC278E">
      <w:pPr>
        <w:spacing w:line="400" w:lineRule="exact"/>
        <w:ind w:firstLine="411" w:firstLineChars="196"/>
        <w:rPr>
          <w:rFonts w:ascii="宋体" w:hAnsi="宋体" w:cs="宋体"/>
          <w:color w:val="auto"/>
          <w:szCs w:val="21"/>
          <w:highlight w:val="none"/>
        </w:rPr>
      </w:pPr>
      <w:bookmarkStart w:id="60" w:name="_Toc4756"/>
      <w:bookmarkStart w:id="61" w:name="_Toc32432"/>
      <w:bookmarkStart w:id="62" w:name="_Toc8531"/>
      <w:r>
        <w:rPr>
          <w:rFonts w:hint="eastAsia" w:ascii="宋体" w:hAnsi="宋体" w:cs="宋体"/>
          <w:color w:val="auto"/>
          <w:szCs w:val="21"/>
          <w:highlight w:val="none"/>
        </w:rPr>
        <w:t>项目编号：</w:t>
      </w:r>
      <w:bookmarkEnd w:id="60"/>
      <w:bookmarkEnd w:id="61"/>
      <w:bookmarkEnd w:id="62"/>
      <w:r>
        <w:rPr>
          <w:rFonts w:hint="eastAsia" w:ascii="宋体" w:hAnsi="宋体" w:cs="宋体"/>
          <w:color w:val="auto"/>
          <w:szCs w:val="21"/>
          <w:highlight w:val="none"/>
          <w:lang w:eastAsia="zh-CN"/>
        </w:rPr>
        <w:t>GLZC2025-G1-310035-GLSZ</w:t>
      </w:r>
      <w:r>
        <w:rPr>
          <w:rFonts w:hint="eastAsia" w:ascii="宋体" w:hAnsi="宋体" w:cs="宋体"/>
          <w:color w:val="auto"/>
          <w:szCs w:val="21"/>
          <w:highlight w:val="none"/>
        </w:rPr>
        <w:t xml:space="preserve">  </w:t>
      </w:r>
    </w:p>
    <w:p w14:paraId="36356B2B">
      <w:pPr>
        <w:spacing w:line="400" w:lineRule="exact"/>
        <w:ind w:firstLine="413" w:firstLineChars="196"/>
        <w:outlineLvl w:val="2"/>
        <w:rPr>
          <w:rFonts w:ascii="宋体" w:hAnsi="宋体" w:cs="宋体"/>
          <w:b/>
          <w:color w:val="auto"/>
          <w:szCs w:val="21"/>
          <w:highlight w:val="none"/>
        </w:rPr>
      </w:pPr>
      <w:bookmarkStart w:id="63" w:name="_Toc11983"/>
      <w:bookmarkStart w:id="64" w:name="_Toc32195"/>
      <w:bookmarkStart w:id="65" w:name="_Toc12634"/>
      <w:bookmarkStart w:id="66" w:name="_Toc17836"/>
      <w:r>
        <w:rPr>
          <w:rFonts w:hint="eastAsia" w:ascii="宋体" w:hAnsi="宋体" w:cs="宋体"/>
          <w:b/>
          <w:color w:val="auto"/>
          <w:szCs w:val="21"/>
          <w:highlight w:val="none"/>
        </w:rPr>
        <w:t>2. 适应范围</w:t>
      </w:r>
      <w:bookmarkEnd w:id="59"/>
      <w:bookmarkEnd w:id="63"/>
      <w:bookmarkEnd w:id="64"/>
      <w:bookmarkEnd w:id="65"/>
      <w:bookmarkEnd w:id="66"/>
    </w:p>
    <w:p w14:paraId="606700E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本招标文件适用本招标采购项目的招标、投标、评标、合同履约、验收、付款等行为（法律、法规另有规定的，从其规定）。</w:t>
      </w:r>
    </w:p>
    <w:p w14:paraId="646FB76A">
      <w:pPr>
        <w:spacing w:line="400" w:lineRule="exact"/>
        <w:ind w:firstLine="413" w:firstLineChars="196"/>
        <w:outlineLvl w:val="2"/>
        <w:rPr>
          <w:rFonts w:ascii="宋体" w:hAnsi="宋体" w:cs="宋体"/>
          <w:b/>
          <w:color w:val="auto"/>
          <w:szCs w:val="21"/>
          <w:highlight w:val="none"/>
        </w:rPr>
      </w:pPr>
      <w:bookmarkStart w:id="67" w:name="_Toc1895"/>
      <w:bookmarkStart w:id="68" w:name="_Toc11360"/>
      <w:bookmarkStart w:id="69" w:name="_Toc18496"/>
      <w:bookmarkStart w:id="70" w:name="_Toc471"/>
      <w:bookmarkStart w:id="71" w:name="_Toc7551"/>
      <w:r>
        <w:rPr>
          <w:rFonts w:hint="eastAsia" w:ascii="宋体" w:hAnsi="宋体" w:cs="宋体"/>
          <w:b/>
          <w:color w:val="auto"/>
          <w:szCs w:val="21"/>
          <w:highlight w:val="none"/>
        </w:rPr>
        <w:t>3. 定义</w:t>
      </w:r>
      <w:bookmarkEnd w:id="67"/>
      <w:bookmarkEnd w:id="68"/>
      <w:bookmarkEnd w:id="69"/>
      <w:bookmarkEnd w:id="70"/>
      <w:bookmarkEnd w:id="71"/>
    </w:p>
    <w:p w14:paraId="1458DEA2">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3.1“投标人”系指响应招标、参加投标竞争的法人、其他组织或者自然人。</w:t>
      </w:r>
    </w:p>
    <w:p w14:paraId="6280E2C1">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3.2“货物”系指按招标文件规定，投标人须向采购人提供的一切设备、保险、税金、备品备件、工具、手册及其它有关技术资料和材料。</w:t>
      </w:r>
    </w:p>
    <w:p w14:paraId="24CBF7BD">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3.3“服务”系指按招标文件规定，投标人须承担的安装、调试、技术协助、校准、培训、技术指导以及其他类似的义务。</w:t>
      </w:r>
    </w:p>
    <w:p w14:paraId="6F2BC2FB">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3.4“项目”系指投标人按招标文件规定向采购人提供的货物和服务。</w:t>
      </w:r>
    </w:p>
    <w:p w14:paraId="0DAD232E">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3.5“书面形式”包括信函、传真、电报等。</w:t>
      </w:r>
    </w:p>
    <w:p w14:paraId="542FF484">
      <w:pPr>
        <w:spacing w:line="400" w:lineRule="exact"/>
        <w:ind w:firstLine="435"/>
        <w:rPr>
          <w:rFonts w:ascii="宋体" w:hAnsi="宋体" w:cs="宋体"/>
          <w:b/>
          <w:color w:val="auto"/>
          <w:szCs w:val="21"/>
          <w:highlight w:val="none"/>
        </w:rPr>
      </w:pPr>
      <w:r>
        <w:rPr>
          <w:rFonts w:hint="eastAsia" w:ascii="宋体" w:hAnsi="宋体" w:cs="宋体"/>
          <w:b/>
          <w:color w:val="auto"/>
          <w:szCs w:val="21"/>
          <w:highlight w:val="none"/>
        </w:rPr>
        <w:t>3.6实质性要求：标注★号项的要求为实质性要求，不允许负偏离，否则投标无效。</w:t>
      </w:r>
    </w:p>
    <w:p w14:paraId="51C0E970">
      <w:pPr>
        <w:spacing w:line="400" w:lineRule="exact"/>
        <w:ind w:firstLine="413" w:firstLineChars="196"/>
        <w:outlineLvl w:val="2"/>
        <w:rPr>
          <w:rFonts w:ascii="宋体" w:hAnsi="宋体" w:cs="宋体"/>
          <w:b/>
          <w:color w:val="auto"/>
          <w:szCs w:val="21"/>
          <w:highlight w:val="none"/>
        </w:rPr>
      </w:pPr>
      <w:bookmarkStart w:id="72" w:name="_Toc9331"/>
      <w:bookmarkStart w:id="73" w:name="_Toc32235"/>
      <w:bookmarkStart w:id="74" w:name="_Toc24020"/>
      <w:bookmarkStart w:id="75" w:name="_Toc29660"/>
      <w:bookmarkStart w:id="76" w:name="_Toc28906"/>
      <w:r>
        <w:rPr>
          <w:rFonts w:hint="eastAsia" w:ascii="宋体" w:hAnsi="宋体" w:cs="宋体"/>
          <w:b/>
          <w:color w:val="auto"/>
          <w:szCs w:val="21"/>
          <w:highlight w:val="none"/>
        </w:rPr>
        <w:t>4. 招标方式、评分办法</w:t>
      </w:r>
      <w:bookmarkEnd w:id="72"/>
      <w:bookmarkEnd w:id="73"/>
      <w:bookmarkEnd w:id="74"/>
      <w:bookmarkEnd w:id="75"/>
      <w:bookmarkEnd w:id="76"/>
    </w:p>
    <w:p w14:paraId="0B234A33">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公开招标、综合评分法</w:t>
      </w:r>
    </w:p>
    <w:p w14:paraId="57812E1C">
      <w:pPr>
        <w:spacing w:line="400" w:lineRule="exact"/>
        <w:ind w:firstLine="413" w:firstLineChars="196"/>
        <w:outlineLvl w:val="2"/>
        <w:rPr>
          <w:rFonts w:ascii="宋体" w:hAnsi="宋体" w:cs="宋体"/>
          <w:b/>
          <w:color w:val="auto"/>
          <w:szCs w:val="21"/>
          <w:highlight w:val="none"/>
        </w:rPr>
      </w:pPr>
      <w:bookmarkStart w:id="77" w:name="_Toc15345"/>
      <w:bookmarkStart w:id="78" w:name="_Toc598"/>
      <w:bookmarkStart w:id="79" w:name="_Toc26051"/>
      <w:bookmarkStart w:id="80" w:name="_Toc2224"/>
      <w:bookmarkStart w:id="81" w:name="_Toc15954"/>
      <w:r>
        <w:rPr>
          <w:rFonts w:hint="eastAsia" w:ascii="宋体" w:hAnsi="宋体" w:cs="宋体"/>
          <w:b/>
          <w:color w:val="auto"/>
          <w:szCs w:val="21"/>
          <w:highlight w:val="none"/>
        </w:rPr>
        <w:t>5. 投标人资格</w:t>
      </w:r>
      <w:bookmarkEnd w:id="77"/>
      <w:bookmarkEnd w:id="78"/>
      <w:bookmarkEnd w:id="79"/>
      <w:bookmarkEnd w:id="80"/>
      <w:bookmarkEnd w:id="81"/>
    </w:p>
    <w:p w14:paraId="5912A2A6">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5.1符合《中华人民共和国政府采购法》第二十二条和《政府采购法实施条例》第十八条规定，并且在国内注册或登记、具备合法资格，提供本次采购货物或服务的供应商。</w:t>
      </w:r>
    </w:p>
    <w:p w14:paraId="04F8E9BB">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5.2 本项目不接受联合体投标。</w:t>
      </w:r>
    </w:p>
    <w:p w14:paraId="7F2CEB61">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0737648B">
      <w:pPr>
        <w:spacing w:line="400" w:lineRule="exact"/>
        <w:ind w:firstLine="422" w:firstLineChars="200"/>
        <w:rPr>
          <w:color w:val="auto"/>
          <w:highlight w:val="none"/>
        </w:rPr>
      </w:pPr>
      <w:r>
        <w:rPr>
          <w:rFonts w:hint="eastAsia" w:ascii="宋体" w:hAnsi="宋体" w:cs="宋体"/>
          <w:b/>
          <w:bCs/>
          <w:color w:val="auto"/>
          <w:highlight w:val="none"/>
        </w:rPr>
        <w:t xml:space="preserve">5.4 </w:t>
      </w:r>
      <w:r>
        <w:rPr>
          <w:rFonts w:hint="eastAsia"/>
          <w:b/>
          <w:bCs/>
          <w:color w:val="auto"/>
          <w:highlight w:val="none"/>
        </w:rPr>
        <w:t>落实政府采购政策需满足的资格要求：</w:t>
      </w:r>
      <w:r>
        <w:rPr>
          <w:rFonts w:hint="eastAsia"/>
          <w:b/>
          <w:bCs/>
          <w:color w:val="auto"/>
          <w:highlight w:val="none"/>
          <w:lang w:val="en-US" w:eastAsia="zh-CN"/>
        </w:rPr>
        <w:t>无。</w:t>
      </w:r>
    </w:p>
    <w:p w14:paraId="13033755">
      <w:pPr>
        <w:spacing w:line="400" w:lineRule="exact"/>
        <w:ind w:firstLine="413" w:firstLineChars="196"/>
        <w:outlineLvl w:val="9"/>
        <w:rPr>
          <w:rFonts w:ascii="宋体" w:hAnsi="宋体" w:cs="宋体"/>
          <w:b/>
          <w:bCs/>
          <w:color w:val="auto"/>
          <w:szCs w:val="21"/>
          <w:highlight w:val="none"/>
        </w:rPr>
      </w:pPr>
      <w:bookmarkStart w:id="82" w:name="_Toc11840"/>
      <w:bookmarkStart w:id="83" w:name="_Toc27619"/>
      <w:r>
        <w:rPr>
          <w:rFonts w:hint="eastAsia" w:ascii="宋体" w:hAnsi="宋体" w:cs="宋体"/>
          <w:b/>
          <w:bCs/>
          <w:color w:val="auto"/>
          <w:szCs w:val="21"/>
          <w:highlight w:val="none"/>
        </w:rPr>
        <w:t>5.5本项目的特定资格要求：</w:t>
      </w:r>
      <w:bookmarkStart w:id="84" w:name="_Toc240"/>
      <w:bookmarkStart w:id="85" w:name="_Toc14174"/>
      <w:bookmarkStart w:id="86" w:name="_Toc24742"/>
      <w:r>
        <w:rPr>
          <w:rFonts w:hint="eastAsia" w:ascii="宋体" w:hAnsi="宋体" w:cs="宋体"/>
          <w:b/>
          <w:bCs/>
          <w:color w:val="auto"/>
          <w:szCs w:val="21"/>
          <w:highlight w:val="none"/>
        </w:rPr>
        <w:t>无。</w:t>
      </w:r>
      <w:bookmarkEnd w:id="82"/>
      <w:bookmarkEnd w:id="83"/>
    </w:p>
    <w:p w14:paraId="0CB4C38C">
      <w:pPr>
        <w:spacing w:line="400" w:lineRule="exact"/>
        <w:ind w:firstLine="413" w:firstLineChars="196"/>
        <w:outlineLvl w:val="2"/>
        <w:rPr>
          <w:rFonts w:ascii="宋体" w:hAnsi="宋体" w:cs="宋体"/>
          <w:b/>
          <w:color w:val="auto"/>
          <w:szCs w:val="21"/>
          <w:highlight w:val="none"/>
        </w:rPr>
      </w:pPr>
      <w:bookmarkStart w:id="87" w:name="_Toc22525"/>
      <w:bookmarkStart w:id="88" w:name="_Toc25435"/>
      <w:r>
        <w:rPr>
          <w:rFonts w:hint="eastAsia" w:ascii="宋体" w:hAnsi="宋体" w:cs="宋体"/>
          <w:b/>
          <w:color w:val="auto"/>
          <w:szCs w:val="21"/>
          <w:highlight w:val="none"/>
        </w:rPr>
        <w:t>6. 投标费用</w:t>
      </w:r>
      <w:bookmarkEnd w:id="84"/>
      <w:bookmarkEnd w:id="85"/>
      <w:bookmarkEnd w:id="86"/>
      <w:bookmarkEnd w:id="87"/>
      <w:bookmarkEnd w:id="88"/>
    </w:p>
    <w:p w14:paraId="14805EA0">
      <w:pPr>
        <w:spacing w:line="400" w:lineRule="exact"/>
        <w:ind w:firstLine="435"/>
        <w:rPr>
          <w:rFonts w:ascii="宋体" w:hAnsi="宋体" w:cs="宋体"/>
          <w:b/>
          <w:color w:val="auto"/>
          <w:szCs w:val="21"/>
          <w:highlight w:val="none"/>
        </w:rPr>
      </w:pPr>
      <w:r>
        <w:rPr>
          <w:rFonts w:hint="eastAsia" w:ascii="宋体" w:hAnsi="宋体" w:cs="宋体"/>
          <w:color w:val="auto"/>
          <w:szCs w:val="21"/>
          <w:highlight w:val="none"/>
        </w:rPr>
        <w:t>不论投标结果如何，投标人均应自行承担所有与投标有关的全部费用。</w:t>
      </w:r>
    </w:p>
    <w:p w14:paraId="26FB6BC9">
      <w:pPr>
        <w:spacing w:line="400" w:lineRule="exact"/>
        <w:ind w:firstLine="413" w:firstLineChars="196"/>
        <w:outlineLvl w:val="2"/>
        <w:rPr>
          <w:rFonts w:ascii="宋体" w:hAnsi="宋体" w:cs="宋体"/>
          <w:b/>
          <w:color w:val="auto"/>
          <w:szCs w:val="21"/>
          <w:highlight w:val="none"/>
        </w:rPr>
      </w:pPr>
      <w:bookmarkStart w:id="89" w:name="_Toc29462"/>
      <w:bookmarkStart w:id="90" w:name="_Toc22702"/>
      <w:bookmarkStart w:id="91" w:name="_Toc31803"/>
      <w:bookmarkStart w:id="92" w:name="_Toc7380"/>
      <w:bookmarkStart w:id="93" w:name="_Toc12782"/>
      <w:r>
        <w:rPr>
          <w:rFonts w:hint="eastAsia" w:ascii="宋体" w:hAnsi="宋体" w:cs="宋体"/>
          <w:b/>
          <w:color w:val="auto"/>
          <w:szCs w:val="21"/>
          <w:highlight w:val="none"/>
        </w:rPr>
        <w:t>7. 联合体投标要求</w:t>
      </w:r>
      <w:bookmarkEnd w:id="89"/>
      <w:bookmarkEnd w:id="90"/>
      <w:bookmarkEnd w:id="91"/>
      <w:bookmarkEnd w:id="92"/>
      <w:bookmarkEnd w:id="93"/>
    </w:p>
    <w:p w14:paraId="64AA4DB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本项目不接受联合体投标。</w:t>
      </w:r>
    </w:p>
    <w:p w14:paraId="6927E9AF">
      <w:pPr>
        <w:spacing w:line="400" w:lineRule="exact"/>
        <w:ind w:firstLine="413" w:firstLineChars="196"/>
        <w:outlineLvl w:val="2"/>
        <w:rPr>
          <w:rFonts w:ascii="宋体" w:hAnsi="宋体" w:cs="宋体"/>
          <w:b/>
          <w:color w:val="auto"/>
          <w:szCs w:val="21"/>
          <w:highlight w:val="none"/>
        </w:rPr>
      </w:pPr>
      <w:bookmarkStart w:id="94" w:name="_Toc6046"/>
      <w:bookmarkStart w:id="95" w:name="_Toc28309"/>
      <w:bookmarkStart w:id="96" w:name="_Toc15435"/>
      <w:bookmarkStart w:id="97" w:name="_Toc24292"/>
      <w:bookmarkStart w:id="98" w:name="_Toc18301"/>
      <w:r>
        <w:rPr>
          <w:rFonts w:hint="eastAsia" w:ascii="宋体" w:hAnsi="宋体" w:cs="宋体"/>
          <w:b/>
          <w:color w:val="auto"/>
          <w:szCs w:val="21"/>
          <w:highlight w:val="none"/>
        </w:rPr>
        <w:t>8. 转包与分包</w:t>
      </w:r>
      <w:bookmarkEnd w:id="94"/>
      <w:bookmarkEnd w:id="95"/>
      <w:bookmarkEnd w:id="96"/>
      <w:bookmarkEnd w:id="97"/>
      <w:bookmarkEnd w:id="98"/>
    </w:p>
    <w:p w14:paraId="6391D3EA">
      <w:pPr>
        <w:tabs>
          <w:tab w:val="left" w:pos="163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8.1本项目不允许转包。</w:t>
      </w:r>
    </w:p>
    <w:p w14:paraId="3B8F8CEB">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8.2本项目不可以分包。</w:t>
      </w:r>
    </w:p>
    <w:p w14:paraId="0F71130D">
      <w:pPr>
        <w:spacing w:line="400" w:lineRule="exact"/>
        <w:ind w:firstLine="413" w:firstLineChars="196"/>
        <w:outlineLvl w:val="2"/>
        <w:rPr>
          <w:rFonts w:ascii="宋体" w:hAnsi="宋体" w:cs="宋体"/>
          <w:b/>
          <w:color w:val="auto"/>
          <w:szCs w:val="21"/>
          <w:highlight w:val="none"/>
        </w:rPr>
      </w:pPr>
      <w:bookmarkStart w:id="99" w:name="_Toc24350"/>
      <w:bookmarkStart w:id="100" w:name="_Toc24054"/>
      <w:bookmarkStart w:id="101" w:name="_Toc18033"/>
      <w:bookmarkStart w:id="102" w:name="_Toc1504"/>
      <w:bookmarkStart w:id="103" w:name="_Toc15318"/>
      <w:r>
        <w:rPr>
          <w:rFonts w:hint="eastAsia" w:ascii="宋体" w:hAnsi="宋体" w:cs="宋体"/>
          <w:b/>
          <w:color w:val="auto"/>
          <w:szCs w:val="21"/>
          <w:highlight w:val="none"/>
        </w:rPr>
        <w:t>9. 特别说明</w:t>
      </w:r>
      <w:bookmarkEnd w:id="99"/>
      <w:bookmarkEnd w:id="100"/>
      <w:bookmarkEnd w:id="101"/>
      <w:bookmarkEnd w:id="102"/>
      <w:bookmarkEnd w:id="103"/>
    </w:p>
    <w:p w14:paraId="47897BAA">
      <w:pPr>
        <w:tabs>
          <w:tab w:val="left" w:pos="163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提供相同品牌产品且通过资格审查、符合性审查的不同投标人参加同一合同项下投标的，按一家投标人计算，评审后得分最高的同品牌投标人获得中标供应商推荐资格；评审得分相同的，评标价最低的同品牌投标人获得中标供应商推荐资格；评标价也相同的，由评标委员会以抽签方式确定中标候选供应商。其他同品牌投标人不作为中标候选供应商。</w:t>
      </w:r>
    </w:p>
    <w:p w14:paraId="60B1C98E">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多家投标人提供的核心产品品牌相同的，按前款规定处理。</w:t>
      </w:r>
    </w:p>
    <w:p w14:paraId="5D697493">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9.2关联供应商不得参加同一合同项下政府采购活动，否则投标文件将被视为无效：</w:t>
      </w:r>
    </w:p>
    <w:p w14:paraId="19F986D8">
      <w:pPr>
        <w:tabs>
          <w:tab w:val="left" w:pos="163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w:t>
      </w:r>
    </w:p>
    <w:p w14:paraId="2ABCF2CC">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（2）为本采购项目提供整体设计、规范编制或者项目管理、监理、检测等服务的供应商，不得再参加本次采购活动。</w:t>
      </w:r>
    </w:p>
    <w:p w14:paraId="4C8FDACF">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9.3投标人应仔细阅读招标文件的所有内容，按照招标文件的要求提交投标文件，并对所提供的全部资料的真实性承担法律责任。</w:t>
      </w:r>
    </w:p>
    <w:p w14:paraId="47E7DF5F">
      <w:pPr>
        <w:tabs>
          <w:tab w:val="left" w:pos="1635"/>
        </w:tabs>
        <w:spacing w:line="400" w:lineRule="exact"/>
        <w:ind w:firstLine="435"/>
        <w:rPr>
          <w:rFonts w:ascii="宋体" w:hAnsi="宋体" w:cs="宋体"/>
          <w:b/>
          <w:color w:val="auto"/>
          <w:szCs w:val="21"/>
          <w:highlight w:val="none"/>
        </w:rPr>
      </w:pPr>
      <w:r>
        <w:rPr>
          <w:rFonts w:hint="eastAsia" w:ascii="宋体" w:hAnsi="宋体" w:cs="宋体"/>
          <w:color w:val="auto"/>
          <w:szCs w:val="21"/>
          <w:highlight w:val="none"/>
        </w:rPr>
        <w:t>9.4投标人在投标活动中提供任何虚假材料，其投标无效，并报监管部门查处；中标后发现的，中标供应商须依照《中华人民共和国消费者权益保护法》赔偿采购人，且民事赔偿并不免除违法投标人的行政与刑事责任。</w:t>
      </w:r>
    </w:p>
    <w:p w14:paraId="52695C58">
      <w:pPr>
        <w:spacing w:line="400" w:lineRule="exact"/>
        <w:ind w:firstLine="413" w:firstLineChars="196"/>
        <w:outlineLvl w:val="2"/>
        <w:rPr>
          <w:rFonts w:ascii="宋体" w:hAnsi="宋体" w:cs="宋体"/>
          <w:b/>
          <w:color w:val="auto"/>
          <w:szCs w:val="21"/>
          <w:highlight w:val="none"/>
        </w:rPr>
      </w:pPr>
      <w:bookmarkStart w:id="104" w:name="_Toc17432"/>
      <w:bookmarkStart w:id="105" w:name="_Toc27588"/>
      <w:bookmarkStart w:id="106" w:name="_Toc6489"/>
      <w:bookmarkStart w:id="107" w:name="_Toc29184"/>
      <w:bookmarkStart w:id="108" w:name="_Toc24387"/>
      <w:r>
        <w:rPr>
          <w:rFonts w:hint="eastAsia" w:ascii="宋体" w:hAnsi="宋体" w:cs="宋体"/>
          <w:b/>
          <w:color w:val="auto"/>
          <w:szCs w:val="21"/>
          <w:highlight w:val="none"/>
        </w:rPr>
        <w:t>10. 质疑和投诉</w:t>
      </w:r>
      <w:bookmarkEnd w:id="104"/>
      <w:bookmarkEnd w:id="105"/>
      <w:bookmarkEnd w:id="106"/>
      <w:bookmarkEnd w:id="107"/>
      <w:bookmarkEnd w:id="108"/>
    </w:p>
    <w:p w14:paraId="6A596C26">
      <w:pPr>
        <w:tabs>
          <w:tab w:val="left" w:pos="1635"/>
        </w:tabs>
        <w:spacing w:line="400" w:lineRule="exact"/>
        <w:ind w:firstLine="435"/>
        <w:rPr>
          <w:rFonts w:ascii="宋体" w:hAnsi="宋体" w:cs="宋体"/>
          <w:color w:val="auto"/>
          <w:szCs w:val="21"/>
          <w:highlight w:val="none"/>
        </w:rPr>
      </w:pPr>
      <w:bookmarkStart w:id="109" w:name="_Toc26087"/>
      <w:bookmarkStart w:id="110" w:name="_Toc8195"/>
      <w:r>
        <w:rPr>
          <w:rFonts w:hint="eastAsia" w:ascii="宋体" w:hAnsi="宋体" w:cs="宋体"/>
          <w:color w:val="auto"/>
          <w:szCs w:val="21"/>
          <w:highlight w:val="none"/>
        </w:rPr>
        <w:t>10. 质疑和投诉</w:t>
      </w:r>
    </w:p>
    <w:p w14:paraId="2F100A73">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10.1供应商认为招标文件使自己的合法权益受到损害的，应当在本项目招标公告期限届满之日起七个工作日内以书面形式向采购人或桂林市政府集中采购中心提出质疑。供应商认为招标过程或中标结果使自己的合法权益受到损害的，应当在采购程序环节结束之日或中标公告期限届满之日起七个工作日内，以书面形式向采购人或桂林市政府集中采购中心提出质疑。</w:t>
      </w:r>
    </w:p>
    <w:p w14:paraId="659CC374">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接收质疑函方式：以书面形式（原件）提交。</w:t>
      </w:r>
    </w:p>
    <w:p w14:paraId="4E261991">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质疑联系人：桂林市政府集中采购中心，联系电话：0773-5625162</w:t>
      </w:r>
    </w:p>
    <w:p w14:paraId="4CABEAAC">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通讯地址：桂林市临桂区西城中路69号创业大厦西辅楼5楼574室</w:t>
      </w:r>
    </w:p>
    <w:p w14:paraId="154E83A4">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10.2收到供应商书面质疑函后，采购人应当在七个工作日内对质疑事项作出答复（答复内容不得涉及商业秘密），并委托采购代理机构以书面形式通知质疑供应商，在财政部门指定的媒体发布质疑答复公告。</w:t>
      </w:r>
    </w:p>
    <w:p w14:paraId="41814DCE">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10.3供应商对采购人或采购代理机构的答复不满意，或者采购人或采购代理机构未在规定的时间内作出答复的，可以在答复期满后十五个工作日内向本级财政部门投诉。</w:t>
      </w:r>
    </w:p>
    <w:p w14:paraId="3A6C874B">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10.4质疑、投诉应当采用书面形式，质疑书、投诉书实行实名制，均应明确阐述招标文件、招标过程或中标结果中使自己合法权益受到损害的实质性内容，并提供必要的证明材料。</w:t>
      </w:r>
    </w:p>
    <w:p w14:paraId="60E380FD">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10.5供应商在法定质疑期内应当一次性提出针对同一采购程序环节的质疑。</w:t>
      </w:r>
    </w:p>
    <w:p w14:paraId="5D491073">
      <w:pPr>
        <w:tabs>
          <w:tab w:val="left" w:pos="2190"/>
        </w:tabs>
        <w:spacing w:line="400" w:lineRule="exact"/>
        <w:ind w:firstLine="435"/>
        <w:rPr>
          <w:rFonts w:ascii="宋体" w:hAnsi="宋体" w:cs="宋体"/>
          <w:b/>
          <w:color w:val="auto"/>
          <w:sz w:val="28"/>
          <w:szCs w:val="28"/>
          <w:highlight w:val="none"/>
        </w:rPr>
      </w:pPr>
      <w:r>
        <w:rPr>
          <w:rFonts w:hint="eastAsia" w:ascii="宋体" w:hAnsi="宋体" w:cs="宋体"/>
          <w:color w:val="auto"/>
          <w:szCs w:val="21"/>
          <w:highlight w:val="none"/>
        </w:rPr>
        <w:t>10.6 不在法定质疑期内提出的质疑函可以拒收。不符合要求的质疑函在法定质疑期内及时补充完整，否则作质疑不成立处理。</w:t>
      </w:r>
      <w:bookmarkEnd w:id="109"/>
      <w:bookmarkEnd w:id="110"/>
    </w:p>
    <w:p w14:paraId="32F183D4">
      <w:pPr>
        <w:spacing w:line="360" w:lineRule="auto"/>
        <w:jc w:val="center"/>
        <w:outlineLvl w:val="1"/>
        <w:rPr>
          <w:rFonts w:ascii="宋体" w:hAnsi="宋体" w:cs="宋体"/>
          <w:b/>
          <w:color w:val="auto"/>
          <w:sz w:val="28"/>
          <w:szCs w:val="28"/>
          <w:highlight w:val="none"/>
        </w:rPr>
      </w:pPr>
      <w:bookmarkStart w:id="111" w:name="_Toc3646"/>
      <w:bookmarkStart w:id="112" w:name="_Toc495841755"/>
      <w:bookmarkStart w:id="113" w:name="_Toc26849"/>
      <w:bookmarkStart w:id="114" w:name="_Toc6682"/>
      <w:bookmarkStart w:id="115" w:name="_Toc30031"/>
      <w:bookmarkStart w:id="116" w:name="_Toc28922"/>
      <w:r>
        <w:rPr>
          <w:rFonts w:hint="eastAsia" w:ascii="宋体" w:hAnsi="宋体" w:cs="宋体"/>
          <w:b/>
          <w:color w:val="auto"/>
          <w:sz w:val="28"/>
          <w:szCs w:val="28"/>
          <w:highlight w:val="none"/>
        </w:rPr>
        <w:t>二、招标文件</w:t>
      </w:r>
      <w:bookmarkEnd w:id="111"/>
      <w:bookmarkEnd w:id="112"/>
      <w:bookmarkEnd w:id="113"/>
      <w:bookmarkEnd w:id="114"/>
      <w:bookmarkEnd w:id="115"/>
      <w:bookmarkEnd w:id="116"/>
    </w:p>
    <w:p w14:paraId="78683695">
      <w:pPr>
        <w:spacing w:line="400" w:lineRule="exact"/>
        <w:ind w:firstLine="422" w:firstLineChars="200"/>
        <w:outlineLvl w:val="2"/>
        <w:rPr>
          <w:rFonts w:ascii="宋体" w:hAnsi="宋体" w:cs="宋体"/>
          <w:b/>
          <w:color w:val="auto"/>
          <w:szCs w:val="21"/>
          <w:highlight w:val="none"/>
        </w:rPr>
      </w:pPr>
      <w:bookmarkStart w:id="117" w:name="_Toc3397"/>
      <w:bookmarkStart w:id="118" w:name="_Toc3220"/>
      <w:bookmarkStart w:id="119" w:name="_Toc27965"/>
      <w:bookmarkStart w:id="120" w:name="_Toc74"/>
      <w:bookmarkStart w:id="121" w:name="_Toc3741"/>
      <w:r>
        <w:rPr>
          <w:rFonts w:hint="eastAsia" w:ascii="宋体" w:hAnsi="宋体" w:cs="宋体"/>
          <w:b/>
          <w:color w:val="auto"/>
          <w:szCs w:val="21"/>
          <w:highlight w:val="none"/>
        </w:rPr>
        <w:t>11. 招标文件的构成</w:t>
      </w:r>
      <w:bookmarkEnd w:id="117"/>
      <w:bookmarkEnd w:id="118"/>
      <w:bookmarkEnd w:id="119"/>
      <w:bookmarkEnd w:id="120"/>
      <w:bookmarkEnd w:id="121"/>
    </w:p>
    <w:p w14:paraId="514B074B">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（1）招标公告；</w:t>
      </w:r>
    </w:p>
    <w:p w14:paraId="5686B07A">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（2）投标人须知；</w:t>
      </w:r>
    </w:p>
    <w:p w14:paraId="5A16EB3F">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（3）采购需求；</w:t>
      </w:r>
    </w:p>
    <w:p w14:paraId="7A46F5F3">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（4）评标办法；</w:t>
      </w:r>
    </w:p>
    <w:p w14:paraId="50CDE48B">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（5）采购合同（合同主要条款及格式）；</w:t>
      </w:r>
    </w:p>
    <w:p w14:paraId="50D5D982">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（6）投标文件（格式）。</w:t>
      </w:r>
    </w:p>
    <w:p w14:paraId="5B9D71BB">
      <w:pPr>
        <w:spacing w:line="400" w:lineRule="exact"/>
        <w:ind w:firstLine="413" w:firstLineChars="196"/>
        <w:outlineLvl w:val="2"/>
        <w:rPr>
          <w:rFonts w:ascii="宋体" w:hAnsi="宋体" w:cs="宋体"/>
          <w:b/>
          <w:color w:val="auto"/>
          <w:szCs w:val="21"/>
          <w:highlight w:val="none"/>
        </w:rPr>
      </w:pPr>
      <w:bookmarkStart w:id="122" w:name="_Toc7087"/>
      <w:bookmarkStart w:id="123" w:name="_Toc2160"/>
      <w:bookmarkStart w:id="124" w:name="_Toc2487"/>
      <w:bookmarkStart w:id="125" w:name="_Toc24191"/>
      <w:bookmarkStart w:id="126" w:name="_Toc13244"/>
      <w:r>
        <w:rPr>
          <w:rFonts w:hint="eastAsia" w:ascii="宋体" w:hAnsi="宋体" w:cs="宋体"/>
          <w:b/>
          <w:color w:val="auto"/>
          <w:szCs w:val="21"/>
          <w:highlight w:val="none"/>
        </w:rPr>
        <w:t>12. 招标文件的澄清与修改</w:t>
      </w:r>
      <w:bookmarkEnd w:id="122"/>
      <w:bookmarkEnd w:id="123"/>
      <w:bookmarkEnd w:id="124"/>
      <w:bookmarkEnd w:id="125"/>
      <w:bookmarkEnd w:id="126"/>
    </w:p>
    <w:p w14:paraId="398128C5">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12.1投标人应认真阅读招标文件，发现其中有误或有不合理要求的，投标人必须在招标公告期限届满之日起七个工作日内以书面形式要求采购代理机构澄清。</w:t>
      </w:r>
    </w:p>
    <w:p w14:paraId="06780193">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14:paraId="43D01B1E">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12.3</w:t>
      </w:r>
      <w:r>
        <w:rPr>
          <w:rFonts w:hint="eastAsia" w:ascii="宋体" w:hAnsi="宋体" w:cs="宋体"/>
          <w:b/>
          <w:color w:val="auto"/>
          <w:szCs w:val="21"/>
          <w:highlight w:val="none"/>
        </w:rPr>
        <w:t>投标人下载招标文件后应实时关注相关网站了解澄清、修改等与项目有关的内容，如因投标人未及时登录相关网站了解澄清、修改等与项目有关的内容，从而导致投标无效的，由投标人自行承担责任。</w:t>
      </w:r>
    </w:p>
    <w:p w14:paraId="27A8BA3D">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12.4必要的澄清、修改的内容为招标文件的组成部分。当澄清、修改通知就同一内容的表述不一致时，以最后发出的书面文件为准。</w:t>
      </w:r>
    </w:p>
    <w:p w14:paraId="1285DDC2">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12.5招标文件的澄清、修改都应该通过采购代理机构以法定形式发布，采购人非通过本机构，不得擅自澄清、修改招标文件。</w:t>
      </w:r>
    </w:p>
    <w:p w14:paraId="134B907E">
      <w:pPr>
        <w:tabs>
          <w:tab w:val="left" w:pos="2190"/>
        </w:tabs>
        <w:spacing w:line="400" w:lineRule="exact"/>
        <w:ind w:firstLine="435"/>
        <w:rPr>
          <w:rFonts w:ascii="宋体" w:hAnsi="宋体" w:cs="宋体"/>
          <w:color w:val="auto"/>
          <w:szCs w:val="21"/>
          <w:highlight w:val="none"/>
        </w:rPr>
      </w:pPr>
    </w:p>
    <w:p w14:paraId="3F9A653C">
      <w:pPr>
        <w:spacing w:line="360" w:lineRule="auto"/>
        <w:jc w:val="center"/>
        <w:outlineLvl w:val="1"/>
        <w:rPr>
          <w:rFonts w:ascii="宋体" w:hAnsi="宋体" w:cs="宋体"/>
          <w:b/>
          <w:color w:val="auto"/>
          <w:sz w:val="28"/>
          <w:szCs w:val="28"/>
          <w:highlight w:val="none"/>
        </w:rPr>
      </w:pPr>
      <w:bookmarkStart w:id="127" w:name="_Toc7631"/>
      <w:bookmarkStart w:id="128" w:name="_Toc21553"/>
      <w:bookmarkStart w:id="129" w:name="_Toc7145"/>
      <w:bookmarkStart w:id="130" w:name="_Toc15089"/>
      <w:bookmarkStart w:id="131" w:name="_Toc18841"/>
      <w:bookmarkStart w:id="132" w:name="_Toc495841756"/>
      <w:r>
        <w:rPr>
          <w:rFonts w:hint="eastAsia" w:ascii="宋体" w:hAnsi="宋体" w:cs="宋体"/>
          <w:b/>
          <w:color w:val="auto"/>
          <w:sz w:val="28"/>
          <w:szCs w:val="28"/>
          <w:highlight w:val="none"/>
        </w:rPr>
        <w:t>三、投标文件的编制</w:t>
      </w:r>
      <w:bookmarkEnd w:id="127"/>
      <w:bookmarkEnd w:id="128"/>
      <w:bookmarkEnd w:id="129"/>
      <w:bookmarkEnd w:id="130"/>
      <w:bookmarkEnd w:id="131"/>
      <w:bookmarkEnd w:id="132"/>
    </w:p>
    <w:p w14:paraId="7300AA3B">
      <w:pPr>
        <w:spacing w:line="400" w:lineRule="exact"/>
        <w:ind w:firstLine="413" w:firstLineChars="196"/>
        <w:outlineLvl w:val="2"/>
        <w:rPr>
          <w:rFonts w:ascii="宋体" w:hAnsi="宋体" w:cs="宋体"/>
          <w:b/>
          <w:color w:val="auto"/>
          <w:szCs w:val="21"/>
          <w:highlight w:val="none"/>
        </w:rPr>
      </w:pPr>
      <w:bookmarkStart w:id="133" w:name="_Toc20617"/>
      <w:bookmarkStart w:id="134" w:name="_Toc4404"/>
      <w:bookmarkStart w:id="135" w:name="_Toc24710"/>
      <w:bookmarkStart w:id="136" w:name="_Toc18258"/>
      <w:bookmarkStart w:id="137" w:name="_Toc15443"/>
      <w:r>
        <w:rPr>
          <w:rFonts w:hint="eastAsia" w:ascii="宋体" w:hAnsi="宋体" w:cs="宋体"/>
          <w:b/>
          <w:color w:val="auto"/>
          <w:szCs w:val="21"/>
          <w:highlight w:val="none"/>
        </w:rPr>
        <w:t>13. 投标文件的组成及要求</w:t>
      </w:r>
      <w:bookmarkEnd w:id="133"/>
      <w:bookmarkEnd w:id="134"/>
      <w:bookmarkEnd w:id="135"/>
      <w:bookmarkEnd w:id="136"/>
      <w:bookmarkEnd w:id="137"/>
    </w:p>
    <w:p w14:paraId="6597E9E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13</w:t>
      </w:r>
      <w:r>
        <w:rPr>
          <w:rFonts w:ascii="宋体" w:hAnsi="宋体" w:cs="宋体"/>
          <w:b/>
          <w:bCs/>
          <w:color w:val="auto"/>
          <w:szCs w:val="21"/>
          <w:highlight w:val="none"/>
        </w:rPr>
        <w:t>.1 本项目实行电子投标，供应商应准备电子</w:t>
      </w:r>
      <w:r>
        <w:rPr>
          <w:rFonts w:hint="eastAsia" w:ascii="宋体" w:hAnsi="宋体" w:cs="宋体"/>
          <w:b/>
          <w:bCs/>
          <w:color w:val="auto"/>
          <w:szCs w:val="21"/>
          <w:highlight w:val="none"/>
        </w:rPr>
        <w:t>投标</w:t>
      </w:r>
      <w:r>
        <w:rPr>
          <w:rFonts w:ascii="宋体" w:hAnsi="宋体" w:cs="宋体"/>
          <w:b/>
          <w:bCs/>
          <w:color w:val="auto"/>
          <w:szCs w:val="21"/>
          <w:highlight w:val="none"/>
        </w:rPr>
        <w:t>文件</w:t>
      </w:r>
      <w:r>
        <w:rPr>
          <w:rFonts w:hint="eastAsia" w:ascii="宋体" w:hAnsi="宋体" w:cs="宋体"/>
          <w:b/>
          <w:bCs/>
          <w:color w:val="auto"/>
          <w:szCs w:val="21"/>
          <w:highlight w:val="none"/>
        </w:rPr>
        <w:t>：</w:t>
      </w:r>
    </w:p>
    <w:p w14:paraId="4E6FA7A1">
      <w:pPr>
        <w:spacing w:line="360" w:lineRule="auto"/>
        <w:ind w:firstLine="422" w:firstLineChars="200"/>
        <w:rPr>
          <w:color w:val="auto"/>
          <w:highlight w:val="none"/>
        </w:rPr>
      </w:pPr>
      <w:r>
        <w:rPr>
          <w:rFonts w:hint="eastAsia" w:ascii="宋体" w:hAnsi="宋体" w:cs="宋体"/>
          <w:b/>
          <w:bCs/>
          <w:color w:val="auto"/>
          <w:szCs w:val="21"/>
          <w:highlight w:val="none"/>
        </w:rPr>
        <w:t>13</w:t>
      </w:r>
      <w:r>
        <w:rPr>
          <w:rFonts w:ascii="宋体" w:hAnsi="宋体" w:cs="宋体"/>
          <w:b/>
          <w:bCs/>
          <w:color w:val="auto"/>
          <w:szCs w:val="21"/>
          <w:highlight w:val="none"/>
        </w:rPr>
        <w:t>.1.1 电子</w:t>
      </w:r>
      <w:r>
        <w:rPr>
          <w:rFonts w:hint="eastAsia" w:ascii="宋体" w:hAnsi="宋体" w:cs="宋体"/>
          <w:b/>
          <w:bCs/>
          <w:color w:val="auto"/>
          <w:szCs w:val="21"/>
          <w:highlight w:val="none"/>
        </w:rPr>
        <w:t>投标</w:t>
      </w:r>
      <w:r>
        <w:rPr>
          <w:rFonts w:ascii="宋体" w:hAnsi="宋体" w:cs="宋体"/>
          <w:b/>
          <w:bCs/>
          <w:color w:val="auto"/>
          <w:szCs w:val="21"/>
          <w:highlight w:val="none"/>
        </w:rPr>
        <w:t>文件按</w:t>
      </w:r>
      <w:r>
        <w:rPr>
          <w:rFonts w:hint="eastAsia" w:ascii="宋体" w:hAnsi="宋体" w:cs="宋体"/>
          <w:b/>
          <w:bCs/>
          <w:color w:val="auto"/>
          <w:szCs w:val="21"/>
          <w:highlight w:val="none"/>
        </w:rPr>
        <w:t>广西政府采购云</w:t>
      </w:r>
      <w:r>
        <w:rPr>
          <w:rFonts w:ascii="宋体" w:hAnsi="宋体" w:cs="宋体"/>
          <w:b/>
          <w:bCs/>
          <w:color w:val="auto"/>
          <w:szCs w:val="21"/>
          <w:highlight w:val="none"/>
        </w:rPr>
        <w:t>平台要求及本</w:t>
      </w:r>
      <w:r>
        <w:rPr>
          <w:rFonts w:hint="eastAsia" w:ascii="宋体" w:hAnsi="宋体" w:cs="宋体"/>
          <w:b/>
          <w:bCs/>
          <w:color w:val="auto"/>
          <w:szCs w:val="21"/>
          <w:highlight w:val="none"/>
        </w:rPr>
        <w:t>招标</w:t>
      </w:r>
      <w:r>
        <w:rPr>
          <w:rFonts w:ascii="宋体" w:hAnsi="宋体" w:cs="宋体"/>
          <w:b/>
          <w:bCs/>
          <w:color w:val="auto"/>
          <w:szCs w:val="21"/>
          <w:highlight w:val="none"/>
        </w:rPr>
        <w:t>文件要求制作、加密并递交。具体操作流程可参考《政府采购项目电子交易管理操作指南-供应商》</w:t>
      </w:r>
      <w:r>
        <w:rPr>
          <w:rFonts w:hint="eastAsia" w:ascii="宋体" w:hAnsi="宋体" w:cs="宋体"/>
          <w:b/>
          <w:bCs/>
          <w:color w:val="auto"/>
          <w:szCs w:val="21"/>
          <w:highlight w:val="none"/>
        </w:rPr>
        <w:t>，</w:t>
      </w:r>
      <w:r>
        <w:rPr>
          <w:rFonts w:ascii="宋体" w:hAnsi="宋体" w:cs="宋体"/>
          <w:b/>
          <w:bCs/>
          <w:color w:val="auto"/>
          <w:szCs w:val="21"/>
          <w:highlight w:val="none"/>
        </w:rPr>
        <w:t>指南可在 “</w:t>
      </w:r>
      <w:r>
        <w:rPr>
          <w:rFonts w:hint="eastAsia" w:ascii="宋体" w:hAnsi="宋体" w:cs="宋体"/>
          <w:b/>
          <w:bCs/>
          <w:color w:val="auto"/>
          <w:szCs w:val="21"/>
          <w:highlight w:val="none"/>
        </w:rPr>
        <w:t>广西政府采购云平台</w:t>
      </w:r>
      <w:r>
        <w:rPr>
          <w:rFonts w:ascii="宋体" w:hAnsi="宋体" w:cs="宋体"/>
          <w:b/>
          <w:bCs/>
          <w:color w:val="auto"/>
          <w:szCs w:val="21"/>
          <w:highlight w:val="none"/>
        </w:rPr>
        <w:t xml:space="preserve">”下载。 </w:t>
      </w:r>
    </w:p>
    <w:p w14:paraId="21990889">
      <w:pPr>
        <w:tabs>
          <w:tab w:val="left" w:pos="2190"/>
        </w:tabs>
        <w:spacing w:line="400" w:lineRule="exact"/>
        <w:ind w:firstLine="435"/>
        <w:rPr>
          <w:rFonts w:ascii="宋体" w:hAnsi="宋体" w:cs="宋体"/>
          <w:b/>
          <w:color w:val="auto"/>
          <w:szCs w:val="21"/>
          <w:highlight w:val="none"/>
        </w:rPr>
      </w:pPr>
      <w:r>
        <w:rPr>
          <w:rFonts w:hint="eastAsia" w:ascii="宋体" w:hAnsi="宋体" w:cs="宋体"/>
          <w:b/>
          <w:bCs/>
          <w:color w:val="auto"/>
          <w:szCs w:val="21"/>
          <w:highlight w:val="none"/>
        </w:rPr>
        <w:t>13.2</w:t>
      </w:r>
      <w:r>
        <w:rPr>
          <w:rFonts w:hint="eastAsia" w:ascii="宋体" w:hAnsi="宋体" w:cs="宋体"/>
          <w:b/>
          <w:color w:val="auto"/>
          <w:szCs w:val="21"/>
          <w:highlight w:val="none"/>
        </w:rPr>
        <w:t>投标文件组成【格式见第六章“投标文件（格式）”】</w:t>
      </w:r>
    </w:p>
    <w:p w14:paraId="33B9FAE9">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13.2.1资格性响应证明材料：</w:t>
      </w:r>
    </w:p>
    <w:p w14:paraId="3BBCAD6D">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（1）投标人相应的法定代表人、负责人、自然人身份证正反面扫描件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0C2EB31F">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投标人的授权委托书原件、委托代理人身份证正反面扫描件以及由县级以上（含县级）社会养老保险经办机构出具的投标人为委托代理人交纳的开标截止时间前三个月内任意一个月养老保险证明扫描件，除投标人为以下四种情形的：</w:t>
      </w:r>
    </w:p>
    <w:p w14:paraId="269C868F">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①如投标人为截标时间前60日以内成立的公司，可以提供投标人与委托代理人签订的劳动合同扫描件代替养老保险证明扫描件；</w:t>
      </w:r>
    </w:p>
    <w:p w14:paraId="112DC8E3">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②如投标人为事业单位，可以提供事业单位机构编制管理证扫描件或事业单位机构为其发放工资的工资条扫描件代替养老保险证明扫描件；</w:t>
      </w:r>
    </w:p>
    <w:p w14:paraId="1EA3F152">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③如委托代理人为免缴纳养老保险人员，提供免缴纳养老保险的证明材料扫描件及投标人与委托代理人签订的劳动合同扫描件代替养老保险证明扫描件；</w:t>
      </w:r>
    </w:p>
    <w:p w14:paraId="103A3C0B">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017EA697">
      <w:pPr>
        <w:spacing w:line="400" w:lineRule="exact"/>
        <w:ind w:firstLine="413" w:firstLineChars="196"/>
        <w:rPr>
          <w:rFonts w:ascii="宋体" w:hAnsi="宋体" w:cs="宋体"/>
          <w:color w:val="auto"/>
          <w:szCs w:val="21"/>
          <w:highlight w:val="none"/>
        </w:rPr>
      </w:pPr>
      <w:r>
        <w:rPr>
          <w:rFonts w:hint="eastAsia" w:ascii="宋体" w:hAnsi="宋体" w:cs="宋体"/>
          <w:b/>
          <w:bCs/>
          <w:color w:val="auto"/>
          <w:szCs w:val="21"/>
          <w:highlight w:val="none"/>
        </w:rPr>
        <w:t>【属自然人的应提供由县级以上（含县级）社会养老保险经办机构出具的自然人本人及委托代理人所交纳的开标截止时间前三个月内任意一个月养老保险证明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cs="宋体"/>
          <w:b/>
          <w:color w:val="auto"/>
          <w:szCs w:val="21"/>
          <w:highlight w:val="none"/>
        </w:rPr>
        <w:t>（委托代理时必须提供；</w:t>
      </w:r>
      <w:r>
        <w:rPr>
          <w:rFonts w:hint="eastAsia" w:ascii="宋体" w:hAnsi="宋体" w:cs="宋体"/>
          <w:b/>
          <w:bCs/>
          <w:color w:val="auto"/>
          <w:szCs w:val="21"/>
          <w:highlight w:val="none"/>
        </w:rPr>
        <w:t>如为联合体的，授权委托书原件须由牵头人出具</w:t>
      </w:r>
      <w:r>
        <w:rPr>
          <w:rFonts w:hint="eastAsia" w:ascii="宋体" w:hAnsi="宋体" w:cs="宋体"/>
          <w:b/>
          <w:color w:val="auto"/>
          <w:szCs w:val="21"/>
          <w:highlight w:val="none"/>
        </w:rPr>
        <w:t>）；</w:t>
      </w:r>
    </w:p>
    <w:p w14:paraId="15E1B920">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（3）投标人的法人或者其他组织营业执照等证明文件扫描件</w:t>
      </w:r>
      <w:r>
        <w:rPr>
          <w:rFonts w:hint="eastAsia" w:ascii="宋体" w:hAnsi="宋体" w:cs="宋体"/>
          <w:b/>
          <w:color w:val="auto"/>
          <w:szCs w:val="21"/>
          <w:highlight w:val="none"/>
        </w:rPr>
        <w:t>（必须提供，自然人除外）</w:t>
      </w:r>
      <w:r>
        <w:rPr>
          <w:rFonts w:hint="eastAsia" w:ascii="宋体" w:hAnsi="宋体" w:cs="宋体"/>
          <w:color w:val="auto"/>
          <w:szCs w:val="21"/>
          <w:highlight w:val="none"/>
        </w:rPr>
        <w:t>；</w:t>
      </w:r>
    </w:p>
    <w:p w14:paraId="0D86D952">
      <w:pPr>
        <w:tabs>
          <w:tab w:val="left" w:pos="1305"/>
        </w:tabs>
        <w:spacing w:line="400" w:lineRule="exact"/>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u w:val="single"/>
        </w:rPr>
        <w:t>注：供应商为企业（包括合伙企业），应提供</w:t>
      </w:r>
      <w:r>
        <w:rPr>
          <w:rFonts w:hint="eastAsia" w:ascii="宋体" w:hAnsi="宋体" w:cs="宋体"/>
          <w:b/>
          <w:color w:val="auto"/>
          <w:szCs w:val="21"/>
          <w:highlight w:val="none"/>
          <w:u w:val="single"/>
          <w:lang w:val="en-US" w:eastAsia="zh-CN"/>
        </w:rPr>
        <w:t>市场监管部门（登记机关）</w:t>
      </w:r>
      <w:r>
        <w:rPr>
          <w:rFonts w:hint="eastAsia" w:ascii="宋体" w:hAnsi="宋体" w:cs="宋体"/>
          <w:b/>
          <w:color w:val="auto"/>
          <w:szCs w:val="21"/>
          <w:highlight w:val="none"/>
          <w:u w:val="single"/>
        </w:rPr>
        <w:t>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扫描件）</w:t>
      </w:r>
    </w:p>
    <w:p w14:paraId="4C40BB59">
      <w:pPr>
        <w:spacing w:line="400" w:lineRule="exact"/>
        <w:ind w:firstLine="411" w:firstLineChars="196"/>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财务状况报告</w:t>
      </w:r>
      <w:r>
        <w:rPr>
          <w:rFonts w:hint="eastAsia" w:ascii="宋体" w:hAnsi="宋体" w:cs="宋体"/>
          <w:b/>
          <w:bCs/>
          <w:color w:val="auto"/>
          <w:szCs w:val="21"/>
          <w:highlight w:val="none"/>
        </w:rPr>
        <w:t>（格式自拟，必须提供）；</w:t>
      </w:r>
    </w:p>
    <w:p w14:paraId="6801D582">
      <w:pPr>
        <w:spacing w:line="400" w:lineRule="exact"/>
        <w:ind w:firstLine="411" w:firstLineChars="196"/>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投标人参加政府采购活动前3年内在经营活动中没有重大违法记录及有关信用信息的书面声明或专项信用报告</w:t>
      </w:r>
      <w:r>
        <w:rPr>
          <w:rFonts w:hint="eastAsia" w:ascii="宋体" w:hAnsi="宋体" w:cs="宋体"/>
          <w:b/>
          <w:bCs/>
          <w:color w:val="auto"/>
          <w:szCs w:val="21"/>
          <w:highlight w:val="none"/>
        </w:rPr>
        <w:t>（必须提供）；</w:t>
      </w:r>
    </w:p>
    <w:p w14:paraId="0A9393A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投标人根据注册地信用中国网站的要求获取。</w:t>
      </w:r>
    </w:p>
    <w:p w14:paraId="6F51350D">
      <w:pPr>
        <w:pStyle w:val="2"/>
        <w:ind w:firstLine="420" w:firstLineChars="200"/>
        <w:rPr>
          <w:color w:val="auto"/>
          <w:highlight w:val="none"/>
        </w:rPr>
      </w:pPr>
      <w:r>
        <w:rPr>
          <w:rFonts w:hint="eastAsia" w:ascii="宋体" w:hAnsi="宋体" w:cs="宋体"/>
          <w:color w:val="auto"/>
          <w:kern w:val="2"/>
          <w:sz w:val="21"/>
          <w:szCs w:val="21"/>
          <w:highlight w:val="none"/>
          <w:lang w:val="en-US" w:eastAsia="zh-CN"/>
        </w:rPr>
        <w:t>（6）</w:t>
      </w:r>
      <w:r>
        <w:rPr>
          <w:rFonts w:hint="eastAsia" w:ascii="宋体" w:hAnsi="宋体" w:cs="宋体"/>
          <w:color w:val="auto"/>
          <w:sz w:val="21"/>
          <w:szCs w:val="21"/>
          <w:highlight w:val="none"/>
        </w:rPr>
        <w:t>投标人截止开标时间前近半年内任意一个月或任一季度依法缴纳税收的证明材料【增值税发票(税收完税证明)或企业所得税完税证明或税务部门出具的免税证明】</w:t>
      </w:r>
      <w:r>
        <w:rPr>
          <w:rFonts w:hint="eastAsia" w:ascii="宋体" w:hAnsi="宋体" w:cs="宋体"/>
          <w:color w:val="auto"/>
          <w:sz w:val="21"/>
          <w:szCs w:val="21"/>
          <w:highlight w:val="none"/>
          <w:lang w:eastAsia="zh-CN"/>
        </w:rPr>
        <w:t>扫描件</w:t>
      </w:r>
      <w:r>
        <w:rPr>
          <w:rFonts w:hint="eastAsia" w:ascii="宋体" w:hAnsi="宋体" w:cs="宋体"/>
          <w:b/>
          <w:bCs/>
          <w:color w:val="auto"/>
          <w:sz w:val="21"/>
          <w:szCs w:val="21"/>
          <w:highlight w:val="none"/>
        </w:rPr>
        <w:t>（必须提供）</w:t>
      </w:r>
      <w:r>
        <w:rPr>
          <w:rFonts w:hint="eastAsia" w:ascii="宋体" w:hAnsi="宋体" w:cs="宋体"/>
          <w:b/>
          <w:bCs/>
          <w:color w:val="auto"/>
          <w:sz w:val="21"/>
          <w:szCs w:val="21"/>
          <w:highlight w:val="none"/>
          <w:lang w:eastAsia="zh-CN"/>
        </w:rPr>
        <w:t>。</w:t>
      </w:r>
    </w:p>
    <w:p w14:paraId="5C5F9C96">
      <w:pPr>
        <w:tabs>
          <w:tab w:val="left" w:pos="1305"/>
        </w:tabs>
        <w:spacing w:line="40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13.2.2</w:t>
      </w:r>
      <w:r>
        <w:rPr>
          <w:rFonts w:hint="eastAsia" w:ascii="宋体" w:hAnsi="宋体" w:cs="宋体"/>
          <w:b/>
          <w:color w:val="auto"/>
          <w:szCs w:val="21"/>
          <w:highlight w:val="none"/>
        </w:rPr>
        <w:t>商务、技术性响应及其他证明材料：</w:t>
      </w:r>
    </w:p>
    <w:p w14:paraId="19729AF9">
      <w:pPr>
        <w:tabs>
          <w:tab w:val="left" w:pos="1305"/>
        </w:tabs>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（1）</w:t>
      </w:r>
      <w:r>
        <w:rPr>
          <w:rFonts w:hint="eastAsia" w:ascii="宋体" w:hAnsi="宋体" w:cs="宋体"/>
          <w:color w:val="auto"/>
          <w:highlight w:val="none"/>
        </w:rPr>
        <w:t>投标报价表（格式见附件）</w:t>
      </w:r>
      <w:r>
        <w:rPr>
          <w:rFonts w:hint="eastAsia" w:ascii="宋体" w:hAnsi="宋体" w:cs="宋体"/>
          <w:b/>
          <w:bCs/>
          <w:color w:val="auto"/>
          <w:highlight w:val="none"/>
        </w:rPr>
        <w:t>（必须提供）</w:t>
      </w:r>
      <w:r>
        <w:rPr>
          <w:rFonts w:hint="eastAsia" w:ascii="宋体" w:hAnsi="宋体" w:cs="宋体"/>
          <w:color w:val="auto"/>
          <w:highlight w:val="none"/>
        </w:rPr>
        <w:t>；</w:t>
      </w:r>
    </w:p>
    <w:p w14:paraId="3F90D009">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（2）技术规格偏离表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4C3657EB">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（3）商务响应表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bCs/>
          <w:color w:val="auto"/>
          <w:szCs w:val="21"/>
          <w:highlight w:val="none"/>
        </w:rPr>
        <w:t>；</w:t>
      </w:r>
    </w:p>
    <w:p w14:paraId="6D763FF1">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（4）“采购需求”需提供的有效证明文件</w:t>
      </w:r>
      <w:r>
        <w:rPr>
          <w:rFonts w:hint="eastAsia" w:ascii="宋体" w:hAnsi="宋体" w:cs="宋体"/>
          <w:b/>
          <w:color w:val="auto"/>
          <w:szCs w:val="21"/>
          <w:highlight w:val="none"/>
        </w:rPr>
        <w:t>（按其要求提供）</w:t>
      </w:r>
      <w:r>
        <w:rPr>
          <w:rFonts w:hint="eastAsia" w:ascii="宋体" w:hAnsi="宋体" w:cs="宋体"/>
          <w:color w:val="auto"/>
          <w:szCs w:val="21"/>
          <w:highlight w:val="none"/>
        </w:rPr>
        <w:t>；</w:t>
      </w:r>
    </w:p>
    <w:p w14:paraId="15A14521">
      <w:pPr>
        <w:tabs>
          <w:tab w:val="left" w:pos="1305"/>
        </w:tabs>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szCs w:val="21"/>
          <w:highlight w:val="none"/>
        </w:rPr>
        <w:t>投标人的售后服务承诺书（必须包含售后服务要求的全部内容）</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000749C6">
      <w:pPr>
        <w:tabs>
          <w:tab w:val="left" w:pos="1305"/>
        </w:tabs>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szCs w:val="21"/>
          <w:highlight w:val="none"/>
        </w:rPr>
        <w:t>项目实施方案</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（如有，请提供）；</w:t>
      </w:r>
    </w:p>
    <w:p w14:paraId="69FDFE03">
      <w:pPr>
        <w:tabs>
          <w:tab w:val="left" w:pos="1305"/>
        </w:tabs>
        <w:spacing w:line="400" w:lineRule="exact"/>
        <w:ind w:firstLine="420" w:firstLineChars="200"/>
        <w:rPr>
          <w:rFonts w:hint="eastAsia" w:ascii="宋体" w:hAnsi="宋体" w:cs="宋体"/>
          <w:color w:val="auto"/>
          <w:szCs w:val="20"/>
          <w:highlight w:val="none"/>
        </w:rPr>
      </w:pPr>
      <w:r>
        <w:rPr>
          <w:rFonts w:hint="eastAsia" w:ascii="宋体" w:hAnsi="宋体" w:cs="宋体"/>
          <w:color w:val="auto"/>
          <w:szCs w:val="20"/>
          <w:highlight w:val="none"/>
        </w:rPr>
        <w:t>（7）</w:t>
      </w:r>
      <w:r>
        <w:rPr>
          <w:rFonts w:hint="eastAsia" w:ascii="宋体" w:hAnsi="宋体" w:cs="宋体"/>
          <w:color w:val="auto"/>
          <w:szCs w:val="21"/>
          <w:highlight w:val="none"/>
        </w:rPr>
        <w:t>项目实施人员一览表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2D0088C5">
      <w:pPr>
        <w:tabs>
          <w:tab w:val="left" w:pos="1305"/>
        </w:tabs>
        <w:spacing w:line="400" w:lineRule="exact"/>
        <w:ind w:firstLine="420" w:firstLineChars="200"/>
        <w:rPr>
          <w:rFonts w:hint="eastAsia" w:ascii="宋体" w:hAnsi="宋体" w:cs="宋体"/>
          <w:color w:val="auto"/>
          <w:szCs w:val="20"/>
          <w:highlight w:val="none"/>
        </w:rPr>
      </w:pPr>
      <w:r>
        <w:rPr>
          <w:rFonts w:hint="eastAsia" w:ascii="宋体" w:hAnsi="宋体" w:cs="宋体"/>
          <w:color w:val="auto"/>
          <w:szCs w:val="20"/>
          <w:highlight w:val="none"/>
        </w:rPr>
        <w:t>（8）</w:t>
      </w:r>
      <w:r>
        <w:rPr>
          <w:rFonts w:hint="eastAsia" w:ascii="宋体" w:hAnsi="宋体" w:cs="宋体"/>
          <w:color w:val="auto"/>
          <w:szCs w:val="21"/>
          <w:highlight w:val="none"/>
        </w:rPr>
        <w:t>节能方面的证书扫描件</w:t>
      </w:r>
      <w:r>
        <w:rPr>
          <w:rFonts w:hint="eastAsia" w:ascii="宋体" w:hAnsi="宋体" w:cs="宋体"/>
          <w:b/>
          <w:color w:val="auto"/>
          <w:szCs w:val="21"/>
          <w:highlight w:val="none"/>
        </w:rPr>
        <w:t>（如有，请提供）</w:t>
      </w:r>
      <w:r>
        <w:rPr>
          <w:rFonts w:hint="eastAsia" w:ascii="宋体" w:hAnsi="宋体" w:cs="宋体"/>
          <w:bCs/>
          <w:color w:val="auto"/>
          <w:szCs w:val="21"/>
          <w:highlight w:val="none"/>
        </w:rPr>
        <w:t>；</w:t>
      </w:r>
    </w:p>
    <w:p w14:paraId="10E1FE6C">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（9）环境标志方面的证书扫描件</w:t>
      </w:r>
      <w:r>
        <w:rPr>
          <w:rFonts w:hint="eastAsia" w:ascii="宋体" w:hAnsi="宋体" w:cs="宋体"/>
          <w:b/>
          <w:color w:val="auto"/>
          <w:szCs w:val="21"/>
          <w:highlight w:val="none"/>
        </w:rPr>
        <w:t>（如有，请提供）</w:t>
      </w:r>
      <w:r>
        <w:rPr>
          <w:rFonts w:hint="eastAsia" w:ascii="宋体" w:hAnsi="宋体" w:cs="宋体"/>
          <w:bCs/>
          <w:color w:val="auto"/>
          <w:szCs w:val="21"/>
          <w:highlight w:val="none"/>
        </w:rPr>
        <w:t>；</w:t>
      </w:r>
    </w:p>
    <w:p w14:paraId="36D6D9DB">
      <w:pPr>
        <w:tabs>
          <w:tab w:val="left" w:pos="1305"/>
        </w:tabs>
        <w:spacing w:line="400" w:lineRule="exact"/>
        <w:ind w:firstLine="420" w:firstLineChars="200"/>
        <w:rPr>
          <w:rFonts w:hint="eastAsia" w:ascii="宋体" w:hAnsi="宋体" w:cs="宋体"/>
          <w:bCs/>
          <w:color w:val="auto"/>
          <w:highlight w:val="none"/>
        </w:rPr>
      </w:pPr>
      <w:r>
        <w:rPr>
          <w:rFonts w:hint="eastAsia" w:ascii="宋体" w:hAnsi="宋体" w:cs="宋体"/>
          <w:color w:val="auto"/>
          <w:highlight w:val="none"/>
        </w:rPr>
        <w:t>（10）</w:t>
      </w:r>
      <w:r>
        <w:rPr>
          <w:rFonts w:hint="eastAsia" w:ascii="宋体" w:hAnsi="宋体" w:cs="宋体"/>
          <w:color w:val="auto"/>
          <w:szCs w:val="21"/>
          <w:highlight w:val="none"/>
        </w:rPr>
        <w:t>投标人自2023年1月1日以来具有同类产品的销售业绩 [以中标（成交）通知书或采购合同扫描件为准（能清晰反映所销售的货物名称、种类、金额)，否则将不予计分；同一个编号的项目有两个或两个以上的分标中标的只算一次]</w:t>
      </w:r>
      <w:r>
        <w:rPr>
          <w:rFonts w:hint="eastAsia" w:ascii="宋体" w:hAnsi="宋体" w:cs="宋体"/>
          <w:b/>
          <w:color w:val="auto"/>
          <w:highlight w:val="none"/>
        </w:rPr>
        <w:t>（如有，请提供）</w:t>
      </w:r>
      <w:r>
        <w:rPr>
          <w:rFonts w:hint="eastAsia" w:ascii="宋体" w:hAnsi="宋体" w:cs="宋体"/>
          <w:bCs/>
          <w:color w:val="auto"/>
          <w:highlight w:val="none"/>
        </w:rPr>
        <w:t>；</w:t>
      </w:r>
    </w:p>
    <w:p w14:paraId="08835057">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（11）《中小企业声明函》（见附件）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5B43F7A5">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（12）如货物生产企业属于监狱企业的，应当提供由省级以上监狱管理局、戒毒管理局等（含新疆生产建设兵团）出具的属于监狱企业的证明文件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50610696">
      <w:pPr>
        <w:tabs>
          <w:tab w:val="left" w:pos="1305"/>
        </w:tabs>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（13）符合条件的残疾人福利性单位在参加政府采购活动时，应当提供《残疾人福利性单位声明函》（见附件），并对声明的真实性负责；</w:t>
      </w:r>
      <w:r>
        <w:rPr>
          <w:rFonts w:hint="eastAsia" w:ascii="宋体" w:hAnsi="宋体" w:cs="宋体"/>
          <w:b/>
          <w:bCs/>
          <w:color w:val="auto"/>
          <w:highlight w:val="none"/>
        </w:rPr>
        <w:t>（如有，请提供）</w:t>
      </w:r>
      <w:r>
        <w:rPr>
          <w:rFonts w:hint="eastAsia" w:ascii="宋体" w:hAnsi="宋体" w:cs="宋体"/>
          <w:color w:val="auto"/>
          <w:highlight w:val="none"/>
        </w:rPr>
        <w:t>；</w:t>
      </w:r>
    </w:p>
    <w:p w14:paraId="47725393">
      <w:pPr>
        <w:tabs>
          <w:tab w:val="left" w:pos="1305"/>
        </w:tabs>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（14）投标人可结合本项目的评标办法视自身情况自行提交相关证明材料</w:t>
      </w:r>
      <w:r>
        <w:rPr>
          <w:rFonts w:hint="eastAsia" w:ascii="宋体" w:hAnsi="宋体" w:cs="宋体"/>
          <w:b/>
          <w:bCs/>
          <w:color w:val="auto"/>
          <w:highlight w:val="none"/>
        </w:rPr>
        <w:t>（如有，请提供）</w:t>
      </w:r>
      <w:r>
        <w:rPr>
          <w:rFonts w:hint="eastAsia" w:ascii="宋体" w:hAnsi="宋体" w:cs="宋体"/>
          <w:color w:val="auto"/>
          <w:highlight w:val="none"/>
        </w:rPr>
        <w:t>。</w:t>
      </w:r>
    </w:p>
    <w:p w14:paraId="148A1B48">
      <w:pPr>
        <w:tabs>
          <w:tab w:val="left" w:pos="1305"/>
        </w:tabs>
        <w:spacing w:line="400" w:lineRule="exact"/>
        <w:ind w:firstLine="422" w:firstLineChars="200"/>
        <w:rPr>
          <w:rFonts w:hint="eastAsia" w:ascii="宋体" w:hAnsi="宋体" w:cs="宋体"/>
          <w:color w:val="auto"/>
          <w:highlight w:val="none"/>
        </w:rPr>
      </w:pPr>
      <w:r>
        <w:rPr>
          <w:rFonts w:hint="eastAsia" w:ascii="宋体" w:hAnsi="宋体" w:cs="宋体"/>
          <w:b/>
          <w:bCs/>
          <w:color w:val="auto"/>
          <w:highlight w:val="none"/>
        </w:rPr>
        <w:t>投标人提供的以上相关证明材料属于“必须提供”的文件应加盖投标人公章（CA签章）/自然人签字或加盖个人CA签章，否则投标无效。</w:t>
      </w:r>
    </w:p>
    <w:p w14:paraId="061D3CE3">
      <w:pPr>
        <w:spacing w:line="400" w:lineRule="exact"/>
        <w:ind w:firstLine="420"/>
        <w:rPr>
          <w:rFonts w:hint="eastAsia" w:ascii="宋体" w:hAnsi="宋体" w:cs="宋体"/>
          <w:color w:val="auto"/>
          <w:highlight w:val="none"/>
        </w:rPr>
      </w:pPr>
      <w:r>
        <w:rPr>
          <w:rFonts w:hint="eastAsia" w:ascii="宋体" w:hAnsi="宋体" w:cs="宋体"/>
          <w:color w:val="auto"/>
          <w:szCs w:val="21"/>
          <w:highlight w:val="none"/>
        </w:rPr>
        <w:t>13.3</w:t>
      </w:r>
      <w:r>
        <w:rPr>
          <w:rFonts w:hint="eastAsia" w:ascii="宋体" w:hAnsi="宋体" w:cs="宋体"/>
          <w:color w:val="auto"/>
          <w:highlight w:val="none"/>
        </w:rPr>
        <w:t>投标人应按招标文件第六章“投标文件（格式）”编制投标文件。</w:t>
      </w:r>
    </w:p>
    <w:p w14:paraId="793686C6">
      <w:pPr>
        <w:spacing w:line="400" w:lineRule="exact"/>
        <w:ind w:firstLine="420"/>
        <w:rPr>
          <w:rFonts w:hint="eastAsia" w:ascii="宋体" w:hAnsi="宋体" w:cs="宋体"/>
          <w:color w:val="auto"/>
          <w:highlight w:val="none"/>
        </w:rPr>
      </w:pPr>
      <w:r>
        <w:rPr>
          <w:rFonts w:hint="eastAsia" w:ascii="宋体" w:hAnsi="宋体" w:cs="宋体"/>
          <w:color w:val="auto"/>
          <w:highlight w:val="none"/>
        </w:rPr>
        <w:t>13.4投标文件应当对招标文件提出的要求和条件作出明确响应。</w:t>
      </w:r>
    </w:p>
    <w:p w14:paraId="3DA6B82D">
      <w:pPr>
        <w:spacing w:line="400" w:lineRule="exact"/>
        <w:ind w:firstLine="420"/>
        <w:rPr>
          <w:rFonts w:hint="eastAsia" w:ascii="宋体" w:hAnsi="宋体" w:cs="宋体"/>
          <w:b/>
          <w:bCs/>
          <w:color w:val="auto"/>
          <w:highlight w:val="none"/>
        </w:rPr>
      </w:pPr>
      <w:r>
        <w:rPr>
          <w:rFonts w:hint="eastAsia" w:ascii="宋体" w:hAnsi="宋体" w:cs="宋体"/>
          <w:b/>
          <w:bCs/>
          <w:color w:val="auto"/>
          <w:highlight w:val="none"/>
        </w:rPr>
        <w:t>特别说明：</w:t>
      </w:r>
    </w:p>
    <w:p w14:paraId="4F323BD2">
      <w:pPr>
        <w:tabs>
          <w:tab w:val="left" w:pos="1305"/>
        </w:tabs>
        <w:spacing w:line="400" w:lineRule="exact"/>
        <w:ind w:firstLine="422" w:firstLineChars="200"/>
        <w:rPr>
          <w:rFonts w:hint="eastAsia" w:ascii="宋体" w:hAnsi="宋体" w:cs="宋体"/>
          <w:b/>
          <w:bCs/>
          <w:color w:val="auto"/>
          <w:szCs w:val="21"/>
          <w:highlight w:val="none"/>
        </w:rPr>
      </w:pPr>
      <w:bookmarkStart w:id="138" w:name="_Toc11037"/>
      <w:r>
        <w:rPr>
          <w:rFonts w:hint="eastAsia" w:ascii="宋体" w:hAnsi="宋体" w:cs="宋体"/>
          <w:b/>
          <w:bCs/>
          <w:color w:val="auto"/>
          <w:szCs w:val="21"/>
          <w:highlight w:val="none"/>
        </w:rPr>
        <w:t>（1）投标文件（电子投标文件），其中电子投标文件中所须加盖公章部分均采用CA签章。若投标文件中有专门标注的某关联点，并要求供应商在电子投标系统中作出投标响应的，如供应商未对关联点进行响应或者在投标文件其它内容中进行描述，造成电子评审不能查询的责任由供应商自行承担。</w:t>
      </w:r>
    </w:p>
    <w:p w14:paraId="3C36B9E6">
      <w:pPr>
        <w:spacing w:line="400" w:lineRule="exact"/>
        <w:ind w:firstLine="413" w:firstLineChars="196"/>
        <w:rPr>
          <w:rFonts w:hint="eastAsia" w:ascii="宋体" w:hAnsi="宋体" w:cs="宋体"/>
          <w:b/>
          <w:bCs/>
          <w:color w:val="auto"/>
          <w:szCs w:val="21"/>
          <w:highlight w:val="none"/>
        </w:rPr>
      </w:pPr>
      <w:bookmarkStart w:id="139" w:name="_Toc2599"/>
      <w:r>
        <w:rPr>
          <w:rFonts w:hint="eastAsia" w:ascii="宋体" w:hAnsi="宋体" w:cs="宋体"/>
          <w:b/>
          <w:bCs/>
          <w:color w:val="auto"/>
          <w:szCs w:val="21"/>
          <w:highlight w:val="none"/>
        </w:rPr>
        <w:t>（2）招标文件要求法定代表人（负责人）或委托代理人签字的部分必须签字然后扫描或者拍照做成 pdf 格式上传（或加盖个人CA签章），无签字的视为投标无效。</w:t>
      </w:r>
      <w:bookmarkEnd w:id="139"/>
    </w:p>
    <w:p w14:paraId="3720AA98">
      <w:pPr>
        <w:spacing w:line="400" w:lineRule="exact"/>
        <w:ind w:firstLine="413" w:firstLineChars="196"/>
        <w:outlineLvl w:val="2"/>
        <w:rPr>
          <w:rFonts w:hint="eastAsia" w:ascii="宋体" w:hAnsi="宋体" w:cs="宋体"/>
          <w:b/>
          <w:color w:val="auto"/>
          <w:szCs w:val="21"/>
          <w:highlight w:val="none"/>
        </w:rPr>
      </w:pPr>
      <w:bookmarkStart w:id="140" w:name="_Toc6546"/>
      <w:bookmarkStart w:id="141" w:name="_Toc5023"/>
      <w:bookmarkStart w:id="142" w:name="_Toc8048"/>
      <w:bookmarkStart w:id="143" w:name="_Toc7852"/>
      <w:r>
        <w:rPr>
          <w:rFonts w:hint="eastAsia" w:ascii="宋体" w:hAnsi="宋体" w:cs="宋体"/>
          <w:b/>
          <w:color w:val="auto"/>
          <w:szCs w:val="21"/>
          <w:highlight w:val="none"/>
        </w:rPr>
        <w:t>14. 投标文件的语言及计量</w:t>
      </w:r>
      <w:bookmarkEnd w:id="138"/>
      <w:bookmarkEnd w:id="140"/>
      <w:bookmarkEnd w:id="141"/>
      <w:bookmarkEnd w:id="142"/>
      <w:bookmarkEnd w:id="143"/>
    </w:p>
    <w:p w14:paraId="7BE3179C">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14:paraId="2C2C2B4D">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14.2投标计量单位，招标文件已有明确规定的，使用招标文件规定的计量单位；招标文件没有规定的，应采用中华人民共和国法定计量单位（货币单位：元人民币），否则视同未响应。</w:t>
      </w:r>
    </w:p>
    <w:p w14:paraId="6304FCCB">
      <w:pPr>
        <w:numPr>
          <w:ilvl w:val="-1"/>
          <w:numId w:val="0"/>
        </w:numPr>
        <w:spacing w:line="400" w:lineRule="exact"/>
        <w:ind w:firstLine="422" w:firstLineChars="200"/>
        <w:outlineLvl w:val="2"/>
        <w:rPr>
          <w:rFonts w:hint="eastAsia" w:ascii="宋体" w:hAnsi="宋体" w:cs="宋体"/>
          <w:b/>
          <w:color w:val="auto"/>
          <w:szCs w:val="21"/>
          <w:highlight w:val="none"/>
        </w:rPr>
      </w:pPr>
      <w:bookmarkStart w:id="144" w:name="_Toc16023"/>
      <w:bookmarkStart w:id="145" w:name="_Toc27838"/>
      <w:bookmarkStart w:id="146" w:name="_Toc29606"/>
      <w:bookmarkStart w:id="147" w:name="_Toc9350"/>
      <w:bookmarkStart w:id="148" w:name="_Toc8372"/>
      <w:r>
        <w:rPr>
          <w:rFonts w:hint="eastAsia" w:ascii="宋体" w:hAnsi="宋体" w:eastAsia="宋体" w:cs="宋体"/>
          <w:b/>
          <w:color w:val="auto"/>
          <w:szCs w:val="21"/>
          <w:highlight w:val="none"/>
          <w:lang w:val="en-US" w:eastAsia="zh-CN"/>
        </w:rPr>
        <w:t>15.</w:t>
      </w:r>
      <w:r>
        <w:rPr>
          <w:rFonts w:hint="eastAsia" w:ascii="宋体" w:hAnsi="宋体" w:cs="宋体"/>
          <w:b/>
          <w:color w:val="auto"/>
          <w:szCs w:val="21"/>
          <w:highlight w:val="none"/>
        </w:rPr>
        <w:t>投标报价</w:t>
      </w:r>
      <w:bookmarkEnd w:id="144"/>
      <w:bookmarkEnd w:id="145"/>
      <w:bookmarkEnd w:id="146"/>
      <w:bookmarkEnd w:id="147"/>
      <w:bookmarkEnd w:id="148"/>
    </w:p>
    <w:p w14:paraId="5D2D601C">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15.1投标报价应按招标文件中第六章“投标文件（格式）”填写，本项目采购预算金额：</w:t>
      </w:r>
      <w:r>
        <w:rPr>
          <w:rFonts w:hint="eastAsia" w:ascii="宋体" w:hAnsi="宋体" w:cs="宋体"/>
          <w:color w:val="auto"/>
          <w:szCs w:val="21"/>
          <w:highlight w:val="none"/>
          <w:lang w:eastAsia="zh-CN"/>
        </w:rPr>
        <w:t>人民币壹佰捌拾玖万元整（¥1890000.00元）。</w:t>
      </w:r>
      <w:r>
        <w:rPr>
          <w:rFonts w:hint="eastAsia" w:ascii="宋体" w:hAnsi="宋体" w:cs="宋体"/>
          <w:color w:val="auto"/>
          <w:szCs w:val="21"/>
          <w:highlight w:val="none"/>
        </w:rPr>
        <w:t>投标报价超过</w:t>
      </w:r>
      <w:r>
        <w:rPr>
          <w:rFonts w:hint="eastAsia" w:ascii="宋体" w:hAnsi="宋体" w:cs="宋体"/>
          <w:color w:val="auto"/>
          <w:szCs w:val="21"/>
          <w:highlight w:val="none"/>
          <w:lang w:val="en-US" w:eastAsia="zh-CN"/>
        </w:rPr>
        <w:t>预算金额</w:t>
      </w:r>
      <w:r>
        <w:rPr>
          <w:rFonts w:hint="eastAsia" w:ascii="宋体" w:hAnsi="宋体" w:cs="宋体"/>
          <w:color w:val="auto"/>
          <w:szCs w:val="21"/>
          <w:highlight w:val="none"/>
        </w:rPr>
        <w:t>的，投标文件按无效处理。</w:t>
      </w:r>
    </w:p>
    <w:p w14:paraId="77CE4D1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15.2投标人必须就“采购需求”中所投分标内容作完整唯一报价，否则，其投标将被拒绝；投标文件只允许有一个报价，有选择的或有条件的报价将不予接受。</w:t>
      </w:r>
    </w:p>
    <w:p w14:paraId="6502171A">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15.3投标报价应包括本次招标采购范围内货物价款、货物随配标准附件、包装、运输、装卸、保险、税金、货到位以及安装、安装所需辅材、调试、检验、售后服务、培训、保修及其他所有成本费用的总和，</w:t>
      </w:r>
      <w:r>
        <w:rPr>
          <w:rFonts w:hint="eastAsia" w:ascii="宋体" w:hAnsi="宋体" w:cs="宋体"/>
          <w:color w:val="auto"/>
          <w:highlight w:val="none"/>
        </w:rPr>
        <w:t>投标人应综合考虑在报价中。</w:t>
      </w:r>
    </w:p>
    <w:p w14:paraId="61919623">
      <w:pPr>
        <w:spacing w:line="400" w:lineRule="exact"/>
        <w:ind w:firstLine="413" w:firstLineChars="196"/>
        <w:outlineLvl w:val="2"/>
        <w:rPr>
          <w:rFonts w:hint="eastAsia" w:ascii="宋体" w:hAnsi="宋体" w:cs="宋体"/>
          <w:b/>
          <w:color w:val="auto"/>
          <w:szCs w:val="21"/>
          <w:highlight w:val="none"/>
        </w:rPr>
      </w:pPr>
      <w:bookmarkStart w:id="149" w:name="_Toc18209"/>
      <w:bookmarkStart w:id="150" w:name="_Toc26983"/>
      <w:bookmarkStart w:id="151" w:name="_Toc16922"/>
      <w:bookmarkStart w:id="152" w:name="_Toc13101"/>
      <w:bookmarkStart w:id="153" w:name="_Toc22333"/>
      <w:r>
        <w:rPr>
          <w:rFonts w:hint="eastAsia" w:ascii="宋体" w:hAnsi="宋体" w:cs="宋体"/>
          <w:b/>
          <w:color w:val="auto"/>
          <w:szCs w:val="21"/>
          <w:highlight w:val="none"/>
        </w:rPr>
        <w:t>16. 投标有效期</w:t>
      </w:r>
      <w:bookmarkEnd w:id="149"/>
      <w:bookmarkEnd w:id="150"/>
      <w:bookmarkEnd w:id="151"/>
      <w:bookmarkEnd w:id="152"/>
      <w:bookmarkEnd w:id="153"/>
    </w:p>
    <w:p w14:paraId="6FBB639D">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16.1投标有效期：</w:t>
      </w:r>
      <w:r>
        <w:rPr>
          <w:rFonts w:hint="eastAsia" w:ascii="宋体" w:hAnsi="宋体" w:cs="宋体"/>
          <w:color w:val="auto"/>
          <w:highlight w:val="none"/>
        </w:rPr>
        <w:t>投标截止时间之日起90天</w:t>
      </w:r>
      <w:r>
        <w:rPr>
          <w:rFonts w:hint="eastAsia" w:ascii="宋体" w:hAnsi="宋体" w:cs="宋体"/>
          <w:color w:val="auto"/>
          <w:sz w:val="22"/>
          <w:szCs w:val="22"/>
          <w:highlight w:val="none"/>
        </w:rPr>
        <w:t>。</w:t>
      </w:r>
    </w:p>
    <w:p w14:paraId="16091EF8">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16.2出现特殊情况下，需要延长投标有效期的，采购代理机构以书面形式通知投标人延长投标有效期。投标人同意延长的，原投标文件继续有效。投标人拒绝延长的，其投标无效。</w:t>
      </w:r>
    </w:p>
    <w:p w14:paraId="45C2C268">
      <w:pPr>
        <w:spacing w:line="400" w:lineRule="exact"/>
        <w:ind w:firstLine="413" w:firstLineChars="196"/>
        <w:outlineLvl w:val="2"/>
        <w:rPr>
          <w:rFonts w:hint="eastAsia" w:ascii="宋体" w:hAnsi="宋体" w:cs="宋体"/>
          <w:b/>
          <w:color w:val="auto"/>
          <w:szCs w:val="21"/>
          <w:highlight w:val="none"/>
        </w:rPr>
      </w:pPr>
      <w:bookmarkStart w:id="154" w:name="_Toc5668"/>
      <w:bookmarkStart w:id="155" w:name="_Toc18193"/>
      <w:bookmarkStart w:id="156" w:name="_Toc21875"/>
      <w:bookmarkStart w:id="157" w:name="_Toc32126"/>
      <w:bookmarkStart w:id="158" w:name="_Toc31528"/>
      <w:r>
        <w:rPr>
          <w:rFonts w:hint="eastAsia" w:ascii="宋体" w:hAnsi="宋体" w:cs="宋体"/>
          <w:b/>
          <w:color w:val="auto"/>
          <w:szCs w:val="21"/>
          <w:highlight w:val="none"/>
        </w:rPr>
        <w:t>17. 投标保证金</w:t>
      </w:r>
      <w:bookmarkEnd w:id="154"/>
      <w:bookmarkEnd w:id="155"/>
      <w:bookmarkEnd w:id="156"/>
      <w:bookmarkEnd w:id="157"/>
      <w:bookmarkEnd w:id="158"/>
    </w:p>
    <w:p w14:paraId="71D8FA41">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本项目无需缴纳投标保证金。</w:t>
      </w:r>
    </w:p>
    <w:p w14:paraId="1C13EA7B">
      <w:pPr>
        <w:spacing w:line="400" w:lineRule="exact"/>
        <w:ind w:firstLine="413" w:firstLineChars="196"/>
        <w:outlineLvl w:val="2"/>
        <w:rPr>
          <w:rFonts w:hint="eastAsia" w:ascii="宋体" w:hAnsi="宋体" w:cs="宋体"/>
          <w:b/>
          <w:color w:val="auto"/>
          <w:szCs w:val="21"/>
          <w:highlight w:val="none"/>
        </w:rPr>
      </w:pPr>
      <w:bookmarkStart w:id="159" w:name="_Toc17461"/>
      <w:bookmarkStart w:id="160" w:name="_Toc6809"/>
      <w:bookmarkStart w:id="161" w:name="_Toc30873"/>
      <w:bookmarkStart w:id="162" w:name="_Toc3327"/>
      <w:bookmarkStart w:id="163" w:name="_Toc5147"/>
      <w:bookmarkStart w:id="164" w:name="_Toc14142"/>
      <w:bookmarkStart w:id="165" w:name="_Toc9976"/>
      <w:bookmarkStart w:id="166" w:name="_Toc24490"/>
      <w:r>
        <w:rPr>
          <w:rFonts w:hint="eastAsia" w:ascii="宋体" w:hAnsi="宋体" w:cs="宋体"/>
          <w:b/>
          <w:color w:val="auto"/>
          <w:szCs w:val="21"/>
          <w:highlight w:val="none"/>
        </w:rPr>
        <w:t>18. 投标文件的</w:t>
      </w:r>
      <w:bookmarkEnd w:id="159"/>
      <w:bookmarkEnd w:id="160"/>
      <w:bookmarkEnd w:id="161"/>
      <w:r>
        <w:rPr>
          <w:rFonts w:hint="eastAsia" w:ascii="宋体" w:hAnsi="宋体" w:cs="宋体"/>
          <w:b/>
          <w:color w:val="auto"/>
          <w:szCs w:val="21"/>
          <w:highlight w:val="none"/>
        </w:rPr>
        <w:t>制作</w:t>
      </w:r>
      <w:bookmarkEnd w:id="162"/>
      <w:bookmarkEnd w:id="163"/>
      <w:bookmarkEnd w:id="164"/>
      <w:bookmarkEnd w:id="165"/>
    </w:p>
    <w:p w14:paraId="7DB7AE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14:paraId="011B7E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18.2 供应商法人（负责人）或授权代表持有广西政府采购云个人CA签章的，应在投标文件中涉及到签字的位置使用个人CA签章，没有办理广西政府采购云个人CA签章的可在投标文件中涉及到签字的位置手写签字后扫描或者拍照做成 PDF 的格式上传即可。 </w:t>
      </w:r>
    </w:p>
    <w:p w14:paraId="53DC27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 投标文件不得涂改，若有修改错漏处，须法定代表人（负责人）或授权委托人签字（或个人CA签章）。投标文件因字迹潦草或表达不清所引起的后果由供应商负责。</w:t>
      </w:r>
    </w:p>
    <w:p w14:paraId="5690C7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18.4评审前准备 </w:t>
      </w:r>
    </w:p>
    <w:p w14:paraId="0BE397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18.4.1本项目实行网上评审，采用电子投标文件；若供应商参与投标，自行承担投标一切费用。 </w:t>
      </w:r>
    </w:p>
    <w:p w14:paraId="05E75C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18.4.2各供应商在截标前应确保成为广西政府采购云平台正式注册入库供应商，并完成 CA 数字证书申领。因未注册入库、未办理 CA 数字证书等原因造成无法投标或投标失败等后果由供应商自行承担。 </w:t>
      </w:r>
    </w:p>
    <w:p w14:paraId="34F3D1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18.4.3供应商将广西政府采购云平台客户端下载、安装完成后，可通过账号密码或 CA 登录客户端进行投标文件制作。客户端请至网站下载专区查看，如有问题可拨打广西政府采购云客户服务热线 95763 进行咨询。</w:t>
      </w:r>
    </w:p>
    <w:bookmarkEnd w:id="166"/>
    <w:p w14:paraId="47FC06B9">
      <w:pPr>
        <w:spacing w:line="400" w:lineRule="exact"/>
        <w:ind w:firstLine="413" w:firstLineChars="196"/>
        <w:outlineLvl w:val="2"/>
        <w:rPr>
          <w:rFonts w:hint="eastAsia" w:ascii="宋体" w:hAnsi="宋体" w:cs="宋体"/>
          <w:b/>
          <w:color w:val="auto"/>
          <w:szCs w:val="21"/>
          <w:highlight w:val="none"/>
        </w:rPr>
      </w:pPr>
      <w:bookmarkStart w:id="167" w:name="_Toc14812"/>
      <w:bookmarkStart w:id="168" w:name="_Toc12348"/>
      <w:bookmarkStart w:id="169" w:name="_Toc11643"/>
      <w:bookmarkStart w:id="170" w:name="_Toc15098"/>
      <w:bookmarkStart w:id="171" w:name="_Toc14188"/>
      <w:bookmarkStart w:id="172" w:name="_Toc2163"/>
      <w:bookmarkStart w:id="173" w:name="_Toc31572"/>
      <w:r>
        <w:rPr>
          <w:rFonts w:hint="eastAsia" w:ascii="宋体" w:hAnsi="宋体" w:cs="宋体"/>
          <w:b/>
          <w:color w:val="auto"/>
          <w:szCs w:val="21"/>
          <w:highlight w:val="none"/>
        </w:rPr>
        <w:t>19. 投标文件的补充、修改和撤回</w:t>
      </w:r>
      <w:bookmarkEnd w:id="167"/>
      <w:bookmarkEnd w:id="168"/>
      <w:bookmarkEnd w:id="169"/>
      <w:bookmarkEnd w:id="170"/>
      <w:bookmarkEnd w:id="171"/>
      <w:bookmarkEnd w:id="172"/>
    </w:p>
    <w:p w14:paraId="464250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 投标文件递交截止时间前可以撤回电子投标文件。补充或者修改电子投标文件的，应当先行撤回原文件，补充、修改后重新传输递交，投标文件递交截止时间前未完成传输的，视为撤回投标文件。</w:t>
      </w:r>
    </w:p>
    <w:p w14:paraId="6AB0E3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 在投标文件递交截止时间后的投标文件有效期内，供应商不得撤回其投标文件。</w:t>
      </w:r>
    </w:p>
    <w:bookmarkEnd w:id="173"/>
    <w:p w14:paraId="6D7E0F30">
      <w:pPr>
        <w:spacing w:line="400" w:lineRule="exact"/>
        <w:ind w:firstLine="413" w:firstLineChars="196"/>
        <w:outlineLvl w:val="2"/>
        <w:rPr>
          <w:rFonts w:hint="eastAsia" w:ascii="宋体" w:hAnsi="宋体" w:cs="宋体"/>
          <w:b/>
          <w:color w:val="auto"/>
          <w:szCs w:val="21"/>
          <w:highlight w:val="none"/>
        </w:rPr>
      </w:pPr>
      <w:bookmarkStart w:id="174" w:name="_Toc13713"/>
      <w:bookmarkStart w:id="175" w:name="_Toc8898"/>
      <w:bookmarkStart w:id="176" w:name="_Toc32748"/>
      <w:bookmarkStart w:id="177" w:name="_Toc13453"/>
      <w:bookmarkStart w:id="178" w:name="_Toc16777"/>
      <w:bookmarkStart w:id="179" w:name="_Toc30783"/>
      <w:r>
        <w:rPr>
          <w:rFonts w:hint="eastAsia" w:ascii="宋体" w:hAnsi="宋体" w:cs="宋体"/>
          <w:b/>
          <w:color w:val="auto"/>
          <w:szCs w:val="21"/>
          <w:highlight w:val="none"/>
        </w:rPr>
        <w:t>20. 投标文件的递交</w:t>
      </w:r>
      <w:bookmarkEnd w:id="174"/>
      <w:r>
        <w:rPr>
          <w:rFonts w:hint="eastAsia" w:ascii="宋体" w:hAnsi="宋体" w:cs="宋体"/>
          <w:b/>
          <w:color w:val="auto"/>
          <w:szCs w:val="21"/>
          <w:highlight w:val="none"/>
        </w:rPr>
        <w:t>和解密</w:t>
      </w:r>
      <w:bookmarkEnd w:id="175"/>
      <w:bookmarkEnd w:id="176"/>
      <w:bookmarkEnd w:id="177"/>
      <w:bookmarkEnd w:id="178"/>
      <w:bookmarkEnd w:id="179"/>
    </w:p>
    <w:p w14:paraId="7D5B82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20.1投标文件递交截止时间：于</w:t>
      </w:r>
      <w:r>
        <w:rPr>
          <w:rFonts w:hint="eastAsia" w:ascii="宋体" w:hAnsi="宋体" w:cs="宋体"/>
          <w:color w:val="auto"/>
          <w:szCs w:val="21"/>
          <w:highlight w:val="none"/>
          <w:lang w:eastAsia="zh-CN"/>
        </w:rPr>
        <w:t>2025年8月8日</w:t>
      </w:r>
      <w:r>
        <w:rPr>
          <w:rFonts w:hint="eastAsia" w:ascii="宋体" w:hAnsi="宋体" w:cs="宋体"/>
          <w:color w:val="auto"/>
          <w:szCs w:val="21"/>
          <w:highlight w:val="none"/>
        </w:rPr>
        <w:t>上午9时30分之前将电子投标文件上传到广西政府采购云平台。应按照本项目招标文件和广西政府采购云平台的要求编制、加密传输投标文件。供应商在使用系统进行投标的过程中遇到涉及平台使用的任何问题，可致电广西政府采购云平台技术支持热线咨询，联系方式：95763。</w:t>
      </w:r>
    </w:p>
    <w:p w14:paraId="25A267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20.2投标文件解密时间：截标时间后</w:t>
      </w:r>
      <w:r>
        <w:rPr>
          <w:rFonts w:hint="eastAsia" w:ascii="宋体" w:hAnsi="宋体" w:cs="宋体"/>
          <w:color w:val="auto"/>
          <w:szCs w:val="21"/>
          <w:highlight w:val="none"/>
          <w:u w:val="single"/>
        </w:rPr>
        <w:t>30</w:t>
      </w:r>
      <w:r>
        <w:rPr>
          <w:rFonts w:hint="eastAsia" w:ascii="宋体" w:hAnsi="宋体" w:cs="宋体"/>
          <w:color w:val="auto"/>
          <w:szCs w:val="21"/>
          <w:highlight w:val="none"/>
        </w:rPr>
        <w:t>分钟内（</w:t>
      </w:r>
      <w:r>
        <w:rPr>
          <w:rFonts w:hint="eastAsia" w:ascii="宋体" w:hAnsi="宋体" w:cs="宋体"/>
          <w:color w:val="auto"/>
          <w:szCs w:val="21"/>
          <w:highlight w:val="none"/>
          <w:lang w:eastAsia="zh-CN"/>
        </w:rPr>
        <w:t>2025年8月8日</w:t>
      </w:r>
      <w:r>
        <w:rPr>
          <w:rFonts w:hint="eastAsia" w:ascii="宋体" w:hAnsi="宋体" w:cs="宋体"/>
          <w:color w:val="auto"/>
          <w:szCs w:val="21"/>
          <w:highlight w:val="none"/>
        </w:rPr>
        <w:t>上午9时30分至10时00分)投标人可以登录广西政府采购云平台，用“项目采购-开标评标”功能进行解密投标文件。</w:t>
      </w:r>
    </w:p>
    <w:p w14:paraId="6C39FC10">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投标文件网上递交截止时间后，各投标人须在解密时限内对上传广西政府采购云的投标文件进行解密，所有投标人在规定的解密时限内解密完成或解密时限结束后，我中心开启已解密的响应文件。投标人超过解密时限未解密的，系统默认自动放弃，造成投标无效的后果由投标人自行承担。解密响应文件后，30分钟内在线签字确认，超过时间没有在线签字确认的系统将自动视为供应商认可。</w:t>
      </w:r>
    </w:p>
    <w:p w14:paraId="73C930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 除招标文件另有规定外，供应商所递交的投标文件不予退还。</w:t>
      </w:r>
    </w:p>
    <w:p w14:paraId="44BCF8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 电子投标文件的相关说明</w:t>
      </w:r>
    </w:p>
    <w:p w14:paraId="477767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 </w:t>
      </w:r>
    </w:p>
    <w:p w14:paraId="4C3F4035">
      <w:pPr>
        <w:spacing w:line="360" w:lineRule="auto"/>
        <w:ind w:firstLine="420" w:firstLineChars="200"/>
        <w:rPr>
          <w:color w:val="auto"/>
          <w:highlight w:val="none"/>
        </w:rPr>
      </w:pPr>
      <w:r>
        <w:rPr>
          <w:rFonts w:hint="eastAsia" w:ascii="宋体" w:hAnsi="宋体" w:cs="宋体"/>
          <w:color w:val="auto"/>
          <w:szCs w:val="21"/>
          <w:highlight w:val="none"/>
        </w:rPr>
        <w:t>（2）如有特殊情况，采购代理机构延长截止时间和开标时间，采购代理机构和供应商的权利和义务将受到新的截止时间和开标时间的约束。</w:t>
      </w:r>
    </w:p>
    <w:p w14:paraId="7E7FAC83">
      <w:pPr>
        <w:pStyle w:val="108"/>
        <w:rPr>
          <w:color w:val="auto"/>
          <w:highlight w:val="none"/>
        </w:rPr>
      </w:pPr>
    </w:p>
    <w:p w14:paraId="1CAA356E">
      <w:pPr>
        <w:spacing w:line="360" w:lineRule="auto"/>
        <w:jc w:val="center"/>
        <w:outlineLvl w:val="1"/>
        <w:rPr>
          <w:rFonts w:ascii="宋体" w:hAnsi="宋体" w:cs="宋体"/>
          <w:b/>
          <w:color w:val="auto"/>
          <w:sz w:val="28"/>
          <w:szCs w:val="28"/>
          <w:highlight w:val="none"/>
        </w:rPr>
      </w:pPr>
      <w:bookmarkStart w:id="180" w:name="_Toc11761"/>
      <w:bookmarkStart w:id="181" w:name="_Toc495841757"/>
      <w:bookmarkStart w:id="182" w:name="_Toc9530"/>
      <w:bookmarkStart w:id="183" w:name="_Toc307"/>
      <w:bookmarkStart w:id="184" w:name="_Toc16788"/>
      <w:bookmarkStart w:id="185" w:name="_Toc26895"/>
      <w:r>
        <w:rPr>
          <w:rFonts w:hint="eastAsia" w:ascii="宋体" w:hAnsi="宋体" w:cs="宋体"/>
          <w:b/>
          <w:color w:val="auto"/>
          <w:sz w:val="28"/>
          <w:szCs w:val="28"/>
          <w:highlight w:val="none"/>
        </w:rPr>
        <w:t>四、开标</w:t>
      </w:r>
      <w:bookmarkEnd w:id="180"/>
      <w:bookmarkEnd w:id="181"/>
      <w:bookmarkEnd w:id="182"/>
      <w:bookmarkEnd w:id="183"/>
      <w:bookmarkEnd w:id="184"/>
      <w:bookmarkEnd w:id="185"/>
    </w:p>
    <w:p w14:paraId="5D52B919">
      <w:pPr>
        <w:spacing w:line="400" w:lineRule="exact"/>
        <w:ind w:firstLine="413" w:firstLineChars="196"/>
        <w:outlineLvl w:val="2"/>
        <w:rPr>
          <w:rFonts w:ascii="宋体" w:hAnsi="宋体" w:cs="宋体"/>
          <w:b/>
          <w:color w:val="auto"/>
          <w:szCs w:val="21"/>
          <w:highlight w:val="none"/>
        </w:rPr>
      </w:pPr>
      <w:bookmarkStart w:id="186" w:name="_Toc5456"/>
      <w:bookmarkStart w:id="187" w:name="_Toc25081"/>
      <w:bookmarkStart w:id="188" w:name="_Toc28853"/>
      <w:bookmarkStart w:id="189" w:name="_Toc19384"/>
      <w:bookmarkStart w:id="190" w:name="_Toc17073"/>
      <w:bookmarkStart w:id="191" w:name="_Toc120"/>
      <w:bookmarkStart w:id="192" w:name="_Toc25198"/>
      <w:bookmarkStart w:id="193" w:name="_Toc495841758"/>
      <w:bookmarkStart w:id="194" w:name="_Toc13013"/>
      <w:r>
        <w:rPr>
          <w:rFonts w:hint="eastAsia" w:ascii="宋体" w:hAnsi="宋体" w:cs="宋体"/>
          <w:b/>
          <w:color w:val="auto"/>
          <w:szCs w:val="21"/>
          <w:highlight w:val="none"/>
        </w:rPr>
        <w:t>21. 开标时间及地点</w:t>
      </w:r>
      <w:bookmarkEnd w:id="186"/>
      <w:bookmarkEnd w:id="187"/>
      <w:bookmarkEnd w:id="188"/>
      <w:bookmarkEnd w:id="189"/>
      <w:bookmarkEnd w:id="190"/>
      <w:bookmarkEnd w:id="191"/>
      <w:bookmarkEnd w:id="192"/>
    </w:p>
    <w:p w14:paraId="14AD36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21.1开标时间及地点：</w:t>
      </w:r>
    </w:p>
    <w:p w14:paraId="5D9937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lang w:eastAsia="zh-CN"/>
        </w:rPr>
        <w:t>2025年8月8日</w:t>
      </w:r>
      <w:r>
        <w:rPr>
          <w:rFonts w:hint="eastAsia" w:ascii="宋体" w:hAnsi="宋体" w:cs="宋体"/>
          <w:color w:val="auto"/>
          <w:szCs w:val="21"/>
          <w:highlight w:val="none"/>
        </w:rPr>
        <w:t>上午9时30分（北京时间）截标后。</w:t>
      </w:r>
    </w:p>
    <w:p w14:paraId="5C012D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点：桂林市公共资源交易中心</w:t>
      </w:r>
      <w:r>
        <w:rPr>
          <w:rFonts w:hint="eastAsia" w:ascii="宋体" w:hAnsi="宋体" w:cs="宋体"/>
          <w:color w:val="auto"/>
          <w:szCs w:val="21"/>
          <w:highlight w:val="none"/>
          <w:lang w:eastAsia="zh-CN"/>
        </w:rPr>
        <w:t>4号政采开标仓</w:t>
      </w:r>
      <w:r>
        <w:rPr>
          <w:rFonts w:hint="eastAsia" w:ascii="宋体" w:hAnsi="宋体" w:cs="宋体"/>
          <w:color w:val="auto"/>
          <w:szCs w:val="21"/>
          <w:highlight w:val="none"/>
        </w:rPr>
        <w:t>通过广西政府采购云平台实行在线解密开启。</w:t>
      </w:r>
    </w:p>
    <w:p w14:paraId="7F7733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21.2投标人不足3家的，不得开标，采购人或者采购代理机构应当重新组织采购。</w:t>
      </w:r>
    </w:p>
    <w:p w14:paraId="4A2343F3">
      <w:pPr>
        <w:spacing w:line="400" w:lineRule="exact"/>
        <w:ind w:firstLine="413" w:firstLineChars="196"/>
        <w:outlineLvl w:val="2"/>
        <w:rPr>
          <w:rFonts w:ascii="宋体" w:hAnsi="宋体" w:cs="宋体"/>
          <w:b/>
          <w:bCs/>
          <w:color w:val="auto"/>
          <w:szCs w:val="21"/>
          <w:highlight w:val="none"/>
        </w:rPr>
      </w:pPr>
      <w:bookmarkStart w:id="195" w:name="_Toc8462"/>
      <w:bookmarkStart w:id="196" w:name="_Toc20854"/>
      <w:bookmarkStart w:id="197" w:name="_Toc27161"/>
      <w:bookmarkStart w:id="198" w:name="_Toc15515"/>
      <w:bookmarkStart w:id="199" w:name="_Toc12637"/>
      <w:bookmarkStart w:id="200" w:name="_Toc6563"/>
      <w:bookmarkStart w:id="201" w:name="_Toc11217"/>
      <w:r>
        <w:rPr>
          <w:rFonts w:hint="eastAsia" w:ascii="宋体" w:hAnsi="宋体" w:cs="宋体"/>
          <w:b/>
          <w:bCs/>
          <w:color w:val="auto"/>
          <w:szCs w:val="21"/>
          <w:highlight w:val="none"/>
        </w:rPr>
        <w:t>22. 开标程序</w:t>
      </w:r>
      <w:bookmarkEnd w:id="195"/>
      <w:bookmarkEnd w:id="196"/>
      <w:bookmarkEnd w:id="197"/>
      <w:bookmarkEnd w:id="198"/>
      <w:bookmarkEnd w:id="199"/>
      <w:bookmarkEnd w:id="200"/>
      <w:bookmarkEnd w:id="201"/>
    </w:p>
    <w:p w14:paraId="11ECD83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22.1开标准备</w:t>
      </w:r>
    </w:p>
    <w:p w14:paraId="464B56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22.1.1.开标的准备工作由本中心负责落实；</w:t>
      </w:r>
    </w:p>
    <w:p w14:paraId="3FBE7E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22.1.2.本中心将按照招标文件规定的时间通过“广西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52418E7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22.2开标程序</w:t>
      </w:r>
    </w:p>
    <w:p w14:paraId="785F3C65">
      <w:pPr>
        <w:pStyle w:val="12"/>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22.2.1.向各投标供应商发出电子加密投标文件【开始解密】通知，由供应商按招标文件规定的时间内自行进行投标文件解密。投标供应商未在规定的时间内完成在线解密视为投标人放弃投标，在线解密时间为 30 分钟。解密响应文件后，30分钟内在线签字确认，超过时间没有在线签字确认的系统将自动视为供应商认可。</w:t>
      </w:r>
    </w:p>
    <w:p w14:paraId="3C728077">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22.2.2.投标文件解密结束后，开标活动组织人员在线开启投标文件。</w:t>
      </w:r>
    </w:p>
    <w:p w14:paraId="225434A5">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22.2.3.开启投标人报价文件，“广西政府采购云平台”在线向投标人公开开标（报价）一览表有关内容，投标人代表如果认为开标信息有误，可以当场或在线提出异议。</w:t>
      </w:r>
    </w:p>
    <w:p w14:paraId="6D31DEC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开标结束后，如发现开标结果与报价文件不一致者，由评标委员会根据报价文件内容进行修正。</w:t>
      </w:r>
    </w:p>
    <w:p w14:paraId="1265EAA4">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特别说明：如遇“广西政府采购云平台”电子化开标或评审程序调整的，按调整后程序执行。</w:t>
      </w:r>
    </w:p>
    <w:p w14:paraId="6F749F0C">
      <w:pPr>
        <w:pStyle w:val="108"/>
        <w:rPr>
          <w:color w:val="auto"/>
          <w:highlight w:val="none"/>
        </w:rPr>
      </w:pPr>
    </w:p>
    <w:p w14:paraId="15E6819F">
      <w:pPr>
        <w:spacing w:line="360" w:lineRule="auto"/>
        <w:jc w:val="center"/>
        <w:outlineLvl w:val="1"/>
        <w:rPr>
          <w:rFonts w:ascii="宋体" w:hAnsi="宋体" w:cs="宋体"/>
          <w:b/>
          <w:color w:val="auto"/>
          <w:sz w:val="28"/>
          <w:szCs w:val="28"/>
          <w:highlight w:val="none"/>
        </w:rPr>
      </w:pPr>
      <w:bookmarkStart w:id="202" w:name="_Toc24351"/>
      <w:bookmarkStart w:id="203" w:name="_Toc1051"/>
      <w:bookmarkStart w:id="204" w:name="_Toc29078"/>
      <w:bookmarkStart w:id="205" w:name="_Toc52"/>
      <w:r>
        <w:rPr>
          <w:rFonts w:hint="eastAsia" w:ascii="宋体" w:hAnsi="宋体" w:cs="宋体"/>
          <w:b/>
          <w:color w:val="auto"/>
          <w:sz w:val="28"/>
          <w:szCs w:val="28"/>
          <w:highlight w:val="none"/>
        </w:rPr>
        <w:t>五、资格性审查</w:t>
      </w:r>
      <w:bookmarkEnd w:id="193"/>
      <w:bookmarkEnd w:id="194"/>
      <w:bookmarkEnd w:id="202"/>
      <w:bookmarkEnd w:id="203"/>
      <w:bookmarkEnd w:id="204"/>
      <w:bookmarkEnd w:id="205"/>
    </w:p>
    <w:p w14:paraId="611C9FAF">
      <w:pPr>
        <w:spacing w:line="400" w:lineRule="exact"/>
        <w:ind w:firstLine="413" w:firstLineChars="196"/>
        <w:outlineLvl w:val="2"/>
        <w:rPr>
          <w:rFonts w:ascii="宋体" w:hAnsi="宋体" w:cs="宋体"/>
          <w:b/>
          <w:color w:val="auto"/>
          <w:szCs w:val="21"/>
          <w:highlight w:val="none"/>
        </w:rPr>
      </w:pPr>
      <w:bookmarkStart w:id="206" w:name="_Toc30532"/>
      <w:bookmarkStart w:id="207" w:name="_Toc23124"/>
      <w:bookmarkStart w:id="208" w:name="_Toc10929"/>
      <w:bookmarkStart w:id="209" w:name="_Toc13578"/>
      <w:bookmarkStart w:id="210" w:name="_Toc10776"/>
      <w:r>
        <w:rPr>
          <w:rFonts w:hint="eastAsia" w:ascii="宋体" w:hAnsi="宋体" w:cs="宋体"/>
          <w:b/>
          <w:color w:val="auto"/>
          <w:szCs w:val="21"/>
          <w:highlight w:val="none"/>
        </w:rPr>
        <w:t>23. 资格性审查</w:t>
      </w:r>
      <w:bookmarkEnd w:id="206"/>
      <w:bookmarkEnd w:id="207"/>
      <w:bookmarkEnd w:id="208"/>
      <w:bookmarkEnd w:id="209"/>
      <w:bookmarkEnd w:id="210"/>
    </w:p>
    <w:p w14:paraId="63552780">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23.1公开招标采购项目开标结束后，采购人应当依法对投标人的资格进行审查。合格投标人不足3家的，不得评标。</w:t>
      </w:r>
    </w:p>
    <w:p w14:paraId="1A4C349B">
      <w:pPr>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23.2</w:t>
      </w:r>
      <w:r>
        <w:rPr>
          <w:rFonts w:hint="eastAsia" w:ascii="宋体" w:hAnsi="宋体" w:cs="宋体"/>
          <w:b/>
          <w:bCs/>
          <w:color w:val="auto"/>
          <w:szCs w:val="21"/>
          <w:highlight w:val="none"/>
        </w:rPr>
        <w:t>采购人或者采购代理机构</w:t>
      </w:r>
      <w:r>
        <w:rPr>
          <w:rFonts w:hint="eastAsia" w:ascii="宋体" w:hAnsi="宋体" w:cs="宋体"/>
          <w:b/>
          <w:color w:val="auto"/>
          <w:szCs w:val="21"/>
          <w:highlight w:val="none"/>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14:paraId="24AD3D5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查询渠道：《国家企业信用信息公示系统》（网址：www.gsxt.gov.cn/index.html）</w:t>
      </w:r>
    </w:p>
    <w:p w14:paraId="36247A4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审查流程：</w:t>
      </w:r>
    </w:p>
    <w:p w14:paraId="03226F9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（1）进入《国家企业信用信息公示系统》（网址：www.gsxt.gov.cn/index.html），输入企业名称，进入企业信息主页面；</w:t>
      </w:r>
    </w:p>
    <w:p w14:paraId="0E3128B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（2）查看主页“股东及出资信息”栏，或年报中的“股东及出资信息”栏信息；</w:t>
      </w:r>
    </w:p>
    <w:p w14:paraId="4A7027F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（3）将各投标人的股东及出资信息进行比对，得出审查结论；</w:t>
      </w:r>
    </w:p>
    <w:p w14:paraId="10FC4743">
      <w:pPr>
        <w:snapToGrid w:val="0"/>
        <w:spacing w:line="400" w:lineRule="exact"/>
        <w:ind w:firstLine="420" w:firstLineChars="200"/>
        <w:rPr>
          <w:rFonts w:ascii="宋体" w:hAnsi="宋体" w:cs="宋体"/>
          <w:b/>
          <w:color w:val="auto"/>
          <w:sz w:val="28"/>
          <w:szCs w:val="28"/>
          <w:highlight w:val="none"/>
        </w:rPr>
      </w:pPr>
      <w:r>
        <w:rPr>
          <w:rFonts w:hint="eastAsia" w:ascii="宋体" w:hAnsi="宋体" w:cs="宋体"/>
          <w:color w:val="auto"/>
          <w:szCs w:val="21"/>
          <w:highlight w:val="none"/>
        </w:rPr>
        <w:t>（4）将相关资料作为评审资料打印存档。</w:t>
      </w:r>
      <w:bookmarkStart w:id="211" w:name="_Toc495841759"/>
      <w:bookmarkStart w:id="212" w:name="_Toc3415"/>
    </w:p>
    <w:p w14:paraId="711ACC21">
      <w:pPr>
        <w:spacing w:line="360" w:lineRule="auto"/>
        <w:jc w:val="center"/>
        <w:outlineLvl w:val="1"/>
        <w:rPr>
          <w:rFonts w:ascii="宋体" w:hAnsi="宋体" w:cs="宋体"/>
          <w:b/>
          <w:color w:val="auto"/>
          <w:sz w:val="28"/>
          <w:szCs w:val="28"/>
          <w:highlight w:val="none"/>
        </w:rPr>
      </w:pPr>
      <w:bookmarkStart w:id="213" w:name="_Toc5417"/>
      <w:bookmarkStart w:id="214" w:name="_Toc16118"/>
      <w:bookmarkStart w:id="215" w:name="_Toc31387"/>
      <w:bookmarkStart w:id="216" w:name="_Toc2144"/>
      <w:r>
        <w:rPr>
          <w:rFonts w:hint="eastAsia" w:ascii="宋体" w:hAnsi="宋体" w:cs="宋体"/>
          <w:b/>
          <w:color w:val="auto"/>
          <w:sz w:val="28"/>
          <w:szCs w:val="28"/>
          <w:highlight w:val="none"/>
        </w:rPr>
        <w:t>六、评标</w:t>
      </w:r>
      <w:bookmarkEnd w:id="211"/>
      <w:bookmarkEnd w:id="212"/>
      <w:bookmarkEnd w:id="213"/>
      <w:bookmarkEnd w:id="214"/>
      <w:bookmarkEnd w:id="215"/>
      <w:bookmarkEnd w:id="216"/>
    </w:p>
    <w:p w14:paraId="523E3891">
      <w:pPr>
        <w:spacing w:line="360" w:lineRule="exact"/>
        <w:ind w:firstLine="413" w:firstLineChars="196"/>
        <w:outlineLvl w:val="2"/>
        <w:rPr>
          <w:rFonts w:ascii="宋体" w:hAnsi="宋体" w:cs="宋体"/>
          <w:b/>
          <w:color w:val="auto"/>
          <w:szCs w:val="21"/>
          <w:highlight w:val="none"/>
        </w:rPr>
      </w:pPr>
      <w:bookmarkStart w:id="217" w:name="_Toc7006"/>
      <w:bookmarkStart w:id="218" w:name="_Toc19311"/>
      <w:bookmarkStart w:id="219" w:name="_Toc15225"/>
      <w:bookmarkStart w:id="220" w:name="_Toc9022"/>
      <w:bookmarkStart w:id="221" w:name="_Toc14749"/>
      <w:r>
        <w:rPr>
          <w:rFonts w:hint="eastAsia" w:ascii="宋体" w:hAnsi="宋体" w:cs="宋体"/>
          <w:b/>
          <w:color w:val="auto"/>
          <w:szCs w:val="21"/>
          <w:highlight w:val="none"/>
        </w:rPr>
        <w:t>24. 评标委员会组成</w:t>
      </w:r>
      <w:bookmarkEnd w:id="217"/>
      <w:bookmarkEnd w:id="218"/>
      <w:bookmarkEnd w:id="219"/>
      <w:bookmarkEnd w:id="220"/>
      <w:bookmarkEnd w:id="221"/>
    </w:p>
    <w:p w14:paraId="6C7A52E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评标委员会由采购人代表和评审专家组成，成员人数共5人，其中采购人代表1人，评审专家4人。</w:t>
      </w:r>
    </w:p>
    <w:p w14:paraId="7613053D">
      <w:pPr>
        <w:spacing w:line="360" w:lineRule="exact"/>
        <w:ind w:firstLine="413" w:firstLineChars="196"/>
        <w:outlineLvl w:val="2"/>
        <w:rPr>
          <w:rFonts w:ascii="宋体" w:hAnsi="宋体" w:cs="宋体"/>
          <w:b/>
          <w:color w:val="auto"/>
          <w:szCs w:val="21"/>
          <w:highlight w:val="none"/>
        </w:rPr>
      </w:pPr>
      <w:bookmarkStart w:id="222" w:name="_Toc24437"/>
      <w:bookmarkStart w:id="223" w:name="_Toc15951"/>
      <w:bookmarkStart w:id="224" w:name="_Toc15439"/>
      <w:bookmarkStart w:id="225" w:name="_Toc28655"/>
      <w:bookmarkStart w:id="226" w:name="_Toc16646"/>
      <w:r>
        <w:rPr>
          <w:rFonts w:hint="eastAsia" w:ascii="宋体" w:hAnsi="宋体" w:cs="宋体"/>
          <w:b/>
          <w:color w:val="auto"/>
          <w:szCs w:val="21"/>
          <w:highlight w:val="none"/>
        </w:rPr>
        <w:t>25. 评标</w:t>
      </w:r>
      <w:bookmarkEnd w:id="222"/>
      <w:r>
        <w:rPr>
          <w:rFonts w:hint="eastAsia" w:ascii="宋体" w:hAnsi="宋体" w:cs="宋体"/>
          <w:b/>
          <w:color w:val="auto"/>
          <w:szCs w:val="21"/>
          <w:highlight w:val="none"/>
        </w:rPr>
        <w:t>原则</w:t>
      </w:r>
      <w:bookmarkEnd w:id="223"/>
      <w:bookmarkEnd w:id="224"/>
      <w:bookmarkEnd w:id="225"/>
      <w:bookmarkEnd w:id="226"/>
    </w:p>
    <w:p w14:paraId="4BFD7BB6">
      <w:pPr>
        <w:tabs>
          <w:tab w:val="left" w:pos="114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25.1评标办法：综合评分法，具体评标内容及标准详见第四章。</w:t>
      </w:r>
    </w:p>
    <w:p w14:paraId="5FAC5FC7">
      <w:pPr>
        <w:tabs>
          <w:tab w:val="left" w:pos="1140"/>
        </w:tabs>
        <w:spacing w:line="360" w:lineRule="exact"/>
        <w:ind w:firstLine="420" w:firstLineChars="200"/>
        <w:rPr>
          <w:rFonts w:ascii="宋体" w:hAnsi="宋体" w:cs="宋体"/>
          <w:color w:val="auto"/>
          <w:highlight w:val="none"/>
        </w:rPr>
      </w:pPr>
      <w:r>
        <w:rPr>
          <w:rFonts w:hint="eastAsia" w:ascii="宋体" w:hAnsi="宋体" w:cs="宋体"/>
          <w:color w:val="auto"/>
          <w:szCs w:val="21"/>
          <w:highlight w:val="none"/>
        </w:rPr>
        <w:t>25.2评标委员会应按招标文件进行评标，不得擅自更改评标办法。</w:t>
      </w:r>
    </w:p>
    <w:p w14:paraId="7DFA2C91">
      <w:pPr>
        <w:spacing w:line="360" w:lineRule="exact"/>
        <w:ind w:firstLine="413" w:firstLineChars="196"/>
        <w:outlineLvl w:val="2"/>
        <w:rPr>
          <w:rFonts w:ascii="宋体" w:hAnsi="宋体" w:cs="宋体"/>
          <w:b/>
          <w:color w:val="auto"/>
          <w:szCs w:val="21"/>
          <w:highlight w:val="none"/>
        </w:rPr>
      </w:pPr>
      <w:bookmarkStart w:id="227" w:name="_Toc23056"/>
      <w:bookmarkStart w:id="228" w:name="_Toc8096"/>
      <w:bookmarkStart w:id="229" w:name="_Toc19434"/>
      <w:bookmarkStart w:id="230" w:name="_Toc20321"/>
      <w:bookmarkStart w:id="231" w:name="_Toc1764"/>
      <w:r>
        <w:rPr>
          <w:rFonts w:hint="eastAsia" w:ascii="宋体" w:hAnsi="宋体" w:cs="宋体"/>
          <w:b/>
          <w:color w:val="auto"/>
          <w:szCs w:val="21"/>
          <w:highlight w:val="none"/>
        </w:rPr>
        <w:t>26. 评标</w:t>
      </w:r>
      <w:bookmarkEnd w:id="227"/>
      <w:bookmarkEnd w:id="228"/>
      <w:bookmarkEnd w:id="229"/>
      <w:bookmarkEnd w:id="230"/>
      <w:bookmarkEnd w:id="231"/>
    </w:p>
    <w:p w14:paraId="43FE7CA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14:paraId="6217FD5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14:paraId="0A6C3D9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26.3在评标过程中，评标委员会任何人不得对某个投标人发表任何倾向性意见，不得向其他专家评委明示或者暗示自己的评审意见。</w:t>
      </w:r>
    </w:p>
    <w:p w14:paraId="3BD4B5C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26.4评标委员会应当对符合资格的投标人的投标文件进行符合性审查，以确定其是否满足招标文件的实质性要求。</w:t>
      </w:r>
    </w:p>
    <w:p w14:paraId="7CA8A39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26.5对于投标文件中含义不明确、同类问题表述不一致、有明显文字和计算错误或属于投标人疏忽、笔误所造成差错的内容，评标委员会应当以书面形式要求投标人作出必要的澄清、说明或者补正。</w:t>
      </w:r>
    </w:p>
    <w:p w14:paraId="4886C17E">
      <w:pPr>
        <w:tabs>
          <w:tab w:val="left" w:pos="114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澄清、说明或者补正应当采用书面形式，并加盖公章（CA签章），或者由法定代表人或其授权的代表签字（或个人CA签章）。投标人的澄清、说明或者补正不得超出投标文件的范围或者改变投标文件的实质性内容。</w:t>
      </w:r>
    </w:p>
    <w:p w14:paraId="7A450739">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26.6评标委员会应当按照招标文件中规定的评标方法和标准，对符合性审查合格的投标文件进行商务和技术评估，综合比较与评价。</w:t>
      </w:r>
    </w:p>
    <w:p w14:paraId="26F6C3CF">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26.7投标文件报价出现前后不一致的，除招标文件另有规定外，按照下列规定修正：</w:t>
      </w:r>
    </w:p>
    <w:p w14:paraId="3C9F1DC4">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（1）投标文件中投标报价表内容与投标文件中相应内容不一致的，以投标报价表为准；</w:t>
      </w:r>
    </w:p>
    <w:p w14:paraId="606E10F1">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2A0A7797">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6D4F1B9F">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45C485E9">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同时出现两种以上不一致的，按照前款规定的顺序修正。修正后的报价（不得超出投标文件的范围或者改变投标文件的实质性内容）经投标人确认后产生约束力，投标人不确认的，其投标无效。</w:t>
      </w:r>
    </w:p>
    <w:p w14:paraId="11784659">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7994EE0">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26.9评标委员会成员对需要共同认定的事项存在争议的，应当按照少数服从多数的原则作出结论。持不同意见的评标委员会成员应当在评标报告上签署不同意见及理由，否则视为同意评标报告。</w:t>
      </w:r>
    </w:p>
    <w:p w14:paraId="563174AC">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26.10评标结果汇总完成后，除下列情形外，任何人不得修改评标结果：</w:t>
      </w:r>
    </w:p>
    <w:p w14:paraId="3D5A0A64">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（一）分值汇总计算错误的；</w:t>
      </w:r>
    </w:p>
    <w:p w14:paraId="488FA368">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（二）分项评分超出评分标准范围的；</w:t>
      </w:r>
    </w:p>
    <w:p w14:paraId="112FEA3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（三）评标委员会成员对客观评审因素评分不一致的；</w:t>
      </w:r>
    </w:p>
    <w:p w14:paraId="6E58D544">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（四）经评标委员会认定评分畸高、畸低的。</w:t>
      </w:r>
    </w:p>
    <w:p w14:paraId="4114FCAD">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0F9686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投标人对本条第一款情形提出质疑的，采购人或者采购代理机构可以组织原评标委员会进行重新评审，重新评审改变评标结果的，应当书面报告本级财政部门。</w:t>
      </w:r>
    </w:p>
    <w:p w14:paraId="72FF7C12">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26.11采购代理机构发现评标委员会有明显的违规倾向或歧视现象，或不按评标办法进行，或其他不正常行为的，应当及时制止。如制止无效，应及时向本级财政部门报告。</w:t>
      </w:r>
    </w:p>
    <w:p w14:paraId="1FDA4540">
      <w:pPr>
        <w:spacing w:line="360" w:lineRule="exact"/>
        <w:ind w:firstLine="413" w:firstLineChars="196"/>
        <w:outlineLvl w:val="2"/>
        <w:rPr>
          <w:rFonts w:ascii="宋体" w:hAnsi="宋体" w:cs="宋体"/>
          <w:b/>
          <w:color w:val="auto"/>
          <w:szCs w:val="21"/>
          <w:highlight w:val="none"/>
        </w:rPr>
      </w:pPr>
      <w:bookmarkStart w:id="232" w:name="_Toc25944"/>
      <w:bookmarkStart w:id="233" w:name="_Toc30450"/>
      <w:bookmarkStart w:id="234" w:name="_Toc15511"/>
      <w:bookmarkStart w:id="235" w:name="_Toc26534"/>
      <w:bookmarkStart w:id="236" w:name="_Toc12769"/>
      <w:r>
        <w:rPr>
          <w:rFonts w:hint="eastAsia" w:ascii="宋体" w:hAnsi="宋体" w:cs="宋体"/>
          <w:b/>
          <w:color w:val="auto"/>
          <w:szCs w:val="21"/>
          <w:highlight w:val="none"/>
        </w:rPr>
        <w:t>27. 推荐及确定中标候选供应商原则</w:t>
      </w:r>
      <w:bookmarkEnd w:id="232"/>
      <w:bookmarkEnd w:id="233"/>
      <w:bookmarkEnd w:id="234"/>
      <w:bookmarkEnd w:id="235"/>
      <w:bookmarkEnd w:id="236"/>
    </w:p>
    <w:p w14:paraId="6763A7F9">
      <w:pPr>
        <w:tabs>
          <w:tab w:val="left" w:pos="421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（1）评标委员会根据综合得分由高到低排列次序，若得分相同时，按评标价由低到高顺序排列；得分相同且评标价也相同的由评标委员会按照抽签的方式决定排次次序</w:t>
      </w:r>
      <w:r>
        <w:rPr>
          <w:rFonts w:hint="eastAsia" w:ascii="宋体" w:hAnsi="宋体" w:cs="宋体"/>
          <w:color w:val="auto"/>
          <w:sz w:val="22"/>
          <w:szCs w:val="22"/>
          <w:highlight w:val="none"/>
        </w:rPr>
        <w:t>。</w:t>
      </w:r>
    </w:p>
    <w:p w14:paraId="6A67E1B8">
      <w:pPr>
        <w:tabs>
          <w:tab w:val="left" w:pos="421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（2）评标委员会可推荐前三名为中标候选供应商，采购人应当确定评标委员会推荐排名第一的中标候选供应商为中标供应商。</w:t>
      </w:r>
    </w:p>
    <w:p w14:paraId="60D2B45B">
      <w:pPr>
        <w:spacing w:line="360" w:lineRule="exact"/>
        <w:ind w:firstLine="447" w:firstLineChars="213"/>
        <w:rPr>
          <w:rFonts w:ascii="宋体" w:hAnsi="宋体" w:cs="宋体"/>
          <w:color w:val="auto"/>
          <w:szCs w:val="21"/>
          <w:highlight w:val="none"/>
        </w:rPr>
      </w:pPr>
      <w:r>
        <w:rPr>
          <w:rFonts w:hint="eastAsia" w:ascii="宋体" w:hAnsi="宋体" w:cs="宋体"/>
          <w:color w:val="auto"/>
          <w:szCs w:val="21"/>
          <w:highlight w:val="none"/>
        </w:rPr>
        <w:t>（3）排名第一的中标候选供应商放弃中标、因不可抗力提出不能履行合同，或者招标文件规定应当提交履约保证金而在规定的期限内未能提交的，或因失信行为被取消中标候选供应商资格的，采购人可以确定排名第二的中标候选供应商为中标供应商，并依此类推。</w:t>
      </w:r>
    </w:p>
    <w:p w14:paraId="00CA5F5B">
      <w:pPr>
        <w:spacing w:line="360" w:lineRule="exact"/>
        <w:ind w:firstLine="413" w:firstLineChars="196"/>
        <w:outlineLvl w:val="2"/>
        <w:rPr>
          <w:rFonts w:ascii="宋体" w:hAnsi="宋体" w:cs="宋体"/>
          <w:b/>
          <w:color w:val="auto"/>
          <w:szCs w:val="21"/>
          <w:highlight w:val="none"/>
        </w:rPr>
      </w:pPr>
      <w:bookmarkStart w:id="237" w:name="_Toc3571"/>
      <w:bookmarkStart w:id="238" w:name="_Toc4960"/>
      <w:bookmarkStart w:id="239" w:name="_Toc1836"/>
      <w:bookmarkStart w:id="240" w:name="_Toc3925"/>
      <w:bookmarkStart w:id="241" w:name="_Toc26545"/>
      <w:r>
        <w:rPr>
          <w:rFonts w:hint="eastAsia" w:ascii="宋体" w:hAnsi="宋体" w:cs="宋体"/>
          <w:b/>
          <w:color w:val="auto"/>
          <w:szCs w:val="21"/>
          <w:highlight w:val="none"/>
        </w:rPr>
        <w:t>28. 属于下列情况之一者，投标无效</w:t>
      </w:r>
      <w:bookmarkEnd w:id="237"/>
      <w:bookmarkEnd w:id="238"/>
      <w:bookmarkEnd w:id="239"/>
      <w:bookmarkEnd w:id="240"/>
      <w:bookmarkEnd w:id="241"/>
    </w:p>
    <w:p w14:paraId="4FAA46A2">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（1）未按照招标文件规定要求签字、盖章的；</w:t>
      </w:r>
    </w:p>
    <w:p w14:paraId="0A369D9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（2）报价超过招标文件中规定的预算金额的；</w:t>
      </w:r>
    </w:p>
    <w:p w14:paraId="60290FBC">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（3）不具备招标文件中规定的资格要求的</w:t>
      </w:r>
      <w:r>
        <w:rPr>
          <w:rFonts w:hint="eastAsia" w:ascii="宋体" w:hAnsi="宋体" w:cs="宋体"/>
          <w:color w:val="auto"/>
          <w:highlight w:val="none"/>
        </w:rPr>
        <w:t>；</w:t>
      </w:r>
    </w:p>
    <w:p w14:paraId="0C138A0F">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（4）投标文件含有采购人不能接受的附加条件的；</w:t>
      </w:r>
    </w:p>
    <w:p w14:paraId="16349E00">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（5）投标文件未按招标文件的内容和要求编制，或提供虚假材料的；</w:t>
      </w:r>
    </w:p>
    <w:p w14:paraId="273E5855">
      <w:pPr>
        <w:snapToGrid w:val="0"/>
        <w:spacing w:line="360" w:lineRule="exact"/>
        <w:ind w:firstLine="411" w:firstLineChars="196"/>
        <w:rPr>
          <w:rFonts w:ascii="宋体" w:hAnsi="宋体" w:cs="宋体"/>
          <w:color w:val="auto"/>
          <w:highlight w:val="none"/>
        </w:rPr>
      </w:pPr>
      <w:r>
        <w:rPr>
          <w:rFonts w:hint="eastAsia" w:ascii="宋体" w:hAnsi="宋体" w:cs="宋体"/>
          <w:color w:val="auto"/>
          <w:szCs w:val="21"/>
          <w:highlight w:val="none"/>
        </w:rPr>
        <w:t>（6）</w:t>
      </w:r>
      <w:r>
        <w:rPr>
          <w:rFonts w:hint="eastAsia" w:ascii="宋体" w:hAnsi="宋体" w:cs="宋体"/>
          <w:color w:val="auto"/>
          <w:highlight w:val="none"/>
        </w:rPr>
        <w:t>投标</w:t>
      </w:r>
      <w:r>
        <w:rPr>
          <w:rFonts w:hint="eastAsia" w:ascii="宋体" w:hAnsi="宋体" w:cs="宋体"/>
          <w:color w:val="auto"/>
          <w:szCs w:val="21"/>
          <w:highlight w:val="none"/>
        </w:rPr>
        <w:t>人未就“采购需求”中的所有内容作完整唯一报价的</w:t>
      </w:r>
      <w:r>
        <w:rPr>
          <w:rFonts w:hint="eastAsia" w:ascii="宋体" w:hAnsi="宋体" w:cs="宋体"/>
          <w:color w:val="auto"/>
          <w:highlight w:val="none"/>
        </w:rPr>
        <w:t>；</w:t>
      </w:r>
    </w:p>
    <w:p w14:paraId="762DFCC8">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（7）未完全响应招标文件实质性要求的；</w:t>
      </w:r>
    </w:p>
    <w:p w14:paraId="64D0DDA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（8）法律、法规和招标文件规定的其他无效情形。</w:t>
      </w:r>
    </w:p>
    <w:p w14:paraId="0367F518">
      <w:pPr>
        <w:spacing w:line="360" w:lineRule="exact"/>
        <w:ind w:firstLine="413" w:firstLineChars="196"/>
        <w:outlineLvl w:val="2"/>
        <w:rPr>
          <w:rFonts w:ascii="宋体" w:hAnsi="宋体" w:cs="宋体"/>
          <w:b/>
          <w:color w:val="auto"/>
          <w:szCs w:val="21"/>
          <w:highlight w:val="none"/>
        </w:rPr>
      </w:pPr>
      <w:bookmarkStart w:id="242" w:name="_Toc7025"/>
      <w:bookmarkStart w:id="243" w:name="_Toc13695"/>
      <w:bookmarkStart w:id="244" w:name="_Toc15081"/>
      <w:bookmarkStart w:id="245" w:name="_Toc32362"/>
      <w:bookmarkStart w:id="246" w:name="_Toc22512"/>
      <w:r>
        <w:rPr>
          <w:rFonts w:hint="eastAsia" w:ascii="宋体" w:hAnsi="宋体" w:cs="宋体"/>
          <w:b/>
          <w:color w:val="auto"/>
          <w:szCs w:val="21"/>
          <w:highlight w:val="none"/>
        </w:rPr>
        <w:t>29. 投标人有下列情形之一的，视为串通投标，投标文件将被视为无效</w:t>
      </w:r>
      <w:bookmarkEnd w:id="242"/>
      <w:bookmarkEnd w:id="243"/>
      <w:bookmarkEnd w:id="244"/>
      <w:bookmarkEnd w:id="245"/>
      <w:bookmarkEnd w:id="246"/>
    </w:p>
    <w:p w14:paraId="7410FFB9">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14:paraId="7D4CCF3B">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14:paraId="3A5DDA8C">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（3）不同的投标人的投标文件载明的项目管理员或者联系人员为同一个人；</w:t>
      </w:r>
    </w:p>
    <w:p w14:paraId="447EBE40">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 xml:space="preserve">（4）不同投标人的投标文件异常一致或投标报价呈规律性差异； </w:t>
      </w:r>
    </w:p>
    <w:p w14:paraId="22FE0183">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（5）不同投标人的投标文件相互混编；</w:t>
      </w:r>
    </w:p>
    <w:p w14:paraId="01D635E4">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（6）不同投标人的投标保证金从同一单位或者个人账户转出。</w:t>
      </w:r>
    </w:p>
    <w:p w14:paraId="5D5E2077">
      <w:pPr>
        <w:spacing w:line="360" w:lineRule="exact"/>
        <w:ind w:firstLine="413" w:firstLineChars="196"/>
        <w:outlineLvl w:val="2"/>
        <w:rPr>
          <w:rFonts w:ascii="宋体" w:hAnsi="宋体" w:cs="宋体"/>
          <w:b/>
          <w:color w:val="auto"/>
          <w:szCs w:val="21"/>
          <w:highlight w:val="none"/>
        </w:rPr>
      </w:pPr>
      <w:bookmarkStart w:id="247" w:name="_Toc16987"/>
      <w:bookmarkStart w:id="248" w:name="_Toc2973"/>
      <w:bookmarkStart w:id="249" w:name="_Toc7092"/>
      <w:bookmarkStart w:id="250" w:name="_Toc14080"/>
      <w:bookmarkStart w:id="251" w:name="_Toc18148"/>
      <w:r>
        <w:rPr>
          <w:rFonts w:hint="eastAsia" w:ascii="宋体" w:hAnsi="宋体" w:cs="宋体"/>
          <w:b/>
          <w:color w:val="auto"/>
          <w:szCs w:val="21"/>
          <w:highlight w:val="none"/>
        </w:rPr>
        <w:t>30. 属于下列情形之一的，应予废标</w:t>
      </w:r>
      <w:bookmarkEnd w:id="247"/>
      <w:bookmarkEnd w:id="248"/>
      <w:bookmarkEnd w:id="249"/>
      <w:bookmarkEnd w:id="250"/>
      <w:bookmarkEnd w:id="251"/>
    </w:p>
    <w:p w14:paraId="28EB43E1">
      <w:pPr>
        <w:tabs>
          <w:tab w:val="left" w:pos="840"/>
        </w:tabs>
        <w:snapToGrid w:val="0"/>
        <w:spacing w:line="360" w:lineRule="exact"/>
        <w:ind w:left="330" w:leftChars="157" w:firstLine="102" w:firstLineChars="49"/>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（1）符合专业条件的供应商或者对招标文件作实质响应的供应商不足3家的；</w:t>
      </w:r>
    </w:p>
    <w:p w14:paraId="237E7652">
      <w:pPr>
        <w:tabs>
          <w:tab w:val="left" w:pos="840"/>
        </w:tabs>
        <w:snapToGrid w:val="0"/>
        <w:spacing w:line="360" w:lineRule="exact"/>
        <w:ind w:left="330" w:leftChars="157" w:firstLine="105" w:firstLineChars="5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68448F21">
      <w:pPr>
        <w:tabs>
          <w:tab w:val="left" w:pos="840"/>
        </w:tabs>
        <w:snapToGrid w:val="0"/>
        <w:spacing w:line="360" w:lineRule="exact"/>
        <w:ind w:left="330" w:leftChars="157" w:firstLine="105" w:firstLineChars="50"/>
        <w:rPr>
          <w:rFonts w:ascii="宋体" w:hAnsi="宋体" w:cs="宋体"/>
          <w:color w:val="auto"/>
          <w:highlight w:val="none"/>
        </w:rPr>
      </w:pPr>
      <w:r>
        <w:rPr>
          <w:rFonts w:hint="eastAsia" w:ascii="宋体" w:hAnsi="宋体" w:cs="宋体"/>
          <w:color w:val="auto"/>
          <w:highlight w:val="none"/>
        </w:rPr>
        <w:t>（3）采购文件内容违反国家有关强制性规定的；</w:t>
      </w:r>
    </w:p>
    <w:p w14:paraId="061C9715">
      <w:pPr>
        <w:tabs>
          <w:tab w:val="left" w:pos="840"/>
        </w:tabs>
        <w:snapToGrid w:val="0"/>
        <w:spacing w:line="360" w:lineRule="exact"/>
        <w:ind w:left="330" w:leftChars="157" w:firstLine="105" w:firstLineChars="50"/>
        <w:rPr>
          <w:rFonts w:ascii="宋体" w:hAnsi="宋体" w:cs="宋体"/>
          <w:color w:val="auto"/>
          <w:highlight w:val="none"/>
        </w:rPr>
      </w:pPr>
      <w:r>
        <w:rPr>
          <w:rFonts w:hint="eastAsia" w:ascii="宋体" w:hAnsi="宋体" w:cs="宋体"/>
          <w:color w:val="auto"/>
          <w:highlight w:val="none"/>
        </w:rPr>
        <w:t>（4）因重大变故，采购任务取消的。</w:t>
      </w:r>
    </w:p>
    <w:p w14:paraId="51D5FE47">
      <w:pPr>
        <w:spacing w:line="360" w:lineRule="exact"/>
        <w:ind w:firstLine="413" w:firstLineChars="196"/>
        <w:outlineLvl w:val="2"/>
        <w:rPr>
          <w:rFonts w:ascii="宋体" w:hAnsi="宋体" w:cs="宋体"/>
          <w:b/>
          <w:color w:val="auto"/>
          <w:szCs w:val="21"/>
          <w:highlight w:val="none"/>
        </w:rPr>
      </w:pPr>
      <w:bookmarkStart w:id="252" w:name="_Toc22610"/>
      <w:bookmarkStart w:id="253" w:name="_Toc12274"/>
      <w:bookmarkStart w:id="254" w:name="_Toc28686"/>
      <w:bookmarkStart w:id="255" w:name="_Toc2001"/>
      <w:bookmarkStart w:id="256" w:name="_Toc27866"/>
      <w:r>
        <w:rPr>
          <w:rFonts w:hint="eastAsia" w:ascii="宋体" w:hAnsi="宋体" w:cs="宋体"/>
          <w:b/>
          <w:color w:val="auto"/>
          <w:szCs w:val="21"/>
          <w:highlight w:val="none"/>
        </w:rPr>
        <w:t>31. 开标、评标过程的监控</w:t>
      </w:r>
      <w:bookmarkEnd w:id="252"/>
      <w:bookmarkEnd w:id="253"/>
      <w:bookmarkEnd w:id="254"/>
      <w:bookmarkEnd w:id="255"/>
      <w:bookmarkEnd w:id="256"/>
    </w:p>
    <w:p w14:paraId="4599B173">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本项目开标、评标过程实行全程录音、录像监控，投标人在评标过程中所进行的试图影响评标结果的不公正活动，可能导致其投标被拒绝。</w:t>
      </w:r>
    </w:p>
    <w:p w14:paraId="17A44A4E">
      <w:pPr>
        <w:spacing w:line="360" w:lineRule="exact"/>
        <w:ind w:firstLine="413" w:firstLineChars="196"/>
        <w:outlineLvl w:val="2"/>
        <w:rPr>
          <w:rFonts w:ascii="宋体" w:hAnsi="宋体" w:cs="宋体"/>
          <w:b/>
          <w:color w:val="auto"/>
          <w:szCs w:val="21"/>
          <w:highlight w:val="none"/>
        </w:rPr>
      </w:pPr>
      <w:bookmarkStart w:id="257" w:name="_Toc11921"/>
      <w:bookmarkStart w:id="258" w:name="_Toc26650"/>
      <w:bookmarkStart w:id="259" w:name="_Toc1321"/>
      <w:bookmarkStart w:id="260" w:name="_Toc19662"/>
      <w:bookmarkStart w:id="261" w:name="_Toc31349"/>
      <w:r>
        <w:rPr>
          <w:rFonts w:hint="eastAsia" w:ascii="宋体" w:hAnsi="宋体" w:cs="宋体"/>
          <w:b/>
          <w:color w:val="auto"/>
          <w:szCs w:val="21"/>
          <w:highlight w:val="none"/>
        </w:rPr>
        <w:t>32. 信用查询</w:t>
      </w:r>
      <w:bookmarkEnd w:id="257"/>
      <w:bookmarkEnd w:id="258"/>
      <w:bookmarkEnd w:id="259"/>
      <w:bookmarkEnd w:id="260"/>
      <w:bookmarkEnd w:id="261"/>
    </w:p>
    <w:p w14:paraId="366B499D">
      <w:pPr>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根据《关于做好政府采购有关信用主体标识码登记及在政府采购活动中查询使用信用记录有关问题的通知》（桂财采〔2016〕37号），中标通知书发出前，由采购代理机构对第一中标候选供应商进行信用查询：</w:t>
      </w:r>
    </w:p>
    <w:p w14:paraId="676E4353">
      <w:pPr>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⑴查询渠道：“信用中国”网站(www.creditchina.gov.cn)、中国政府采购网(www.ccgp.gov.cn)等；</w:t>
      </w:r>
    </w:p>
    <w:p w14:paraId="74899CD7">
      <w:pPr>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⑵查询时间：中标通知书发出前；</w:t>
      </w:r>
    </w:p>
    <w:p w14:paraId="51AA8F7F">
      <w:pPr>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⑶信用信息查询记录和证据留存方式：在查询网站中直接打印查询记录，打印材料作为采购活动资料保存；</w:t>
      </w:r>
    </w:p>
    <w:p w14:paraId="332F4C36">
      <w:pPr>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14:paraId="17FA3755">
      <w:pPr>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14:paraId="48FA11BF">
      <w:pPr>
        <w:spacing w:line="360" w:lineRule="exact"/>
        <w:ind w:firstLine="413" w:firstLineChars="196"/>
        <w:outlineLvl w:val="2"/>
        <w:rPr>
          <w:rFonts w:ascii="宋体" w:hAnsi="宋体" w:cs="宋体"/>
          <w:b/>
          <w:color w:val="auto"/>
          <w:szCs w:val="21"/>
          <w:highlight w:val="none"/>
        </w:rPr>
      </w:pPr>
      <w:bookmarkStart w:id="262" w:name="_Toc7046"/>
      <w:bookmarkStart w:id="263" w:name="_Toc30861"/>
      <w:bookmarkStart w:id="264" w:name="_Toc30043"/>
      <w:bookmarkStart w:id="265" w:name="_Toc25384"/>
      <w:bookmarkStart w:id="266" w:name="_Toc27712"/>
      <w:r>
        <w:rPr>
          <w:rFonts w:hint="eastAsia" w:ascii="宋体" w:hAnsi="宋体" w:cs="宋体"/>
          <w:b/>
          <w:color w:val="auto"/>
          <w:szCs w:val="21"/>
          <w:highlight w:val="none"/>
        </w:rPr>
        <w:t>33. 中标公告及中标通知书</w:t>
      </w:r>
      <w:bookmarkEnd w:id="262"/>
      <w:bookmarkEnd w:id="263"/>
      <w:bookmarkEnd w:id="264"/>
      <w:bookmarkEnd w:id="265"/>
      <w:bookmarkEnd w:id="266"/>
    </w:p>
    <w:p w14:paraId="3DBA7FA7">
      <w:pPr>
        <w:tabs>
          <w:tab w:val="left" w:pos="455"/>
        </w:tabs>
        <w:spacing w:line="360" w:lineRule="exact"/>
        <w:ind w:firstLine="420" w:firstLineChars="200"/>
        <w:rPr>
          <w:rFonts w:ascii="宋体" w:hAnsi="宋体" w:cs="宋体"/>
          <w:color w:val="auto"/>
          <w:highlight w:val="none"/>
        </w:rPr>
      </w:pPr>
      <w:r>
        <w:rPr>
          <w:rFonts w:hint="eastAsia" w:ascii="宋体" w:hAnsi="宋体" w:cs="宋体"/>
          <w:color w:val="auto"/>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14:paraId="4D7B2C3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33.2在发布中标公告的同时，采购代理机构在线向中标供应商发出电子中标通知书。</w:t>
      </w:r>
      <w:bookmarkStart w:id="267" w:name="_Toc495841760"/>
      <w:bookmarkStart w:id="268" w:name="_Toc31543"/>
    </w:p>
    <w:p w14:paraId="7F5C77F8">
      <w:pPr>
        <w:pStyle w:val="108"/>
        <w:rPr>
          <w:color w:val="auto"/>
          <w:highlight w:val="none"/>
        </w:rPr>
      </w:pPr>
    </w:p>
    <w:p w14:paraId="5C28C635">
      <w:pPr>
        <w:spacing w:line="360" w:lineRule="auto"/>
        <w:jc w:val="center"/>
        <w:outlineLvl w:val="1"/>
        <w:rPr>
          <w:rFonts w:ascii="宋体" w:hAnsi="宋体" w:cs="宋体"/>
          <w:b/>
          <w:color w:val="auto"/>
          <w:sz w:val="28"/>
          <w:szCs w:val="28"/>
          <w:highlight w:val="none"/>
        </w:rPr>
      </w:pPr>
      <w:bookmarkStart w:id="269" w:name="_Toc13207"/>
      <w:bookmarkStart w:id="270" w:name="_Toc11657"/>
      <w:bookmarkStart w:id="271" w:name="_Toc31963"/>
      <w:bookmarkStart w:id="272" w:name="_Toc5294"/>
      <w:r>
        <w:rPr>
          <w:rFonts w:hint="eastAsia" w:ascii="宋体" w:hAnsi="宋体" w:cs="宋体"/>
          <w:b/>
          <w:color w:val="auto"/>
          <w:sz w:val="28"/>
          <w:szCs w:val="28"/>
          <w:highlight w:val="none"/>
        </w:rPr>
        <w:t>七、履约保证金及签订合同</w:t>
      </w:r>
      <w:bookmarkEnd w:id="267"/>
      <w:bookmarkEnd w:id="268"/>
      <w:bookmarkEnd w:id="269"/>
      <w:bookmarkEnd w:id="270"/>
      <w:bookmarkEnd w:id="271"/>
      <w:bookmarkEnd w:id="272"/>
    </w:p>
    <w:p w14:paraId="0D0B7C85">
      <w:pPr>
        <w:spacing w:line="360" w:lineRule="exact"/>
        <w:ind w:firstLine="413" w:firstLineChars="196"/>
        <w:outlineLvl w:val="2"/>
        <w:rPr>
          <w:rFonts w:ascii="宋体" w:hAnsi="宋体" w:cs="宋体"/>
          <w:b/>
          <w:color w:val="auto"/>
          <w:szCs w:val="21"/>
          <w:highlight w:val="none"/>
        </w:rPr>
      </w:pPr>
      <w:bookmarkStart w:id="273" w:name="_Toc11752"/>
      <w:bookmarkStart w:id="274" w:name="_Toc6994"/>
      <w:bookmarkStart w:id="275" w:name="_Toc1155"/>
      <w:bookmarkStart w:id="276" w:name="_Toc7070"/>
      <w:bookmarkStart w:id="277" w:name="_Toc10047"/>
      <w:r>
        <w:rPr>
          <w:rFonts w:hint="eastAsia" w:ascii="宋体" w:hAnsi="宋体" w:cs="宋体"/>
          <w:b/>
          <w:color w:val="auto"/>
          <w:szCs w:val="21"/>
          <w:highlight w:val="none"/>
        </w:rPr>
        <w:t>34. 履约保证金</w:t>
      </w:r>
      <w:bookmarkEnd w:id="273"/>
      <w:bookmarkEnd w:id="274"/>
      <w:bookmarkEnd w:id="275"/>
      <w:bookmarkEnd w:id="276"/>
      <w:bookmarkEnd w:id="277"/>
    </w:p>
    <w:p w14:paraId="6A20609D">
      <w:pPr>
        <w:spacing w:line="360" w:lineRule="exact"/>
        <w:ind w:firstLine="411" w:firstLineChars="196"/>
        <w:outlineLvl w:val="9"/>
        <w:rPr>
          <w:rFonts w:ascii="宋体" w:hAnsi="宋体" w:cs="宋体"/>
          <w:color w:val="auto"/>
          <w:kern w:val="0"/>
          <w:szCs w:val="21"/>
          <w:highlight w:val="none"/>
        </w:rPr>
      </w:pPr>
      <w:bookmarkStart w:id="278" w:name="_Toc26005"/>
      <w:bookmarkStart w:id="279" w:name="_Toc18160"/>
      <w:bookmarkStart w:id="280" w:name="_Toc14679"/>
      <w:bookmarkStart w:id="281" w:name="_Toc1658"/>
      <w:r>
        <w:rPr>
          <w:rFonts w:hint="eastAsia" w:ascii="宋体" w:hAnsi="宋体" w:cs="宋体"/>
          <w:color w:val="auto"/>
          <w:kern w:val="0"/>
          <w:szCs w:val="21"/>
          <w:highlight w:val="none"/>
        </w:rPr>
        <w:t>本项目无需缴纳履约保证金</w:t>
      </w:r>
      <w:bookmarkEnd w:id="278"/>
    </w:p>
    <w:p w14:paraId="1E8480F7">
      <w:pPr>
        <w:pStyle w:val="2"/>
        <w:ind w:firstLine="422" w:firstLineChars="200"/>
        <w:outlineLvl w:val="2"/>
        <w:rPr>
          <w:rFonts w:ascii="宋体" w:hAnsi="宋体" w:cs="宋体"/>
          <w:b/>
          <w:color w:val="auto"/>
          <w:sz w:val="21"/>
          <w:szCs w:val="21"/>
          <w:highlight w:val="none"/>
        </w:rPr>
      </w:pPr>
      <w:bookmarkStart w:id="282" w:name="_Toc10573"/>
      <w:bookmarkStart w:id="283" w:name="_Toc16767"/>
      <w:r>
        <w:rPr>
          <w:rFonts w:hint="eastAsia" w:ascii="宋体" w:hAnsi="宋体" w:cs="宋体"/>
          <w:b/>
          <w:color w:val="auto"/>
          <w:sz w:val="21"/>
          <w:szCs w:val="21"/>
          <w:highlight w:val="none"/>
        </w:rPr>
        <w:t>35. 签订合同</w:t>
      </w:r>
      <w:bookmarkEnd w:id="279"/>
      <w:bookmarkEnd w:id="280"/>
      <w:bookmarkEnd w:id="281"/>
      <w:bookmarkEnd w:id="282"/>
      <w:bookmarkEnd w:id="283"/>
    </w:p>
    <w:p w14:paraId="03A2CC7F">
      <w:pPr>
        <w:spacing w:line="360" w:lineRule="exact"/>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35.1签订合同时间：中标通知书发出之日起</w:t>
      </w:r>
      <w:r>
        <w:rPr>
          <w:rFonts w:hint="eastAsia" w:ascii="宋体" w:hAnsi="宋体" w:cs="宋体"/>
          <w:color w:val="auto"/>
          <w:szCs w:val="21"/>
          <w:highlight w:val="none"/>
          <w:lang w:val="en-US" w:eastAsia="zh-CN"/>
        </w:rPr>
        <w:t>八个工作日</w:t>
      </w:r>
      <w:r>
        <w:rPr>
          <w:rFonts w:hint="eastAsia" w:ascii="宋体" w:hAnsi="宋体" w:cs="宋体"/>
          <w:color w:val="auto"/>
          <w:szCs w:val="21"/>
          <w:highlight w:val="none"/>
        </w:rPr>
        <w:t>内。中标供应商收到中标通知书后，应按规定与采购人在“广西政府采购云平台”上在线签订电子合同。</w:t>
      </w:r>
    </w:p>
    <w:p w14:paraId="1C0C50F0">
      <w:pPr>
        <w:spacing w:line="360" w:lineRule="exact"/>
        <w:ind w:left="2" w:leftChars="1" w:firstLine="420" w:firstLineChars="200"/>
        <w:rPr>
          <w:rFonts w:ascii="宋体" w:hAnsi="宋体" w:cs="宋体"/>
          <w:color w:val="auto"/>
          <w:szCs w:val="21"/>
          <w:highlight w:val="none"/>
        </w:rPr>
      </w:pPr>
      <w:r>
        <w:rPr>
          <w:rFonts w:hint="eastAsia" w:ascii="宋体" w:hAnsi="宋体" w:cs="宋体"/>
          <w:color w:val="auto"/>
          <w:highlight w:val="none"/>
        </w:rPr>
        <w:t>35.2中标供应商为联合体的，联合体各方均应与采购人签订合同，并承担连带责任。（本项目不接受联合体投标）</w:t>
      </w:r>
    </w:p>
    <w:p w14:paraId="27D6EC4C">
      <w:pPr>
        <w:spacing w:line="360" w:lineRule="exact"/>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14:paraId="72A6A832">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（1）中标后不与采购人签订合同的（不可抗力除外）；</w:t>
      </w:r>
    </w:p>
    <w:p w14:paraId="737EDE51">
      <w:pPr>
        <w:spacing w:line="360" w:lineRule="exact"/>
        <w:ind w:left="2" w:leftChars="1" w:firstLine="315" w:firstLineChars="150"/>
        <w:rPr>
          <w:rFonts w:ascii="宋体" w:hAnsi="宋体" w:cs="宋体"/>
          <w:color w:val="auto"/>
          <w:szCs w:val="21"/>
          <w:highlight w:val="none"/>
        </w:rPr>
      </w:pPr>
      <w:r>
        <w:rPr>
          <w:rFonts w:hint="eastAsia" w:ascii="宋体" w:hAnsi="宋体" w:cs="宋体"/>
          <w:color w:val="auto"/>
          <w:szCs w:val="21"/>
          <w:highlight w:val="none"/>
        </w:rPr>
        <w:t>（2）将中标项目转让给他人，或者在投标文件中未说明，且未经采购人同意，将中标项目分包给他人的；</w:t>
      </w:r>
    </w:p>
    <w:p w14:paraId="20B2F408">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（3）拒绝履行合同义务的。</w:t>
      </w:r>
    </w:p>
    <w:p w14:paraId="41BF46A0">
      <w:pPr>
        <w:spacing w:line="360" w:lineRule="exact"/>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35.4合同备案存档：政府采购合同双方自签订之日起将自动存档于“广西政府采购云平台”上，采购人于合同签订之日起七个工作日内将一份合同原件送本级财政部门备案。</w:t>
      </w:r>
    </w:p>
    <w:p w14:paraId="75FBEEB5">
      <w:pPr>
        <w:spacing w:line="400" w:lineRule="exact"/>
        <w:ind w:left="2" w:leftChars="1" w:firstLine="420" w:firstLineChars="200"/>
        <w:rPr>
          <w:rFonts w:ascii="宋体" w:hAnsi="宋体" w:cs="宋体"/>
          <w:color w:val="auto"/>
          <w:szCs w:val="21"/>
          <w:highlight w:val="none"/>
        </w:rPr>
      </w:pPr>
    </w:p>
    <w:p w14:paraId="5495257F">
      <w:pPr>
        <w:spacing w:line="360" w:lineRule="auto"/>
        <w:jc w:val="center"/>
        <w:outlineLvl w:val="1"/>
        <w:rPr>
          <w:rFonts w:ascii="宋体" w:hAnsi="宋体" w:cs="宋体"/>
          <w:b/>
          <w:color w:val="auto"/>
          <w:sz w:val="28"/>
          <w:szCs w:val="28"/>
          <w:highlight w:val="none"/>
        </w:rPr>
      </w:pPr>
      <w:bookmarkStart w:id="284" w:name="_Toc16906"/>
      <w:bookmarkStart w:id="285" w:name="_Toc4983"/>
      <w:bookmarkStart w:id="286" w:name="_Toc18594"/>
      <w:bookmarkStart w:id="287" w:name="_Toc495841761"/>
      <w:bookmarkStart w:id="288" w:name="_Toc18214"/>
      <w:bookmarkStart w:id="289" w:name="_Toc1909"/>
      <w:r>
        <w:rPr>
          <w:rFonts w:hint="eastAsia" w:ascii="宋体" w:hAnsi="宋体" w:cs="宋体"/>
          <w:b/>
          <w:color w:val="auto"/>
          <w:sz w:val="28"/>
          <w:szCs w:val="28"/>
          <w:highlight w:val="none"/>
        </w:rPr>
        <w:t>八、其他事项</w:t>
      </w:r>
      <w:bookmarkEnd w:id="284"/>
      <w:bookmarkEnd w:id="285"/>
      <w:bookmarkEnd w:id="286"/>
      <w:bookmarkEnd w:id="287"/>
      <w:bookmarkEnd w:id="288"/>
      <w:bookmarkEnd w:id="289"/>
    </w:p>
    <w:p w14:paraId="445CA882">
      <w:pPr>
        <w:spacing w:line="380" w:lineRule="exact"/>
        <w:ind w:firstLine="413" w:firstLineChars="196"/>
        <w:outlineLvl w:val="2"/>
        <w:rPr>
          <w:rFonts w:ascii="宋体" w:hAnsi="宋体" w:cs="宋体"/>
          <w:b/>
          <w:color w:val="auto"/>
          <w:szCs w:val="21"/>
          <w:highlight w:val="none"/>
        </w:rPr>
      </w:pPr>
      <w:bookmarkStart w:id="290" w:name="_Toc4309"/>
      <w:bookmarkStart w:id="291" w:name="_Toc18260"/>
      <w:bookmarkStart w:id="292" w:name="_Toc18855"/>
      <w:bookmarkStart w:id="293" w:name="_Toc5655"/>
      <w:bookmarkStart w:id="294" w:name="_Toc24488"/>
      <w:bookmarkStart w:id="295" w:name="_Toc2437"/>
      <w:bookmarkStart w:id="296" w:name="_Toc16916"/>
      <w:bookmarkStart w:id="297" w:name="_Toc19503"/>
      <w:bookmarkStart w:id="298" w:name="_Toc32243"/>
      <w:r>
        <w:rPr>
          <w:rFonts w:hint="eastAsia" w:ascii="宋体" w:hAnsi="宋体" w:cs="宋体"/>
          <w:b/>
          <w:color w:val="auto"/>
          <w:szCs w:val="21"/>
          <w:highlight w:val="none"/>
        </w:rPr>
        <w:t>36. 招标代理服务费</w:t>
      </w:r>
      <w:bookmarkEnd w:id="290"/>
      <w:bookmarkEnd w:id="291"/>
      <w:bookmarkEnd w:id="292"/>
      <w:bookmarkEnd w:id="293"/>
      <w:bookmarkEnd w:id="294"/>
      <w:bookmarkEnd w:id="295"/>
      <w:bookmarkEnd w:id="296"/>
      <w:bookmarkEnd w:id="297"/>
    </w:p>
    <w:p w14:paraId="16D1AC50">
      <w:pPr>
        <w:spacing w:line="38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本项目免收代理服务费。</w:t>
      </w:r>
    </w:p>
    <w:p w14:paraId="7A3EF37A">
      <w:pPr>
        <w:spacing w:line="400" w:lineRule="exact"/>
        <w:ind w:firstLine="413" w:firstLineChars="196"/>
        <w:outlineLvl w:val="2"/>
        <w:rPr>
          <w:rFonts w:ascii="宋体" w:hAnsi="宋体" w:cs="宋体"/>
          <w:b/>
          <w:color w:val="auto"/>
          <w:szCs w:val="21"/>
          <w:highlight w:val="none"/>
        </w:rPr>
      </w:pPr>
      <w:bookmarkStart w:id="299" w:name="_Toc19124"/>
      <w:bookmarkStart w:id="300" w:name="_Toc15866"/>
      <w:bookmarkStart w:id="301" w:name="_Toc16736"/>
      <w:bookmarkStart w:id="302" w:name="_Toc6523"/>
      <w:r>
        <w:rPr>
          <w:rFonts w:hint="eastAsia" w:ascii="宋体" w:hAnsi="宋体" w:cs="宋体"/>
          <w:b/>
          <w:color w:val="auto"/>
          <w:szCs w:val="21"/>
          <w:highlight w:val="none"/>
        </w:rPr>
        <w:t>37. 解释权</w:t>
      </w:r>
      <w:bookmarkEnd w:id="299"/>
      <w:bookmarkEnd w:id="300"/>
      <w:bookmarkEnd w:id="301"/>
      <w:bookmarkEnd w:id="302"/>
    </w:p>
    <w:p w14:paraId="312206D8">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本招标文件是根据《中华人民共和国政府采购法》《中华人民共和国政府采购法实施条例》及《政府采购货物和服务招标投标管理办法》（财政部令第87号）和政府采购管理有关规定编制，本招标文件的解释权属于桂林市政府集中采购中心。</w:t>
      </w:r>
      <w:bookmarkEnd w:id="298"/>
    </w:p>
    <w:p w14:paraId="07268A14">
      <w:pPr>
        <w:spacing w:line="400" w:lineRule="exact"/>
        <w:ind w:firstLine="413" w:firstLineChars="196"/>
        <w:outlineLvl w:val="2"/>
        <w:rPr>
          <w:rFonts w:ascii="宋体" w:hAnsi="宋体" w:cs="宋体"/>
          <w:b/>
          <w:color w:val="auto"/>
          <w:szCs w:val="21"/>
          <w:highlight w:val="none"/>
        </w:rPr>
      </w:pPr>
      <w:bookmarkStart w:id="303" w:name="_Toc29343"/>
      <w:bookmarkStart w:id="304" w:name="_Toc26924"/>
      <w:bookmarkStart w:id="305" w:name="_Toc2761"/>
      <w:bookmarkStart w:id="306" w:name="_Toc27309"/>
      <w:bookmarkStart w:id="307" w:name="_Toc11077"/>
      <w:r>
        <w:rPr>
          <w:rFonts w:hint="eastAsia" w:ascii="宋体" w:hAnsi="宋体" w:cs="宋体"/>
          <w:b/>
          <w:color w:val="auto"/>
          <w:szCs w:val="21"/>
          <w:highlight w:val="none"/>
        </w:rPr>
        <w:t>38. 监督管理机构</w:t>
      </w:r>
      <w:bookmarkEnd w:id="303"/>
      <w:bookmarkEnd w:id="304"/>
      <w:bookmarkEnd w:id="305"/>
      <w:bookmarkEnd w:id="306"/>
    </w:p>
    <w:bookmarkEnd w:id="307"/>
    <w:p w14:paraId="517AE74F">
      <w:pPr>
        <w:snapToGrid w:val="0"/>
        <w:spacing w:line="400" w:lineRule="exact"/>
        <w:ind w:firstLine="420" w:firstLineChars="200"/>
        <w:rPr>
          <w:rFonts w:hint="eastAsia" w:ascii="宋体" w:hAnsi="宋体" w:eastAsia="宋体" w:cs="宋体"/>
          <w:color w:val="auto"/>
          <w:szCs w:val="21"/>
          <w:highlight w:val="none"/>
          <w:lang w:eastAsia="zh-CN"/>
        </w:rPr>
      </w:pPr>
      <w:bookmarkStart w:id="308" w:name="_Toc23297"/>
      <w:r>
        <w:rPr>
          <w:rFonts w:hint="eastAsia" w:ascii="宋体" w:hAnsi="宋体" w:cs="宋体"/>
          <w:color w:val="auto"/>
          <w:szCs w:val="21"/>
          <w:highlight w:val="none"/>
          <w:lang w:eastAsia="zh-CN"/>
        </w:rPr>
        <w:t>荔浦市财政局</w:t>
      </w:r>
      <w:r>
        <w:rPr>
          <w:rFonts w:hint="eastAsia" w:ascii="宋体" w:hAnsi="宋体" w:cs="宋体"/>
          <w:color w:val="auto"/>
          <w:szCs w:val="21"/>
          <w:highlight w:val="none"/>
        </w:rPr>
        <w:t xml:space="preserve">   电话：</w:t>
      </w:r>
      <w:r>
        <w:rPr>
          <w:rFonts w:hint="eastAsia" w:ascii="宋体" w:hAnsi="宋体" w:cs="宋体"/>
          <w:color w:val="auto"/>
          <w:szCs w:val="21"/>
          <w:highlight w:val="none"/>
          <w:lang w:eastAsia="zh-CN"/>
        </w:rPr>
        <w:t>0773-7233366</w:t>
      </w:r>
    </w:p>
    <w:p w14:paraId="5E6A06B9">
      <w:pPr>
        <w:pStyle w:val="16"/>
        <w:adjustRightInd w:val="0"/>
        <w:spacing w:line="390" w:lineRule="exact"/>
        <w:contextualSpacing/>
        <w:rPr>
          <w:rFonts w:hAnsi="宋体" w:cs="宋体"/>
          <w:b/>
          <w:bCs/>
          <w:color w:val="auto"/>
          <w:highlight w:val="none"/>
        </w:rPr>
      </w:pPr>
    </w:p>
    <w:p w14:paraId="100D7BCF">
      <w:pPr>
        <w:pStyle w:val="16"/>
        <w:adjustRightInd w:val="0"/>
        <w:spacing w:line="390" w:lineRule="exact"/>
        <w:contextualSpacing/>
        <w:rPr>
          <w:rFonts w:hAnsi="宋体" w:cs="宋体"/>
          <w:b/>
          <w:bCs/>
          <w:color w:val="auto"/>
          <w:highlight w:val="none"/>
        </w:rPr>
      </w:pPr>
    </w:p>
    <w:p w14:paraId="4812C683">
      <w:pPr>
        <w:pStyle w:val="16"/>
        <w:adjustRightInd w:val="0"/>
        <w:spacing w:line="390" w:lineRule="exact"/>
        <w:contextualSpacing/>
        <w:rPr>
          <w:rFonts w:hAnsi="宋体" w:cs="宋体"/>
          <w:b/>
          <w:bCs/>
          <w:color w:val="auto"/>
          <w:highlight w:val="none"/>
        </w:rPr>
      </w:pPr>
    </w:p>
    <w:p w14:paraId="2B279A04">
      <w:pPr>
        <w:pStyle w:val="16"/>
        <w:adjustRightInd w:val="0"/>
        <w:spacing w:line="390" w:lineRule="exact"/>
        <w:contextualSpacing/>
        <w:rPr>
          <w:rFonts w:hAnsi="宋体" w:cs="宋体"/>
          <w:b/>
          <w:bCs/>
          <w:color w:val="auto"/>
          <w:highlight w:val="none"/>
        </w:rPr>
      </w:pPr>
    </w:p>
    <w:p w14:paraId="0F0783D4">
      <w:pPr>
        <w:pStyle w:val="16"/>
        <w:adjustRightInd w:val="0"/>
        <w:spacing w:line="390" w:lineRule="exact"/>
        <w:contextualSpacing/>
        <w:rPr>
          <w:rFonts w:hAnsi="宋体" w:cs="宋体"/>
          <w:b/>
          <w:bCs/>
          <w:color w:val="auto"/>
          <w:highlight w:val="none"/>
        </w:rPr>
      </w:pPr>
    </w:p>
    <w:p w14:paraId="4DED708C">
      <w:pPr>
        <w:rPr>
          <w:rFonts w:hAnsi="宋体" w:cs="宋体"/>
          <w:b/>
          <w:bCs/>
          <w:color w:val="auto"/>
          <w:highlight w:val="none"/>
        </w:rPr>
      </w:pPr>
    </w:p>
    <w:p w14:paraId="1D1FB77A">
      <w:pPr>
        <w:pStyle w:val="2"/>
        <w:rPr>
          <w:rFonts w:hAnsi="宋体" w:cs="宋体"/>
          <w:b/>
          <w:bCs/>
          <w:color w:val="auto"/>
          <w:highlight w:val="none"/>
        </w:rPr>
      </w:pPr>
    </w:p>
    <w:p w14:paraId="0306BE9A">
      <w:pPr>
        <w:rPr>
          <w:rFonts w:hAnsi="宋体" w:cs="宋体"/>
          <w:b/>
          <w:bCs/>
          <w:color w:val="auto"/>
          <w:highlight w:val="none"/>
        </w:rPr>
      </w:pPr>
    </w:p>
    <w:p w14:paraId="6FF12C41">
      <w:pPr>
        <w:pStyle w:val="2"/>
        <w:rPr>
          <w:rFonts w:hAnsi="宋体" w:cs="宋体"/>
          <w:b/>
          <w:bCs/>
          <w:color w:val="auto"/>
          <w:highlight w:val="none"/>
        </w:rPr>
      </w:pPr>
    </w:p>
    <w:p w14:paraId="5BCAB2F1">
      <w:pPr>
        <w:rPr>
          <w:rFonts w:hAnsi="宋体" w:cs="宋体"/>
          <w:b/>
          <w:bCs/>
          <w:color w:val="auto"/>
          <w:highlight w:val="none"/>
        </w:rPr>
      </w:pPr>
    </w:p>
    <w:p w14:paraId="5ED4E3D2">
      <w:pPr>
        <w:pStyle w:val="2"/>
        <w:rPr>
          <w:rFonts w:hAnsi="宋体" w:cs="宋体"/>
          <w:b/>
          <w:bCs/>
          <w:color w:val="auto"/>
          <w:highlight w:val="none"/>
        </w:rPr>
      </w:pPr>
    </w:p>
    <w:p w14:paraId="43ABE9E6">
      <w:pPr>
        <w:rPr>
          <w:rFonts w:hAnsi="宋体" w:cs="宋体"/>
          <w:b/>
          <w:bCs/>
          <w:color w:val="auto"/>
          <w:highlight w:val="none"/>
        </w:rPr>
      </w:pPr>
    </w:p>
    <w:p w14:paraId="0B53AB33">
      <w:pPr>
        <w:pStyle w:val="2"/>
        <w:rPr>
          <w:rFonts w:hAnsi="宋体" w:cs="宋体"/>
          <w:b/>
          <w:bCs/>
          <w:color w:val="auto"/>
          <w:highlight w:val="none"/>
        </w:rPr>
      </w:pPr>
    </w:p>
    <w:p w14:paraId="4CEDF718">
      <w:pPr>
        <w:rPr>
          <w:rFonts w:hAnsi="宋体" w:cs="宋体"/>
          <w:b/>
          <w:bCs/>
          <w:color w:val="auto"/>
          <w:highlight w:val="none"/>
        </w:rPr>
      </w:pPr>
    </w:p>
    <w:p w14:paraId="74804458">
      <w:pPr>
        <w:pStyle w:val="2"/>
        <w:rPr>
          <w:rFonts w:hAnsi="宋体" w:cs="宋体"/>
          <w:b/>
          <w:bCs/>
          <w:color w:val="auto"/>
          <w:highlight w:val="none"/>
        </w:rPr>
      </w:pPr>
    </w:p>
    <w:p w14:paraId="2210B554">
      <w:pPr>
        <w:rPr>
          <w:rFonts w:hAnsi="宋体" w:cs="宋体"/>
          <w:b/>
          <w:bCs/>
          <w:color w:val="auto"/>
          <w:highlight w:val="none"/>
        </w:rPr>
      </w:pPr>
    </w:p>
    <w:p w14:paraId="4F5B5BCB">
      <w:pPr>
        <w:pStyle w:val="2"/>
        <w:rPr>
          <w:rFonts w:hAnsi="宋体" w:cs="宋体"/>
          <w:b/>
          <w:bCs/>
          <w:color w:val="auto"/>
          <w:highlight w:val="none"/>
        </w:rPr>
      </w:pPr>
    </w:p>
    <w:p w14:paraId="2E7C7AAE">
      <w:pPr>
        <w:rPr>
          <w:rFonts w:hAnsi="宋体" w:cs="宋体"/>
          <w:b/>
          <w:bCs/>
          <w:color w:val="auto"/>
          <w:highlight w:val="none"/>
        </w:rPr>
      </w:pPr>
    </w:p>
    <w:p w14:paraId="3F0BD822">
      <w:pPr>
        <w:pStyle w:val="2"/>
        <w:rPr>
          <w:color w:val="auto"/>
          <w:highlight w:val="none"/>
        </w:rPr>
      </w:pPr>
    </w:p>
    <w:p w14:paraId="3AD7CEEF">
      <w:pPr>
        <w:pStyle w:val="16"/>
        <w:adjustRightInd w:val="0"/>
        <w:spacing w:line="390" w:lineRule="exact"/>
        <w:contextualSpacing/>
        <w:rPr>
          <w:rFonts w:hAnsi="宋体" w:cs="宋体"/>
          <w:b/>
          <w:bCs/>
          <w:color w:val="auto"/>
          <w:highlight w:val="none"/>
        </w:rPr>
      </w:pPr>
    </w:p>
    <w:p w14:paraId="687F9665">
      <w:pPr>
        <w:rPr>
          <w:color w:val="auto"/>
          <w:highlight w:val="none"/>
        </w:rPr>
      </w:pPr>
    </w:p>
    <w:p w14:paraId="1057C606">
      <w:pPr>
        <w:rPr>
          <w:color w:val="auto"/>
          <w:highlight w:val="none"/>
        </w:rPr>
      </w:pPr>
    </w:p>
    <w:p w14:paraId="3FA1D464">
      <w:pPr>
        <w:pStyle w:val="3"/>
        <w:spacing w:line="400" w:lineRule="exact"/>
        <w:jc w:val="center"/>
        <w:rPr>
          <w:color w:val="auto"/>
          <w:sz w:val="32"/>
          <w:szCs w:val="32"/>
          <w:highlight w:val="none"/>
        </w:rPr>
      </w:pPr>
      <w:bookmarkStart w:id="309" w:name="_Toc18662"/>
      <w:bookmarkStart w:id="310" w:name="_Toc12929"/>
      <w:bookmarkStart w:id="311" w:name="_Toc20149"/>
      <w:bookmarkStart w:id="312" w:name="_Toc11536"/>
      <w:bookmarkStart w:id="313" w:name="_Toc30701"/>
      <w:bookmarkStart w:id="314" w:name="_Toc14136"/>
      <w:r>
        <w:rPr>
          <w:rFonts w:hint="eastAsia"/>
          <w:color w:val="auto"/>
          <w:sz w:val="32"/>
          <w:szCs w:val="32"/>
          <w:highlight w:val="none"/>
        </w:rPr>
        <w:t>第三章  采购需求</w:t>
      </w:r>
      <w:bookmarkEnd w:id="309"/>
      <w:bookmarkEnd w:id="310"/>
      <w:bookmarkEnd w:id="311"/>
      <w:bookmarkEnd w:id="312"/>
      <w:bookmarkEnd w:id="313"/>
      <w:bookmarkEnd w:id="314"/>
    </w:p>
    <w:p w14:paraId="1CC6FFA6">
      <w:pPr>
        <w:adjustRightInd w:val="0"/>
        <w:spacing w:line="360" w:lineRule="exact"/>
        <w:rPr>
          <w:rFonts w:ascii="宋体" w:hAnsi="宋体" w:cs="宋体"/>
          <w:b/>
          <w:color w:val="auto"/>
          <w:szCs w:val="21"/>
          <w:highlight w:val="none"/>
        </w:rPr>
      </w:pPr>
      <w:r>
        <w:rPr>
          <w:rFonts w:hint="eastAsia" w:ascii="宋体" w:hAnsi="宋体" w:cs="宋体"/>
          <w:b/>
          <w:color w:val="auto"/>
          <w:szCs w:val="21"/>
          <w:highlight w:val="none"/>
        </w:rPr>
        <w:t>说明：</w:t>
      </w:r>
    </w:p>
    <w:p w14:paraId="0C568852">
      <w:pPr>
        <w:adjustRightInd w:val="0"/>
        <w:spacing w:line="360" w:lineRule="exact"/>
        <w:ind w:firstLine="431"/>
        <w:rPr>
          <w:rFonts w:ascii="宋体" w:hAnsi="宋体" w:cs="宋体"/>
          <w:b/>
          <w:color w:val="auto"/>
          <w:szCs w:val="21"/>
          <w:highlight w:val="none"/>
        </w:rPr>
      </w:pPr>
      <w:r>
        <w:rPr>
          <w:rFonts w:hint="eastAsia" w:ascii="宋体" w:hAnsi="宋体" w:cs="宋体"/>
          <w:b/>
          <w:color w:val="auto"/>
          <w:szCs w:val="21"/>
          <w:highlight w:val="none"/>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投标人投标时须提供投标产品的相关证明材料。</w:t>
      </w:r>
    </w:p>
    <w:p w14:paraId="70A14410">
      <w:pPr>
        <w:adjustRightInd w:val="0"/>
        <w:spacing w:line="360" w:lineRule="exact"/>
        <w:ind w:firstLine="431"/>
        <w:rPr>
          <w:rFonts w:ascii="宋体" w:hAnsi="宋体" w:cs="宋体"/>
          <w:b/>
          <w:color w:val="auto"/>
          <w:szCs w:val="21"/>
          <w:highlight w:val="none"/>
        </w:rPr>
      </w:pPr>
      <w:r>
        <w:rPr>
          <w:rFonts w:hint="eastAsia" w:ascii="宋体" w:hAnsi="宋体" w:cs="宋体"/>
          <w:b/>
          <w:color w:val="auto"/>
          <w:szCs w:val="21"/>
          <w:highlight w:val="none"/>
        </w:rPr>
        <w:t>《节能产品政府采购品目清单》中：</w:t>
      </w:r>
    </w:p>
    <w:p w14:paraId="3B3FEC03">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计算机设备（台式计算机、便携式计算机、平板式微型计算机）；</w:t>
      </w:r>
    </w:p>
    <w:p w14:paraId="4B0A3D96">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输入输出设备【打印设备（激光打印机、针式打印机）、显示设备（液晶显示器）】；</w:t>
      </w:r>
    </w:p>
    <w:p w14:paraId="13DD3035">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制冷空调设备【制冷压缩机（冷水机组、水源热泵机组、溴化锂吸收式冷水机组）、空调机组（多联式空调（热泵）机组（制冷量＞14000W）、单元式空气调节机（制冷量＞14000W））、专用制冷、空调设备（机房空调）】；</w:t>
      </w:r>
    </w:p>
    <w:p w14:paraId="48E46503">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镇流器（管型荧光灯镇流器）；</w:t>
      </w:r>
    </w:p>
    <w:p w14:paraId="74E5E175">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生活用电器｛空调机【房间空气调节器、多联式空调（热泵）机组（制冷量≤14000W）、单元式空气调节机（制冷量≤14000W）】、热水器（电热水器）｝；</w:t>
      </w:r>
    </w:p>
    <w:p w14:paraId="6F77B916">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照明设备（普通照明用双端荧光灯）；</w:t>
      </w:r>
    </w:p>
    <w:p w14:paraId="67CC8526">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电视设备【普通电视设备（电视机）】；</w:t>
      </w:r>
    </w:p>
    <w:p w14:paraId="4E26C186">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视频设备【视频监控设备（监视器）】；</w:t>
      </w:r>
    </w:p>
    <w:p w14:paraId="4313DF12">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便器（坐便器、蹲便器、小便器）；</w:t>
      </w:r>
    </w:p>
    <w:p w14:paraId="38350197">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水嘴。</w:t>
      </w:r>
    </w:p>
    <w:p w14:paraId="02012C2C">
      <w:pPr>
        <w:adjustRightInd w:val="0"/>
        <w:spacing w:line="360" w:lineRule="exact"/>
        <w:ind w:firstLine="431"/>
        <w:rPr>
          <w:rFonts w:ascii="宋体" w:hAnsi="宋体" w:cs="宋体"/>
          <w:color w:val="auto"/>
          <w:szCs w:val="21"/>
          <w:highlight w:val="none"/>
        </w:rPr>
      </w:pPr>
      <w:r>
        <w:rPr>
          <w:rFonts w:hint="eastAsia" w:ascii="宋体" w:hAnsi="宋体" w:cs="宋体"/>
          <w:b/>
          <w:color w:val="auto"/>
          <w:szCs w:val="21"/>
          <w:highlight w:val="none"/>
        </w:rPr>
        <w:t>以上所罗列的设备为《节能产品政府采购品目清单》中政府强制采购节能产品，采购人拟采购的产品属于政府强制采购产品的，投标人投标时必须针对该产品出具依据国家确定的认证机构出具的、处于有效期之内的节能产品认证证书扫描件，并加盖投标人CA签章，否则投标无效。</w:t>
      </w:r>
    </w:p>
    <w:p w14:paraId="09B7376A">
      <w:pPr>
        <w:adjustRightInd w:val="0"/>
        <w:spacing w:line="360" w:lineRule="exact"/>
        <w:ind w:firstLine="431"/>
        <w:rPr>
          <w:rFonts w:ascii="宋体" w:hAnsi="宋体" w:cs="宋体"/>
          <w:b/>
          <w:color w:val="auto"/>
          <w:szCs w:val="21"/>
          <w:highlight w:val="none"/>
        </w:rPr>
      </w:pPr>
      <w:r>
        <w:rPr>
          <w:rFonts w:hint="eastAsia" w:ascii="宋体" w:hAnsi="宋体" w:cs="宋体"/>
          <w:b/>
          <w:color w:val="auto"/>
          <w:szCs w:val="21"/>
          <w:highlight w:val="none"/>
        </w:rPr>
        <w:t>2、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14:paraId="4C112D4F">
      <w:pPr>
        <w:adjustRightInd w:val="0"/>
        <w:spacing w:line="360" w:lineRule="exact"/>
        <w:ind w:firstLine="431"/>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bCs/>
          <w:color w:val="auto"/>
          <w:highlight w:val="none"/>
        </w:rPr>
        <w:t>根据《关于调整网络安全专用产品安全管理有关事项的公告》(2023年1号)规定，列入《网络关键设备和网络安全专用产品目录》的网络安全专用产品应当按照《信息安全技术 网络安全专用产品安全技术要求》等相关国家标准的强制性要求，由具备资格的机构安全认证合格或者安全检测符合要求后，方可销售或者提供。本项目采购需求中的产品如果包括《网络关键设备和网络安全专用产品目录》的网络安全专用产品，供应商应在投标文件中提供国家互联网信息办公室会同工业和信息化部、公安部、国家认证认可监督管理委员会统一公布和更新符合要求的网络关键设备和网络安全专用产品清单的网页截图（同时提供该网页的详细网址），加盖CA签章。</w:t>
      </w:r>
    </w:p>
    <w:p w14:paraId="49DCDBA7">
      <w:pPr>
        <w:adjustRightInd w:val="0"/>
        <w:spacing w:line="360" w:lineRule="exact"/>
        <w:ind w:firstLine="431"/>
        <w:rPr>
          <w:rFonts w:ascii="宋体" w:hAnsi="宋体" w:cs="宋体"/>
          <w:b/>
          <w:color w:val="auto"/>
          <w:szCs w:val="21"/>
          <w:highlight w:val="none"/>
        </w:rPr>
      </w:pPr>
      <w:r>
        <w:rPr>
          <w:rFonts w:hint="eastAsia" w:ascii="宋体" w:hAnsi="宋体" w:cs="宋体"/>
          <w:b/>
          <w:color w:val="auto"/>
          <w:szCs w:val="21"/>
          <w:highlight w:val="none"/>
        </w:rPr>
        <w:t>4、投标人应注意下列内容：</w:t>
      </w:r>
    </w:p>
    <w:p w14:paraId="0E0248AA">
      <w:pPr>
        <w:adjustRightInd w:val="0"/>
        <w:spacing w:line="360" w:lineRule="exact"/>
        <w:ind w:firstLine="431"/>
        <w:rPr>
          <w:rFonts w:ascii="宋体" w:hAnsi="宋体" w:cs="宋体"/>
          <w:b/>
          <w:color w:val="auto"/>
          <w:szCs w:val="21"/>
          <w:highlight w:val="none"/>
        </w:rPr>
      </w:pPr>
      <w:r>
        <w:rPr>
          <w:rFonts w:hint="eastAsia" w:ascii="宋体" w:hAnsi="宋体" w:cs="宋体"/>
          <w:b/>
          <w:color w:val="auto"/>
          <w:szCs w:val="21"/>
          <w:highlight w:val="none"/>
        </w:rPr>
        <w:t>1）本需求一览表中标注★号的内容为实质性要求和条件，投标人须满足或响应，若无法完全满足，将会被认定为无效投标。</w:t>
      </w:r>
    </w:p>
    <w:p w14:paraId="341F5B41">
      <w:pPr>
        <w:adjustRightInd w:val="0"/>
        <w:spacing w:line="360" w:lineRule="exact"/>
        <w:ind w:firstLine="431"/>
        <w:rPr>
          <w:rFonts w:ascii="宋体" w:hAnsi="宋体" w:cs="宋体"/>
          <w:b/>
          <w:color w:val="auto"/>
          <w:szCs w:val="21"/>
          <w:highlight w:val="none"/>
        </w:rPr>
      </w:pPr>
      <w:r>
        <w:rPr>
          <w:rFonts w:hint="eastAsia" w:ascii="宋体" w:hAnsi="宋体" w:cs="宋体"/>
          <w:b/>
          <w:color w:val="auto"/>
          <w:szCs w:val="21"/>
          <w:highlight w:val="none"/>
        </w:rPr>
        <w:t>2）投标人须在投标文件中填写/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有“正偏离”的，投标人须对“正偏离”的情况单独作出说明。</w:t>
      </w:r>
    </w:p>
    <w:p w14:paraId="74FF9409">
      <w:pPr>
        <w:pStyle w:val="61"/>
        <w:rPr>
          <w:rFonts w:ascii="宋体" w:hAnsi="宋体" w:cs="宋体"/>
          <w:b/>
          <w:color w:val="auto"/>
          <w:szCs w:val="21"/>
          <w:highlight w:val="none"/>
        </w:rPr>
      </w:pPr>
    </w:p>
    <w:tbl>
      <w:tblPr>
        <w:tblStyle w:val="32"/>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693"/>
        <w:gridCol w:w="1386"/>
        <w:gridCol w:w="4027"/>
        <w:gridCol w:w="587"/>
        <w:gridCol w:w="533"/>
        <w:gridCol w:w="773"/>
        <w:gridCol w:w="1067"/>
      </w:tblGrid>
      <w:tr w14:paraId="750B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3B33E9AD">
            <w:pPr>
              <w:rPr>
                <w:rFonts w:hint="eastAsia" w:asciiTheme="minorEastAsia" w:hAnsiTheme="minorEastAsia" w:eastAsiaTheme="minorEastAsia" w:cstheme="minorEastAsia"/>
                <w:color w:val="auto"/>
                <w:sz w:val="21"/>
                <w:szCs w:val="21"/>
                <w:highlight w:val="none"/>
                <w:vertAlign w:val="baseline"/>
                <w:lang w:val="en-US" w:eastAsia="zh-CN"/>
              </w:rPr>
            </w:pPr>
            <w:bookmarkStart w:id="315" w:name="_Toc2245"/>
            <w:bookmarkStart w:id="316" w:name="_Toc2348"/>
            <w:bookmarkStart w:id="317" w:name="_Toc17907"/>
            <w:bookmarkStart w:id="318" w:name="_Toc30534"/>
            <w:r>
              <w:rPr>
                <w:rFonts w:hint="eastAsia" w:asciiTheme="minorEastAsia" w:hAnsiTheme="minorEastAsia" w:eastAsiaTheme="minorEastAsia" w:cstheme="minorEastAsia"/>
                <w:color w:val="auto"/>
                <w:sz w:val="21"/>
                <w:szCs w:val="21"/>
                <w:highlight w:val="none"/>
                <w:vertAlign w:val="baseline"/>
                <w:lang w:val="en-US" w:eastAsia="zh-CN"/>
              </w:rPr>
              <w:t>项号</w:t>
            </w:r>
          </w:p>
        </w:tc>
        <w:tc>
          <w:tcPr>
            <w:tcW w:w="693" w:type="dxa"/>
            <w:vAlign w:val="center"/>
          </w:tcPr>
          <w:p w14:paraId="070E5C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标的名称</w:t>
            </w:r>
          </w:p>
        </w:tc>
        <w:tc>
          <w:tcPr>
            <w:tcW w:w="5413" w:type="dxa"/>
            <w:gridSpan w:val="2"/>
            <w:vAlign w:val="center"/>
          </w:tcPr>
          <w:p w14:paraId="3CBAA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技术参数</w:t>
            </w:r>
          </w:p>
        </w:tc>
        <w:tc>
          <w:tcPr>
            <w:tcW w:w="587" w:type="dxa"/>
            <w:vAlign w:val="center"/>
          </w:tcPr>
          <w:p w14:paraId="689E7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数量</w:t>
            </w:r>
          </w:p>
        </w:tc>
        <w:tc>
          <w:tcPr>
            <w:tcW w:w="533" w:type="dxa"/>
            <w:vAlign w:val="center"/>
          </w:tcPr>
          <w:p w14:paraId="0327DB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单位</w:t>
            </w:r>
          </w:p>
        </w:tc>
        <w:tc>
          <w:tcPr>
            <w:tcW w:w="773" w:type="dxa"/>
            <w:vAlign w:val="center"/>
          </w:tcPr>
          <w:p w14:paraId="7B427C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参考单价（元）</w:t>
            </w:r>
          </w:p>
        </w:tc>
        <w:tc>
          <w:tcPr>
            <w:tcW w:w="1067" w:type="dxa"/>
            <w:vAlign w:val="center"/>
          </w:tcPr>
          <w:p w14:paraId="27D4E30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21"/>
                <w:szCs w:val="21"/>
                <w:highlight w:val="none"/>
                <w:u w:val="none"/>
                <w:lang w:val="en-US" w:eastAsia="zh-CN" w:bidi="ar-SA"/>
              </w:rPr>
            </w:pPr>
            <w:r>
              <w:rPr>
                <w:rStyle w:val="64"/>
                <w:rFonts w:hint="eastAsia" w:asciiTheme="minorEastAsia" w:hAnsiTheme="minorEastAsia" w:eastAsiaTheme="minorEastAsia" w:cstheme="minorEastAsia"/>
                <w:color w:val="auto"/>
                <w:sz w:val="21"/>
                <w:szCs w:val="21"/>
                <w:highlight w:val="none"/>
                <w:lang w:val="en-US" w:eastAsia="zh-CN" w:bidi="ar"/>
              </w:rPr>
              <w:t>合计</w:t>
            </w:r>
            <w:r>
              <w:rPr>
                <w:rStyle w:val="82"/>
                <w:rFonts w:hint="eastAsia" w:asciiTheme="minorEastAsia" w:hAnsiTheme="minorEastAsia" w:eastAsiaTheme="minorEastAsia" w:cstheme="minorEastAsia"/>
                <w:color w:val="auto"/>
                <w:sz w:val="21"/>
                <w:szCs w:val="21"/>
                <w:highlight w:val="none"/>
                <w:lang w:val="en-US" w:eastAsia="zh-CN" w:bidi="ar"/>
              </w:rPr>
              <w:t>（元）</w:t>
            </w:r>
          </w:p>
        </w:tc>
      </w:tr>
      <w:tr w14:paraId="3E01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79608114">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w:t>
            </w:r>
          </w:p>
        </w:tc>
        <w:tc>
          <w:tcPr>
            <w:tcW w:w="693" w:type="dxa"/>
            <w:vAlign w:val="center"/>
          </w:tcPr>
          <w:p w14:paraId="313ADE8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75英寸教学一体机</w:t>
            </w:r>
          </w:p>
        </w:tc>
        <w:tc>
          <w:tcPr>
            <w:tcW w:w="5413" w:type="dxa"/>
            <w:gridSpan w:val="2"/>
            <w:vAlign w:val="center"/>
          </w:tcPr>
          <w:p w14:paraId="51B8D873">
            <w:pP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一、侧边栏教学设计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1、整机全通道侧边栏快捷菜单包含如下小工具：批注、降半屏、截屏、放大镜、倒计时、日历、聚光灯、秒表、冻屏、倒数日、答题、节拍器。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2、整机全通道侧边栏支持使用批注小工具进行批注讲解，可切换书写笔颜色、截屏保存批注内容、清屏，可根据手与屏幕的接触面积自动调整板擦工具的大小。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3、整机全通道侧边栏快捷菜单支持快捷调节音量、亮度，支持自动亮度模式，支持点击静音按钮静音。</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4、教学中可以实时查看物联设备的连接情况，点击任意一台设备图标即可调出中控菜单进行管控。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5、整机和全部外接通道（HDMI、Type-C）下侧边栏支持设置倒数日。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6、整机全通道侧边栏支持倒计时、正计时功能；倒计时，输入某特定时间值，可精确到秒，点击开始进入倒计时；正计时，点击开始计时便自动开始，并实时显示时间。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7、教学支持放大任意区域内容；并可支持对未选中区域关灯处理，实现聚光灯效果。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二、整机系统设计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（一）电脑系统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1、CPU：</w:t>
            </w:r>
            <w:r>
              <w:rPr>
                <w:rFonts w:hint="eastAsia" w:asciiTheme="minorEastAsia" w:hAnsiTheme="minorEastAsia" w:eastAsiaTheme="minorEastAsia" w:cstheme="minorEastAsia"/>
                <w:color w:val="auto"/>
                <w:kern w:val="2"/>
                <w:sz w:val="21"/>
                <w:szCs w:val="21"/>
                <w:highlight w:val="none"/>
                <w:lang w:val="en-US" w:eastAsia="zh-CN" w:bidi="ar-SA"/>
              </w:rPr>
              <w:t>搭载Intel第12代酷睿系列 i5 CPU同性能及以上配置。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2、内存：8GB DDR4笔记本内存或以上配置。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3、硬盘：256GB或以上SSD固态硬盘。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4、PC模块可抽拉式插入整机，可实现无单独接线的插拔，和整机的连接采用万兆级接口，传输速率≥10Gbps。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5、采用按压式卡扣，无需工具就可快速拆卸电脑模块。</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6、PC模块的USB接口须为冗余备份接口，在正常使用整机的内置摄像头、内置麦克风功能时，USB接口不被占用，确保教师有足够的接口外接存储设备及显示设备。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7、具有独立非外扩展的视频输出接口：≥1路HDMI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8、具有独立非外拓展的电脑 USB 接口：至少具备 3个USB3.0 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★9、整机具备供电保护模块，能够检测内置电脑是否插好在位，在内置电脑未在位的情况下，内置电脑无法上电工作。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（二）触摸系统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★1、采用红外触控技术，支持Windows系统中进行40点或以上触控，支持在Android系统中进行40点或以上触控。</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2、整机屏幕触摸有效识别高度不超过1.5mm，即触摸物体距离玻璃外表面高度不超过1.5mm时，触摸屏识别为点击操作。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3、整机触控书写功能集成预测算法，在书写速度≥50cm/s，支持笔迹距离笔的距离小于20mm。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4、整机系统支持书写触控延迟≤25ms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★5、整机支持提笔书写，在Windows系统下可实现无需点击任意功能入口，当检测到红外笔笔尖接触屏幕时，自动进入书写模式。</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6、支持智能板擦功能，系统可根据触控物体的形状自动识别出实物板擦，可擦除电子白板中的内容，无需依赖外部电子设备。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7、支持Windows 7、Windows 10、Windows 11、Linux、Mac Os、UOS和麒麟系统外置电脑操作系统接入时，无需安装触摸驱动。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★8、整机触摸支持动态压力感应，支持无任何电子功能的普通书写笔在整机上书写或点压时，整机能感应压力变化，书写或点压过程笔迹呈现不同粗细。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（三）嵌入式系统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r>
              <w:rPr>
                <w:rFonts w:hint="eastAsia" w:asciiTheme="minorEastAsia" w:hAnsiTheme="minorEastAsia" w:eastAsiaTheme="minorEastAsia" w:cstheme="minorEastAsia"/>
                <w:color w:val="auto"/>
                <w:kern w:val="0"/>
                <w:szCs w:val="21"/>
                <w:highlight w:val="none"/>
                <w:u w:val="none"/>
                <w:lang w:bidi="ar"/>
              </w:rPr>
              <w:t>整机嵌入式系统版本≥Android 14，主频≥1.8GHz，</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内存≥2GB，存储空间≥8GB。</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2、嵌入式Android操作系统下，白板支持对已经书写的笔迹和形状的颜色进行更换。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3、在嵌入式系统下使用白板软件时，整机可自行调节屏幕亮度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4、嵌入式Android操作系统下，互动白板支持不同背景颜色，同时提供学科背景，如：五线谱、信纸、田字格、英文格、篮球和足球场地平面图。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6、无PC状态下，嵌入式系统内置互动白板支持全局漫游，并能在工具栏中对全局内容进行预览和移动。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7、无PC状态下，嵌入式Android操作系统下可使用白板书写、WPS软件和网页浏览。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三、整机屏幕设计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1、整机采用一体设计，外部无任何可见内部功能模块连接线。整机采用全金属外壳设计，边角采用弧形设计，表面无尖锐边缘或凸起。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2、整机屏幕边缘采用金属圆角包边防护，整机背板采用金属材质，有效屏蔽内部电路器件辐射；防潮耐盐雾蚀锈，适应多种教学环境。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★3、整机屏幕采用≥75英寸液晶显示器，采用UHD超高清LED液晶屏，显示比例16:9，分辨率3840×2160，色域覆盖率（NTSC）≥72%，灰度等级≥256级。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4、整机采用全物理钢化玻璃，有效保护屏幕显示画面，采用防眩光玻璃，屏幕支持防眩光功能，钢化玻璃表面硬度≥9H。</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5、整机背光系统支持DC调光方式，多级亮度调节，支持白颜色背景下最暗亮度≤100nit，用于提升显示对比度。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★6、整机采用硬件低蓝光背光技术，在源头减少有害蓝光波段能量，蓝光占比（有害蓝光415～455nm能量综合）/（整体蓝光400～500能量综合）≤50%，低蓝光保护显示不偏色、不泛黄。</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7、整机支持支持可自定义图像设置，可对对比度、屏幕色温、图像亮度、亮度范围、色彩空间进行更进一步调节设置。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★8、整机支持色彩空间可选，包含标准模式和sRGB模式，在sRGB模式下可做到高色准△E≤1.0。</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四、整机接口设计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1、侧置输入接口具备≥2路HDMI、≥1路RS232、≥1路USB接口。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2、侧置输出接口具备≥1路音频输出、≥1路触控USB输出。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3、前置输入接口≥3路USB接口（包含≥1路Type-C、≥2路USB），前置USB接口支持Android系统、Windows系统读取外接移动存储设备。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★4、整机具备前置Type-C接口，type-C 支持最大充电功率15W，通过Type-C接口实现音视频输入，即可把外接电脑设备画面投到整机上，同时在整机上操作画面，可实现触摸电脑的操作，无需再连接触控USB线。</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5、外接电脑设备连接至整机，可调用整机内置的摄像头、麦克风、扬声器，在外接电脑即可控制整机拍摄教室画面。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6、支持通过Type-C接口U盘进行文件传输，兼容Type-C接口手机充电。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五、教学音视频设计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★1、上边框内置非独立式≥3个智能拼接摄像头，视场角≥141度，水平视场角≥139度，支持输出≥8192×2048分辨率的照片和视频，支持画面畸变矫正功能 。</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★2、整机内置至少三个摄像头，像素值均大于800 万，同时输出至少 3 路视频流，同时支持课堂远程巡课、课堂教学数据采集、本地画面预览（拍照或视频录制）。</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3、具备摄像头工作指示灯，摄像头运行时，有指示灯提示。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★4、整机上边框内置广角高清摄像头，在距离整机1.7米情况下，且拍摄范围可以覆盖摄像头垂直法线左右距离大于等于4米，可以实现人脸识别。</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5、整机上边框内置广角摄像头和智能拼接摄像头， 均支持 3D 降噪算法和数字宽动态范围成像WDR 技术，支持输出 MJPG、 H.264 视频格式。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★6、整机摄像头支持人脸识别、清点人数、随机抽人；识别所有学生，显示标记，然后随机抽选，同时显示标记不少于60人。</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7、整机可选择高级音效设置，支持在左右声道平衡显示范围中进行更改；中低频段显示调节范围125Hz～1KHz，高频段显示调节范围 2KHz～16KHz，分贝显示-12dB～12dB 调节范围。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8、整机扬声器在100%音量下，可做到1米处声压级≥88db，10米处声压级≥79dB。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★9、整机内置2.2声道扬声器，位于设备上边框，前朝向≥10W高音扬声器≥2个，上朝向≥20W中低音扬声器≥2个，额定总功率≥60W。采用缝隙发声技术，喇叭采用槽式开口设计，不大于5.8mm。</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★10、整机内置非独立外扩展的8阵列麦克风，拾音角度≥180°，可用于对教室环境音频进行采集，拾音距离≥12m。</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11、整机PC端支持主动发现蓝牙外设从而连接（无需整机进入发现模式），支持连接外部蓝牙音箱播放音频。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★12、支持标准、听力、观影和AI空间感知音效模式，AI空间感知音效模式可通过内置麦克风采集教室物理环境声音，自动生成符合当前教室物理环境的频段、音量、音效。</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六、教学功能设计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1、支持通过数字账号、微信二维码、硬件密钥方式登录教师个人账号。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2、移动端支持教师/家长双重身份无缝切换，软件内可直接切换账户类型，无需安装多个APP应用或退出账号重新登录。</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★3、兼容多平台系统，可在PC、Web、安卓、iOS等系统使用，且各终端数据互通，教师可多场景下对学生进行管理与评价。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4、支持汇总查看校内的班级评价排名，可以列表形式查看班主任、班级学生数、家长数、班级代码等信息。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5、三合一电源按键，同一电源物理按键完成Android系统和Windows系统的开机、节能熄屏、关机操作；关机状态下按按键开机；开机状态下按按键实现节能熄屏/唤醒，长按按键实现关机。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6、设备支持通过前置面板物理按键一键启动录屏功能，可将屏幕中显示的课件、音频内容与人声同时录制。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8、整机支持自定义图像设置，可对对比度、屏幕色温、图像亮度、亮度范围、色彩空间调节设置。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★9、整机关机状态下，通过长按电源键进入设置界面后，可点击屏幕选择故障检测、系统还原功能，系统还原可单独还原PC系统，单独还原整机系统。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10、整机无需外接无线网卡，在Android和Windows系统下可实现Wi-Fi无线上网连接、AP无线热点发射和BT蓝牙连接功能。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11、整机支持蓝牙Bluetooth 5.4标准，固件版本号HCI13.0/LMP13.0。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★12、整机支持发出频率为18kHz-22kHz超声波信号，智能手机通过麦克风接收后，智能手机与整机无需在同一局域网内，可实现配对，一键投屏，用户无需手动输入投屏码或扫码获取投屏码。</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13、整机内置双WiFi6无线网卡，在Android下支持无线设备同时连接数量≥32个，在Windows系统下支持无线设备同时连接≥8个。</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14、整机设备教学桌面支持教学常用的教学白板软件和文件管理软件软件；教学桌面首页支持自定义桌面应用，支持展示8个应用入口。并提供进入本机所有应用的入口。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★15、整机全通道支持纸质护眼模式，可实现画面纹理的实时调整；支持纸质纹理：牛皮纸、素描纸、宣纸、水彩纸、水纹纸；支持透明度调节；支持色温调节。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七、教学教研设计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听课评课数据详情：全校听评课数据统一汇总，数据包含全校本月评课节数，本月评课次数，累计评课节数和累计评课次数，了解听评课教研活动的开展情况。支持按评课人数/评课平均分查看全校排行详细数据。</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4、发起集备：支持选择教案.课件.胶囊资源上传发起集备研讨，支持设置多重访问权限，通过手机号搜索即可邀请外校老师，可用于跨校教研场景。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5、进入集备：支持搜索集备名称/老师昵称.或按照学科/学段/年级/教材章节.我参与的/我发起的几个维度进行筛选查看，支持电脑端进入集备页面。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6、集备研讨：参备人可通过评论区发表观点，可对他人评论的观点进行点赞，评论消息支持实时提醒，支持图片的上传。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7、在线批注：参备人在可在线对教案进行随文式批注，追加批注，回复以及查看实时批注消息。支持对课件进行打点式批注，可通过批注定位研讨内容，完成协同备课。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8、稿件编辑：完成本次研讨后，主备人可直接进入编辑页面编辑课件/教案，发布新稿件后，备课组进入下一轮研讨，更新稿件后会给参备老师同步教研动态。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八、教学备授课软件设计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（一）白板教学PC端应用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★1、教学系统为全校教师提供可扩展，易于学校管理，安全可靠的云存储空间，根据每名教师使用时长与教学资料制作频率提供可扩展升级至不小于200G的个人云空间。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3、互动教学课件支持定向精准分享：分享者可将互动课件、课件组精准推送至指定接收方账号云空间，接收方可在云空间接收并打开分享课件。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6、支持软件联网自动静默升级，无需用户手动更新。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7、课件背景：提供不少于8种以上背景模板供老师选择，持自定义背景。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★10、智能配对游戏：支持创建配对游戏，教师可随意将知识点进行配对。当开始配对游戏时，拖动知识点进行配对，系统将自动判断是否正确。系统至少提供7种游戏模版，且模版样式支持自定义修改。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11、分组竞争游戏：支持创建分组竞争游戏，教师可设置正确项／干扰项，让两组学生开展竞争游戏。系统提供不少于 3 种难度、10种游戏模版选择，且模版样式支持自定义修改。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★12、数学公式编辑器：支持复杂数学公式输入，提供不少于 20 个数学符号及模板，输出的公式内容支持不同颜色标记及二次编辑。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13、数学画板功能：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a)能在白板中插入在线画板，授课时可以一键打开,方便老师配合课件内容进行讲解。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b)提供不少于 500 个数学画板资源，覆盖小学、初中、高中学段数学学科主要知识点，并按照知识点分类，便于老师查找。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15、表格：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a)具有表格插入功能，并提供5种以上表格样式供老师选择。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b)表格能自适应，可一键将表格的行、列调整到最合适的大小。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c)具有表格遮罩功能，可对表格中任意一格添加遮罩，在授课模式下通过点击可消除遮罩，方便老师设置互动活动。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d)在授课模式下，支持表格克隆功能，可克隆出多个相同表格，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方便老师请多位同学进行答题互动。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16、图表：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a)具有图表插入功能，并提供柱状图、扇形图、折线图 3 种图表形式，且每种形式提供不少于5种样式供选择。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b)具有图表二维及三维展示形式任意切换，且三维图表支持旋转，方便多角度展示数据变化。</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c)具有图表添加超链接，可连接至课件其他页面、网页、软件自带小工具等地方。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d)在授课模式下，支持图表克隆功能，可克隆出多个相同图表，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方便老师进行对比观察。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★17、古诗词资源：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a)提供覆盖多学段的古诗词、古文资源，包含原文、翻译、背景介绍、作者介绍、朗诵音频等。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b)支持用户根据年级、朝代、诗人等进行分类查找，也可直接搜索诗词、古文名称或作者名查找。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c)提供不少于9种古诗词专用背景模板，老师可贴合古诗词意境选择合适背景进行教学。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d)每篇古诗词、古文均提供原文及翻译、背景介绍、作者介绍等，同时支持一键跳转打开网页，展示对应的背景或作者介绍。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e)支持老师备课时对原文进行注释、标重点等操作，方便老师讲解重点字词。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f)提供原文朗读功能，全部诗词、古文均配备专业朗读配音，且支持老师在备课时对朗读音频进行打点操作，上课时可播放提前选择好的片段。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★19、美术画板：具有美术画板工具，提供铅笔、毛笔、油画笔，可实现模拟调色盘功能，老师可自由选择不同颜色进行混合调色，搭配出任意色彩。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20、美术工具：具备图形自由创作工具，教师可自由绘制复杂的任意多边图形及曲边图形；教师自主创作的图形可存储至个人云空间便于后续使用。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（二）白板软件移动端应用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1、课件预览保留课件对象拖拽移动、克隆复制、置顶、删除等互动功能，并可通过移动端进行思维导图、课堂互动游戏的触控交互操作，并支持显示课件备注内容。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2、可在移动平台选择是否接收获取的分享课件，接收后课件储存至个人云空间，可在移动平台的互动课件列表预览。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3、移动平台可对云空间互动课件和课件组移动、删除和重命名，课件及课件组支持批量移动、删除。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4、移动平台可将课件通过微信、朋友圈、云空间帐号、二维码、公开链接、加密链接等方式进行分享，分享有效期支持自定义。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★5、移动平台可查看教师个人云空间里所有互动课件列表，并可打开互动课件进行预览，预览时支持上下翻页、页面缩略图预览、页面跳转。</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6、移动平台可以上传手机相册中的照片和视频到资料夹，且能调用系统相机拍摄照片并直接上传。教师可以在备课端选择资源插入课件。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九、教学PPT小工具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1、不借助其他软件情况下，播放PPT时即可实现书写、擦除功能；可支持课件所有页面的预览、可随意进行页面跳转和实现上下翻页。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2、不借助其他软件情况下，播放PPT时即可支持板中板功能，直接调用板中板辅助教学，可实现批注及加页，不影响课件整体内容。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4、不借助其他软件情况下，播放PPT时即可调用放大镜、聚光灯小工具辅助教学。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十、产品售后保障服务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全国24小时400电话保修。</w:t>
            </w:r>
          </w:p>
        </w:tc>
        <w:tc>
          <w:tcPr>
            <w:tcW w:w="587" w:type="dxa"/>
            <w:vAlign w:val="center"/>
          </w:tcPr>
          <w:p w14:paraId="5AB5E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66</w:t>
            </w:r>
          </w:p>
        </w:tc>
        <w:tc>
          <w:tcPr>
            <w:tcW w:w="533" w:type="dxa"/>
            <w:vAlign w:val="center"/>
          </w:tcPr>
          <w:p w14:paraId="42CCA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73" w:type="dxa"/>
            <w:vAlign w:val="center"/>
          </w:tcPr>
          <w:p w14:paraId="2AA0CF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23500</w:t>
            </w:r>
          </w:p>
        </w:tc>
        <w:tc>
          <w:tcPr>
            <w:tcW w:w="1067" w:type="dxa"/>
            <w:vAlign w:val="center"/>
          </w:tcPr>
          <w:p w14:paraId="49181E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1551000</w:t>
            </w:r>
          </w:p>
        </w:tc>
      </w:tr>
      <w:tr w14:paraId="7844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0F9D61F8">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2</w:t>
            </w:r>
          </w:p>
        </w:tc>
        <w:tc>
          <w:tcPr>
            <w:tcW w:w="693" w:type="dxa"/>
            <w:vAlign w:val="center"/>
          </w:tcPr>
          <w:p w14:paraId="14CA035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86英寸教学一体机含支架（移动）</w:t>
            </w:r>
          </w:p>
        </w:tc>
        <w:tc>
          <w:tcPr>
            <w:tcW w:w="5413" w:type="dxa"/>
            <w:gridSpan w:val="2"/>
            <w:vAlign w:val="center"/>
          </w:tcPr>
          <w:p w14:paraId="3CD7144D">
            <w:pPr>
              <w:pStyle w:val="12"/>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一、侧边栏教学设计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1、整机全通道侧边栏快捷菜单包含如下小工具：批注、降半屏、截屏、放大镜、倒计时、日历、聚光灯、秒表、冻屏、倒数日、答题、节拍器。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2、整机全通道侧边栏支持使用批注小工具进行批注讲解，可切换书写笔颜色、截屏保存批注内容、清屏，可根据手与屏幕的接触面积自动调整板擦工具的大小。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3、整机全通道侧边栏快捷菜单支持快捷调节音量、亮度，支持自动亮度模式，支持点击静音按钮静音。</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4、教学中可以实时查看物联设备的连接情况，点击任意一台设备图标即可调出中控菜单进行管控。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整机和全部外接通道（HDMI、Type-C）下侧边栏支持设置倒数日。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6、整机全通道侧边栏支持倒计时、正计时功能；倒计时，输入某特定时间值，可精确到秒，点击开始进入倒计时；正计时，点击开始计时便自动开始，并实时显示时间。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7、教学支持放大任意区域内容；并可支持对未选中区域关灯处理，实现聚光灯效果。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二、整机系统设计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（一）电脑系统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1、CPU：</w:t>
            </w:r>
            <w:r>
              <w:rPr>
                <w:rFonts w:hint="eastAsia" w:asciiTheme="minorEastAsia" w:hAnsiTheme="minorEastAsia" w:eastAsiaTheme="minorEastAsia" w:cstheme="minorEastAsia"/>
                <w:color w:val="auto"/>
                <w:kern w:val="2"/>
                <w:sz w:val="21"/>
                <w:szCs w:val="21"/>
                <w:highlight w:val="none"/>
                <w:lang w:val="en-US" w:eastAsia="zh-CN" w:bidi="ar-SA"/>
              </w:rPr>
              <w:t>搭载Intel第12代酷睿系列 i5 CPU同性能及以上配置。</w:t>
            </w:r>
          </w:p>
          <w:p w14:paraId="071ACDA5">
            <w:pP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2、内存：8GB DDR4笔记本内存或以上配置。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3、硬盘：256GB或以上SSD固态硬盘。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4、PC模块可抽拉式插入整机，可实现无单独接线的插拔，和整机的连接采用万兆级接口，传输速率≥10Gbps。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5、采用按压式卡扣，无需工具就可快速拆卸电脑模块。</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6、PC模块的USB接口须为冗余备份接口，在正常使用整机的内置摄像头、内置麦克风功能时，USB接口不被占用，确保教师有足够的接口外接存储设备及显示设备。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7、具有独立非外扩展的视频输出接口：≥1路HDMI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8、具有独立非外拓展的电脑 USB 接口：至少具备 3个USB3.0 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★9、整机具备供电保护模块，能够检测内置电脑是否插好在位，在内置电脑未在位的情况下，内置电脑无法上电工作。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（二）触摸系统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★1、采用红外触控技术，支持Windows系统中进行40点或以上触控，支持在Android系统中进行40点或以上触控。</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2、整机屏幕触摸有效识别高度不超过1.5mm，即触摸物体距离玻璃外表面高度不超过1.5mm时，触摸屏识别为点击操作。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3、整机触控书写功能集成预测算法，在书写速度≥50cm/s，支持笔迹距离笔的距离小于20mm。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4、整机系统支持书写触控延迟≤25ms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★5、整机支持提笔书写，在Windows系统下可实现无需点击任意功能入口，当检测到红外笔笔尖接触屏幕时，自动进入书写模式。</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6、支持智能板擦功能，系统可根据触控物体的形状自动识别出实物板擦，可擦除电子白板中的内容，无需依赖外部电子设备。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7、支持Windows 7、Windows 10、Windows 11、Linux、Mac Os、UOS和麒麟系统外置电脑操作系统接入时，无需安装触摸驱动。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★8、整机触摸支持动态压力感应，支持无任何电子功能的普通书写笔在整机上书写或点压时，整机能感应压力变化，书写或点压过程笔迹呈现不同粗细。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（三）嵌入式系统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r>
              <w:rPr>
                <w:rFonts w:hint="eastAsia" w:asciiTheme="minorEastAsia" w:hAnsiTheme="minorEastAsia" w:eastAsiaTheme="minorEastAsia" w:cstheme="minorEastAsia"/>
                <w:color w:val="auto"/>
                <w:kern w:val="0"/>
                <w:szCs w:val="21"/>
                <w:highlight w:val="none"/>
                <w:u w:val="none"/>
                <w:lang w:bidi="ar"/>
              </w:rPr>
              <w:t>整机嵌入式系统版本≥Android 14，主频≥1.8GHz，内存≥2GB，存储空间≥8GB。</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2、嵌入式Android操作系统下，白板支持对已经书写的笔迹和形状的颜色进行更换。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3、在嵌入式系统下使用白板软件时，整机可自行调节屏幕亮度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4、嵌入式Android操作系统下，互动白板支持不同背景颜色，同时提供学科背景，如：五线谱、信纸、田字格、英文格、篮球和足球场地平面图。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6、无PC状态下，嵌入式系统内置互动白板支持全局漫游，并能在工具栏中对全局内容进行预览和移动。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7、无PC状态下，嵌入式Android操作系统下可使用白板书写、WPS软件和网页浏览。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三、整机屏幕设计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1、整机采用一体设计，外部无任何可见内部功能模块连接线。整机采用全金属外壳设计，边角采用弧形设计，表面无尖锐边缘或凸起。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2、整机屏幕边缘采用金属圆角包边防护，整机背板采用金属材质，有效屏蔽内部电路器件辐射；防潮耐盐雾蚀锈，适应多种教学环境。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★3、整机屏幕采用≥86英寸液晶显示器，采用UHD超高清LED液晶屏，显示比例16:9，分辨率3840×2160，色域覆盖率（NTSC）≥72%，灰度等级≥256级。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4、整机采用全物理钢化玻璃，有效保护屏幕显示画面，采用防眩光玻璃，屏幕支持防眩光功能，钢化玻璃表面硬度≥9H。</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5、整机背光系统支持DC调光方式，多级亮度调节，支持白颜色背景下最暗亮度≤100nit，用于提升显示对比度。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★6、整机采用硬件低蓝光背光技术，在源头减少有害蓝光波段能量，蓝光占比（有害蓝光415～455nm能量综合）/（整体蓝光400～500能量综合）≤50%，低蓝光保护显示不偏色、不泛黄。</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7、整机支持支持可自定义图像设置，可对对比度、屏幕色温、图像亮度、亮度范围、色彩空间进行更进一步调节设置。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★8、整机支持色彩空间可选，包含标准模式和sRGB模式，在sRGB模式下可做到高色准△E≤1.0。</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四、整机接口设计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1、侧置输入接口具备≥2路HDMI、≥1路RS232、≥1路USB接口。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2、侧置输出接口具备≥1路音频输出、≥1路触控USB输出。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3、前置输入接口≥3路USB接口（包含≥1路Type-C、≥2路USB），前置USB接口支持Android系统、Windows系统读取外接移动存储设备。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★4、整机具备前置Type-C接口，type-C 支持最大充电功率15W，通过Type-C接口实现音视频输入，即可把外接电脑设备画面投到整机上，同时在整机上操作画面，可实现触摸电脑的操作，无需再连接触控USB线。</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5、外接电脑设备连接至整机，可调用整机内置的摄像头、麦克风、扬声器，在外接电脑即可控制整机拍摄教室画面。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6、支持通过Type-C接口U盘进行文件传输，兼容Type-C接口手机充电。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五、教学音视频设计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★1、上边框内置非独立式≥3个智能拼接摄像头，视场角≥141度，水平视场角≥139度，支持输出≥8192×2048分辨率的照片和视频，支持画面畸变矫正功能 。</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★2、整机内置至少三个摄像头，像素值均大于800 万，同时输出至少 3 路视频流，同时支持课堂远程巡课、课堂教学数据采集、本地画面预览（拍照或视频录制）。</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、具备摄像头工作指示灯，摄像头运行时，有指示灯提示。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★4、整机上边框内置广角高清摄像头，在距离整机1.7米情况下，且拍摄范围可以覆盖摄像头垂直法线左右距离大于等于4米，可以实现人脸识别。</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5、整机上边框内置广角摄像头和智能拼接摄像头， 均支持 3D 降噪算法和数字宽动态范围成像WDR 技术，支持输出 MJPG、 H.264 视频格式。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★6、整机摄像头支持人脸识别、清点人数、随机抽人；识别所有学生，显示标记，然后随机抽选，同时显示标记不少于60人。</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8、整机可选择高级音效设置，支持在左右声道平衡显示范围中进行更改；中低频段显示调节范围125Hz～1KHz，高频段显示调节范围 2KHz～16KHz，分贝显示-12dB～12dB 调节范围。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9、整机扬声器在100%音量下，可做到1米处声压级≥88db，10米处声压级≥79dB。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★10、整机内置2.2声道扬声器，位于设备上边框，前朝向≥10W高音扬声器≥2个，上朝向≥20W中低音扬声器≥2个，额定总功率≥60W。采用缝隙发声技术，喇叭采用槽式开口设计，不大于5.8mm。</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★11、整机内置非独立外扩展的8阵列麦克风，拾音角度≥180°，可用于对教室环境音频进行采集，拾音距离≥12m。</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12、整机PC端支持主动发现蓝牙外设从而连接（无需整机进入发现模式），支持连接外部蓝牙音箱播放音频。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★13、支持标准、听力、观影和AI空间感知音效模式，AI空间感知音效模式可通过内置麦克风采集教室物理环境声音，自动生成符合当前教室物理环境的频段、音量、音效。</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六、教学功能设计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1、支持通过数字账号、微信二维码、硬件密钥方式登录教师个人账号。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2、移动端支持教师/家长双重身份无缝切换，软件内可直接切换账户类型，无需安装多个APP应用或退出账号重新登录。</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★3、兼容多平台系统，可在PC、Web、安卓、iOS等系统使用，且各终端数据互通，教师可多场景下对学生进行管理与评价。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4、支持汇总查看校内的班级评价排名，可以列表形式查看班主任、班级学生数、家长数、班级代码等信息。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5、三合一电源按键，同一电源物理按键完成Android系统和Windows系统的开机、节能熄屏、关机操作；关机状态下按按键开机；开机状态下按按键实现节能熄屏/唤醒，长按按键实现关机。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6、设备支持通过前置面板物理按键一键启动录屏功能，可将屏幕中显示的课件、音频内容与人声同时录制。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8、整机支持自定义图像设置，可对对比度、屏幕色温、图像亮度、亮度范围、色彩空间调节设置。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★9、整机关机状态下，通过长按电源键进入设置界面后，可点击屏幕选择故障检测、系统还原功能，系统还原可单独还原PC系统，单独还原整机系统。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10、整机无需外接无线网卡，在Android和Windows系统下可实现Wi-Fi无线上网连接、AP无线热点发射和BT蓝牙连接功能。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11、整机支持蓝牙Bluetooth 5.4标准，固件版本号HCI13.0/LMP13.0。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★12、整机支持发出频率为18kHz-22kHz超声波信号，智能手机通过麦克风接收后，智能手机与整机无需在同一局域网内，可实现配对，一键投屏，用户无需手动输入投屏码或扫码获取投屏码。</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13、整机内置双WiFi6无线网卡，在Android下支持无线设备同时连接数量≥32个，在Windows系统下支持无线设备同时连接≥8个。</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14、整机设备教学桌面支持教学常用的教学白板软件和文件管理软件软件；教学桌面首页支持自定义桌面应用，支持展示8个应用入口。并提供进入本机所有应用的入口。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★15、整机全通道支持纸质护眼模式，可实现画面纹理的实时调整；支持纸质纹理：牛皮纸、素描纸、宣纸、水彩纸、水纹纸；支持透明度调节；支持色温调节。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七、教学教研设计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听课评课数据详情：全校听评课数据统一汇总，数据包含全校本月评课节数，本月评课次数，累计评课节数和累计评课次数，了解听评课教研活动的开展情况。支持按评课人数/评课平均分查看全校排行详细数据。</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4、发起集备：支持选择教案.课件.胶囊资源上传发起集备研讨，支持设置多重访问权限，通过手机号搜索即可邀请外校老师，可用于跨校教研场景。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5、进入集备：支持搜索集备名称/老师昵称.或按照学科/学段/年级/教材章节.我参与的/我发起的几个维度进行筛选查看，支持电脑端进入集备页面。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6、集备研讨：参备人可通过评论区发表观点，可对他人评论的观点进行点赞，评论消息支持实时提醒，支持图片的上传。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7、在线批注：参备人在可在线对教案进行随文式批注，追加批注，回复以及查看实时批注消息。支持对课件进行打点式批注，可通过批注定位研讨内容，完成协同备课。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8、稿件编辑：完成本次研讨后，主备人可直接进入编辑页面编辑课件/教案，发布新稿件后，备课组进入下一轮研讨，更新稿件后会给参备老师同步教研动态。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八、教学备授课软件设计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（一）白板教学PC端应用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★1、教学系统为全校教师提供可扩展，易于学校管理，安全可靠的云存储空间，根据每名教师使用时长与教学资料制作频率提供可扩展升级至不小于200G的个人云空间。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3、互动教学课件支持定向精准分享：分享者可将互动课件、课件组精准推送至指定接收方账号云空间，接收方可在云空间接收并打开分享课件。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6、支持软件联网自动静默升级，无需用户手动更新。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7、课件背景：提供不少于8种以上背景模板供老师选择，持自定义背景。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★10、智能配对游戏：支持创建配对游戏，教师可随意将知识点进行配对。当开始配对游戏时，拖动知识点进行配对，系统将自动判断是否正确。系统至少提供7种游戏模版，且模版样式支持自定义修改。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11、分组竞争游戏：支持创建分组竞争游戏，教师可设置正确项／干扰项，让两组学生开展竞争游戏。系统提供不少于 3 种难度、10种游戏模版选择，且模版样式支持自定义修改。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★12、数学公式编辑器：支持复杂数学公式输入，提供不少于 20 个数学符号及模板，输出的公式内容支持不同颜色标记及二次编辑。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13、数学画板功能：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a)能在白板中插入在线画板，授课时可以一键打开,方便老师配合课件内容进行讲解。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b)提供不少于 500 个数学画板资源，覆盖小学、初中、高中学段数学学科主要知识点，并按照知识点分类，便于老师查找。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15、表格：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a)具有表格插入功能，并提供5种以上表格样式供老师选择。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b)表格能自适应，可一键将表格的行、列调整到最合适的大小。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c)具有表格遮罩功能，可对表格中任意一格添加遮罩，在授课模式下通过点击可消除遮罩，方便老师设置互动活动。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d)在授课模式下，支持表格克隆功能，可克隆出多个相同表格，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方便老师请多位同学进行答题互动。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16、图表：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a)具有图表插入功能，并提供柱状图、扇形图、折线图 3 种图表形式，且每种形式提供不少于5种样式供选择。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b)具有图表二维及三维展示形式任意切换，且三维图表支持旋转，方便多角度展示数据变化。</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c)具有图表添加超链接，可连接至课件其他页面、网页、软件自带小工具等地方。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d)在授课模式下，支持图表克隆功能，可克隆出多个相同图表，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方便老师进行对比观察。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★17、古诗词资源：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a)提供覆盖多学段的古诗词、古文资源，包含原文、翻译、背景介绍、作者介绍、朗诵音频等。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b)支持用户根据年级、朝代、诗人等进行分类查找，也可直接搜索诗词、古文名称或作者名查找。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c)提供不少于9种古诗词专用背景模板，老师可贴合古诗词意境选择合适背景进行教学。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d)每篇古诗词、古文均提供原文及翻译、背景介绍、作者介绍等，同时支持一键跳转打开网页，展示对应的背景或作者介绍。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e)支持老师备课时对原文进行注释、标重点等操作，方便老师讲解重点字词。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f)提供原文朗读功能，全部诗词、古文均配备专业朗读配音，且支持老师在备课时对朗读音频进行打点操作，上课时可播放提前选择好的片段。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★19、美术画板：具有美术画板工具，提供铅笔、毛笔、油画笔，可实现模拟调色盘功能，老师可自由选择不同颜色进行混合调色，搭配出任意色彩。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20、美术工具：具备图形自由创作工具，教师可自由绘制复杂的任意多边图形及曲边图形；教师自主创作的图形可存储至个人云空间便于后续使用。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（二）白板软件移动端应用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1、课件预览保留课件对象拖拽移动、克隆复制、置顶、删除等互动功能，并可通过移动端进行思维导图、课堂互动游戏的触控交互操作，并支持显示课件备注内容。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2、可在移动平台选择是否接收获取的分享课件，接收后课件储存至个人云空间，可在移动平台的互动课件列表预览。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3、移动平台可对云空间互动课件和课件组移动、删除和重命名，课件及课件组支持批量移动、删除。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4、移动平台可将课件通过微信、朋友圈、云空间帐号、二维码、公开链接、加密链接等方式进行分享，分享有效期支持自定义。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★5、移动平台可查看教师个人云空间里所有互动课件列表，并可打开互动课件进行预览，预览时支持上下翻页、页面缩略图预览、页面跳转。</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6、移动平台可以上传手机相册中的照片和视频到资料夹，且能调用系统相机拍摄照片并直接上传。教师可以在备课端选择资源插入课件。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九、教学PPT小工具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1、不借助其他软件情况下，播放PPT时即可实现书写、擦除功能；可支持课件所有页面的预览、可随意进行页面跳转和实现上下翻页。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2、不借助其他软件情况下，播放PPT时即可支持板中板功能，直接调用板中板辅助教学，可实现批注及加页，不影响课件整体内容。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4、不借助其他软件情况下，播放PPT时即可调用放大镜、聚光灯小工具辅助教学。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十、产品售后保障服务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全国24小时400电话保修。</w:t>
            </w:r>
          </w:p>
          <w:p w14:paraId="3B532426">
            <w:pPr>
              <w:numPr>
                <w:ilvl w:val="-1"/>
                <w:numId w:val="0"/>
              </w:numP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十一、配套移动支架</w:t>
            </w:r>
          </w:p>
          <w:p w14:paraId="5D2DCD44">
            <w:pP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1、移动支架通过防倾斜实验，正负10度倾斜角度下不能翻倒；</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2、承挂≥100kg，壁挂高度可调；整体高度≥1597mm；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3、托盘承重25KG,模具设置U型置物槽，方便触摸笔、遥控器等物品放置；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4、支撑立杆采用壁厚≥1.8mm方通冷轧钢材质，表面黑色喷涂；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5、脚轮为万向轮，聚氨酯（PU）材质，均带脚刹，直径不小于∮75mm；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6、脚轮中心距横向≥1115mm，纵向≥627mm</w:t>
            </w:r>
          </w:p>
        </w:tc>
        <w:tc>
          <w:tcPr>
            <w:tcW w:w="587" w:type="dxa"/>
            <w:vAlign w:val="center"/>
          </w:tcPr>
          <w:p w14:paraId="21ACD62D">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w:t>
            </w:r>
          </w:p>
        </w:tc>
        <w:tc>
          <w:tcPr>
            <w:tcW w:w="533" w:type="dxa"/>
            <w:vAlign w:val="center"/>
          </w:tcPr>
          <w:p w14:paraId="75A4CF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73" w:type="dxa"/>
            <w:vAlign w:val="center"/>
          </w:tcPr>
          <w:p w14:paraId="1ECFD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26000</w:t>
            </w:r>
          </w:p>
        </w:tc>
        <w:tc>
          <w:tcPr>
            <w:tcW w:w="1067" w:type="dxa"/>
            <w:vAlign w:val="center"/>
          </w:tcPr>
          <w:p w14:paraId="337C85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26000</w:t>
            </w:r>
          </w:p>
        </w:tc>
      </w:tr>
      <w:tr w14:paraId="2527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69EC9626">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3</w:t>
            </w:r>
          </w:p>
        </w:tc>
        <w:tc>
          <w:tcPr>
            <w:tcW w:w="693" w:type="dxa"/>
            <w:vAlign w:val="center"/>
          </w:tcPr>
          <w:p w14:paraId="7CC148B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86英寸教学一体机</w:t>
            </w:r>
          </w:p>
        </w:tc>
        <w:tc>
          <w:tcPr>
            <w:tcW w:w="5413" w:type="dxa"/>
            <w:gridSpan w:val="2"/>
            <w:vAlign w:val="center"/>
          </w:tcPr>
          <w:p w14:paraId="43672FFE">
            <w:pP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一、侧边栏教学设计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1、整机全通道侧边栏快捷菜单包含如下小工具：批注、降半屏、截屏、放大镜、倒计时、日历、聚光灯、秒表、冻屏、倒数日、答题、节拍器。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2、整机全通道侧边栏支持使用批注小工具进行批注讲解，可切换书写笔颜色、截屏保存批注内容、清屏，可根据手与屏幕的接触面积自动调整板擦工具的大小。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3、整机全通道侧边栏快捷菜单支持快捷调节音量、亮度，支持自动亮度模式，支持点击静音按钮静音。</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4、教学中可以实时查看物联设备的连接情况，点击任意一台设备图标即可调出中控菜单进行管控。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5、整机和全部外接通道（HDMI、Type-C）下侧边栏支持设置倒数日。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6、整机全通道侧边栏支持倒计时、正计时功能；倒计时，输入某特定时间值，可精确到秒，点击开始进入倒计时；正计时，点击开始计时便自动开始，并实时显示时间。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7、教学支持放大任意区域内容；并可支持对未选中区域关灯处理，实现聚光灯效果。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二、整机系统设计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（一）电脑系统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1、CPU：</w:t>
            </w:r>
            <w:r>
              <w:rPr>
                <w:rFonts w:hint="eastAsia" w:asciiTheme="minorEastAsia" w:hAnsiTheme="minorEastAsia" w:eastAsiaTheme="minorEastAsia" w:cstheme="minorEastAsia"/>
                <w:color w:val="auto"/>
                <w:kern w:val="2"/>
                <w:sz w:val="21"/>
                <w:szCs w:val="21"/>
                <w:highlight w:val="none"/>
                <w:lang w:val="en-US" w:eastAsia="zh-CN" w:bidi="ar-SA"/>
              </w:rPr>
              <w:t>搭载Intel第12代酷睿系列 i5 CPU同性能及以上配置。</w:t>
            </w:r>
          </w:p>
          <w:p w14:paraId="6886A504">
            <w:pP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2、内存：8GB DDR4笔记本内存或以上配置。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3、硬盘：256GB或以上SSD固态硬盘。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4、PC模块可抽拉式插入整机，可实现无单独接线的插拔，和整机的连接采用万兆级接口，传输速率≥10Gbps。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5、采用按压式卡扣，无需工具就可快速拆卸电脑模块。</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6、PC模块的USB接口须为冗余备份接口，在正常使用整机的内置摄像头、内置麦克风功能时，USB接口不被占用，确保教师有足够的接口外接存储设备及显示设备。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7、具有独立非外扩展的视频输出接口：≥1路HDMI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8、具有独立非外拓展的电脑 USB 接口：至少具备 3个USB3.0 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★9、整机具备供电保护模块，能够检测内置电脑是否插好在位，在内置电脑未在位的情况下，内置电脑无法上电工作。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（二）触摸系统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★1、采用红外触控技术，支持Windows系统中进行40点或以上触控，支持在Android系统中进行40点或以上触控。</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2、整机屏幕触摸有效识别高度不超过1.5mm，即触摸物体距离玻璃外表面高度不超过1.5mm时，触摸屏识别为点击操作。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3、整机触控书写功能集成预测算法，在书写速度≥50cm/s，支持笔迹距离笔的距离小于20mm。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4、整机系统支持书写触控延迟≤25ms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★5、整机支持提笔书写，在Windows系统下可实现无需点击任意功能入口，当检测到红外笔笔尖接触屏幕时，自动进入书写模式。</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6、支持智能板擦功能，系统可根据触控物体的形状自动识别出实物板擦，可擦除电子白板中的内容，无需依赖外部电子设备。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7、支持Windows 7、Windows 10、Windows 11、Linux、Mac Os、UOS和麒麟系统外置电脑操作系统接入时，无需安装触摸驱动。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★8、整机触摸支持动态压力感应，支持无任何电子功能的普通书写笔在整机上书写或点压时，整机能感应压力变化，书写或点压过程笔迹呈现不同粗细。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（三）嵌入式系统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r>
              <w:rPr>
                <w:rFonts w:hint="eastAsia" w:asciiTheme="minorEastAsia" w:hAnsiTheme="minorEastAsia" w:eastAsiaTheme="minorEastAsia" w:cstheme="minorEastAsia"/>
                <w:color w:val="auto"/>
                <w:kern w:val="0"/>
                <w:szCs w:val="21"/>
                <w:highlight w:val="none"/>
                <w:u w:val="none"/>
                <w:lang w:bidi="ar"/>
              </w:rPr>
              <w:t>整机嵌入式系统版本≥Android 14，主频≥1.8GHz，内存≥2GB，存储空间≥8GB。</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2、嵌入式Android操作系统下，白板支持对已经书写的笔迹和形状的颜色进行更换。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3、在嵌入式系统下使用白板软件时，整机可自行调节屏幕亮度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4、嵌入式Android操作系统下，互动白板支持不同背景颜色，同时提供学科背景，如：五线谱、信纸、田字格、英文格、篮球和足球场地平面图。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6、无PC状态下，嵌入式系统内置互动白板支持全局漫游，并能在工具栏中对全局内容进行预览和移动。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7、无PC状态下，嵌入式Android操作系统下可使用白板书写、WPS软件和网页浏览。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三、整机屏幕设计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1、整机采用一体设计，外部无任何可见内部功能模块连接线。整机采用全金属外壳设计，边角采用弧形设计，表面无尖锐边缘或凸起。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2、整机屏幕边缘采用金属圆角包边防护，整机背板采用金属材质，有效屏蔽内部电路器件辐射；防潮耐盐雾蚀锈，适应多种教学环境。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★3、整机屏幕采用≥86英寸液晶显示器，采用UHD超高清LED液晶屏，显示比例16:9，分辨率3840×2160，色域覆盖率（NTSC）≥72%，灰度等级≥256级。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4、整机采用全物理钢化玻璃，有效保护屏幕显示画面，采用防眩光玻璃，屏幕支持防眩光功能，钢化玻璃表面硬度≥9H。</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5、整机背光系统支持DC调光方式，多级亮度调节，支持白颜色背景下最暗亮度≤100nit，用于提升显示对比度。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★6、整机采用硬件低蓝光背光技术，在源头减少有害蓝光波段能量，蓝光占比（有害蓝光415～455nm能量综合）/（整体蓝光400～500能量综合）≤50%，低蓝光保护显示不偏色、不泛黄。</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7、整机支持支持可自定义图像设置，可对对比度、屏幕色温、图像亮度、亮度范围、色彩空间进行更进一步调节设置。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★8、整机支持色彩空间可选，包含标准模式和sRGB模式，在sRGB模式下可做到高色准△E≤1.0。</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四、整机接口设计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1、侧置输入接口具备≥2路HDMI、≥1路RS232、≥1路USB接口。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2、侧置输出接口具备≥1路音频输出、≥1路触控USB输出。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3、前置输入接口≥3路USB接口（包含≥1路Type-C、≥2路USB），前置USB接口支持Android系统、Windows系统读取外接移动存储设备。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★4、整机具备前置Type-C接口，type-C 支持最大充电功率15W，通过Type-C接口实现音视频输入，即可把外接电脑设备画面投到整机上，同时在整机上操作画面，可实现触摸电脑的操作，无需再连接触控USB线。</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5、外接电脑设备连接至整机，可调用整机内置的摄像头、麦克风、扬声器，在外接电脑即可控制整机拍摄教室画面。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6、支持通过Type-C接口U盘进行文件传输，兼容Type-C接口手机充电。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五、教学音视频设计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★1、上边框内置非独立式≥3个智能拼接摄像头，视场角≥141度，水平视场角≥139度，支持输出≥8192×2048分辨率的照片和视频，支持画面畸变矫正功能 。</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★2、整机内置至少三个摄像头，像素值均大于800 万，同时输出至少 3 路视频流，同时支持课堂远程巡课、课堂教学数据采集、本地画面预览（拍照或视频录制）。</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、具备摄像头工作指示灯，摄像头运行时，有指示灯提示。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★4、整机上边框内置广角高清摄像头，在距离整机1.7米情况下，且拍摄范围可以覆盖摄像头垂直法线左右距离大于等于4米，可以实现人脸识别。</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5、整机上边框内置广角摄像头和智能拼接摄像头， 均支持 3D 降噪算法和数字宽动态范围成像WDR 技术，支持输出 MJPG、 H.264 视频格式。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★6、整机摄像头支持人脸识别、清点人数、随机抽人；识别所有学生，显示标记，然后随机抽选，同时显示标记不少于60人。</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8、整机可选择高级音效设置，支持在左右声道平衡显示范围中进行更改；中低频段显示调节范围125Hz～1KHz，高频段显示调节范围 2KHz～16KHz，分贝显示-12dB～12dB 调节范围。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9、整机扬声器在100%音量下，可做到1米处声压级≥88db，10米处声压级≥79dB。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★10、整机内置2.2声道扬声器，位于设备上边框，前朝向≥10W高音扬声器≥2个，上朝向≥20W中低音扬声器≥2个，额定总功率≥60W。采用缝隙发声技术，喇叭采用槽式开口设计，不大于5.8mm。</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★11、整机内置非独立外扩展的8阵列麦克风，拾音角度≥180°，可用于对教室环境音频进行采集，拾音距离≥12m。</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12、整机PC端支持主动发现蓝牙外设从而连接（无需整机进入发现模式），支持连接外部蓝牙音箱播放音频。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★13、支持标准、听力、观影和AI空间感知音效模式，AI空间感知音效模式可通过内置麦克风采集教室物理环境声音，自动生成符合当前教室物理环境的频段、音量、音效。</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六、教学功能设计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1、支持通过数字账号、微信二维码、硬件密钥方式登录教师个人账号。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2、移动端支持教师/家长双重身份无缝切换，软件内可直接切换账户类型，无需安装多个APP应用或退出账号重新登录。</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★3、兼容多平台系统，可在PC、Web、安卓、iOS等系统使用，且各终端数据互通，教师可多场景下对学生进行管理与评价。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4、支持汇总查看校内的班级评价排名，可以列表形式查看班主任、班级学生数、家长数、班级代码等信息。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5、三合一电源按键，同一电源物理按键完成Android系统和Windows系统的开机、节能熄屏、关机操作；关机状态下按按键开机；开机状态下按按键实现节能熄屏/唤醒，长按按键实现关机。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6、设备支持通过前置面板物理按键一键启动录屏功能，可将屏幕中显示的课件、音频内容与人声同时录制。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8、整机支持自定义图像设置，可对对比度、屏幕色温、图像亮度、亮度范围、色彩空间调节设置。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★9、整机关机状态下，通过长按电源键进入设置界面后，可点击屏幕选择故障检测、系统还原功能，系统还原可单独还原PC系统，单独还原整机系统。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10、整机无需外接无线网卡，在Android和Windows系统下可实现Wi-Fi无线上网连接、AP无线热点发射和BT蓝牙连接功能。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11、整机支持蓝牙Bluetooth 5.4标准，固件版本号HCI13.0/LMP13.0。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★12、整机支持发出频率为18kHz-22kHz超声波信号，智能手机通过麦克风接收后，智能手机与整机无需在同一局域网内，可实现配对，一键投屏，用户无需手动输入投屏码或扫码获取投屏码。</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13、整机内置双WiFi6无线网卡，在Android下支持无线设备同时连接数量≥32个，在Windows系统下支持无线设备同时连接≥8个。</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14、整机设备教学桌面支持教学常用的教学白板软件和文件管理软件软件；教学桌面首页支持自定义桌面应用，支持展示8个应用入口。并提供进入本机所有应用的入口。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★15、整机全通道支持纸质护眼模式，可实现画面纹理的实时调整；支持纸质纹理：牛皮纸、素描纸、宣纸、水彩纸、水纹纸；支持透明度调节；支持色温调节。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七、教学教研设计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听课评课数据详情：全校听评课数据统一汇总，数据包含全校本月评课节数，本月评课次数，累计评课节数和累计评课次数，了解听评课教研活动的开展情况。支持按评课人数/评课平均分查看全校排行详细数据。</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4、发起集备：支持选择教案.课件.胶囊资源上传发起集备研讨，支持设置多重访问权限，通过手机号搜索即可邀请外校老师，可用于跨校教研场景。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5、进入集备：支持搜索集备名称/老师昵称.或按照学科/学段/年级/教材章节.我参与的/我发起的几个维度进行筛选查看，支持电脑端进入集备页面。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6、集备研讨：参备人可通过评论区发表观点，可对他人评论的观点进行点赞，评论消息支持实时提醒，支持图片的上传。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7、在线批注：参备人在可在线对教案进行随文式批注，追加批注，回复以及查看实时批注消息。支持对课件进行打点式批注，可通过批注定位研讨内容，完成协同备课。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8、稿件编辑：完成本次研讨后，主备人可直接进入编辑页面编辑课件/教案，发布新稿件后，备课组进入下一轮研讨，更新稿件后会给参备老师同步教研动态。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八、教学备授课软件设计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（一）白板教学PC端应用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★1、教学系统为全校教师提供可扩展，易于学校管理，安全可靠的云存储空间，根据每名教师使用时长与教学资料制作频率提供可扩展升级至不小于200G的个人云空间。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3、互动教学课件支持定向精准分享：分享者可将互动课件、课件组精准推送至指定接收方账号云空间，接收方可在云空间接收并打开分享课件。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6、支持软件联网自动静默升级，无需用户手动更新。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7、课件背景：提供不少于8种以上背景模板供老师选择，持自定义背景。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★10、智能配对游戏：支持创建配对游戏，教师可随意将知识点进行配对。当开始配对游戏时，拖动知识点进行配对，系统将自动判断是否正确。系统至少提供7种游戏模版，且模版样式支持自定义修改。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11、分组竞争游戏：支持创建分组竞争游戏，教师可设置正确项／干扰项，让两组学生开展竞争游戏。系统提供不少于 3 种难度、10种游戏模版选择，且模版样式支持自定义修改。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★12、数学公式编辑器：支持复杂数学公式输入，提供不少于 20 个数学符号及模板，输出的公式内容支持不同颜色标记及二次编辑。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13、数学画板功能：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a)能在白板中插入在线画板，授课时可以一键打开,方便老师配合课件内容进行讲解。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b)提供不少于 500 个数学画板资源，覆盖小学、初中、高中学段数学学科主要知识点，并按照知识点分类，便于老师查找。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15、表格：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a)具有表格插入功能，并提供5种以上表格样式供老师选择。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b)表格能自适应，可一键将表格的行、列调整到最合适的大小。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c)具有表格遮罩功能，可对表格中任意一格添加遮罩，在授课模式下通过点击可消除遮罩，方便老师设置互动活动。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d)在授课模式下，支持表格克隆功能，可克隆出多个相同表格，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方便老师请多位同学进行答题互动。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16、图表：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a)具有图表插入功能，并提供柱状图、扇形图、折线图 3 种图表形式，且每种形式提供不少于5种样式供选择。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b)具有图表二维及三维展示形式任意切换，且三维图表支持旋转，方便多角度展示数据变化。</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c)具有图表添加超链接，可连接至课件其他页面、网页、软件自带小工具等地方。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d)在授课模式下，支持图表克隆功能，可克隆出多个相同图表，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方便老师进行对比观察。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★17、古诗词资源：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a)提供覆盖多学段的古诗词、古文资源，包含原文、翻译、背景介绍、作者介绍、朗诵音频等。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b)支持用户根据年级、朝代、诗人等进行分类查找，也可直接搜索诗词、古文名称或作者名查找。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c)提供不少于9种古诗词专用背景模板，老师可贴合古诗词意境选择合适背景进行教学。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d)每篇古诗词、古文均提供原文及翻译、背景介绍、作者介绍等，同时支持一键跳转打开网页，展示对应的背景或作者介绍。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e)支持老师备课时对原文进行注释、标重点等操作，方便老师讲解重点字词。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f)提供原文朗读功能，全部诗词、古文均配备专业朗读配音，且支持老师在备课时对朗读音频进行打点操作，上课时可播放提前选择好的片段。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★19、美术画板：具有美术画板工具，提供铅笔、毛笔、油画笔，可实现模拟调色盘功能，老师可自由选择不同颜色进行混合调色，搭配出任意色彩。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20、美术工具：具备图形自由创作工具，教师可自由绘制复杂的任意多边图形及曲边图形；教师自主创作的图形可存储至个人云空间便于后续使用。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（二）白板软件移动端应用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1、课件预览保留课件对象拖拽移动、克隆复制、置顶、删除等互动功能，并可通过移动端进行思维导图、课堂互动游戏的触控交互操作，并支持显示课件备注内容。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2、可在移动平台选择是否接收获取的分享课件，接收后课件储存至个人云空间，可在移动平台的互动课件列表预览。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3、移动平台可对云空间互动课件和课件组移动、删除和重命名，课件及课件组支持批量移动、删除。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4、移动平台可将课件通过微信、朋友圈、云空间帐号、二维码、公开链接、加密链接等方式进行分享，分享有效期支持自定义。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★5、移动平台可查看教师个人云空间里所有互动课件列表，并可打开互动课件进行预览，预览时支持上下翻页、页面缩略图预览、页面跳转。</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6、移动平台可以上传手机相册中的照片和视频到资料夹，且能调用系统相机拍摄照片并直接上传。教师可以在备课端选择资源插入课件。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九、教学PPT小工具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1、不借助其他软件情况下，播放PPT时即可实现书写、擦除功能；可支持课件所有页面的预览、可随意进行页面跳转和实现上下翻页。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2、不借助其他软件情况下，播放PPT时即可支持板中板功能，直接调用板中板辅助教学，可实现批注及加页，不影响课件整体内容。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4、不借助其他软件情况下，播放PPT时即可调用放大镜、聚光灯小工具辅助教学。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十、产品售后保障服务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全国24小时400电话保修。</w:t>
            </w:r>
          </w:p>
        </w:tc>
        <w:tc>
          <w:tcPr>
            <w:tcW w:w="587" w:type="dxa"/>
            <w:vAlign w:val="center"/>
          </w:tcPr>
          <w:p w14:paraId="116EF5F7">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3</w:t>
            </w:r>
          </w:p>
        </w:tc>
        <w:tc>
          <w:tcPr>
            <w:tcW w:w="533" w:type="dxa"/>
            <w:vAlign w:val="center"/>
          </w:tcPr>
          <w:p w14:paraId="75B06E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73" w:type="dxa"/>
            <w:vAlign w:val="center"/>
          </w:tcPr>
          <w:p w14:paraId="0503C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26000</w:t>
            </w:r>
          </w:p>
        </w:tc>
        <w:tc>
          <w:tcPr>
            <w:tcW w:w="1067" w:type="dxa"/>
            <w:vAlign w:val="center"/>
          </w:tcPr>
          <w:p w14:paraId="76926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78000</w:t>
            </w:r>
          </w:p>
        </w:tc>
      </w:tr>
      <w:tr w14:paraId="28B7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42FDAF1A">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4</w:t>
            </w:r>
          </w:p>
        </w:tc>
        <w:tc>
          <w:tcPr>
            <w:tcW w:w="693" w:type="dxa"/>
            <w:vAlign w:val="center"/>
          </w:tcPr>
          <w:p w14:paraId="2A78C89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高清壁挂展台</w:t>
            </w:r>
          </w:p>
        </w:tc>
        <w:tc>
          <w:tcPr>
            <w:tcW w:w="5413" w:type="dxa"/>
            <w:gridSpan w:val="2"/>
            <w:vAlign w:val="center"/>
          </w:tcPr>
          <w:p w14:paraId="045AC42E">
            <w:pP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（一）硬件部分：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1、整机采用圆弧式设计，无锐角；同时托板采用磁吸吸附式机构，防止托板打落，方便打开及固定，避免机械式锁具故障率高的问题。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2、采用≥800万像素摄像头；采用 USB五伏电源直接供电，无需额外配置电源适配器，环保无辐射；箱内USB连线采用隐藏式设计，箱内无可见连线且USB口下出，有效防止积尘，且方便布线和返修。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3、A4大小拍摄幅面，1080P动态视频预览达到30帧/秒；托板及挂墙部分采用金属加强，托板可承重3kg，整机壁挂式安装。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4、支持展台成像画面实时批注，预设多种笔划粗细及颜色供选择，且支持对展台成像画面联同批注内容进行同步缩放、移动。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5、展示托板正上方具备LED补光灯，保证展示区域的亮度及展示效果，补光灯开关采用触摸按键设计，同时可通过交互智能平板中的软件直接控制开关。</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6、带自动对焦摄像头；外壳在摄像头部分带保护镜片密封，防止灰尘沾染摄像头，防护等级达到IP4X级别。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7、具有故障自动检测功能：在调用展台却无法出现镜头采集画面信号时，可自动出现检测链接，并给出导致性原因（如硬件连接、摄像头占用、配套软件版本等问题）。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（二）软件部分：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1、支持对展台实时画面进行放大、缩小、旋转、自适应、冻结画面等操作。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2、支持展台画面实时批注，预设多种笔划粗细及颜色供选择，且支持对展台画面联同批注内容进行同步缩放、移动。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3、支持展台画面拍照截图并进行多图预览，可对任一图片进行全屏显示。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4、老师可在一体机或电脑上选择延时拍照功能，支持5秒或10秒延时模式，预留充足时间以便调整拍摄内容。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5、可选择图像、文本或动态三种情景模式，适应不同展示内容。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6、具备图像增强功能，可自动裁剪背景并增强文字显示，使文档画面更清晰。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7、支持故障自动检测，在软件无法出现展台拍摄画面时，自动出现检测链接，帮助用户检测“无画面”的原因，并给出引导性解决方案。可判断硬件连接、显卡驱动、摄像头占用、软件版本等问题。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8、支持二维码扫码功能：打开扫一扫功能后，将书本上的二维码放入扫描框内即可自动扫描，并进入系统浏览器获取二维码的链接内容，帮助老师快速获取电子教学资源。</w:t>
            </w:r>
          </w:p>
        </w:tc>
        <w:tc>
          <w:tcPr>
            <w:tcW w:w="587" w:type="dxa"/>
            <w:vAlign w:val="center"/>
          </w:tcPr>
          <w:p w14:paraId="22DC4A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48</w:t>
            </w:r>
          </w:p>
        </w:tc>
        <w:tc>
          <w:tcPr>
            <w:tcW w:w="533" w:type="dxa"/>
            <w:vAlign w:val="center"/>
          </w:tcPr>
          <w:p w14:paraId="729052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73" w:type="dxa"/>
            <w:vAlign w:val="center"/>
          </w:tcPr>
          <w:p w14:paraId="785C70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660</w:t>
            </w:r>
          </w:p>
        </w:tc>
        <w:tc>
          <w:tcPr>
            <w:tcW w:w="1067" w:type="dxa"/>
            <w:vAlign w:val="center"/>
          </w:tcPr>
          <w:p w14:paraId="4005F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31680</w:t>
            </w:r>
          </w:p>
        </w:tc>
      </w:tr>
      <w:tr w14:paraId="5137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1AA2809E">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5</w:t>
            </w:r>
          </w:p>
        </w:tc>
        <w:tc>
          <w:tcPr>
            <w:tcW w:w="693" w:type="dxa"/>
            <w:vAlign w:val="center"/>
          </w:tcPr>
          <w:p w14:paraId="280E1A0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组合推拉绿板（配75英寸一体机）</w:t>
            </w:r>
          </w:p>
        </w:tc>
        <w:tc>
          <w:tcPr>
            <w:tcW w:w="5413" w:type="dxa"/>
            <w:gridSpan w:val="2"/>
            <w:vAlign w:val="center"/>
          </w:tcPr>
          <w:p w14:paraId="1910D8CB">
            <w:pP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1.结构：双层结构，内层为两块固定书写板左右各一块，中间预留放置电子产品空间，外层为两块滑动书写板，开闭自如确保一体机的安全管理，支持电子产品居中放置。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2.尺寸：≥长4000×宽1305mm，高度可根据所配电子产品适当调整，确保与电子产品的有效配套。当搭配电子产品正面为标准长方形无凸起时，安装完毕后教学书写板正面、侧面均不可露墙。</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3.内板：正面左右两侧无边框设计，上下边框正面高度不超15mm，最大限度的增大书写面。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4.板面：采用金属烤漆书写板面，亚光、墨绿色，光泽度≤12光泽单位，没有因教学书写板本身原因产生的眩光，可吸附磁钉、磁片，便于教学。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5.背板：采用镀锌钢板，机械化流水线一次成型。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6.衬板：选用高强度、吸音、防潮、阻燃聚苯乙烯板,厚度≥14mm。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7.覆板：采用自动化流水线覆板作业，避免人工作业刷胶不均导致粘贴不牢、起鼓等现象，甲醛释放量≤0.2mg/L，符合GB 28231-2011《书写板安全卫生要求》。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边框：采用高强度香槟色电泳铝合金型材，横框规格≥57mm×78mm，立框规格≥29mm×100mm。轨道上置隐藏式滑动系统，杜绝灰尘及杂物进入，结构性解决滑动受灰尘影响的问题。边框应具有良好的耐磨性及耐腐蚀性，耐腐蚀性CASS 72H不得低于10级，耐磨性（落沙试验）应不低于3900g。</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粉尘槽：应配有宽度≥30mm的粉尘槽，粉尘槽应与滑动系统分离，不影响滑动板滑动。可放置书写笔、教鞭等教具，也可用于灰尘集中处理；粉尘槽采用U型结构以便于承载粉笔末等，应避免使用L型等开放式结构。粉尘槽应与边框一体式设计，以增加强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10.限位档：横框内部两侧安装限位档，避免滑动板推拉过程中撞击立框及夹手，禁止安装于立框。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滑轮：双组高精度轴承上吊轮，下平滑动系统，上下均匀安装，上部滑轮应采用包胶轮以减少噪音，下部设有滑块，滑块应做前后方向弹性设计以降低教学书写板书写颤动。为确保产品耐久性，滑轮使用寿命应不低于10万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12.集灰盒：教学书写板带有集灰盒，便于将粉尘槽内粉尘清理至集灰盒中。集灰盒应可抽拉，便于粉尘倾倒。</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包角：采用抗老化高强度ABS工程塑料注塑成型，采用双壁成腔流线型设计，教学书写板品牌标识与包角一次模具成型，无尖角毛刺。当搭配电子产品为液晶屏时，包角应做可部分掰除设计，以更好的适配液晶屏厚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14.安全性：滑动板配装锁具，当不使用电子产品时，应可对教学书写板进行锁闭，避免课间学生误操作并保护设备。一把锁实现对滑动教学书写板的锁定，钥匙通用，方便实用</w:t>
            </w:r>
          </w:p>
        </w:tc>
        <w:tc>
          <w:tcPr>
            <w:tcW w:w="587" w:type="dxa"/>
            <w:vAlign w:val="center"/>
          </w:tcPr>
          <w:p w14:paraId="6B63E1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64</w:t>
            </w:r>
          </w:p>
        </w:tc>
        <w:tc>
          <w:tcPr>
            <w:tcW w:w="533" w:type="dxa"/>
            <w:vAlign w:val="center"/>
          </w:tcPr>
          <w:p w14:paraId="61EBC9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73" w:type="dxa"/>
            <w:vAlign w:val="center"/>
          </w:tcPr>
          <w:p w14:paraId="66674D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1000</w:t>
            </w:r>
          </w:p>
        </w:tc>
        <w:tc>
          <w:tcPr>
            <w:tcW w:w="1067" w:type="dxa"/>
            <w:vAlign w:val="center"/>
          </w:tcPr>
          <w:p w14:paraId="721328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64000</w:t>
            </w:r>
          </w:p>
        </w:tc>
      </w:tr>
      <w:tr w14:paraId="2872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65D4745B">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6</w:t>
            </w:r>
          </w:p>
        </w:tc>
        <w:tc>
          <w:tcPr>
            <w:tcW w:w="693" w:type="dxa"/>
            <w:vAlign w:val="center"/>
          </w:tcPr>
          <w:p w14:paraId="523B33A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组合推拉绿板（配86英寸一体机）</w:t>
            </w:r>
          </w:p>
        </w:tc>
        <w:tc>
          <w:tcPr>
            <w:tcW w:w="5413" w:type="dxa"/>
            <w:gridSpan w:val="2"/>
            <w:vAlign w:val="center"/>
          </w:tcPr>
          <w:p w14:paraId="1B503080">
            <w:pP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1.结构：双层结构，内层为两块固定书写板左右各一块，中间预留放置电子产品空间，外层为两块滑动书写板，开闭自如确保一体机的安全管理，支持电子产品居中放置。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2.尺寸：≥长4000×宽1305mm，高度可根据所配电子产品适当调整，确保与电子产品的有效配套。当搭配电子产品正面为标准长方形无凸起时，安装完毕后教学书写板正面、侧面均不可露墙。</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3.内板：正面左右两侧无边框设计，上下边框正面高度不超15mm，最大限度的增大书写面。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4.板面：采用金属烤漆书写板面，亚光、墨绿色，光泽度≤12光泽单位，没有因教学书写板本身原因产生的眩光，可吸附磁钉、磁片，便于教学。为确保师生健康。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5.背板：采用镀锌钢板，机械化流水线一次成型。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6.衬板：选用高强度、吸音、防潮、阻燃聚苯乙烯板,厚度≥14mm。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7.覆板：采用自动化流水线覆板作业，避免人工作业刷胶不均导致粘贴不牢、起鼓等现象，甲醛释放量≤0.2mg/L，符合GB 28231-2011《书写板安全卫生要求》。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边框：采用高强度香槟色电泳铝合金型材，横框规格≥57mm×78mm，立框规格≥29mm×100mm。轨道上置隐藏式滑动系统，杜绝灰尘及杂物进入，结构性解决滑动受灰尘影响的问题。边框应具有良好的耐磨性及耐腐蚀性，耐腐蚀性CASS 72H不得低于10级，耐磨性（落沙试验）应不低于3900g。</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粉尘槽：应配有宽度≥30mm的粉尘槽，粉尘槽应与滑动系统分离，不影响滑动板滑动。可放置书写笔、教鞭等教具，也可用于灰尘集中处理；粉尘槽采用U型结构以便于承载粉笔末等，应避免使用L型等开放式结构。粉尘槽应与边框一体式设计，以增加强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10.限位档：横框内部两侧安装限位档，避免滑动板推拉过程中撞击立框及夹手，禁止安装于立框。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滑轮：双组高精度轴承上吊轮，下平滑动系统，上下均匀安装，上部滑轮应采用包胶轮以减少噪音，下部设有滑块，滑块应做前后方向弹性设计以降低教学书写板书写颤动。为确保产品耐久性，滑轮使用寿命应不低于10万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12.集灰盒：教学书写板带有集灰盒，便于将粉尘槽内粉尘清理至集灰盒中。集灰盒应可抽拉，便于粉尘倾倒。</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包角：采用抗老化高强度ABS工程塑料注塑成型，采用双壁成腔流线型设计，教学书写板品牌标识与包角一次模具成型，无尖角毛刺。当搭配电子产品为液晶屏时，包角应做可部分掰除设计，以更好的适配液晶屏厚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14.安全性：滑动板配装锁具，当不使用电子产品时，应可对教学书写板进行锁闭，避免课间学生误操作并保护设备。一把锁实现对滑动教学书写板的锁定，钥匙通用，方便实用。</w:t>
            </w:r>
          </w:p>
        </w:tc>
        <w:tc>
          <w:tcPr>
            <w:tcW w:w="587" w:type="dxa"/>
            <w:vAlign w:val="center"/>
          </w:tcPr>
          <w:p w14:paraId="50EDB9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33" w:type="dxa"/>
            <w:vAlign w:val="center"/>
          </w:tcPr>
          <w:p w14:paraId="2C88F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73" w:type="dxa"/>
            <w:vAlign w:val="center"/>
          </w:tcPr>
          <w:p w14:paraId="6AD712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1000</w:t>
            </w:r>
          </w:p>
        </w:tc>
        <w:tc>
          <w:tcPr>
            <w:tcW w:w="1067" w:type="dxa"/>
            <w:vAlign w:val="center"/>
          </w:tcPr>
          <w:p w14:paraId="1C8628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1000</w:t>
            </w:r>
          </w:p>
        </w:tc>
      </w:tr>
      <w:tr w14:paraId="24AB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4E7E1809">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7</w:t>
            </w:r>
          </w:p>
        </w:tc>
        <w:tc>
          <w:tcPr>
            <w:tcW w:w="693" w:type="dxa"/>
            <w:vAlign w:val="center"/>
          </w:tcPr>
          <w:p w14:paraId="57183A0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有源一体化音箱</w:t>
            </w:r>
          </w:p>
        </w:tc>
        <w:tc>
          <w:tcPr>
            <w:tcW w:w="5413" w:type="dxa"/>
            <w:gridSpan w:val="2"/>
            <w:vAlign w:val="center"/>
          </w:tcPr>
          <w:p w14:paraId="22032882">
            <w:pP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1、采用功放与有源音箱一体化设计，内置麦克风无线接收模块，帮助教师实现多媒体扩音以及本地扩声功能。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2、双音箱有线连接，机箱采用塑胶材质，保护设备免受环境影响。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3、输出额定功率: 2×15W，喇叭单元尺寸≥5英寸。</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4、端口：220V电源接口×、Line in×1、USB×1。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5、专门为教室声学环境设计的合适扩声效果，距离音箱10米处声压级≥75dB。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6、麦克风和功放音箱之间采用数字U段传输技术，有效避免环境中2.4G信号干扰，例如蓝牙及WIFI设备。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7、配置独立音频数字信号处理芯片，支持啸叫抑制功能。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8、支持教师扩声和输入音源叠加输出，可对接录播系统实现教师扩声音频的纯净采集，避免环境杂音干扰采集效果。</w:t>
            </w:r>
          </w:p>
        </w:tc>
        <w:tc>
          <w:tcPr>
            <w:tcW w:w="587" w:type="dxa"/>
            <w:vAlign w:val="center"/>
          </w:tcPr>
          <w:p w14:paraId="7ACE52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533" w:type="dxa"/>
            <w:vAlign w:val="center"/>
          </w:tcPr>
          <w:p w14:paraId="26D3D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73" w:type="dxa"/>
            <w:vAlign w:val="center"/>
          </w:tcPr>
          <w:p w14:paraId="20B14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760</w:t>
            </w:r>
          </w:p>
        </w:tc>
        <w:tc>
          <w:tcPr>
            <w:tcW w:w="1067" w:type="dxa"/>
            <w:vAlign w:val="center"/>
          </w:tcPr>
          <w:p w14:paraId="03AFC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38000</w:t>
            </w:r>
          </w:p>
        </w:tc>
      </w:tr>
      <w:tr w14:paraId="0504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5AE401A5">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8</w:t>
            </w:r>
          </w:p>
        </w:tc>
        <w:tc>
          <w:tcPr>
            <w:tcW w:w="693" w:type="dxa"/>
            <w:vAlign w:val="center"/>
          </w:tcPr>
          <w:p w14:paraId="38E6367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智能笔</w:t>
            </w:r>
          </w:p>
        </w:tc>
        <w:tc>
          <w:tcPr>
            <w:tcW w:w="5413" w:type="dxa"/>
            <w:gridSpan w:val="2"/>
            <w:vAlign w:val="center"/>
          </w:tcPr>
          <w:p w14:paraId="21610845">
            <w:pP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1、采用笔型设计，具有三个遥控按键（上下翻页和功能键），既可用于触摸书写，也可用于远程操控。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2、采用2.4G无线连接技术，无线接收距离最大可达15米。</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3、无线接收器采用微型nano设计，并能收纳在笔上，整洁美观。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4、使用单节7号电池驱动，并带自动休眠节电设计。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5、单接收器设计，android、windows双系统同时响应。只需安装一个接收器，双系统都能响应智能笔的操作指令。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6、支持白板课件、PPT、PDF等多种格式的课件进行远程无线翻页。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7、功能按键可通过长按/短按实现两种快捷功能，方便教师操作。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8、支持自定义按键功能，可选功能包括：一键启动任意通道批注、一键启动/退出PPT播放、一键启动PPT批注、一键启动任意通道冻结与放大屏幕内容。</w:t>
            </w:r>
          </w:p>
        </w:tc>
        <w:tc>
          <w:tcPr>
            <w:tcW w:w="587" w:type="dxa"/>
            <w:vAlign w:val="center"/>
          </w:tcPr>
          <w:p w14:paraId="054576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69</w:t>
            </w:r>
          </w:p>
        </w:tc>
        <w:tc>
          <w:tcPr>
            <w:tcW w:w="533" w:type="dxa"/>
            <w:vAlign w:val="center"/>
          </w:tcPr>
          <w:p w14:paraId="60D1DC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73" w:type="dxa"/>
            <w:vAlign w:val="center"/>
          </w:tcPr>
          <w:p w14:paraId="69A49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280</w:t>
            </w:r>
          </w:p>
        </w:tc>
        <w:tc>
          <w:tcPr>
            <w:tcW w:w="1067" w:type="dxa"/>
            <w:vAlign w:val="center"/>
          </w:tcPr>
          <w:p w14:paraId="48C6C8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19320</w:t>
            </w:r>
          </w:p>
        </w:tc>
      </w:tr>
      <w:tr w14:paraId="3388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515E4158">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9</w:t>
            </w:r>
          </w:p>
        </w:tc>
        <w:tc>
          <w:tcPr>
            <w:tcW w:w="693" w:type="dxa"/>
            <w:vAlign w:val="center"/>
          </w:tcPr>
          <w:p w14:paraId="61A88E0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无线麦克风</w:t>
            </w:r>
          </w:p>
        </w:tc>
        <w:tc>
          <w:tcPr>
            <w:tcW w:w="5413" w:type="dxa"/>
            <w:gridSpan w:val="2"/>
            <w:vAlign w:val="center"/>
          </w:tcPr>
          <w:p w14:paraId="1BB8186B">
            <w:pP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1、无线麦克风集音频发射处理器、天线、电池、拾音麦克风于一体，配合一体化有源音箱，无需任何外接辅助设备即可实现本地扩声功能。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2、麦克风和功放音箱之间采用数字U段传输技3术，有效避免环境中2.4G信号干扰，例如蓝牙及WIFI设备。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3、支持智能红外对码及UHF对码，可在2s内快速完成与教学扩声音箱对码，无需繁琐操作。可与移动音箱或录播主机对码连接。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4、采用触点磁吸式充电方式，支持快速充电与超低功耗工作模式，课间充电10分钟，实现80分钟续航。</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5、麦克风距离音箱最大有效工作距离≥10米，保证全教室覆盖。</w:t>
            </w:r>
          </w:p>
        </w:tc>
        <w:tc>
          <w:tcPr>
            <w:tcW w:w="587" w:type="dxa"/>
            <w:vAlign w:val="center"/>
          </w:tcPr>
          <w:p w14:paraId="62946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69</w:t>
            </w:r>
          </w:p>
        </w:tc>
        <w:tc>
          <w:tcPr>
            <w:tcW w:w="533" w:type="dxa"/>
            <w:vAlign w:val="center"/>
          </w:tcPr>
          <w:p w14:paraId="6BE79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73" w:type="dxa"/>
            <w:vAlign w:val="center"/>
          </w:tcPr>
          <w:p w14:paraId="714C5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290</w:t>
            </w:r>
          </w:p>
        </w:tc>
        <w:tc>
          <w:tcPr>
            <w:tcW w:w="1067" w:type="dxa"/>
            <w:vAlign w:val="center"/>
          </w:tcPr>
          <w:p w14:paraId="69F5C4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20010</w:t>
            </w:r>
          </w:p>
        </w:tc>
      </w:tr>
      <w:tr w14:paraId="0620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710C73EF">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10</w:t>
            </w:r>
          </w:p>
        </w:tc>
        <w:tc>
          <w:tcPr>
            <w:tcW w:w="693" w:type="dxa"/>
            <w:vAlign w:val="center"/>
          </w:tcPr>
          <w:p w14:paraId="186A1C3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光能板（配75英寸一体机）</w:t>
            </w:r>
          </w:p>
        </w:tc>
        <w:tc>
          <w:tcPr>
            <w:tcW w:w="5413" w:type="dxa"/>
            <w:gridSpan w:val="2"/>
            <w:vAlign w:val="center"/>
          </w:tcPr>
          <w:p w14:paraId="546B2D57">
            <w:pP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一、硬件要求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1、整体结构上采取左、右光能黑板+中间触控一体机的组合方式（ABA放置样式）。单块书写板尺寸≥1290（长）×1028（高）mm。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2、采用任何硬度适中的工具均可在板面进行书写，无需专用耗材，消除了粉笔粉尘对师生构成的健康隐患。单点书写、可擦次数达10万次。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★3、液晶黑板应无频闪、无背光，上膜不应产生眩光。板书笔迹可视距离40米，可视角度≥150°，对比度≥150:1。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4、液晶黑板的光泽度不高于30光泽单位。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5、书写膜的透光率不低于87%，雾度不高于40%。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6、一键擦除：按下一键擦除按键，可实现板书的全部擦除，擦除后无明显残留痕迹。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7、局部擦除：可使用板擦和手势对板书进行局部擦除。擦除精度小于10mm×10mm，擦除延时＜60ms。液晶黑板具有独立供电装置，可在液晶屏关机的情况下独立使用，不影响局部擦除功能。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8、板内设有电压补偿机制，可以通过手势按压书写板板面的特定位置，控制书写板内部电压高低，以调节擦除灵敏度。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★9、设备内提供的电池组保护电路，符合标准要求，并通过带二次锂电池的设备的充电安全防护。黑板通过恒定力和冲击试验，机械强度符合标准要求。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10、黑板表面具有暗格，用以提供给师生在书写板书时的直线参照，可避免板书歪斜。黑板表面可吸附磁贴、磁扣等教学工具，便于老师教学使用。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★11液晶黑板通过低温-30℃，高温80℃，恒定湿热40℃、95%RH测试，产品外观无变形、损坏等现象，通电运行正常。</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12、边框采用铝合金材质，坚固耐用，具有较好的耐腐蚀特性。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13、采用一体式按键指示灯，可通过不同颜色、闪烁等方式表示擦除、电量不足等工作状态。每块光能黑板具备DC接口×2和USB接口×2，方便用户使用。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二、软件要求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1、同步互联：左、右液晶黑板可与触控一体机进行互动，将黑板的内容与触控一体机无缝连接，教师在黑板上的书写内容可同步显示在触控一体机上。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2、颜色切换：可设置不同的软件端笔迹颜色，可实现老师对于教学重点的标识及批注；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3、板书记录：可同步传输老师的板书到软件界面；按下清除键后，板面和软件端的笔迹均可以被清除；点击“前一页”可找回清除掉的板书；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4、单双页切换：两种黑板的书写记录模式，支持单板书写记录内容为一个单页面，也可以支持双板同时书写时记录在一个页面上；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5、桌面切换：黑板书写内容和屏体显示内容可一键切换，不影响老师正常授课操作。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6、一键保存：支持将板书内容保存为PDF文档，便于学校对课堂板书的管理和传递。无需花费时间找存储路径，点击“打开”，直接进入存储位置，快速找到存储文件。</w:t>
            </w:r>
          </w:p>
        </w:tc>
        <w:tc>
          <w:tcPr>
            <w:tcW w:w="587" w:type="dxa"/>
            <w:vAlign w:val="center"/>
          </w:tcPr>
          <w:p w14:paraId="67E95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533" w:type="dxa"/>
            <w:vAlign w:val="center"/>
          </w:tcPr>
          <w:p w14:paraId="445938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73" w:type="dxa"/>
            <w:vAlign w:val="center"/>
          </w:tcPr>
          <w:p w14:paraId="535C46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9500</w:t>
            </w:r>
          </w:p>
        </w:tc>
        <w:tc>
          <w:tcPr>
            <w:tcW w:w="1067" w:type="dxa"/>
            <w:vAlign w:val="center"/>
          </w:tcPr>
          <w:p w14:paraId="22C82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28500</w:t>
            </w:r>
          </w:p>
        </w:tc>
      </w:tr>
      <w:tr w14:paraId="7F87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4A7408C2">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11</w:t>
            </w:r>
          </w:p>
        </w:tc>
        <w:tc>
          <w:tcPr>
            <w:tcW w:w="693" w:type="dxa"/>
            <w:vAlign w:val="center"/>
          </w:tcPr>
          <w:p w14:paraId="115800F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光能板（配86英寸一体机）</w:t>
            </w:r>
          </w:p>
        </w:tc>
        <w:tc>
          <w:tcPr>
            <w:tcW w:w="5413" w:type="dxa"/>
            <w:gridSpan w:val="2"/>
            <w:vAlign w:val="center"/>
          </w:tcPr>
          <w:p w14:paraId="278D91EF">
            <w:pP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一、硬件要求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1、整体结构上采取左、右光能黑板+中间触控一体机的组合方式（ABA放置样式）。单块书写板尺寸≥1283（长）×1169（高）mm。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2、采用任何硬度适中的工具均可在板面进行书写，无需专用耗材，消除了粉笔粉尘对师生构成的健康隐患。单点书写、可擦次数达10万次。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★3、液晶黑板应无频闪、无背光，上膜不应产生眩光。板书笔迹可视距离40米，可视角度≥150°，对比度≥150:1。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4、液晶黑板的光泽度不高于30光泽单位。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5、书写膜的透光率不低于87%，雾度不高于40%。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6、一键擦除：按下一键擦除按键，可实现板书的全部擦除，擦除后无明显残留痕迹。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7、局部擦除：可使用板擦和手势对板书进行局部擦除。擦除精度小于10mm×10mm，擦除延时＜60ms。液晶黑板具有独立供电装置，可在液晶屏关机的情况下独立使用，不影响局部擦除功能。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8、板内设有电压补偿机制，可以通过手势按压书写板板面的特定位置，控制书写板内部电压高低，以调节擦除灵敏度。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★9、设备内提供的电池组保护电路，符合标准要求，并通过带二次锂电池的设备的充电安全防护。黑板通过恒定力和冲击试验，机械强度符合标准要求。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10、黑板表面具有暗格，用以提供给师生在书写板书时的直线参照，可避免板书歪斜。黑板表面可吸附磁贴、磁扣等教学工具，便于老师教学使用。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★11液晶黑板通过低温-30℃，高温80℃，恒定湿热40℃、95%RH测试，产品外观无变形、损坏等现象，通电运行正常。</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12、边框采用铝合金材质，坚固耐用，具有较好的耐腐蚀特性。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13、采用一体式按键指示灯，可通过不同颜色、闪烁等方式表示擦除、电量不足等工作状态。每块光能黑板具备DC接口×2和USB接口×2，方便用户使用。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二、软件要求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1、同步互联：左、右液晶黑板可与触控一体机进行互动，将黑板的内容与触控一体机无缝连接，教师在黑板上的书写内容可同步显示在触控一体机上。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2、颜色切换：可设置不同的软件端笔迹颜色，可实现老师对于教学重点的标识及批注；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3、板书记录：可同步传输老师的板书到软件界面；按下清除键后，板面和软件端的笔迹均可以被清除；点击“前一页”可找回清除掉的板书；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4、单双页切换：两种黑板的书写记录模式，支持单板书写记录内容为一个单页面，也可以支持双板同时书写时记录在一个页面上；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5、桌面切换：黑板书写内容和屏体显示内容可一键切换，不影响老师正常授课操作。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6、一键保存：支持将板书内容保存为PDF文档，便于学校对课堂板书的管理和传递。无需花费时间找存储路径，点击“打开”，直接进入存储位置，快速找到存储文件。</w:t>
            </w:r>
          </w:p>
        </w:tc>
        <w:tc>
          <w:tcPr>
            <w:tcW w:w="587" w:type="dxa"/>
            <w:vAlign w:val="center"/>
          </w:tcPr>
          <w:p w14:paraId="07A73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533" w:type="dxa"/>
            <w:vAlign w:val="center"/>
          </w:tcPr>
          <w:p w14:paraId="690A00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73" w:type="dxa"/>
            <w:vAlign w:val="center"/>
          </w:tcPr>
          <w:p w14:paraId="072342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10500</w:t>
            </w:r>
          </w:p>
        </w:tc>
        <w:tc>
          <w:tcPr>
            <w:tcW w:w="1067" w:type="dxa"/>
            <w:vAlign w:val="center"/>
          </w:tcPr>
          <w:p w14:paraId="4003F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21000</w:t>
            </w:r>
          </w:p>
        </w:tc>
      </w:tr>
      <w:tr w14:paraId="1ED1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253C2B19">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12</w:t>
            </w:r>
          </w:p>
        </w:tc>
        <w:tc>
          <w:tcPr>
            <w:tcW w:w="693" w:type="dxa"/>
            <w:vAlign w:val="center"/>
          </w:tcPr>
          <w:p w14:paraId="0E75E8A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搬运、拆旧装新机、调试费</w:t>
            </w:r>
          </w:p>
        </w:tc>
        <w:tc>
          <w:tcPr>
            <w:tcW w:w="5413" w:type="dxa"/>
            <w:gridSpan w:val="2"/>
            <w:vAlign w:val="center"/>
          </w:tcPr>
          <w:p w14:paraId="6A41F294">
            <w:pP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包含以上所有设备的</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搬运、拆旧装新机、调试。</w:t>
            </w:r>
          </w:p>
        </w:tc>
        <w:tc>
          <w:tcPr>
            <w:tcW w:w="587" w:type="dxa"/>
            <w:vAlign w:val="center"/>
          </w:tcPr>
          <w:p w14:paraId="55AE0A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33" w:type="dxa"/>
            <w:vAlign w:val="center"/>
          </w:tcPr>
          <w:p w14:paraId="5C8C02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批</w:t>
            </w:r>
          </w:p>
        </w:tc>
        <w:tc>
          <w:tcPr>
            <w:tcW w:w="773" w:type="dxa"/>
            <w:vAlign w:val="center"/>
          </w:tcPr>
          <w:p w14:paraId="586787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11490</w:t>
            </w:r>
          </w:p>
        </w:tc>
        <w:tc>
          <w:tcPr>
            <w:tcW w:w="1067" w:type="dxa"/>
            <w:vAlign w:val="center"/>
          </w:tcPr>
          <w:p w14:paraId="36A61D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11490</w:t>
            </w:r>
          </w:p>
        </w:tc>
      </w:tr>
      <w:tr w14:paraId="740D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5" w:type="dxa"/>
            <w:gridSpan w:val="8"/>
            <w:vAlign w:val="center"/>
          </w:tcPr>
          <w:p w14:paraId="3FDA34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color w:val="auto"/>
                <w:szCs w:val="21"/>
                <w:highlight w:val="none"/>
              </w:rPr>
              <w:t>商务</w:t>
            </w:r>
            <w:r>
              <w:rPr>
                <w:rFonts w:hint="eastAsia" w:asciiTheme="minorEastAsia" w:hAnsiTheme="minorEastAsia" w:eastAsiaTheme="minorEastAsia" w:cstheme="minorEastAsia"/>
                <w:color w:val="auto"/>
                <w:szCs w:val="21"/>
                <w:highlight w:val="none"/>
                <w:lang w:val="en-US" w:eastAsia="zh-CN"/>
              </w:rPr>
              <w:t>需求</w:t>
            </w:r>
          </w:p>
        </w:tc>
      </w:tr>
      <w:tr w14:paraId="52F1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gridSpan w:val="3"/>
            <w:shd w:val="clear" w:color="auto" w:fill="auto"/>
            <w:vAlign w:val="center"/>
          </w:tcPr>
          <w:p w14:paraId="63633756">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★合同签订</w:t>
            </w:r>
          </w:p>
        </w:tc>
        <w:tc>
          <w:tcPr>
            <w:tcW w:w="6987" w:type="dxa"/>
            <w:gridSpan w:val="5"/>
            <w:shd w:val="clear" w:color="auto" w:fill="auto"/>
            <w:vAlign w:val="center"/>
          </w:tcPr>
          <w:p w14:paraId="43838AE2">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自中标通知书发出之日起八个工作日</w:t>
            </w:r>
            <w:r>
              <w:rPr>
                <w:rFonts w:hint="eastAsia" w:asciiTheme="minorEastAsia" w:hAnsiTheme="minorEastAsia" w:eastAsiaTheme="minorEastAsia" w:cstheme="minorEastAsia"/>
                <w:color w:val="auto"/>
                <w:sz w:val="21"/>
                <w:szCs w:val="21"/>
                <w:highlight w:val="none"/>
              </w:rPr>
              <w:t>。</w:t>
            </w:r>
          </w:p>
        </w:tc>
      </w:tr>
      <w:tr w14:paraId="64C8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gridSpan w:val="3"/>
            <w:vAlign w:val="center"/>
          </w:tcPr>
          <w:p w14:paraId="26A6827F">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交付使用时间</w:t>
            </w:r>
            <w:r>
              <w:rPr>
                <w:rFonts w:hint="eastAsia" w:asciiTheme="minorEastAsia" w:hAnsiTheme="minorEastAsia" w:eastAsiaTheme="minorEastAsia" w:cstheme="minorEastAsia"/>
                <w:color w:val="auto"/>
                <w:szCs w:val="21"/>
                <w:highlight w:val="none"/>
              </w:rPr>
              <w:t>及地点</w:t>
            </w:r>
          </w:p>
        </w:tc>
        <w:tc>
          <w:tcPr>
            <w:tcW w:w="6987" w:type="dxa"/>
            <w:gridSpan w:val="5"/>
            <w:vAlign w:val="center"/>
          </w:tcPr>
          <w:p w14:paraId="4E9244CC">
            <w:pPr>
              <w:spacing w:line="360" w:lineRule="exact"/>
              <w:ind w:firstLine="0" w:firstLineChars="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1.交付使用期：自签订合同之日起 10 日历天内全部安装调试合格完毕并交付使用，超期未安装调试完毕则视为违约。</w:t>
            </w:r>
          </w:p>
          <w:p w14:paraId="603FE835">
            <w:pPr>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2.交货地点：采购人指定地点</w:t>
            </w:r>
          </w:p>
        </w:tc>
      </w:tr>
      <w:tr w14:paraId="3A36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gridSpan w:val="3"/>
            <w:vAlign w:val="center"/>
          </w:tcPr>
          <w:p w14:paraId="1F4C4A28">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b w:val="0"/>
                <w:bCs/>
                <w:color w:val="auto"/>
                <w:sz w:val="21"/>
                <w:szCs w:val="21"/>
                <w:highlight w:val="none"/>
                <w:u w:val="none"/>
                <w:lang w:val="en-US" w:eastAsia="zh-CN"/>
              </w:rPr>
              <w:t>验收标准</w:t>
            </w:r>
          </w:p>
        </w:tc>
        <w:tc>
          <w:tcPr>
            <w:tcW w:w="6987" w:type="dxa"/>
            <w:gridSpan w:val="5"/>
            <w:vAlign w:val="center"/>
          </w:tcPr>
          <w:p w14:paraId="0ABC1A47">
            <w:pPr>
              <w:keepNext w:val="0"/>
              <w:keepLines w:val="0"/>
              <w:widowControl/>
              <w:suppressLineNumbers w:val="0"/>
              <w:spacing w:before="0" w:beforeAutospacing="0" w:after="0" w:afterAutospacing="0" w:line="240" w:lineRule="auto"/>
              <w:ind w:left="0" w:right="0"/>
              <w:jc w:val="both"/>
              <w:rPr>
                <w:rFonts w:hint="eastAsia" w:asciiTheme="minorEastAsia" w:hAnsiTheme="minorEastAsia" w:eastAsiaTheme="minorEastAsia" w:cstheme="minorEastAsia"/>
                <w:b w:val="0"/>
                <w:bCs/>
                <w:color w:val="auto"/>
                <w:sz w:val="21"/>
                <w:szCs w:val="21"/>
                <w:highlight w:val="none"/>
                <w:u w:val="none"/>
                <w:lang w:val="en-US" w:eastAsia="zh-CN"/>
              </w:rPr>
            </w:pPr>
            <w:r>
              <w:rPr>
                <w:rFonts w:hint="eastAsia" w:asciiTheme="minorEastAsia" w:hAnsiTheme="minorEastAsia" w:eastAsiaTheme="minorEastAsia" w:cstheme="minorEastAsia"/>
                <w:b w:val="0"/>
                <w:bCs/>
                <w:color w:val="auto"/>
                <w:sz w:val="21"/>
                <w:szCs w:val="21"/>
                <w:highlight w:val="none"/>
                <w:u w:val="none"/>
                <w:lang w:val="en-US" w:eastAsia="zh-CN"/>
              </w:rPr>
              <w:t>1.验收过程中所产生的一切费用均由中标人承担。报价时应考虑相关费用。</w:t>
            </w:r>
          </w:p>
          <w:p w14:paraId="22F9A708">
            <w:pPr>
              <w:keepNext w:val="0"/>
              <w:keepLines w:val="0"/>
              <w:widowControl/>
              <w:suppressLineNumbers w:val="0"/>
              <w:spacing w:before="0" w:beforeAutospacing="0" w:after="0" w:afterAutospacing="0" w:line="240" w:lineRule="auto"/>
              <w:ind w:left="0" w:right="0"/>
              <w:jc w:val="both"/>
              <w:rPr>
                <w:rFonts w:hint="eastAsia" w:asciiTheme="minorEastAsia" w:hAnsiTheme="minorEastAsia" w:eastAsiaTheme="minorEastAsia" w:cstheme="minorEastAsia"/>
                <w:b w:val="0"/>
                <w:bCs/>
                <w:color w:val="auto"/>
                <w:sz w:val="21"/>
                <w:szCs w:val="21"/>
                <w:highlight w:val="none"/>
                <w:u w:val="none"/>
                <w:lang w:val="en-US" w:eastAsia="zh-CN"/>
              </w:rPr>
            </w:pPr>
            <w:r>
              <w:rPr>
                <w:rFonts w:hint="eastAsia" w:asciiTheme="minorEastAsia" w:hAnsiTheme="minorEastAsia" w:eastAsiaTheme="minorEastAsia" w:cstheme="minorEastAsia"/>
                <w:b w:val="0"/>
                <w:bCs/>
                <w:color w:val="auto"/>
                <w:sz w:val="21"/>
                <w:szCs w:val="21"/>
                <w:highlight w:val="none"/>
                <w:u w:val="none"/>
                <w:lang w:val="en-US" w:eastAsia="zh-CN"/>
              </w:rPr>
              <w:t>2.中标人在货物验收时由采购单位对照招标文件的技术参数要求或功能描述全面核对检验，对所有要求出具的证明文件进行核查，如不符合招标文件的要求以及提供虚假承诺的，按相关规定做退货处理及违约处理，中标人承担所有责任和费用，采购人保留进一步追究责任的权利。</w:t>
            </w:r>
          </w:p>
          <w:p w14:paraId="0AC70676">
            <w:pPr>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u w:val="none"/>
                <w:lang w:val="en-US" w:eastAsia="zh-CN"/>
              </w:rPr>
              <w:t>3.验收时，采购人对中标人所交货物依照中标人的投标文件所承诺的技术规格要求和国家有关标准进行现场验收。性能达到技术要求的给予签收，若有一项指标不满足其投标承诺的不予签收，并按照政府采购相关法律法规和合同约定条款进行处罚，由此造成的项目延误等所有责任均由中标人承担。</w:t>
            </w:r>
          </w:p>
        </w:tc>
      </w:tr>
      <w:tr w14:paraId="4A6F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gridSpan w:val="3"/>
            <w:vAlign w:val="center"/>
          </w:tcPr>
          <w:p w14:paraId="56EE6DAD">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★付款方式</w:t>
            </w:r>
          </w:p>
        </w:tc>
        <w:tc>
          <w:tcPr>
            <w:tcW w:w="6987" w:type="dxa"/>
            <w:gridSpan w:val="5"/>
            <w:vAlign w:val="center"/>
          </w:tcPr>
          <w:p w14:paraId="3C047FFC">
            <w:pPr>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付款方式：本项目的资金拨付根据财政部门的付款流程执行，采购人不承担延期付款的责任。专项资金到账且项目验收合格后，中标人开具全额发票给采购人，采购人收到发票后付至合同价款的100%（无息）。</w:t>
            </w:r>
          </w:p>
        </w:tc>
      </w:tr>
      <w:tr w14:paraId="3EA9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gridSpan w:val="3"/>
            <w:vAlign w:val="center"/>
          </w:tcPr>
          <w:p w14:paraId="2E435EFC">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核心产品</w:t>
            </w:r>
          </w:p>
        </w:tc>
        <w:tc>
          <w:tcPr>
            <w:tcW w:w="6987" w:type="dxa"/>
            <w:gridSpan w:val="5"/>
            <w:vAlign w:val="center"/>
          </w:tcPr>
          <w:p w14:paraId="3A947827">
            <w:pPr>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第1项货物“75英寸教学一体机”</w:t>
            </w:r>
          </w:p>
        </w:tc>
      </w:tr>
      <w:tr w14:paraId="1794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gridSpan w:val="3"/>
            <w:vAlign w:val="center"/>
          </w:tcPr>
          <w:p w14:paraId="509BB4E2">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★售后服务要求</w:t>
            </w:r>
          </w:p>
        </w:tc>
        <w:tc>
          <w:tcPr>
            <w:tcW w:w="6987" w:type="dxa"/>
            <w:gridSpan w:val="5"/>
            <w:vAlign w:val="center"/>
          </w:tcPr>
          <w:p w14:paraId="7D316176">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1、质量保证期壹年（自交货并验收合格之日起计）（属于实行国家强制保修政策的除外，采购需求中另有要求的，按采购要求执行）。</w:t>
            </w:r>
          </w:p>
          <w:p w14:paraId="66E422DB">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2、厂家免费提供操作培训和维修培训，保证被培训人员能熟练操作、使用、维护。</w:t>
            </w:r>
          </w:p>
          <w:p w14:paraId="099572B5">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3、免费质保期内，中标人应承诺：</w:t>
            </w:r>
          </w:p>
          <w:p w14:paraId="2CA5C77A">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（1）设备如发生部件损坏，在7个工作日内提供更换；</w:t>
            </w:r>
          </w:p>
          <w:p w14:paraId="37FA16A3">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（2）设备出现故障的，须派出技术工程师到达现场处理故障，并承担一切费用，免费质保期外设备出现故障的，只收材料成本费；</w:t>
            </w:r>
          </w:p>
          <w:p w14:paraId="35DED62C">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（3）免费保修期满前1个月内中标人应负责对设备进行一次免费全面检查、维护，如发现潜在问题，应写出正式报告，并负责排除，保证设备正常运行。</w:t>
            </w:r>
          </w:p>
          <w:p w14:paraId="3D28F426">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4、故障响应时间：</w:t>
            </w:r>
          </w:p>
          <w:p w14:paraId="4ECDFDF9">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szCs w:val="21"/>
                <w:highlight w:val="none"/>
                <w:lang w:val="en-US" w:eastAsia="zh-CN"/>
              </w:rPr>
              <w:t>中标</w:t>
            </w:r>
            <w:r>
              <w:rPr>
                <w:rFonts w:hint="eastAsia" w:asciiTheme="minorEastAsia" w:hAnsiTheme="minorEastAsia" w:eastAsiaTheme="minorEastAsia" w:cstheme="minorEastAsia"/>
                <w:color w:val="auto"/>
                <w:szCs w:val="21"/>
                <w:highlight w:val="none"/>
              </w:rPr>
              <w:t>人接到用户故障通知后，维修人员12小时内赶到故障现场处理，一般故障不超过24小时、重大故障不超过48小时修复；</w:t>
            </w:r>
            <w:r>
              <w:rPr>
                <w:rFonts w:hint="eastAsia" w:asciiTheme="minorEastAsia" w:hAnsiTheme="minorEastAsia" w:eastAsiaTheme="minorEastAsia" w:cstheme="minorEastAsia"/>
                <w:color w:val="auto"/>
                <w:kern w:val="0"/>
                <w:szCs w:val="21"/>
                <w:highlight w:val="none"/>
              </w:rPr>
              <w:t>特殊情况无法修复的，免费质保期内中标人应无条件更换新设备或提供代用设备或采取使设备可正常运转的其它措施；</w:t>
            </w:r>
          </w:p>
          <w:p w14:paraId="1D805E44">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szCs w:val="21"/>
                <w:highlight w:val="none"/>
              </w:rPr>
              <w:t>产品在保修期内如有质量问题的，</w:t>
            </w:r>
            <w:r>
              <w:rPr>
                <w:rFonts w:hint="eastAsia" w:asciiTheme="minorEastAsia" w:hAnsiTheme="minorEastAsia" w:eastAsiaTheme="minorEastAsia" w:cstheme="minorEastAsia"/>
                <w:color w:val="auto"/>
                <w:szCs w:val="21"/>
                <w:highlight w:val="none"/>
                <w:lang w:val="en-US" w:eastAsia="zh-CN"/>
              </w:rPr>
              <w:t>中标人</w:t>
            </w:r>
            <w:r>
              <w:rPr>
                <w:rFonts w:hint="eastAsia" w:asciiTheme="minorEastAsia" w:hAnsiTheme="minorEastAsia" w:eastAsiaTheme="minorEastAsia" w:cstheme="minorEastAsia"/>
                <w:color w:val="auto"/>
                <w:szCs w:val="21"/>
                <w:highlight w:val="none"/>
              </w:rPr>
              <w:t>负责包修、包换。质保期内免费维修及更换配件，终身维修（质保期外只收配件费，差旅费由厂家或</w:t>
            </w:r>
            <w:r>
              <w:rPr>
                <w:rFonts w:hint="eastAsia" w:asciiTheme="minorEastAsia" w:hAnsiTheme="minorEastAsia" w:eastAsiaTheme="minorEastAsia" w:cstheme="minorEastAsia"/>
                <w:color w:val="auto"/>
                <w:szCs w:val="21"/>
                <w:highlight w:val="none"/>
                <w:lang w:val="en-US" w:eastAsia="zh-CN"/>
              </w:rPr>
              <w:t>中标</w:t>
            </w:r>
            <w:r>
              <w:rPr>
                <w:rFonts w:hint="eastAsia" w:asciiTheme="minorEastAsia" w:hAnsiTheme="minorEastAsia" w:eastAsiaTheme="minorEastAsia" w:cstheme="minorEastAsia"/>
                <w:color w:val="auto"/>
                <w:szCs w:val="21"/>
                <w:highlight w:val="none"/>
              </w:rPr>
              <w:t>人负责）。</w:t>
            </w:r>
          </w:p>
          <w:p w14:paraId="4E71A006">
            <w:pPr>
              <w:pStyle w:val="2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sz w:val="21"/>
                <w:szCs w:val="21"/>
                <w:highlight w:val="none"/>
              </w:rPr>
              <w:t>（3）提供7天×24小时通过远程、上门服务、电话、E-mail等方式为采购人提供终身完善的售后技术咨询服务。</w:t>
            </w:r>
          </w:p>
        </w:tc>
      </w:tr>
      <w:tr w14:paraId="3CAB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gridSpan w:val="3"/>
            <w:vAlign w:val="center"/>
          </w:tcPr>
          <w:p w14:paraId="6737C718">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szCs w:val="21"/>
                <w:highlight w:val="none"/>
              </w:rPr>
              <w:t>其他要求</w:t>
            </w:r>
          </w:p>
        </w:tc>
        <w:tc>
          <w:tcPr>
            <w:tcW w:w="6987" w:type="dxa"/>
            <w:gridSpan w:val="5"/>
            <w:vAlign w:val="center"/>
          </w:tcPr>
          <w:p w14:paraId="3EE9C407">
            <w:pPr>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1、质量标准：符合国家行业标准要求</w:t>
            </w:r>
            <w:r>
              <w:rPr>
                <w:rFonts w:hint="eastAsia" w:asciiTheme="minorEastAsia" w:hAnsiTheme="minorEastAsia" w:eastAsiaTheme="minorEastAsia" w:cstheme="minorEastAsia"/>
                <w:color w:val="auto"/>
                <w:szCs w:val="21"/>
                <w:highlight w:val="none"/>
                <w:lang w:eastAsia="zh-CN"/>
              </w:rPr>
              <w:t>。</w:t>
            </w:r>
          </w:p>
          <w:p w14:paraId="3616FBD7">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中标</w:t>
            </w:r>
            <w:r>
              <w:rPr>
                <w:rFonts w:hint="eastAsia" w:asciiTheme="minorEastAsia" w:hAnsiTheme="minorEastAsia" w:eastAsiaTheme="minorEastAsia" w:cstheme="minorEastAsia"/>
                <w:color w:val="auto"/>
                <w:szCs w:val="21"/>
                <w:highlight w:val="none"/>
              </w:rPr>
              <w:t>供应商在安装时需将</w:t>
            </w:r>
            <w:r>
              <w:rPr>
                <w:rFonts w:hint="eastAsia" w:asciiTheme="minorEastAsia" w:hAnsiTheme="minorEastAsia" w:eastAsiaTheme="minorEastAsia" w:cstheme="minorEastAsia"/>
                <w:color w:val="auto"/>
                <w:szCs w:val="21"/>
                <w:highlight w:val="none"/>
                <w:lang w:val="en-US" w:eastAsia="zh-CN"/>
              </w:rPr>
              <w:t>项目学</w:t>
            </w:r>
            <w:r>
              <w:rPr>
                <w:rFonts w:hint="eastAsia" w:asciiTheme="minorEastAsia" w:hAnsiTheme="minorEastAsia" w:eastAsiaTheme="minorEastAsia" w:cstheme="minorEastAsia"/>
                <w:color w:val="auto"/>
                <w:szCs w:val="21"/>
                <w:highlight w:val="none"/>
              </w:rPr>
              <w:t>校</w:t>
            </w:r>
            <w:r>
              <w:rPr>
                <w:rFonts w:hint="eastAsia" w:asciiTheme="minorEastAsia" w:hAnsiTheme="minorEastAsia" w:eastAsiaTheme="minorEastAsia" w:cstheme="minorEastAsia"/>
                <w:color w:val="auto"/>
                <w:szCs w:val="21"/>
                <w:highlight w:val="none"/>
                <w:lang w:val="en-US" w:eastAsia="zh-CN"/>
              </w:rPr>
              <w:t>班级</w:t>
            </w:r>
            <w:r>
              <w:rPr>
                <w:rFonts w:hint="eastAsia" w:asciiTheme="minorEastAsia" w:hAnsiTheme="minorEastAsia" w:eastAsiaTheme="minorEastAsia" w:cstheme="minorEastAsia"/>
                <w:color w:val="auto"/>
                <w:szCs w:val="21"/>
                <w:highlight w:val="none"/>
              </w:rPr>
              <w:t>内已老化的</w:t>
            </w:r>
            <w:r>
              <w:rPr>
                <w:rFonts w:hint="eastAsia" w:asciiTheme="minorEastAsia" w:hAnsiTheme="minorEastAsia" w:eastAsiaTheme="minorEastAsia" w:cstheme="minorEastAsia"/>
                <w:color w:val="auto"/>
                <w:szCs w:val="21"/>
                <w:highlight w:val="none"/>
                <w:lang w:val="en-US" w:eastAsia="zh-CN"/>
              </w:rPr>
              <w:t>教学一体机</w:t>
            </w:r>
            <w:r>
              <w:rPr>
                <w:rFonts w:hint="eastAsia" w:asciiTheme="minorEastAsia" w:hAnsiTheme="minorEastAsia" w:eastAsiaTheme="minorEastAsia" w:cstheme="minorEastAsia"/>
                <w:color w:val="auto"/>
                <w:szCs w:val="21"/>
                <w:highlight w:val="none"/>
              </w:rPr>
              <w:t>“班班通”拆除后再安装验收。</w:t>
            </w:r>
          </w:p>
          <w:p w14:paraId="2B9D65D8">
            <w:pPr>
              <w:pStyle w:val="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投标人报价应包含项目所需的劳务费、技术服务费、交通费、通讯费、拆除原设备及将原设备搬运到学校指定地点存放的费用、税费和利润等费用和政策性文件规定及合同包含的所有风险、责任等各项应有的费用。</w:t>
            </w:r>
          </w:p>
          <w:p w14:paraId="27F4E3C7">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本项目</w:t>
            </w:r>
            <w:r>
              <w:rPr>
                <w:rFonts w:hint="eastAsia" w:asciiTheme="minorEastAsia" w:hAnsiTheme="minorEastAsia" w:eastAsiaTheme="minorEastAsia" w:cstheme="minorEastAsia"/>
                <w:color w:val="auto"/>
                <w:szCs w:val="21"/>
                <w:highlight w:val="none"/>
              </w:rPr>
              <w:t>采购预算总金额为：</w:t>
            </w:r>
            <w:r>
              <w:rPr>
                <w:rFonts w:hint="eastAsia" w:asciiTheme="minorEastAsia" w:hAnsiTheme="minorEastAsia" w:eastAsiaTheme="minorEastAsia" w:cstheme="minorEastAsia"/>
                <w:color w:val="auto"/>
                <w:szCs w:val="21"/>
                <w:highlight w:val="none"/>
                <w:lang w:eastAsia="zh-CN"/>
              </w:rPr>
              <w:t>人民币壹佰捌拾玖万元整（¥1890000.00元）</w:t>
            </w:r>
            <w:r>
              <w:rPr>
                <w:rFonts w:hint="eastAsia" w:asciiTheme="minorEastAsia" w:hAnsiTheme="minorEastAsia" w:eastAsiaTheme="minorEastAsia" w:cstheme="minorEastAsia"/>
                <w:color w:val="auto"/>
                <w:szCs w:val="21"/>
                <w:highlight w:val="none"/>
              </w:rPr>
              <w:t>。投标报价超出采购预算总金额的将被视为无效投标处理。</w:t>
            </w:r>
          </w:p>
          <w:p w14:paraId="62F9FEEB">
            <w:pPr>
              <w:pStyle w:val="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为确保货物质量及原厂品质，中标供应商在正式供货时必须提供生产厂家针对此项目的售后服务保证原件、供货证明原件，否则采购方将不予验收通过。</w:t>
            </w:r>
          </w:p>
          <w:p w14:paraId="2F5EB57A">
            <w:pPr>
              <w:pStyle w:val="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6、本项目所属行业为制造业。</w:t>
            </w:r>
          </w:p>
        </w:tc>
      </w:tr>
      <w:bookmarkEnd w:id="315"/>
    </w:tbl>
    <w:p w14:paraId="07C8E1BE">
      <w:pPr>
        <w:rPr>
          <w:color w:val="auto"/>
          <w:highlight w:val="none"/>
        </w:rPr>
      </w:pPr>
    </w:p>
    <w:p w14:paraId="71858C2C">
      <w:pPr>
        <w:jc w:val="center"/>
        <w:outlineLvl w:val="9"/>
        <w:rPr>
          <w:rStyle w:val="50"/>
          <w:rFonts w:hint="eastAsia" w:ascii="宋体" w:hAnsi="宋体" w:cs="宋体"/>
          <w:color w:val="auto"/>
          <w:sz w:val="32"/>
          <w:szCs w:val="32"/>
          <w:highlight w:val="none"/>
        </w:rPr>
      </w:pPr>
      <w:bookmarkStart w:id="319" w:name="_Toc3576"/>
    </w:p>
    <w:p w14:paraId="1596B398">
      <w:pPr>
        <w:jc w:val="center"/>
        <w:outlineLvl w:val="9"/>
        <w:rPr>
          <w:rStyle w:val="50"/>
          <w:rFonts w:hint="eastAsia" w:ascii="宋体" w:hAnsi="宋体" w:cs="宋体"/>
          <w:color w:val="auto"/>
          <w:sz w:val="32"/>
          <w:szCs w:val="32"/>
          <w:highlight w:val="none"/>
        </w:rPr>
      </w:pPr>
    </w:p>
    <w:p w14:paraId="7936CF3D">
      <w:pPr>
        <w:jc w:val="center"/>
        <w:outlineLvl w:val="9"/>
        <w:rPr>
          <w:rStyle w:val="50"/>
          <w:rFonts w:hint="eastAsia" w:ascii="宋体" w:hAnsi="宋体" w:cs="宋体"/>
          <w:color w:val="auto"/>
          <w:sz w:val="32"/>
          <w:szCs w:val="32"/>
          <w:highlight w:val="none"/>
        </w:rPr>
      </w:pPr>
    </w:p>
    <w:p w14:paraId="4E27E005">
      <w:pPr>
        <w:jc w:val="both"/>
        <w:outlineLvl w:val="9"/>
        <w:rPr>
          <w:rStyle w:val="50"/>
          <w:rFonts w:hint="eastAsia" w:ascii="宋体" w:hAnsi="宋体" w:cs="宋体"/>
          <w:color w:val="auto"/>
          <w:sz w:val="32"/>
          <w:szCs w:val="32"/>
          <w:highlight w:val="none"/>
        </w:rPr>
      </w:pPr>
    </w:p>
    <w:p w14:paraId="72848D8C">
      <w:pPr>
        <w:pStyle w:val="2"/>
        <w:rPr>
          <w:rStyle w:val="50"/>
          <w:rFonts w:hint="eastAsia" w:ascii="宋体" w:hAnsi="宋体" w:cs="宋体"/>
          <w:color w:val="auto"/>
          <w:sz w:val="32"/>
          <w:szCs w:val="32"/>
          <w:highlight w:val="none"/>
        </w:rPr>
      </w:pPr>
    </w:p>
    <w:p w14:paraId="17033961">
      <w:pPr>
        <w:rPr>
          <w:rStyle w:val="50"/>
          <w:rFonts w:hint="eastAsia" w:ascii="宋体" w:hAnsi="宋体" w:cs="宋体"/>
          <w:color w:val="auto"/>
          <w:sz w:val="32"/>
          <w:szCs w:val="32"/>
          <w:highlight w:val="none"/>
        </w:rPr>
      </w:pPr>
    </w:p>
    <w:p w14:paraId="4B0B0436">
      <w:pPr>
        <w:pStyle w:val="2"/>
        <w:rPr>
          <w:rStyle w:val="50"/>
          <w:rFonts w:hint="eastAsia" w:ascii="宋体" w:hAnsi="宋体" w:cs="宋体"/>
          <w:color w:val="auto"/>
          <w:sz w:val="32"/>
          <w:szCs w:val="32"/>
          <w:highlight w:val="none"/>
        </w:rPr>
      </w:pPr>
    </w:p>
    <w:p w14:paraId="0DC08AF2">
      <w:pPr>
        <w:rPr>
          <w:rStyle w:val="50"/>
          <w:rFonts w:hint="eastAsia" w:ascii="宋体" w:hAnsi="宋体" w:cs="宋体"/>
          <w:color w:val="auto"/>
          <w:sz w:val="32"/>
          <w:szCs w:val="32"/>
          <w:highlight w:val="none"/>
        </w:rPr>
      </w:pPr>
    </w:p>
    <w:p w14:paraId="720243E6">
      <w:pPr>
        <w:pStyle w:val="2"/>
        <w:rPr>
          <w:rStyle w:val="50"/>
          <w:rFonts w:hint="eastAsia" w:ascii="宋体" w:hAnsi="宋体" w:cs="宋体"/>
          <w:color w:val="auto"/>
          <w:sz w:val="32"/>
          <w:szCs w:val="32"/>
          <w:highlight w:val="none"/>
        </w:rPr>
      </w:pPr>
    </w:p>
    <w:p w14:paraId="56A6F88E">
      <w:pPr>
        <w:rPr>
          <w:rStyle w:val="50"/>
          <w:rFonts w:hint="eastAsia" w:ascii="宋体" w:hAnsi="宋体" w:cs="宋体"/>
          <w:color w:val="auto"/>
          <w:sz w:val="32"/>
          <w:szCs w:val="32"/>
          <w:highlight w:val="none"/>
        </w:rPr>
      </w:pPr>
    </w:p>
    <w:p w14:paraId="3AECB34E">
      <w:pPr>
        <w:pStyle w:val="2"/>
        <w:rPr>
          <w:rStyle w:val="50"/>
          <w:rFonts w:hint="eastAsia" w:ascii="宋体" w:hAnsi="宋体" w:cs="宋体"/>
          <w:color w:val="auto"/>
          <w:sz w:val="32"/>
          <w:szCs w:val="32"/>
          <w:highlight w:val="none"/>
        </w:rPr>
      </w:pPr>
    </w:p>
    <w:p w14:paraId="6BC3935F">
      <w:pPr>
        <w:rPr>
          <w:rFonts w:hint="eastAsia"/>
          <w:color w:val="auto"/>
          <w:highlight w:val="none"/>
        </w:rPr>
      </w:pPr>
    </w:p>
    <w:p w14:paraId="5DA8FA43">
      <w:pPr>
        <w:jc w:val="center"/>
        <w:outlineLvl w:val="0"/>
        <w:rPr>
          <w:rStyle w:val="50"/>
          <w:rFonts w:ascii="宋体" w:hAnsi="宋体" w:cs="宋体"/>
          <w:color w:val="auto"/>
          <w:sz w:val="32"/>
          <w:szCs w:val="32"/>
          <w:highlight w:val="none"/>
        </w:rPr>
      </w:pPr>
      <w:bookmarkStart w:id="320" w:name="_Toc28876"/>
      <w:r>
        <w:rPr>
          <w:rStyle w:val="50"/>
          <w:rFonts w:hint="eastAsia" w:ascii="宋体" w:hAnsi="宋体" w:cs="宋体"/>
          <w:color w:val="auto"/>
          <w:sz w:val="32"/>
          <w:szCs w:val="32"/>
          <w:highlight w:val="none"/>
        </w:rPr>
        <w:t>第四章 评标办法</w:t>
      </w:r>
      <w:bookmarkEnd w:id="316"/>
      <w:bookmarkEnd w:id="317"/>
      <w:bookmarkEnd w:id="318"/>
      <w:bookmarkEnd w:id="319"/>
      <w:bookmarkEnd w:id="320"/>
    </w:p>
    <w:p w14:paraId="28FC0992">
      <w:pPr>
        <w:spacing w:line="360" w:lineRule="auto"/>
        <w:ind w:firstLine="487" w:firstLineChars="202"/>
        <w:jc w:val="left"/>
        <w:rPr>
          <w:rFonts w:ascii="宋体" w:hAnsi="宋体" w:cs="宋体"/>
          <w:b/>
          <w:color w:val="auto"/>
          <w:sz w:val="24"/>
          <w:highlight w:val="none"/>
        </w:rPr>
      </w:pPr>
      <w:bookmarkStart w:id="321" w:name="_Toc13023"/>
      <w:r>
        <w:rPr>
          <w:rFonts w:hint="eastAsia" w:ascii="宋体" w:hAnsi="宋体" w:cs="宋体"/>
          <w:b/>
          <w:color w:val="auto"/>
          <w:sz w:val="24"/>
          <w:highlight w:val="none"/>
        </w:rPr>
        <w:t>一、评标原则</w:t>
      </w:r>
    </w:p>
    <w:p w14:paraId="3B578626">
      <w:pPr>
        <w:pStyle w:val="16"/>
        <w:adjustRightInd w:val="0"/>
        <w:spacing w:line="360" w:lineRule="auto"/>
        <w:ind w:firstLine="420" w:firstLineChars="200"/>
        <w:contextualSpacing/>
        <w:rPr>
          <w:rFonts w:hAnsi="宋体" w:cs="宋体"/>
          <w:bCs/>
          <w:color w:val="auto"/>
          <w:szCs w:val="21"/>
          <w:highlight w:val="none"/>
        </w:rPr>
      </w:pPr>
      <w:r>
        <w:rPr>
          <w:rFonts w:hint="eastAsia" w:hAnsi="宋体" w:cs="宋体"/>
          <w:bCs/>
          <w:color w:val="auto"/>
          <w:szCs w:val="21"/>
          <w:highlight w:val="none"/>
        </w:rPr>
        <w:t>（一）评委会组成：本招标采购项目的评标委员会由采购人代表、</w:t>
      </w:r>
      <w:r>
        <w:rPr>
          <w:rFonts w:hint="eastAsia" w:hAnsi="宋体" w:cs="宋体"/>
          <w:bCs/>
          <w:color w:val="auto"/>
          <w:szCs w:val="21"/>
          <w:highlight w:val="none"/>
          <w:lang w:val="en-US" w:eastAsia="zh-CN"/>
        </w:rPr>
        <w:t>评审</w:t>
      </w:r>
      <w:r>
        <w:rPr>
          <w:rFonts w:hint="eastAsia" w:hAnsi="宋体" w:cs="宋体"/>
          <w:bCs/>
          <w:color w:val="auto"/>
          <w:szCs w:val="21"/>
          <w:highlight w:val="none"/>
        </w:rPr>
        <w:t>专家组成。其中，专家评委不得少于成员总数的三分之二。</w:t>
      </w:r>
    </w:p>
    <w:p w14:paraId="22C8D2AE">
      <w:pPr>
        <w:pStyle w:val="16"/>
        <w:adjustRightInd w:val="0"/>
        <w:spacing w:line="360" w:lineRule="auto"/>
        <w:ind w:firstLine="420" w:firstLineChars="200"/>
        <w:contextualSpacing/>
        <w:rPr>
          <w:rFonts w:hAnsi="宋体" w:cs="宋体"/>
          <w:bCs/>
          <w:color w:val="auto"/>
          <w:szCs w:val="21"/>
          <w:highlight w:val="none"/>
        </w:rPr>
      </w:pPr>
      <w:r>
        <w:rPr>
          <w:rFonts w:hint="eastAsia" w:hAnsi="宋体" w:cs="宋体"/>
          <w:bCs/>
          <w:color w:val="auto"/>
          <w:szCs w:val="21"/>
          <w:highlight w:val="none"/>
        </w:rPr>
        <w:t>（二）评标依据：评委将以招投标文件为评标依据，对投标人的投标</w:t>
      </w:r>
      <w:r>
        <w:rPr>
          <w:rFonts w:hint="eastAsia" w:hAnsi="宋体" w:cs="宋体"/>
          <w:color w:val="auto"/>
          <w:szCs w:val="21"/>
          <w:highlight w:val="none"/>
        </w:rPr>
        <w:t>报价、技术性能、履约能力、售后服务及政策功能等方面内容按百分制打分。</w:t>
      </w:r>
    </w:p>
    <w:p w14:paraId="345BD5B8">
      <w:pPr>
        <w:pStyle w:val="16"/>
        <w:adjustRightInd w:val="0"/>
        <w:spacing w:line="360" w:lineRule="auto"/>
        <w:ind w:firstLine="420" w:firstLineChars="200"/>
        <w:contextualSpacing/>
        <w:rPr>
          <w:rFonts w:hAnsi="宋体" w:cs="宋体"/>
          <w:bCs/>
          <w:color w:val="auto"/>
          <w:szCs w:val="21"/>
          <w:highlight w:val="none"/>
        </w:rPr>
      </w:pPr>
      <w:r>
        <w:rPr>
          <w:rFonts w:hint="eastAsia" w:hAnsi="宋体" w:cs="宋体"/>
          <w:bCs/>
          <w:color w:val="auto"/>
          <w:szCs w:val="21"/>
          <w:highlight w:val="none"/>
        </w:rPr>
        <w:t>（三）评标方式：以封闭方式进行。</w:t>
      </w:r>
    </w:p>
    <w:p w14:paraId="4358A3A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（四）采购人和采购代理机构、评标委员会成员要严格遵守政府采购相关法律制度，依法履行各自职责，公正、客观、审慎地组织和参与评审工作。</w:t>
      </w:r>
    </w:p>
    <w:p w14:paraId="40D2A1C6">
      <w:pPr>
        <w:spacing w:line="360" w:lineRule="auto"/>
        <w:ind w:firstLine="487" w:firstLineChars="202"/>
        <w:jc w:val="left"/>
        <w:rPr>
          <w:rFonts w:ascii="宋体" w:hAnsi="宋体" w:cs="宋体"/>
          <w:b/>
          <w:color w:val="auto"/>
          <w:sz w:val="24"/>
          <w:highlight w:val="none"/>
        </w:rPr>
      </w:pPr>
      <w:r>
        <w:rPr>
          <w:rFonts w:hint="eastAsia" w:ascii="宋体" w:hAnsi="宋体" w:cs="宋体"/>
          <w:b/>
          <w:color w:val="auto"/>
          <w:sz w:val="24"/>
          <w:highlight w:val="none"/>
        </w:rPr>
        <w:t>二、评定方法</w:t>
      </w:r>
    </w:p>
    <w:p w14:paraId="3E8C9758">
      <w:pPr>
        <w:pStyle w:val="16"/>
        <w:adjustRightInd w:val="0"/>
        <w:spacing w:line="360" w:lineRule="auto"/>
        <w:ind w:firstLine="420" w:firstLineChars="200"/>
        <w:contextualSpacing/>
        <w:rPr>
          <w:rFonts w:hAnsi="宋体" w:cs="宋体"/>
          <w:bCs/>
          <w:color w:val="auto"/>
          <w:szCs w:val="21"/>
          <w:highlight w:val="none"/>
        </w:rPr>
      </w:pPr>
      <w:r>
        <w:rPr>
          <w:rFonts w:hint="eastAsia" w:hAnsi="宋体" w:cs="宋体"/>
          <w:bCs/>
          <w:color w:val="auto"/>
          <w:szCs w:val="21"/>
          <w:highlight w:val="none"/>
        </w:rPr>
        <w:t>（一）对进入详评的，采用百分制综合评分法。</w:t>
      </w:r>
    </w:p>
    <w:p w14:paraId="5C8E5285">
      <w:pPr>
        <w:pStyle w:val="16"/>
        <w:adjustRightInd w:val="0"/>
        <w:spacing w:line="360" w:lineRule="auto"/>
        <w:ind w:firstLine="420" w:firstLineChars="200"/>
        <w:contextualSpacing/>
        <w:rPr>
          <w:rFonts w:hAnsi="宋体" w:cs="宋体"/>
          <w:bCs/>
          <w:color w:val="auto"/>
          <w:szCs w:val="21"/>
          <w:highlight w:val="none"/>
        </w:rPr>
      </w:pPr>
      <w:r>
        <w:rPr>
          <w:rFonts w:hint="eastAsia" w:hAnsi="宋体" w:cs="宋体"/>
          <w:bCs/>
          <w:color w:val="auto"/>
          <w:szCs w:val="21"/>
          <w:highlight w:val="none"/>
        </w:rPr>
        <w:t>（二）计分办法（按四舍五入取至百分位）：</w:t>
      </w:r>
    </w:p>
    <w:p w14:paraId="53F93EB0">
      <w:pPr>
        <w:pStyle w:val="16"/>
        <w:spacing w:line="360" w:lineRule="auto"/>
        <w:rPr>
          <w:rFonts w:hAnsi="宋体" w:cs="宋体"/>
          <w:b/>
          <w:bCs/>
          <w:color w:val="auto"/>
          <w:kern w:val="0"/>
          <w:szCs w:val="21"/>
          <w:highlight w:val="none"/>
        </w:rPr>
      </w:pPr>
      <w:bookmarkStart w:id="322" w:name="_Toc7653"/>
      <w:r>
        <w:rPr>
          <w:rFonts w:hint="eastAsia" w:hAnsi="宋体" w:cs="宋体"/>
          <w:b/>
          <w:bCs/>
          <w:color w:val="auto"/>
          <w:kern w:val="0"/>
          <w:szCs w:val="21"/>
          <w:highlight w:val="none"/>
        </w:rPr>
        <w:t>1、价格分………………………………………………………………………………………………（满分30分</w:t>
      </w:r>
      <w:bookmarkEnd w:id="322"/>
      <w:r>
        <w:rPr>
          <w:rFonts w:hint="eastAsia" w:hAnsi="宋体" w:cs="宋体"/>
          <w:b/>
          <w:bCs/>
          <w:color w:val="auto"/>
          <w:kern w:val="0"/>
          <w:szCs w:val="21"/>
          <w:highlight w:val="none"/>
        </w:rPr>
        <w:t>）</w:t>
      </w:r>
    </w:p>
    <w:p w14:paraId="080EE876">
      <w:pPr>
        <w:pStyle w:val="16"/>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rPr>
        <w:t>（1）根据《广西壮族自治区财政厅关于进一步发挥政府采购政策功能促进企业发展的通知》（桂财采〔2022〕30号），凡符合《政府采购促进中小企业发展管理办法》（财库〔2020〕46号）规定条件且按该办法中规定的格式提供了《中小企业声明函》的小型和微型企业，对其投标价给予20%的扣除，扣除后的价格为评标价，即评标价=投标价×（1-20%）。</w:t>
      </w:r>
    </w:p>
    <w:p w14:paraId="2D687F08">
      <w:pPr>
        <w:pStyle w:val="16"/>
        <w:spacing w:line="360" w:lineRule="auto"/>
        <w:ind w:firstLine="420"/>
        <w:rPr>
          <w:rFonts w:hAnsi="宋体" w:cs="宋体"/>
          <w:color w:val="auto"/>
          <w:szCs w:val="21"/>
          <w:highlight w:val="none"/>
        </w:rPr>
      </w:pPr>
      <w:r>
        <w:rPr>
          <w:rFonts w:hint="eastAsia" w:hAnsi="宋体" w:cs="宋体"/>
          <w:b/>
          <w:color w:val="auto"/>
          <w:szCs w:val="21"/>
          <w:highlight w:val="none"/>
        </w:rPr>
        <w:t>注：中小微型企业划分标准按照《国家统计局关于印发〈统计上大中小微型企业划分办法〉〔2017〕的通知》（国统字〔2017〕213号）执行，具体划分标准见附表《统计上大中小微型企业划分标准》。</w:t>
      </w:r>
    </w:p>
    <w:p w14:paraId="1B31412D">
      <w:pPr>
        <w:pStyle w:val="16"/>
        <w:numPr>
          <w:ilvl w:val="0"/>
          <w:numId w:val="3"/>
        </w:numPr>
        <w:spacing w:line="360" w:lineRule="auto"/>
        <w:ind w:firstLine="420"/>
        <w:rPr>
          <w:rFonts w:hAnsi="宋体" w:cs="宋体"/>
          <w:color w:val="auto"/>
          <w:kern w:val="0"/>
          <w:szCs w:val="21"/>
          <w:highlight w:val="none"/>
        </w:rPr>
      </w:pPr>
      <w:r>
        <w:rPr>
          <w:rFonts w:hint="eastAsia" w:hAnsi="宋体" w:cs="宋体"/>
          <w:color w:val="auto"/>
          <w:kern w:val="0"/>
          <w:szCs w:val="21"/>
          <w:highlight w:val="none"/>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14:paraId="702877A4">
      <w:pPr>
        <w:pStyle w:val="16"/>
        <w:numPr>
          <w:ilvl w:val="0"/>
          <w:numId w:val="3"/>
        </w:numPr>
        <w:spacing w:line="360" w:lineRule="auto"/>
        <w:ind w:firstLine="420"/>
        <w:rPr>
          <w:rFonts w:hAnsi="宋体" w:cs="宋体"/>
          <w:color w:val="auto"/>
          <w:szCs w:val="21"/>
          <w:highlight w:val="none"/>
        </w:rPr>
      </w:pPr>
      <w:r>
        <w:rPr>
          <w:rFonts w:hint="eastAsia" w:hAnsi="宋体" w:cs="宋体"/>
          <w:color w:val="auto"/>
          <w:szCs w:val="21"/>
          <w:highlight w:val="none"/>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14:paraId="2F5994F8">
      <w:pPr>
        <w:pStyle w:val="16"/>
        <w:spacing w:line="360" w:lineRule="auto"/>
        <w:ind w:firstLine="420" w:firstLineChars="200"/>
        <w:rPr>
          <w:rFonts w:hAnsi="宋体" w:cs="宋体"/>
          <w:color w:val="auto"/>
          <w:szCs w:val="21"/>
          <w:highlight w:val="none"/>
        </w:rPr>
      </w:pPr>
      <w:r>
        <w:rPr>
          <w:rFonts w:hint="eastAsia" w:hAnsi="宋体" w:cs="宋体"/>
          <w:color w:val="auto"/>
          <w:szCs w:val="21"/>
          <w:highlight w:val="none"/>
        </w:rPr>
        <w:t>对于不属于以上情形的投标人，其投标报价即为评标价。</w:t>
      </w:r>
    </w:p>
    <w:p w14:paraId="0409EBD6">
      <w:pPr>
        <w:pStyle w:val="16"/>
        <w:spacing w:line="360" w:lineRule="auto"/>
        <w:ind w:firstLine="420"/>
        <w:rPr>
          <w:rFonts w:hAnsi="宋体" w:cs="宋体"/>
          <w:color w:val="auto"/>
          <w:kern w:val="0"/>
          <w:szCs w:val="21"/>
          <w:highlight w:val="none"/>
        </w:rPr>
      </w:pPr>
      <w:r>
        <w:rPr>
          <w:rFonts w:hint="eastAsia" w:hAnsi="宋体" w:cs="宋体"/>
          <w:color w:val="auto"/>
          <w:kern w:val="0"/>
          <w:szCs w:val="21"/>
          <w:highlight w:val="none"/>
        </w:rPr>
        <w:t>（4）价格分采用低价优先法计算，即满足招标文件要求且评标报价最低的评标报价为评标基准价，其价格分为30分。</w:t>
      </w:r>
    </w:p>
    <w:p w14:paraId="4145B414">
      <w:pPr>
        <w:pStyle w:val="16"/>
        <w:spacing w:line="360" w:lineRule="auto"/>
        <w:ind w:firstLine="420"/>
        <w:rPr>
          <w:rFonts w:hAnsi="宋体" w:cs="宋体"/>
          <w:color w:val="auto"/>
          <w:kern w:val="0"/>
          <w:szCs w:val="21"/>
          <w:highlight w:val="none"/>
        </w:rPr>
      </w:pPr>
      <w:r>
        <w:rPr>
          <w:rFonts w:hint="eastAsia" w:hAnsi="宋体" w:cs="宋体"/>
          <w:color w:val="auto"/>
          <w:kern w:val="0"/>
          <w:szCs w:val="21"/>
          <w:highlight w:val="none"/>
        </w:rPr>
        <w:t>（5）价格分计算公式：</w:t>
      </w:r>
    </w:p>
    <w:p w14:paraId="46720C94">
      <w:pPr>
        <w:pStyle w:val="16"/>
        <w:spacing w:line="360" w:lineRule="auto"/>
        <w:ind w:firstLine="3087" w:firstLineChars="1470"/>
        <w:rPr>
          <w:rFonts w:hAnsi="宋体" w:cs="宋体"/>
          <w:bCs/>
          <w:color w:val="auto"/>
          <w:szCs w:val="21"/>
          <w:highlight w:val="none"/>
        </w:rPr>
      </w:pPr>
      <w:r>
        <w:rPr>
          <w:rFonts w:hint="eastAsia" w:hAnsi="宋体" w:cs="宋体"/>
          <w:bCs/>
          <w:color w:val="auto"/>
          <w:szCs w:val="21"/>
          <w:highlight w:val="none"/>
        </w:rPr>
        <w:t>最低投标人</w:t>
      </w:r>
      <w:r>
        <w:rPr>
          <w:rFonts w:hint="eastAsia" w:hAnsi="宋体" w:cs="宋体"/>
          <w:color w:val="auto"/>
          <w:szCs w:val="21"/>
          <w:highlight w:val="none"/>
        </w:rPr>
        <w:t>评标报价</w:t>
      </w:r>
      <w:r>
        <w:rPr>
          <w:rFonts w:hint="eastAsia" w:hAnsi="宋体" w:cs="宋体"/>
          <w:bCs/>
          <w:color w:val="auto"/>
          <w:szCs w:val="21"/>
          <w:highlight w:val="none"/>
        </w:rPr>
        <w:t xml:space="preserve">金额          </w:t>
      </w:r>
    </w:p>
    <w:p w14:paraId="5A44EFEF">
      <w:pPr>
        <w:pStyle w:val="16"/>
        <w:spacing w:line="360" w:lineRule="auto"/>
        <w:ind w:firstLine="420"/>
        <w:rPr>
          <w:rFonts w:hAnsi="宋体" w:cs="宋体"/>
          <w:bCs/>
          <w:color w:val="auto"/>
          <w:szCs w:val="21"/>
          <w:highlight w:val="none"/>
        </w:rPr>
      </w:pPr>
      <w:r>
        <w:rPr>
          <w:rFonts w:hAnsi="宋体" w:cs="宋体"/>
          <w:bCs/>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3.25pt;margin-top:11.75pt;height:0.05pt;width:156pt;z-index:251660288;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panztYAAAAJAQAADwAAAAAAAAABACAAAAAiAAAAZHJzL2Rvd25yZXYueG1sUEsB&#10;AhQAFAAAAAgAh07iQIKZ16z3AQAA8gMAAA4AAAAAAAAAAQAgAAAAJQEAAGRycy9lMm9Eb2MueG1s&#10;UEsFBgAAAAAGAAYAWQEAAI4FAAAAAA==&#10;">
                <v:fill on="f" focussize="0,0"/>
                <v:stroke color="#000000" joinstyle="round"/>
                <v:imagedata o:title=""/>
                <o:lock v:ext="edit" aspectratio="f"/>
              </v:line>
            </w:pict>
          </mc:Fallback>
        </mc:AlternateContent>
      </w:r>
      <w:r>
        <w:rPr>
          <w:rFonts w:hint="eastAsia" w:hAnsi="宋体" w:cs="宋体"/>
          <w:bCs/>
          <w:color w:val="auto"/>
          <w:szCs w:val="21"/>
          <w:highlight w:val="none"/>
        </w:rPr>
        <w:t>某投标人价格分 =                                      × 30 分</w:t>
      </w:r>
    </w:p>
    <w:p w14:paraId="653910A8">
      <w:pPr>
        <w:pStyle w:val="16"/>
        <w:spacing w:line="360" w:lineRule="auto"/>
        <w:ind w:firstLine="420" w:firstLineChars="200"/>
        <w:rPr>
          <w:rFonts w:hAnsi="宋体" w:cs="宋体"/>
          <w:b/>
          <w:color w:val="auto"/>
          <w:szCs w:val="21"/>
          <w:highlight w:val="none"/>
        </w:rPr>
      </w:pPr>
      <w:r>
        <w:rPr>
          <w:rFonts w:hint="eastAsia" w:hAnsi="宋体" w:cs="宋体"/>
          <w:bCs/>
          <w:color w:val="auto"/>
          <w:szCs w:val="21"/>
          <w:highlight w:val="none"/>
        </w:rPr>
        <w:t xml:space="preserve">                           某投标人</w:t>
      </w:r>
      <w:r>
        <w:rPr>
          <w:rFonts w:hint="eastAsia" w:hAnsi="宋体" w:cs="宋体"/>
          <w:color w:val="auto"/>
          <w:szCs w:val="21"/>
          <w:highlight w:val="none"/>
        </w:rPr>
        <w:t>评标报价</w:t>
      </w:r>
      <w:r>
        <w:rPr>
          <w:rFonts w:hint="eastAsia" w:hAnsi="宋体" w:cs="宋体"/>
          <w:bCs/>
          <w:color w:val="auto"/>
          <w:szCs w:val="21"/>
          <w:highlight w:val="none"/>
        </w:rPr>
        <w:t xml:space="preserve">金额  </w:t>
      </w:r>
    </w:p>
    <w:p w14:paraId="42037FE9">
      <w:pPr>
        <w:pStyle w:val="16"/>
        <w:spacing w:line="360" w:lineRule="auto"/>
        <w:jc w:val="left"/>
        <w:rPr>
          <w:rFonts w:hAnsi="宋体" w:cs="宋体"/>
          <w:b/>
          <w:bCs/>
          <w:color w:val="auto"/>
          <w:szCs w:val="21"/>
          <w:highlight w:val="none"/>
        </w:rPr>
      </w:pPr>
      <w:r>
        <w:rPr>
          <w:rFonts w:hint="eastAsia" w:hAnsi="宋体" w:cs="宋体"/>
          <w:b/>
          <w:bCs/>
          <w:color w:val="auto"/>
          <w:szCs w:val="21"/>
          <w:highlight w:val="none"/>
        </w:rPr>
        <w:t>2、技术性能分…………………………………………………………………………………………（满分</w:t>
      </w:r>
      <w:r>
        <w:rPr>
          <w:rFonts w:hint="eastAsia" w:hAnsi="宋体" w:cs="宋体"/>
          <w:b/>
          <w:bCs/>
          <w:color w:val="auto"/>
          <w:szCs w:val="21"/>
          <w:highlight w:val="none"/>
          <w:lang w:val="en-US" w:eastAsia="zh-CN"/>
        </w:rPr>
        <w:t>28</w:t>
      </w:r>
      <w:r>
        <w:rPr>
          <w:rFonts w:hint="eastAsia" w:hAnsi="宋体" w:cs="宋体"/>
          <w:b/>
          <w:bCs/>
          <w:color w:val="auto"/>
          <w:szCs w:val="21"/>
          <w:highlight w:val="none"/>
        </w:rPr>
        <w:t>分）</w:t>
      </w:r>
    </w:p>
    <w:p w14:paraId="7BE9EED2">
      <w:pPr>
        <w:pStyle w:val="16"/>
        <w:spacing w:line="360" w:lineRule="auto"/>
        <w:ind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评标委员会对通过资格性和符合性审查进入详评的各投标人投标文件，对招标文件“采购需求”的响应情况进行独立评审，并按如下计分方式确定得分：</w:t>
      </w:r>
    </w:p>
    <w:p w14:paraId="4AF338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一档：与</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“采购需求”中，评定范围内的</w:t>
      </w:r>
      <w:r>
        <w:rPr>
          <w:rFonts w:hint="eastAsia" w:ascii="宋体" w:hAnsi="宋体"/>
          <w:bCs/>
          <w:color w:val="auto"/>
          <w:kern w:val="0"/>
          <w:highlight w:val="none"/>
        </w:rPr>
        <w:t>主要技术参数及配置</w:t>
      </w:r>
      <w:r>
        <w:rPr>
          <w:rFonts w:hint="eastAsia" w:ascii="宋体" w:hAnsi="宋体"/>
          <w:color w:val="auto"/>
          <w:szCs w:val="21"/>
          <w:highlight w:val="none"/>
        </w:rPr>
        <w:t>带“★”的条款项</w:t>
      </w:r>
      <w:r>
        <w:rPr>
          <w:rFonts w:hint="eastAsia" w:ascii="宋体" w:hAnsi="宋体" w:cs="宋体"/>
          <w:color w:val="auto"/>
          <w:szCs w:val="21"/>
          <w:highlight w:val="none"/>
        </w:rPr>
        <w:t>的设备技术参数、性能、配备对比，没有负偏离。其他设备技术参数有负偏离的进入一档评分得基本分</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分，在此基础上经评委认定为负偏离的每一项扣2分，扣完为止。</w:t>
      </w:r>
    </w:p>
    <w:p w14:paraId="5A5925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二档：与</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“采购需求”中，评定范围内的所有设备技术参数、性能、配备对比，全部满足，没有负偏离的进入二档评分，得基本分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27DF41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三档：与</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采购需求</w:t>
      </w:r>
      <w:r>
        <w:rPr>
          <w:rFonts w:hint="eastAsia" w:ascii="宋体" w:hAnsi="宋体" w:cs="宋体"/>
          <w:color w:val="auto"/>
          <w:szCs w:val="21"/>
          <w:highlight w:val="none"/>
        </w:rPr>
        <w:t>”中，评定范围内的所有设备技术参数、性能、配备对比，全部满足，没有负偏离, 并且评定范围内的</w:t>
      </w:r>
      <w:r>
        <w:rPr>
          <w:rFonts w:hint="eastAsia" w:ascii="宋体" w:hAnsi="宋体"/>
          <w:bCs/>
          <w:color w:val="auto"/>
          <w:kern w:val="0"/>
          <w:highlight w:val="none"/>
        </w:rPr>
        <w:t>主要技术参数及配置</w:t>
      </w:r>
      <w:r>
        <w:rPr>
          <w:rFonts w:hint="eastAsia" w:ascii="宋体" w:hAnsi="宋体"/>
          <w:color w:val="auto"/>
          <w:szCs w:val="21"/>
          <w:highlight w:val="none"/>
        </w:rPr>
        <w:t>带“★”的条款项</w:t>
      </w:r>
      <w:r>
        <w:rPr>
          <w:rFonts w:hint="eastAsia" w:ascii="宋体" w:hAnsi="宋体" w:cs="宋体"/>
          <w:color w:val="auto"/>
          <w:szCs w:val="21"/>
          <w:highlight w:val="none"/>
        </w:rPr>
        <w:t>有正偏离的进入三档评分，得基本分1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分。在此基础上经评委认定每一项</w:t>
      </w:r>
      <w:r>
        <w:rPr>
          <w:rFonts w:hint="eastAsia" w:ascii="宋体" w:hAnsi="宋体"/>
          <w:color w:val="auto"/>
          <w:szCs w:val="21"/>
          <w:highlight w:val="none"/>
        </w:rPr>
        <w:t>带“★”的条款项</w:t>
      </w:r>
      <w:r>
        <w:rPr>
          <w:rFonts w:hint="eastAsia" w:ascii="宋体" w:hAnsi="宋体" w:cs="宋体"/>
          <w:color w:val="auto"/>
          <w:szCs w:val="21"/>
          <w:highlight w:val="none"/>
        </w:rPr>
        <w:t>正偏离的加</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分；每一项</w:t>
      </w:r>
      <w:r>
        <w:rPr>
          <w:rFonts w:hint="eastAsia" w:ascii="宋体" w:hAnsi="宋体"/>
          <w:bCs/>
          <w:color w:val="auto"/>
          <w:kern w:val="0"/>
          <w:highlight w:val="none"/>
        </w:rPr>
        <w:t>非</w:t>
      </w:r>
      <w:r>
        <w:rPr>
          <w:rFonts w:hint="eastAsia" w:ascii="宋体" w:hAnsi="宋体"/>
          <w:color w:val="auto"/>
          <w:szCs w:val="21"/>
          <w:highlight w:val="none"/>
        </w:rPr>
        <w:t>带“★”条款项</w:t>
      </w:r>
      <w:r>
        <w:rPr>
          <w:rFonts w:hint="eastAsia" w:ascii="宋体" w:hAnsi="宋体" w:cs="宋体"/>
          <w:color w:val="auto"/>
          <w:szCs w:val="21"/>
          <w:highlight w:val="none"/>
        </w:rPr>
        <w:t>正偏离的加1分，满分</w:t>
      </w:r>
      <w:r>
        <w:rPr>
          <w:rFonts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p w14:paraId="14E4C417">
      <w:pPr>
        <w:pStyle w:val="16"/>
        <w:spacing w:line="360" w:lineRule="auto"/>
        <w:ind w:firstLine="420" w:firstLineChars="200"/>
        <w:rPr>
          <w:rFonts w:hint="eastAsia" w:hAnsi="宋体" w:cs="宋体"/>
          <w:b/>
          <w:bCs/>
          <w:color w:val="auto"/>
          <w:szCs w:val="21"/>
          <w:highlight w:val="none"/>
        </w:rPr>
      </w:pPr>
      <w:r>
        <w:rPr>
          <w:rFonts w:hint="eastAsia" w:ascii="宋体" w:hAnsi="宋体" w:cs="宋体"/>
          <w:color w:val="auto"/>
          <w:szCs w:val="21"/>
          <w:highlight w:val="none"/>
        </w:rPr>
        <w:t>注：投标人应对照本项目“</w:t>
      </w:r>
      <w:r>
        <w:rPr>
          <w:rFonts w:hint="eastAsia" w:ascii="宋体" w:hAnsi="宋体" w:cs="宋体"/>
          <w:color w:val="auto"/>
          <w:szCs w:val="21"/>
          <w:highlight w:val="none"/>
          <w:lang w:eastAsia="zh-CN"/>
        </w:rPr>
        <w:t>采购需求</w:t>
      </w:r>
      <w:r>
        <w:rPr>
          <w:rFonts w:hint="eastAsia" w:ascii="宋体" w:hAnsi="宋体" w:cs="宋体"/>
          <w:color w:val="auto"/>
          <w:szCs w:val="21"/>
          <w:highlight w:val="none"/>
        </w:rPr>
        <w:t>”注明所投产品技术参数的响应情况及偏离情况（无偏离、正偏离、负偏离），当出现“正偏离”情况时应对应填写偏离情况说明及提供相应有效的证明材料，否则，投标人投标文件中承诺的相应“正偏离”项不予评定并不计相应得分。证明材料</w:t>
      </w:r>
      <w:r>
        <w:rPr>
          <w:rFonts w:hint="eastAsia"/>
          <w:color w:val="auto"/>
          <w:highlight w:val="none"/>
          <w:lang w:val="en-US" w:eastAsia="zh-CN"/>
        </w:rPr>
        <w:t>包括但不限于</w:t>
      </w:r>
      <w:r>
        <w:rPr>
          <w:rFonts w:hint="eastAsia" w:ascii="宋体" w:hAnsi="宋体" w:cs="宋体"/>
          <w:color w:val="auto"/>
          <w:szCs w:val="21"/>
          <w:highlight w:val="none"/>
        </w:rPr>
        <w:t>含有正偏离技术参数的</w:t>
      </w:r>
      <w:r>
        <w:rPr>
          <w:rFonts w:hint="eastAsia" w:ascii="宋体" w:hAnsi="宋体" w:cs="宋体"/>
          <w:color w:val="auto"/>
          <w:szCs w:val="21"/>
          <w:highlight w:val="none"/>
          <w:lang w:eastAsia="zh-CN"/>
        </w:rPr>
        <w:t>第三方检测机构出具的带（CMA或CNAS）标识的检测报告扫描件，或者产品说明书相关功能页面及封面扫描件，或者官网相关功能页面截图（提供完整网页网址），或者产品功能截图。</w:t>
      </w:r>
    </w:p>
    <w:p w14:paraId="5F14AD2F">
      <w:pPr>
        <w:pStyle w:val="16"/>
        <w:spacing w:line="360" w:lineRule="auto"/>
        <w:jc w:val="left"/>
        <w:rPr>
          <w:rFonts w:hAnsi="宋体" w:cs="宋体"/>
          <w:b/>
          <w:bCs/>
          <w:color w:val="auto"/>
          <w:szCs w:val="21"/>
          <w:highlight w:val="none"/>
        </w:rPr>
      </w:pPr>
      <w:r>
        <w:rPr>
          <w:rFonts w:hint="eastAsia" w:hAnsi="宋体" w:cs="宋体"/>
          <w:b/>
          <w:bCs/>
          <w:color w:val="auto"/>
          <w:szCs w:val="21"/>
          <w:highlight w:val="none"/>
        </w:rPr>
        <w:t>3、</w:t>
      </w:r>
      <w:r>
        <w:rPr>
          <w:rFonts w:hint="eastAsia" w:hAnsi="宋体" w:cs="宋体"/>
          <w:b/>
          <w:bCs/>
          <w:color w:val="auto"/>
          <w:szCs w:val="21"/>
          <w:highlight w:val="none"/>
          <w:lang w:val="en-US" w:eastAsia="zh-CN"/>
        </w:rPr>
        <w:t>实施方案</w:t>
      </w:r>
      <w:r>
        <w:rPr>
          <w:rFonts w:hint="eastAsia" w:hAnsi="宋体" w:cs="宋体"/>
          <w:b/>
          <w:bCs/>
          <w:color w:val="auto"/>
          <w:szCs w:val="21"/>
          <w:highlight w:val="none"/>
        </w:rPr>
        <w:t>分</w:t>
      </w:r>
      <w:r>
        <w:rPr>
          <w:rFonts w:hint="eastAsia" w:hAnsi="宋体" w:cs="宋体"/>
          <w:b/>
          <w:bCs/>
          <w:color w:val="auto"/>
          <w:kern w:val="0"/>
          <w:szCs w:val="21"/>
          <w:highlight w:val="none"/>
        </w:rPr>
        <w:t>…………………………………………………………………………………………</w:t>
      </w:r>
      <w:r>
        <w:rPr>
          <w:rFonts w:hint="eastAsia" w:hAnsi="宋体" w:cs="宋体"/>
          <w:b/>
          <w:bCs/>
          <w:color w:val="auto"/>
          <w:szCs w:val="21"/>
          <w:highlight w:val="none"/>
        </w:rPr>
        <w:t>(满分</w:t>
      </w:r>
      <w:r>
        <w:rPr>
          <w:rFonts w:hint="eastAsia" w:hAnsi="宋体" w:cs="宋体"/>
          <w:b/>
          <w:bCs/>
          <w:color w:val="auto"/>
          <w:szCs w:val="21"/>
          <w:highlight w:val="none"/>
          <w:lang w:val="en-US" w:eastAsia="zh-CN"/>
        </w:rPr>
        <w:t>14</w:t>
      </w:r>
      <w:r>
        <w:rPr>
          <w:rFonts w:hint="eastAsia" w:hAnsi="宋体" w:cs="宋体"/>
          <w:b/>
          <w:bCs/>
          <w:color w:val="auto"/>
          <w:szCs w:val="21"/>
          <w:highlight w:val="none"/>
        </w:rPr>
        <w:t xml:space="preserve">分) </w:t>
      </w:r>
    </w:p>
    <w:p w14:paraId="740AA821">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b w:val="0"/>
          <w:bCs w:val="0"/>
          <w:color w:val="auto"/>
          <w:szCs w:val="21"/>
          <w:highlight w:val="none"/>
          <w:lang w:val="en-US" w:eastAsia="zh-CN"/>
        </w:rPr>
      </w:pPr>
      <w:bookmarkStart w:id="323" w:name="_Toc4474"/>
      <w:r>
        <w:rPr>
          <w:rFonts w:hint="eastAsia" w:hAnsi="宋体" w:cs="宋体"/>
          <w:b w:val="0"/>
          <w:bCs w:val="0"/>
          <w:color w:val="auto"/>
          <w:szCs w:val="21"/>
          <w:highlight w:val="none"/>
          <w:lang w:val="en-US" w:eastAsia="zh-CN"/>
        </w:rPr>
        <w:t>一档（1分）：提供项目实施方案简单或提供的方案不完全满足采购需求。</w:t>
      </w:r>
    </w:p>
    <w:p w14:paraId="7028FA96">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二档（4分）：有产品配送、安装方案，能按时完成配送、安装任务，保证项目正常实施。</w:t>
      </w:r>
    </w:p>
    <w:p w14:paraId="40B22DB5">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三档（8分）：在满足二档的基础上，方案有项目执行组织措施、保障措施，有实施组织方案。</w:t>
      </w:r>
    </w:p>
    <w:p w14:paraId="1E99D772">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hAnsi="宋体" w:cs="宋体"/>
          <w:b w:val="0"/>
          <w:bCs w:val="0"/>
          <w:color w:val="auto"/>
          <w:szCs w:val="21"/>
          <w:highlight w:val="none"/>
          <w:lang w:val="en-US" w:eastAsia="zh-CN"/>
        </w:rPr>
        <w:t>四档（14分）：在满足三档的基础上，配送和安装有完整的流程及规范标准，方案包括安装工艺技术、配送安装组织机构、项目实施人员及设备的配备、进度计划、质量保证措施、应急预案、保证安全及文明施工的措施等。</w:t>
      </w:r>
    </w:p>
    <w:p w14:paraId="634181F1">
      <w:pPr>
        <w:pStyle w:val="16"/>
        <w:spacing w:line="360" w:lineRule="auto"/>
        <w:rPr>
          <w:rFonts w:hAnsi="宋体" w:cs="宋体"/>
          <w:b/>
          <w:bCs/>
          <w:color w:val="auto"/>
          <w:szCs w:val="21"/>
          <w:highlight w:val="none"/>
        </w:rPr>
      </w:pPr>
      <w:r>
        <w:rPr>
          <w:rFonts w:hint="eastAsia" w:hAnsi="宋体" w:cs="宋体"/>
          <w:b/>
          <w:bCs/>
          <w:color w:val="auto"/>
          <w:szCs w:val="21"/>
          <w:highlight w:val="none"/>
        </w:rPr>
        <w:t xml:space="preserve"> 4、售后服务分…………………………………………………………………………………………(满分</w:t>
      </w:r>
      <w:r>
        <w:rPr>
          <w:rFonts w:hint="eastAsia" w:hAnsi="宋体" w:cs="宋体"/>
          <w:b/>
          <w:bCs/>
          <w:color w:val="auto"/>
          <w:szCs w:val="21"/>
          <w:highlight w:val="none"/>
          <w:lang w:val="en-US" w:eastAsia="zh-CN"/>
        </w:rPr>
        <w:t>13</w:t>
      </w:r>
      <w:r>
        <w:rPr>
          <w:rFonts w:hint="eastAsia" w:hAnsi="宋体" w:cs="宋体"/>
          <w:b/>
          <w:bCs/>
          <w:color w:val="auto"/>
          <w:szCs w:val="21"/>
          <w:highlight w:val="none"/>
        </w:rPr>
        <w:t>分)</w:t>
      </w:r>
    </w:p>
    <w:bookmarkEnd w:id="323"/>
    <w:p w14:paraId="5F81571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一档（0分）：未提供项目</w:t>
      </w:r>
      <w:r>
        <w:rPr>
          <w:rFonts w:hint="eastAsia" w:ascii="宋体" w:hAnsi="宋体" w:eastAsia="宋体" w:cs="宋体"/>
          <w:color w:val="auto"/>
          <w:szCs w:val="21"/>
          <w:highlight w:val="none"/>
          <w:lang w:val="en-US" w:eastAsia="zh-CN"/>
        </w:rPr>
        <w:t>售后</w:t>
      </w:r>
      <w:r>
        <w:rPr>
          <w:rFonts w:hint="eastAsia" w:ascii="宋体" w:hAnsi="宋体" w:eastAsia="宋体" w:cs="宋体"/>
          <w:color w:val="auto"/>
          <w:szCs w:val="21"/>
          <w:highlight w:val="none"/>
          <w:lang w:eastAsia="zh-CN"/>
        </w:rPr>
        <w:t>服务方案</w:t>
      </w:r>
      <w:r>
        <w:rPr>
          <w:rFonts w:hint="eastAsia" w:ascii="宋体" w:hAnsi="宋体" w:eastAsia="宋体" w:cs="宋体"/>
          <w:color w:val="auto"/>
          <w:szCs w:val="21"/>
          <w:highlight w:val="none"/>
          <w:lang w:val="en-US" w:eastAsia="zh-CN"/>
        </w:rPr>
        <w:t>或提供的方案不满足采购需求</w:t>
      </w:r>
      <w:r>
        <w:rPr>
          <w:rFonts w:hint="eastAsia" w:ascii="宋体" w:hAnsi="宋体" w:eastAsia="宋体" w:cs="宋体"/>
          <w:color w:val="auto"/>
          <w:szCs w:val="21"/>
          <w:highlight w:val="none"/>
          <w:lang w:eastAsia="zh-CN"/>
        </w:rPr>
        <w:t>。</w:t>
      </w:r>
    </w:p>
    <w:p w14:paraId="322C93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所提供的</w:t>
      </w:r>
      <w:r>
        <w:rPr>
          <w:rFonts w:hint="eastAsia" w:ascii="宋体" w:hAnsi="宋体" w:cs="宋体"/>
          <w:color w:val="auto"/>
          <w:szCs w:val="21"/>
          <w:highlight w:val="none"/>
          <w:lang w:val="en-US" w:eastAsia="zh-CN"/>
        </w:rPr>
        <w:t>售后</w:t>
      </w:r>
      <w:r>
        <w:rPr>
          <w:rFonts w:hint="eastAsia" w:ascii="宋体" w:hAnsi="宋体" w:cs="宋体"/>
          <w:color w:val="auto"/>
          <w:szCs w:val="21"/>
          <w:highlight w:val="none"/>
        </w:rPr>
        <w:t xml:space="preserve">服务方案包含有售后维护和保修期外维修方案，且方案可行。 </w:t>
      </w:r>
    </w:p>
    <w:p w14:paraId="30E823E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r>
        <w:rPr>
          <w:rFonts w:hint="eastAsia" w:hAnsi="宋体" w:eastAsia="宋体" w:cs="宋体"/>
          <w:bCs/>
          <w:color w:val="auto"/>
          <w:szCs w:val="21"/>
          <w:highlight w:val="none"/>
        </w:rPr>
        <w:t>在满足二档的基础上，</w:t>
      </w:r>
      <w:r>
        <w:rPr>
          <w:rFonts w:hint="eastAsia" w:ascii="宋体" w:hAnsi="宋体" w:cs="宋体"/>
          <w:bCs/>
          <w:color w:val="auto"/>
          <w:szCs w:val="21"/>
          <w:highlight w:val="none"/>
        </w:rPr>
        <w:t>有回访方案、</w:t>
      </w:r>
      <w:r>
        <w:rPr>
          <w:rFonts w:hint="eastAsia" w:ascii="宋体" w:hAnsi="宋体" w:cs="宋体"/>
          <w:color w:val="auto"/>
          <w:szCs w:val="21"/>
          <w:highlight w:val="none"/>
        </w:rPr>
        <w:t>应急保障方案、</w:t>
      </w:r>
      <w:r>
        <w:rPr>
          <w:rFonts w:hint="eastAsia" w:ascii="宋体" w:hAnsi="宋体" w:cs="宋体"/>
          <w:bCs/>
          <w:color w:val="auto"/>
          <w:szCs w:val="21"/>
          <w:highlight w:val="none"/>
        </w:rPr>
        <w:t>售后服务响应时间优于招标要求，到达故障现场时间（自接到采购人通知后2小时内到达现场处理）、应急保障方案描述了项目售后维护和应急保障方案的方法以及实现方式</w:t>
      </w:r>
      <w:r>
        <w:rPr>
          <w:rFonts w:hint="eastAsia" w:ascii="宋体" w:hAnsi="宋体" w:cs="宋体"/>
          <w:color w:val="auto"/>
          <w:szCs w:val="21"/>
          <w:highlight w:val="none"/>
        </w:rPr>
        <w:t>。</w:t>
      </w:r>
    </w:p>
    <w:p w14:paraId="74ED94EA">
      <w:pPr>
        <w:pStyle w:val="26"/>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分）：</w:t>
      </w:r>
      <w:r>
        <w:rPr>
          <w:rFonts w:hint="eastAsia" w:hAnsi="宋体" w:eastAsia="宋体" w:cs="宋体"/>
          <w:bCs/>
          <w:color w:val="auto"/>
          <w:szCs w:val="21"/>
          <w:highlight w:val="none"/>
        </w:rPr>
        <w:t>在满足</w:t>
      </w:r>
      <w:r>
        <w:rPr>
          <w:rFonts w:hint="eastAsia" w:hAnsi="宋体" w:cs="宋体"/>
          <w:bCs/>
          <w:color w:val="auto"/>
          <w:szCs w:val="21"/>
          <w:highlight w:val="none"/>
          <w:lang w:val="en-US" w:eastAsia="zh-CN"/>
        </w:rPr>
        <w:t>三</w:t>
      </w:r>
      <w:r>
        <w:rPr>
          <w:rFonts w:hint="eastAsia" w:hAnsi="宋体" w:eastAsia="宋体" w:cs="宋体"/>
          <w:bCs/>
          <w:color w:val="auto"/>
          <w:szCs w:val="21"/>
          <w:highlight w:val="none"/>
        </w:rPr>
        <w:t>档的基础上，</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所提供的</w:t>
      </w:r>
      <w:r>
        <w:rPr>
          <w:rFonts w:hint="eastAsia" w:ascii="宋体" w:hAnsi="宋体" w:cs="宋体"/>
          <w:color w:val="auto"/>
          <w:szCs w:val="21"/>
          <w:highlight w:val="none"/>
          <w:lang w:val="en-US" w:eastAsia="zh-CN"/>
        </w:rPr>
        <w:t>售后</w:t>
      </w:r>
      <w:r>
        <w:rPr>
          <w:rFonts w:hint="eastAsia" w:ascii="宋体" w:hAnsi="宋体" w:cs="宋体"/>
          <w:color w:val="auto"/>
          <w:szCs w:val="21"/>
          <w:highlight w:val="none"/>
        </w:rPr>
        <w:t>服务方案，方案包含有到达故障现场时间、故障出现解决方案、定期维护（注明时间）、免费技术培训方案、保修期外维修方案、售后服务措施、其他优惠措施、配送、货物分发等方面，且描述了项目售后维护和保修期外维修方案的方法以及实现方式，服务承诺和保障措施考虑周全完整详细</w:t>
      </w:r>
      <w:r>
        <w:rPr>
          <w:rFonts w:hint="eastAsia" w:ascii="宋体" w:hAnsi="宋体" w:cs="宋体"/>
          <w:color w:val="auto"/>
          <w:szCs w:val="21"/>
          <w:highlight w:val="none"/>
          <w:lang w:val="en-US" w:eastAsia="zh-CN"/>
        </w:rPr>
        <w:t>。</w:t>
      </w:r>
    </w:p>
    <w:p w14:paraId="48683C6D">
      <w:pPr>
        <w:pStyle w:val="16"/>
        <w:numPr>
          <w:ilvl w:val="0"/>
          <w:numId w:val="0"/>
        </w:numPr>
        <w:spacing w:line="360" w:lineRule="auto"/>
        <w:ind w:left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5、履约能力分</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szCs w:val="21"/>
          <w:highlight w:val="none"/>
        </w:rPr>
        <w:t>………………………………………………………………………………（满分</w:t>
      </w:r>
      <w:r>
        <w:rPr>
          <w:rFonts w:hint="eastAsia" w:asciiTheme="minorEastAsia" w:hAnsiTheme="minorEastAsia" w:eastAsiaTheme="minorEastAsia" w:cstheme="minorEastAsia"/>
          <w:b/>
          <w:bCs/>
          <w:color w:val="auto"/>
          <w:szCs w:val="21"/>
          <w:highlight w:val="none"/>
          <w:lang w:val="en-US" w:eastAsia="zh-CN"/>
        </w:rPr>
        <w:t>15</w:t>
      </w:r>
      <w:r>
        <w:rPr>
          <w:rFonts w:hint="eastAsia" w:asciiTheme="minorEastAsia" w:hAnsiTheme="minorEastAsia" w:eastAsiaTheme="minorEastAsia" w:cstheme="minorEastAsia"/>
          <w:b/>
          <w:bCs/>
          <w:color w:val="auto"/>
          <w:szCs w:val="21"/>
          <w:highlight w:val="none"/>
        </w:rPr>
        <w:t>分）</w:t>
      </w:r>
    </w:p>
    <w:p w14:paraId="61E6DD31">
      <w:pPr>
        <w:spacing w:line="440" w:lineRule="exact"/>
        <w:ind w:firstLine="42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color w:val="auto"/>
          <w:szCs w:val="24"/>
          <w:highlight w:val="none"/>
          <w:lang w:val="en-US" w:eastAsia="zh-CN"/>
        </w:rPr>
        <w:t>投标人</w:t>
      </w:r>
      <w:r>
        <w:rPr>
          <w:rFonts w:hint="eastAsia" w:asciiTheme="minorEastAsia" w:hAnsiTheme="minorEastAsia" w:eastAsiaTheme="minorEastAsia" w:cstheme="minorEastAsia"/>
          <w:color w:val="auto"/>
          <w:szCs w:val="24"/>
          <w:highlight w:val="none"/>
        </w:rPr>
        <w:t>或所投产品生产厂家，通过ISO 9001国际质量管理体系认证，提供证书</w:t>
      </w:r>
      <w:r>
        <w:rPr>
          <w:rFonts w:hint="eastAsia" w:asciiTheme="minorEastAsia" w:hAnsiTheme="minorEastAsia" w:eastAsiaTheme="minorEastAsia" w:cstheme="minorEastAsia"/>
          <w:color w:val="auto"/>
          <w:szCs w:val="24"/>
          <w:highlight w:val="none"/>
          <w:lang w:val="en-US" w:eastAsia="zh-CN"/>
        </w:rPr>
        <w:t>扫描件</w:t>
      </w:r>
      <w:r>
        <w:rPr>
          <w:rFonts w:hint="eastAsia" w:asciiTheme="minorEastAsia" w:hAnsiTheme="minorEastAsia" w:eastAsiaTheme="minorEastAsia" w:cstheme="minorEastAsia"/>
          <w:color w:val="auto"/>
          <w:szCs w:val="24"/>
          <w:highlight w:val="none"/>
        </w:rPr>
        <w:t>得1分。</w:t>
      </w:r>
    </w:p>
    <w:p w14:paraId="26577962">
      <w:pPr>
        <w:spacing w:line="440" w:lineRule="exact"/>
        <w:ind w:firstLine="42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val="en-US" w:eastAsia="zh-CN"/>
        </w:rPr>
        <w:t>投标人</w:t>
      </w:r>
      <w:r>
        <w:rPr>
          <w:rFonts w:hint="eastAsia" w:asciiTheme="minorEastAsia" w:hAnsiTheme="minorEastAsia" w:eastAsiaTheme="minorEastAsia" w:cstheme="minorEastAsia"/>
          <w:color w:val="auto"/>
          <w:szCs w:val="24"/>
          <w:highlight w:val="none"/>
        </w:rPr>
        <w:t>或所投产品生产厂家，通过ISO 14001环境管理体系认证，提供证书</w:t>
      </w:r>
      <w:r>
        <w:rPr>
          <w:rFonts w:hint="eastAsia" w:asciiTheme="minorEastAsia" w:hAnsiTheme="minorEastAsia" w:eastAsiaTheme="minorEastAsia" w:cstheme="minorEastAsia"/>
          <w:color w:val="auto"/>
          <w:szCs w:val="24"/>
          <w:highlight w:val="none"/>
          <w:lang w:val="en-US" w:eastAsia="zh-CN"/>
        </w:rPr>
        <w:t>扫描件</w:t>
      </w:r>
      <w:r>
        <w:rPr>
          <w:rFonts w:hint="eastAsia" w:asciiTheme="minorEastAsia" w:hAnsiTheme="minorEastAsia" w:eastAsiaTheme="minorEastAsia" w:cstheme="minorEastAsia"/>
          <w:color w:val="auto"/>
          <w:szCs w:val="24"/>
          <w:highlight w:val="none"/>
        </w:rPr>
        <w:t>得1分。</w:t>
      </w:r>
    </w:p>
    <w:p w14:paraId="11EC5F89">
      <w:pPr>
        <w:spacing w:line="440" w:lineRule="exact"/>
        <w:ind w:firstLine="42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投标人</w:t>
      </w:r>
      <w:r>
        <w:rPr>
          <w:rFonts w:hint="eastAsia" w:asciiTheme="minorEastAsia" w:hAnsiTheme="minorEastAsia" w:eastAsiaTheme="minorEastAsia" w:cstheme="minorEastAsia"/>
          <w:color w:val="auto"/>
          <w:szCs w:val="24"/>
          <w:highlight w:val="none"/>
        </w:rPr>
        <w:t>或所投产品生产厂家，通过ISO 27001 信息安全管理体系认证，提供证书</w:t>
      </w:r>
      <w:r>
        <w:rPr>
          <w:rFonts w:hint="eastAsia" w:asciiTheme="minorEastAsia" w:hAnsiTheme="minorEastAsia" w:eastAsiaTheme="minorEastAsia" w:cstheme="minorEastAsia"/>
          <w:color w:val="auto"/>
          <w:szCs w:val="24"/>
          <w:highlight w:val="none"/>
          <w:lang w:val="en-US" w:eastAsia="zh-CN"/>
        </w:rPr>
        <w:t>扫描件</w:t>
      </w:r>
      <w:r>
        <w:rPr>
          <w:rFonts w:hint="eastAsia" w:asciiTheme="minorEastAsia" w:hAnsiTheme="minorEastAsia" w:eastAsiaTheme="minorEastAsia" w:cstheme="minorEastAsia"/>
          <w:color w:val="auto"/>
          <w:szCs w:val="24"/>
          <w:highlight w:val="none"/>
        </w:rPr>
        <w:t>得</w:t>
      </w:r>
      <w:r>
        <w:rPr>
          <w:rFonts w:hint="eastAsia" w:asciiTheme="minorEastAsia" w:hAnsiTheme="minorEastAsia" w:eastAsiaTheme="minorEastAsia" w:cstheme="minorEastAsia"/>
          <w:color w:val="auto"/>
          <w:szCs w:val="24"/>
          <w:highlight w:val="none"/>
          <w:lang w:eastAsia="zh-CN"/>
        </w:rPr>
        <w:t>2</w:t>
      </w:r>
      <w:r>
        <w:rPr>
          <w:rFonts w:hint="eastAsia" w:asciiTheme="minorEastAsia" w:hAnsiTheme="minorEastAsia" w:eastAsiaTheme="minorEastAsia" w:cstheme="minorEastAsia"/>
          <w:color w:val="auto"/>
          <w:szCs w:val="24"/>
          <w:highlight w:val="none"/>
        </w:rPr>
        <w:t>分。</w:t>
      </w:r>
    </w:p>
    <w:p w14:paraId="26120B2B">
      <w:pPr>
        <w:spacing w:line="440" w:lineRule="exact"/>
        <w:ind w:firstLine="42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投标人</w:t>
      </w:r>
      <w:r>
        <w:rPr>
          <w:rFonts w:hint="eastAsia" w:asciiTheme="minorEastAsia" w:hAnsiTheme="minorEastAsia" w:eastAsiaTheme="minorEastAsia" w:cstheme="minorEastAsia"/>
          <w:color w:val="auto"/>
          <w:szCs w:val="24"/>
          <w:highlight w:val="none"/>
        </w:rPr>
        <w:t>或所投产品生产厂家，通过ISO 20000 信息技术服务管理体系认证，提供证书</w:t>
      </w:r>
      <w:r>
        <w:rPr>
          <w:rFonts w:hint="eastAsia" w:asciiTheme="minorEastAsia" w:hAnsiTheme="minorEastAsia" w:eastAsiaTheme="minorEastAsia" w:cstheme="minorEastAsia"/>
          <w:color w:val="auto"/>
          <w:szCs w:val="24"/>
          <w:highlight w:val="none"/>
          <w:lang w:val="en-US" w:eastAsia="zh-CN"/>
        </w:rPr>
        <w:t>扫描件</w:t>
      </w:r>
      <w:r>
        <w:rPr>
          <w:rFonts w:hint="eastAsia" w:asciiTheme="minorEastAsia" w:hAnsiTheme="minorEastAsia" w:eastAsiaTheme="minorEastAsia" w:cstheme="minorEastAsia"/>
          <w:color w:val="auto"/>
          <w:szCs w:val="24"/>
          <w:highlight w:val="none"/>
        </w:rPr>
        <w:t>得</w:t>
      </w:r>
      <w:r>
        <w:rPr>
          <w:rFonts w:hint="eastAsia" w:asciiTheme="minorEastAsia" w:hAnsiTheme="minorEastAsia" w:eastAsiaTheme="minorEastAsia" w:cstheme="minorEastAsia"/>
          <w:color w:val="auto"/>
          <w:szCs w:val="24"/>
          <w:highlight w:val="none"/>
          <w:lang w:eastAsia="zh-CN"/>
        </w:rPr>
        <w:t>2</w:t>
      </w:r>
      <w:r>
        <w:rPr>
          <w:rFonts w:hint="eastAsia" w:asciiTheme="minorEastAsia" w:hAnsiTheme="minorEastAsia" w:eastAsiaTheme="minorEastAsia" w:cstheme="minorEastAsia"/>
          <w:color w:val="auto"/>
          <w:szCs w:val="24"/>
          <w:highlight w:val="none"/>
        </w:rPr>
        <w:t>分。</w:t>
      </w:r>
    </w:p>
    <w:p w14:paraId="2138EF98">
      <w:pPr>
        <w:spacing w:line="440" w:lineRule="exact"/>
        <w:ind w:firstLine="42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w:t>
      </w:r>
      <w:r>
        <w:rPr>
          <w:rFonts w:hint="eastAsia" w:asciiTheme="minorEastAsia" w:hAnsiTheme="minorEastAsia" w:eastAsiaTheme="minorEastAsia" w:cstheme="minorEastAsia"/>
          <w:color w:val="auto"/>
          <w:szCs w:val="24"/>
          <w:highlight w:val="none"/>
          <w:lang w:val="en-US" w:eastAsia="zh-CN"/>
        </w:rPr>
        <w:t>投标人</w:t>
      </w:r>
      <w:r>
        <w:rPr>
          <w:rFonts w:hint="eastAsia" w:asciiTheme="minorEastAsia" w:hAnsiTheme="minorEastAsia" w:eastAsiaTheme="minorEastAsia" w:cstheme="minorEastAsia"/>
          <w:color w:val="auto"/>
          <w:szCs w:val="24"/>
          <w:highlight w:val="none"/>
        </w:rPr>
        <w:t>或所投产品生产厂家，通过ISO 45001职业健康安全管理体系认证，提供证书</w:t>
      </w:r>
      <w:r>
        <w:rPr>
          <w:rFonts w:hint="eastAsia" w:asciiTheme="minorEastAsia" w:hAnsiTheme="minorEastAsia" w:eastAsiaTheme="minorEastAsia" w:cstheme="minorEastAsia"/>
          <w:color w:val="auto"/>
          <w:szCs w:val="24"/>
          <w:highlight w:val="none"/>
          <w:lang w:val="en-US" w:eastAsia="zh-CN"/>
        </w:rPr>
        <w:t>扫描件</w:t>
      </w:r>
      <w:r>
        <w:rPr>
          <w:rFonts w:hint="eastAsia" w:asciiTheme="minorEastAsia" w:hAnsiTheme="minorEastAsia" w:eastAsiaTheme="minorEastAsia" w:cstheme="minorEastAsia"/>
          <w:color w:val="auto"/>
          <w:szCs w:val="24"/>
          <w:highlight w:val="none"/>
        </w:rPr>
        <w:t>得</w:t>
      </w:r>
      <w:r>
        <w:rPr>
          <w:rFonts w:hint="eastAsia" w:asciiTheme="minorEastAsia" w:hAnsiTheme="minorEastAsia" w:eastAsiaTheme="minorEastAsia" w:cstheme="minorEastAsia"/>
          <w:color w:val="auto"/>
          <w:szCs w:val="24"/>
          <w:highlight w:val="none"/>
          <w:lang w:val="en-US" w:eastAsia="zh-CN"/>
        </w:rPr>
        <w:t>2</w:t>
      </w:r>
      <w:r>
        <w:rPr>
          <w:rFonts w:hint="eastAsia" w:asciiTheme="minorEastAsia" w:hAnsiTheme="minorEastAsia" w:eastAsiaTheme="minorEastAsia" w:cstheme="minorEastAsia"/>
          <w:color w:val="auto"/>
          <w:szCs w:val="24"/>
          <w:highlight w:val="none"/>
        </w:rPr>
        <w:t>分。</w:t>
      </w:r>
    </w:p>
    <w:p w14:paraId="05C8E4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val="en-US" w:eastAsia="zh-CN"/>
        </w:rPr>
        <w:t>6</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val="en-US" w:eastAsia="zh-CN"/>
        </w:rPr>
        <w:t>投标人或所投产品生产厂家，符合 GB/T 27922-2011售后服务评价体系标准达标级得1分；三星级售后服务认证，得2分；五星级售后服务认证，得3分。</w:t>
      </w:r>
      <w:r>
        <w:rPr>
          <w:rFonts w:hint="eastAsia" w:ascii="宋体" w:hAnsi="宋体" w:cs="微软雅黑"/>
          <w:color w:val="auto"/>
          <w:highlight w:val="none"/>
        </w:rPr>
        <w:t>（须提供证明材料</w:t>
      </w:r>
      <w:r>
        <w:rPr>
          <w:rFonts w:hint="eastAsia" w:ascii="宋体" w:hAnsi="宋体" w:cs="微软雅黑"/>
          <w:color w:val="auto"/>
          <w:highlight w:val="none"/>
          <w:lang w:eastAsia="zh-CN"/>
        </w:rPr>
        <w:t>扫描件</w:t>
      </w:r>
      <w:r>
        <w:rPr>
          <w:rFonts w:hint="eastAsia" w:ascii="宋体" w:hAnsi="宋体" w:cs="微软雅黑"/>
          <w:color w:val="auto"/>
          <w:highlight w:val="none"/>
        </w:rPr>
        <w:t>，否则不得分</w:t>
      </w:r>
      <w:r>
        <w:rPr>
          <w:rFonts w:hint="eastAsia" w:ascii="宋体" w:hAnsi="宋体" w:cs="微软雅黑"/>
          <w:color w:val="auto"/>
          <w:highlight w:val="none"/>
          <w:lang w:eastAsia="zh-CN"/>
        </w:rPr>
        <w:t>。</w:t>
      </w:r>
      <w:r>
        <w:rPr>
          <w:rFonts w:hint="eastAsia" w:ascii="宋体" w:hAnsi="宋体" w:cs="微软雅黑"/>
          <w:color w:val="auto"/>
          <w:highlight w:val="none"/>
        </w:rPr>
        <w:t>）</w:t>
      </w:r>
    </w:p>
    <w:p w14:paraId="375F4094">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投标人自 2023年1月1日以来具有同类产品的销售业绩 [以中标（成交）通知书或采购合同</w:t>
      </w:r>
      <w:r>
        <w:rPr>
          <w:rFonts w:hint="eastAsia" w:asciiTheme="minorEastAsia" w:hAnsiTheme="minorEastAsia" w:eastAsiaTheme="minorEastAsia" w:cstheme="minorEastAsia"/>
          <w:color w:val="auto"/>
          <w:highlight w:val="none"/>
          <w:lang w:val="en-US" w:eastAsia="zh-CN"/>
        </w:rPr>
        <w:t>扫描件</w:t>
      </w:r>
      <w:r>
        <w:rPr>
          <w:rFonts w:hint="eastAsia" w:asciiTheme="minorEastAsia" w:hAnsiTheme="minorEastAsia" w:eastAsiaTheme="minorEastAsia" w:cstheme="minorEastAsia"/>
          <w:color w:val="auto"/>
          <w:highlight w:val="none"/>
        </w:rPr>
        <w:t>为准（能清晰反映所销售的货物名称、种类、金额)，否则将不予计分；同一个编号的项目有两个或两个以上的分标中标的只算一次]，每个业绩得</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分，满分</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分，没有不计分。</w:t>
      </w:r>
    </w:p>
    <w:p w14:paraId="2FF0260A">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hAnsi="宋体" w:eastAsia="宋体" w:cs="宋体"/>
          <w:b/>
          <w:bCs/>
          <w:color w:val="auto"/>
          <w:szCs w:val="21"/>
          <w:highlight w:val="none"/>
          <w:lang w:val="en-US" w:eastAsia="zh-CN"/>
        </w:rPr>
      </w:pPr>
      <w:r>
        <w:rPr>
          <w:rFonts w:hint="eastAsia" w:hAnsi="宋体" w:cs="宋体"/>
          <w:b/>
          <w:bCs/>
          <w:color w:val="auto"/>
          <w:szCs w:val="21"/>
          <w:highlight w:val="none"/>
          <w:lang w:val="en-US" w:eastAsia="zh-CN"/>
        </w:rPr>
        <w:t>6</w:t>
      </w:r>
      <w:r>
        <w:rPr>
          <w:rFonts w:hint="eastAsia" w:hAnsi="宋体" w:cs="宋体"/>
          <w:b/>
          <w:bCs/>
          <w:color w:val="auto"/>
          <w:szCs w:val="21"/>
          <w:highlight w:val="none"/>
        </w:rPr>
        <w:t>、综合得分＝1+2+3+4+5</w:t>
      </w:r>
    </w:p>
    <w:p w14:paraId="160A1742">
      <w:pPr>
        <w:pStyle w:val="16"/>
        <w:tabs>
          <w:tab w:val="left" w:pos="4214"/>
        </w:tabs>
        <w:spacing w:line="360" w:lineRule="auto"/>
        <w:ind w:firstLine="422" w:firstLineChars="200"/>
        <w:rPr>
          <w:rFonts w:hAnsi="宋体" w:cs="宋体"/>
          <w:b/>
          <w:color w:val="auto"/>
          <w:szCs w:val="21"/>
          <w:highlight w:val="none"/>
        </w:rPr>
      </w:pPr>
      <w:r>
        <w:rPr>
          <w:rFonts w:hint="eastAsia" w:hAnsi="宋体" w:cs="宋体"/>
          <w:b/>
          <w:color w:val="auto"/>
          <w:szCs w:val="21"/>
          <w:highlight w:val="none"/>
        </w:rPr>
        <w:t>三、推荐及确定中标候选供应商原则</w:t>
      </w:r>
    </w:p>
    <w:p w14:paraId="6E1E6E1A">
      <w:pPr>
        <w:pStyle w:val="16"/>
        <w:tabs>
          <w:tab w:val="left" w:pos="4214"/>
        </w:tabs>
        <w:spacing w:line="360" w:lineRule="auto"/>
        <w:ind w:firstLine="420" w:firstLineChars="200"/>
        <w:rPr>
          <w:rFonts w:hAnsi="宋体" w:cs="宋体"/>
          <w:color w:val="auto"/>
          <w:szCs w:val="21"/>
          <w:highlight w:val="none"/>
        </w:rPr>
      </w:pPr>
      <w:r>
        <w:rPr>
          <w:rFonts w:hint="eastAsia" w:hAnsi="宋体" w:cs="宋体"/>
          <w:color w:val="auto"/>
          <w:szCs w:val="21"/>
          <w:highlight w:val="none"/>
        </w:rPr>
        <w:t>（1）评标委员会根据综合得分由高到低排列次序，若得分相同时，按评标价由低到高顺序排列；得分相同且评标价也相同的由评标委员会按照抽签的方式决定排次次序。</w:t>
      </w:r>
    </w:p>
    <w:p w14:paraId="114EF779">
      <w:pPr>
        <w:pStyle w:val="16"/>
        <w:tabs>
          <w:tab w:val="left" w:pos="4214"/>
        </w:tabs>
        <w:spacing w:line="360" w:lineRule="auto"/>
        <w:ind w:firstLine="420" w:firstLineChars="200"/>
        <w:rPr>
          <w:rFonts w:hAnsi="宋体" w:cs="宋体"/>
          <w:color w:val="auto"/>
          <w:szCs w:val="21"/>
          <w:highlight w:val="none"/>
        </w:rPr>
      </w:pPr>
      <w:r>
        <w:rPr>
          <w:rFonts w:hint="eastAsia" w:hAnsi="宋体" w:cs="宋体"/>
          <w:color w:val="auto"/>
          <w:szCs w:val="21"/>
          <w:highlight w:val="none"/>
        </w:rPr>
        <w:t>（2）评标委员会可推荐前三名为中标候选人，采购人应当确定评标委员会推荐排名第一的中标候选人为中标供应商。</w:t>
      </w:r>
    </w:p>
    <w:p w14:paraId="33C82E17">
      <w:pPr>
        <w:pStyle w:val="16"/>
        <w:tabs>
          <w:tab w:val="left" w:pos="4214"/>
        </w:tabs>
        <w:spacing w:line="360" w:lineRule="auto"/>
        <w:ind w:firstLine="420" w:firstLineChars="200"/>
        <w:rPr>
          <w:rFonts w:hAnsi="宋体" w:cs="宋体"/>
          <w:color w:val="auto"/>
          <w:szCs w:val="21"/>
          <w:highlight w:val="none"/>
        </w:rPr>
      </w:pPr>
      <w:r>
        <w:rPr>
          <w:rFonts w:hint="eastAsia" w:hAnsi="宋体" w:cs="宋体"/>
          <w:color w:val="auto"/>
          <w:szCs w:val="21"/>
          <w:highlight w:val="none"/>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供应商，并依此类推。</w:t>
      </w:r>
    </w:p>
    <w:p w14:paraId="40C185F3">
      <w:pPr>
        <w:spacing w:line="360" w:lineRule="auto"/>
        <w:ind w:firstLine="426" w:firstLineChars="202"/>
        <w:jc w:val="left"/>
        <w:rPr>
          <w:rFonts w:ascii="宋体" w:hAnsi="宋体" w:cs="宋体"/>
          <w:b/>
          <w:color w:val="auto"/>
          <w:szCs w:val="21"/>
          <w:highlight w:val="none"/>
        </w:rPr>
      </w:pPr>
      <w:r>
        <w:rPr>
          <w:rFonts w:hint="eastAsia" w:ascii="宋体" w:hAnsi="宋体" w:cs="宋体"/>
          <w:b/>
          <w:color w:val="auto"/>
          <w:szCs w:val="21"/>
          <w:highlight w:val="none"/>
        </w:rPr>
        <w:t>四、特别说明</w:t>
      </w:r>
    </w:p>
    <w:p w14:paraId="4EECD6D1">
      <w:pPr>
        <w:pStyle w:val="2"/>
        <w:ind w:firstLine="422" w:firstLineChars="200"/>
        <w:rPr>
          <w:b/>
          <w:bCs/>
          <w:color w:val="auto"/>
          <w:sz w:val="28"/>
          <w:szCs w:val="28"/>
          <w:highlight w:val="none"/>
        </w:rPr>
      </w:pPr>
      <w:r>
        <w:rPr>
          <w:rFonts w:hint="eastAsia" w:hAnsi="宋体" w:cs="宋体"/>
          <w:b/>
          <w:bCs/>
          <w:color w:val="auto"/>
          <w:sz w:val="21"/>
          <w:szCs w:val="21"/>
          <w:highlight w:val="none"/>
          <w:u w:val="double"/>
        </w:rPr>
        <w:t>评审时，评标委员会认为投标人的报价明显低于其他通过符合性审查投标人的报价，有可能影响产品质量或者不能诚信履约的，</w:t>
      </w:r>
      <w:r>
        <w:rPr>
          <w:rFonts w:hint="eastAsia" w:ascii="宋体" w:hAnsi="宋体" w:cs="宋体"/>
          <w:b/>
          <w:bCs/>
          <w:color w:val="auto"/>
          <w:sz w:val="21"/>
          <w:szCs w:val="21"/>
          <w:highlight w:val="none"/>
          <w:u w:val="double"/>
        </w:rPr>
        <w:t>应当在评标委员会要求的时间内按其要求提供书面说明</w:t>
      </w:r>
      <w:r>
        <w:rPr>
          <w:rFonts w:hint="eastAsia" w:hAnsi="宋体" w:cs="宋体"/>
          <w:b/>
          <w:bCs/>
          <w:color w:val="auto"/>
          <w:sz w:val="21"/>
          <w:szCs w:val="21"/>
          <w:highlight w:val="none"/>
          <w:u w:val="double"/>
        </w:rPr>
        <w:t>，必要时提交相关证明材料；投标人不能证明其报价合理性的，评标委员会应当将其作为无效投标处理。</w:t>
      </w:r>
      <w:bookmarkEnd w:id="308"/>
      <w:bookmarkEnd w:id="321"/>
    </w:p>
    <w:p w14:paraId="5FE0A61D">
      <w:pPr>
        <w:pStyle w:val="2"/>
        <w:rPr>
          <w:b/>
          <w:bCs/>
          <w:color w:val="auto"/>
          <w:highlight w:val="none"/>
        </w:rPr>
      </w:pPr>
    </w:p>
    <w:p w14:paraId="77A18B2A">
      <w:pPr>
        <w:rPr>
          <w:b/>
          <w:bCs/>
          <w:color w:val="auto"/>
          <w:highlight w:val="none"/>
        </w:rPr>
      </w:pPr>
    </w:p>
    <w:p w14:paraId="11C32941">
      <w:pPr>
        <w:pStyle w:val="2"/>
        <w:rPr>
          <w:color w:val="auto"/>
          <w:highlight w:val="none"/>
        </w:rPr>
      </w:pPr>
    </w:p>
    <w:p w14:paraId="2A48F526">
      <w:pPr>
        <w:pStyle w:val="16"/>
        <w:adjustRightInd w:val="0"/>
        <w:spacing w:line="390" w:lineRule="exact"/>
        <w:contextualSpacing/>
        <w:rPr>
          <w:rFonts w:hint="eastAsia"/>
          <w:b/>
          <w:bCs/>
          <w:color w:val="auto"/>
          <w:highlight w:val="none"/>
        </w:rPr>
      </w:pPr>
    </w:p>
    <w:p w14:paraId="7217AD1D">
      <w:pPr>
        <w:pStyle w:val="16"/>
        <w:adjustRightInd w:val="0"/>
        <w:spacing w:line="390" w:lineRule="exact"/>
        <w:contextualSpacing/>
        <w:rPr>
          <w:rFonts w:hint="eastAsia"/>
          <w:b/>
          <w:bCs/>
          <w:color w:val="auto"/>
          <w:highlight w:val="none"/>
        </w:rPr>
      </w:pPr>
    </w:p>
    <w:p w14:paraId="1FD15CFE">
      <w:pPr>
        <w:pStyle w:val="16"/>
        <w:adjustRightInd w:val="0"/>
        <w:spacing w:line="390" w:lineRule="exact"/>
        <w:contextualSpacing/>
        <w:rPr>
          <w:rFonts w:hint="eastAsia"/>
          <w:b/>
          <w:bCs/>
          <w:color w:val="auto"/>
          <w:highlight w:val="none"/>
        </w:rPr>
      </w:pPr>
    </w:p>
    <w:p w14:paraId="7D5DA2A6">
      <w:pPr>
        <w:pStyle w:val="16"/>
        <w:adjustRightInd w:val="0"/>
        <w:spacing w:line="390" w:lineRule="exact"/>
        <w:contextualSpacing/>
        <w:rPr>
          <w:rFonts w:hint="eastAsia"/>
          <w:b/>
          <w:bCs/>
          <w:color w:val="auto"/>
          <w:highlight w:val="none"/>
        </w:rPr>
      </w:pPr>
    </w:p>
    <w:p w14:paraId="5AD29696">
      <w:pPr>
        <w:rPr>
          <w:rFonts w:hint="eastAsia"/>
          <w:b/>
          <w:bCs/>
          <w:color w:val="auto"/>
          <w:highlight w:val="none"/>
        </w:rPr>
      </w:pPr>
    </w:p>
    <w:p w14:paraId="49F6353D">
      <w:pPr>
        <w:rPr>
          <w:rFonts w:hint="eastAsia"/>
          <w:b/>
          <w:bCs/>
          <w:color w:val="auto"/>
          <w:highlight w:val="none"/>
        </w:rPr>
      </w:pPr>
    </w:p>
    <w:p w14:paraId="14AEFDE5">
      <w:pPr>
        <w:rPr>
          <w:rFonts w:hint="eastAsia"/>
          <w:b/>
          <w:bCs/>
          <w:color w:val="auto"/>
          <w:highlight w:val="none"/>
        </w:rPr>
      </w:pPr>
    </w:p>
    <w:p w14:paraId="0F7E020D">
      <w:pPr>
        <w:rPr>
          <w:rFonts w:hint="eastAsia"/>
          <w:b/>
          <w:bCs/>
          <w:color w:val="auto"/>
          <w:highlight w:val="none"/>
        </w:rPr>
      </w:pPr>
    </w:p>
    <w:p w14:paraId="432267AA">
      <w:pPr>
        <w:pStyle w:val="16"/>
        <w:adjustRightInd w:val="0"/>
        <w:spacing w:line="390" w:lineRule="exact"/>
        <w:contextualSpacing/>
        <w:rPr>
          <w:rFonts w:hint="eastAsia"/>
          <w:b/>
          <w:bCs/>
          <w:color w:val="auto"/>
          <w:highlight w:val="none"/>
        </w:rPr>
      </w:pPr>
    </w:p>
    <w:p w14:paraId="64848571">
      <w:pPr>
        <w:pStyle w:val="16"/>
        <w:adjustRightInd w:val="0"/>
        <w:spacing w:line="390" w:lineRule="exact"/>
        <w:contextualSpacing/>
        <w:rPr>
          <w:rFonts w:hint="eastAsia"/>
          <w:b/>
          <w:bCs/>
          <w:color w:val="auto"/>
          <w:highlight w:val="none"/>
        </w:rPr>
      </w:pPr>
    </w:p>
    <w:p w14:paraId="51F55080">
      <w:pPr>
        <w:pStyle w:val="16"/>
        <w:adjustRightInd w:val="0"/>
        <w:spacing w:line="390" w:lineRule="exact"/>
        <w:contextualSpacing/>
        <w:rPr>
          <w:rFonts w:hint="eastAsia"/>
          <w:b/>
          <w:bCs/>
          <w:color w:val="auto"/>
          <w:highlight w:val="none"/>
        </w:rPr>
      </w:pPr>
    </w:p>
    <w:p w14:paraId="7D2291C3">
      <w:pPr>
        <w:pStyle w:val="8"/>
        <w:rPr>
          <w:rFonts w:hint="eastAsia"/>
          <w:b/>
          <w:bCs/>
          <w:color w:val="auto"/>
          <w:highlight w:val="none"/>
        </w:rPr>
      </w:pPr>
    </w:p>
    <w:p w14:paraId="0EE21899">
      <w:pPr>
        <w:rPr>
          <w:rFonts w:hint="eastAsia"/>
          <w:b/>
          <w:bCs/>
          <w:color w:val="auto"/>
          <w:highlight w:val="none"/>
        </w:rPr>
      </w:pPr>
    </w:p>
    <w:p w14:paraId="6AB67266">
      <w:pPr>
        <w:pStyle w:val="2"/>
        <w:rPr>
          <w:rFonts w:hint="eastAsia"/>
          <w:b/>
          <w:bCs/>
          <w:color w:val="auto"/>
          <w:highlight w:val="none"/>
        </w:rPr>
      </w:pPr>
    </w:p>
    <w:p w14:paraId="13B365DE">
      <w:pPr>
        <w:rPr>
          <w:rFonts w:hint="eastAsia"/>
          <w:b/>
          <w:bCs/>
          <w:color w:val="auto"/>
          <w:highlight w:val="none"/>
        </w:rPr>
      </w:pPr>
    </w:p>
    <w:p w14:paraId="2572D016">
      <w:pPr>
        <w:pStyle w:val="2"/>
        <w:rPr>
          <w:rFonts w:hint="eastAsia"/>
          <w:b/>
          <w:bCs/>
          <w:color w:val="auto"/>
          <w:highlight w:val="none"/>
        </w:rPr>
      </w:pPr>
    </w:p>
    <w:p w14:paraId="34AAA913">
      <w:pPr>
        <w:rPr>
          <w:rFonts w:hint="eastAsia"/>
          <w:b/>
          <w:bCs/>
          <w:color w:val="auto"/>
          <w:highlight w:val="none"/>
        </w:rPr>
      </w:pPr>
    </w:p>
    <w:p w14:paraId="45D9DA91">
      <w:pPr>
        <w:pStyle w:val="2"/>
        <w:rPr>
          <w:rFonts w:hint="eastAsia"/>
          <w:b/>
          <w:bCs/>
          <w:color w:val="auto"/>
          <w:highlight w:val="none"/>
        </w:rPr>
      </w:pPr>
    </w:p>
    <w:p w14:paraId="67565646">
      <w:pPr>
        <w:rPr>
          <w:rFonts w:hint="eastAsia"/>
          <w:b/>
          <w:bCs/>
          <w:color w:val="auto"/>
          <w:highlight w:val="none"/>
        </w:rPr>
      </w:pPr>
    </w:p>
    <w:p w14:paraId="215368BD">
      <w:pPr>
        <w:pStyle w:val="2"/>
        <w:rPr>
          <w:rFonts w:hint="eastAsia"/>
          <w:b/>
          <w:bCs/>
          <w:color w:val="auto"/>
          <w:highlight w:val="none"/>
        </w:rPr>
      </w:pPr>
    </w:p>
    <w:p w14:paraId="6E7E33AA">
      <w:pPr>
        <w:rPr>
          <w:rFonts w:hint="eastAsia"/>
          <w:b/>
          <w:bCs/>
          <w:color w:val="auto"/>
          <w:highlight w:val="none"/>
        </w:rPr>
      </w:pPr>
    </w:p>
    <w:p w14:paraId="028BD5AF">
      <w:pPr>
        <w:pStyle w:val="2"/>
        <w:rPr>
          <w:rFonts w:hint="eastAsia"/>
          <w:b/>
          <w:bCs/>
          <w:color w:val="auto"/>
          <w:highlight w:val="none"/>
        </w:rPr>
      </w:pPr>
    </w:p>
    <w:p w14:paraId="70E892DA">
      <w:pPr>
        <w:rPr>
          <w:rFonts w:hint="eastAsia"/>
          <w:b/>
          <w:bCs/>
          <w:color w:val="auto"/>
          <w:highlight w:val="none"/>
        </w:rPr>
      </w:pPr>
    </w:p>
    <w:p w14:paraId="21F7B302">
      <w:pPr>
        <w:pStyle w:val="2"/>
        <w:rPr>
          <w:rFonts w:hint="eastAsia"/>
          <w:b/>
          <w:bCs/>
          <w:color w:val="auto"/>
          <w:highlight w:val="none"/>
        </w:rPr>
      </w:pPr>
    </w:p>
    <w:p w14:paraId="28D6707C">
      <w:pPr>
        <w:rPr>
          <w:rFonts w:hint="eastAsia"/>
          <w:b/>
          <w:bCs/>
          <w:color w:val="auto"/>
          <w:highlight w:val="none"/>
        </w:rPr>
      </w:pPr>
    </w:p>
    <w:p w14:paraId="1A41F69C">
      <w:pPr>
        <w:pStyle w:val="2"/>
        <w:rPr>
          <w:rFonts w:hint="eastAsia"/>
          <w:b/>
          <w:bCs/>
          <w:color w:val="auto"/>
          <w:highlight w:val="none"/>
        </w:rPr>
      </w:pPr>
    </w:p>
    <w:p w14:paraId="3A8FCC6D">
      <w:pPr>
        <w:rPr>
          <w:rFonts w:hint="eastAsia"/>
          <w:b/>
          <w:bCs/>
          <w:color w:val="auto"/>
          <w:highlight w:val="none"/>
        </w:rPr>
      </w:pPr>
    </w:p>
    <w:p w14:paraId="70A23754">
      <w:pPr>
        <w:pStyle w:val="2"/>
        <w:rPr>
          <w:rFonts w:hint="eastAsia"/>
          <w:b/>
          <w:bCs/>
          <w:color w:val="auto"/>
          <w:highlight w:val="none"/>
        </w:rPr>
      </w:pPr>
    </w:p>
    <w:p w14:paraId="1B21D115">
      <w:pPr>
        <w:rPr>
          <w:rFonts w:hint="eastAsia"/>
          <w:b/>
          <w:bCs/>
          <w:color w:val="auto"/>
          <w:highlight w:val="none"/>
        </w:rPr>
      </w:pPr>
    </w:p>
    <w:p w14:paraId="6E38F7C6">
      <w:pPr>
        <w:pStyle w:val="2"/>
        <w:rPr>
          <w:rFonts w:hint="eastAsia"/>
          <w:color w:val="auto"/>
          <w:highlight w:val="none"/>
        </w:rPr>
      </w:pPr>
    </w:p>
    <w:p w14:paraId="6A9EE25E">
      <w:pPr>
        <w:pStyle w:val="16"/>
        <w:adjustRightInd w:val="0"/>
        <w:spacing w:line="390" w:lineRule="exact"/>
        <w:contextualSpacing/>
        <w:rPr>
          <w:rFonts w:hAnsi="宋体" w:cs="宋体"/>
          <w:b/>
          <w:bCs/>
          <w:color w:val="auto"/>
          <w:highlight w:val="none"/>
        </w:rPr>
      </w:pPr>
      <w:r>
        <w:rPr>
          <w:rFonts w:hint="eastAsia"/>
          <w:b/>
          <w:bCs/>
          <w:color w:val="auto"/>
          <w:highlight w:val="none"/>
        </w:rPr>
        <w:t>附表</w:t>
      </w:r>
    </w:p>
    <w:p w14:paraId="59F781F0">
      <w:pPr>
        <w:widowControl/>
        <w:spacing w:beforeLines="50" w:afterLines="50" w:line="400" w:lineRule="exact"/>
        <w:jc w:val="center"/>
        <w:rPr>
          <w:rFonts w:ascii="宋体" w:hAnsi="宋体" w:cs="宋体"/>
          <w:b/>
          <w:bCs/>
          <w:color w:val="auto"/>
          <w:kern w:val="0"/>
          <w:sz w:val="30"/>
          <w:szCs w:val="30"/>
          <w:highlight w:val="none"/>
        </w:rPr>
      </w:pPr>
      <w:bookmarkStart w:id="324" w:name="_Toc28361_WPSOffice_Level2"/>
      <w:r>
        <w:rPr>
          <w:rFonts w:hint="eastAsia" w:ascii="宋体" w:hAnsi="宋体" w:cs="宋体"/>
          <w:b/>
          <w:bCs/>
          <w:color w:val="auto"/>
          <w:kern w:val="0"/>
          <w:sz w:val="30"/>
          <w:szCs w:val="30"/>
          <w:highlight w:val="none"/>
        </w:rPr>
        <w:t>统计上大中小微型企业划分标准</w:t>
      </w:r>
      <w:bookmarkEnd w:id="324"/>
    </w:p>
    <w:tbl>
      <w:tblPr>
        <w:tblStyle w:val="3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445"/>
        <w:gridCol w:w="748"/>
        <w:gridCol w:w="1188"/>
        <w:gridCol w:w="1796"/>
        <w:gridCol w:w="1505"/>
        <w:gridCol w:w="1047"/>
      </w:tblGrid>
      <w:tr w14:paraId="196B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231" w:type="dxa"/>
            <w:shd w:val="clear" w:color="auto" w:fill="8DB3E2"/>
            <w:vAlign w:val="center"/>
          </w:tcPr>
          <w:p w14:paraId="5B30FF9E">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445" w:type="dxa"/>
            <w:shd w:val="clear" w:color="auto" w:fill="8DB3E2"/>
            <w:vAlign w:val="center"/>
          </w:tcPr>
          <w:p w14:paraId="7B4B96B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48" w:type="dxa"/>
            <w:shd w:val="clear" w:color="auto" w:fill="8DB3E2"/>
            <w:vAlign w:val="center"/>
          </w:tcPr>
          <w:p w14:paraId="073903A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3901637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88" w:type="dxa"/>
            <w:shd w:val="clear" w:color="auto" w:fill="8DB3E2"/>
            <w:vAlign w:val="center"/>
          </w:tcPr>
          <w:p w14:paraId="1E437AC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96" w:type="dxa"/>
            <w:shd w:val="clear" w:color="auto" w:fill="8DB3E2"/>
            <w:vAlign w:val="center"/>
          </w:tcPr>
          <w:p w14:paraId="70634C3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505" w:type="dxa"/>
            <w:shd w:val="clear" w:color="auto" w:fill="8DB3E2"/>
            <w:vAlign w:val="center"/>
          </w:tcPr>
          <w:p w14:paraId="174EE45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1047" w:type="dxa"/>
            <w:shd w:val="clear" w:color="auto" w:fill="8DB3E2"/>
            <w:vAlign w:val="center"/>
          </w:tcPr>
          <w:p w14:paraId="408562A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326B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14:paraId="5BB4786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445" w:type="dxa"/>
            <w:vAlign w:val="center"/>
          </w:tcPr>
          <w:p w14:paraId="6D49455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7D9F8D2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11C154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96" w:type="dxa"/>
            <w:vAlign w:val="center"/>
          </w:tcPr>
          <w:p w14:paraId="231E69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05" w:type="dxa"/>
            <w:vAlign w:val="center"/>
          </w:tcPr>
          <w:p w14:paraId="7B665B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47" w:type="dxa"/>
            <w:vAlign w:val="center"/>
          </w:tcPr>
          <w:p w14:paraId="447C1A9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7235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43A855D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445" w:type="dxa"/>
            <w:vAlign w:val="center"/>
          </w:tcPr>
          <w:p w14:paraId="087DC9D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7AE2C8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290439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vAlign w:val="center"/>
          </w:tcPr>
          <w:p w14:paraId="1D33DC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vAlign w:val="center"/>
          </w:tcPr>
          <w:p w14:paraId="16E9B0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7" w:type="dxa"/>
            <w:vAlign w:val="center"/>
          </w:tcPr>
          <w:p w14:paraId="2D24F8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8A8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03F803DD">
            <w:pPr>
              <w:widowControl/>
              <w:jc w:val="left"/>
              <w:rPr>
                <w:rFonts w:ascii="宋体" w:hAnsi="宋体" w:cs="宋体"/>
                <w:color w:val="auto"/>
                <w:kern w:val="0"/>
                <w:sz w:val="18"/>
                <w:szCs w:val="18"/>
                <w:highlight w:val="none"/>
              </w:rPr>
            </w:pPr>
          </w:p>
        </w:tc>
        <w:tc>
          <w:tcPr>
            <w:tcW w:w="1445" w:type="dxa"/>
            <w:vAlign w:val="center"/>
          </w:tcPr>
          <w:p w14:paraId="5296A27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5449A2F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24D1B57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96" w:type="dxa"/>
            <w:vAlign w:val="center"/>
          </w:tcPr>
          <w:p w14:paraId="7F146B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505" w:type="dxa"/>
            <w:vAlign w:val="center"/>
          </w:tcPr>
          <w:p w14:paraId="69A122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47" w:type="dxa"/>
            <w:vAlign w:val="center"/>
          </w:tcPr>
          <w:p w14:paraId="0D627B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4C6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1B9286F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445" w:type="dxa"/>
            <w:vAlign w:val="center"/>
          </w:tcPr>
          <w:p w14:paraId="003114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620B439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13421D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96" w:type="dxa"/>
            <w:vAlign w:val="center"/>
          </w:tcPr>
          <w:p w14:paraId="48D3D8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505" w:type="dxa"/>
            <w:vAlign w:val="center"/>
          </w:tcPr>
          <w:p w14:paraId="4CB4FD6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47" w:type="dxa"/>
            <w:vAlign w:val="center"/>
          </w:tcPr>
          <w:p w14:paraId="7ABAB7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608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2391C678">
            <w:pPr>
              <w:widowControl/>
              <w:jc w:val="left"/>
              <w:rPr>
                <w:rFonts w:ascii="宋体" w:hAnsi="宋体" w:cs="宋体"/>
                <w:color w:val="auto"/>
                <w:kern w:val="0"/>
                <w:sz w:val="18"/>
                <w:szCs w:val="18"/>
                <w:highlight w:val="none"/>
              </w:rPr>
            </w:pPr>
          </w:p>
        </w:tc>
        <w:tc>
          <w:tcPr>
            <w:tcW w:w="1445" w:type="dxa"/>
            <w:vAlign w:val="center"/>
          </w:tcPr>
          <w:p w14:paraId="429AB89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48" w:type="dxa"/>
            <w:vAlign w:val="center"/>
          </w:tcPr>
          <w:p w14:paraId="4512696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3E26A92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96" w:type="dxa"/>
            <w:vAlign w:val="center"/>
          </w:tcPr>
          <w:p w14:paraId="573154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505" w:type="dxa"/>
            <w:vAlign w:val="center"/>
          </w:tcPr>
          <w:p w14:paraId="6DFAD6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47" w:type="dxa"/>
            <w:vAlign w:val="center"/>
          </w:tcPr>
          <w:p w14:paraId="2667E8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1F2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2CE0734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445" w:type="dxa"/>
            <w:vAlign w:val="center"/>
          </w:tcPr>
          <w:p w14:paraId="0A4689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1341BD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6FBA37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96" w:type="dxa"/>
            <w:vAlign w:val="center"/>
          </w:tcPr>
          <w:p w14:paraId="4D2818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505" w:type="dxa"/>
            <w:vAlign w:val="center"/>
          </w:tcPr>
          <w:p w14:paraId="7870AC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47" w:type="dxa"/>
            <w:vAlign w:val="center"/>
          </w:tcPr>
          <w:p w14:paraId="4D59A6A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1FA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3A80D66B">
            <w:pPr>
              <w:widowControl/>
              <w:jc w:val="left"/>
              <w:rPr>
                <w:rFonts w:ascii="宋体" w:hAnsi="宋体" w:cs="宋体"/>
                <w:color w:val="auto"/>
                <w:kern w:val="0"/>
                <w:sz w:val="18"/>
                <w:szCs w:val="18"/>
                <w:highlight w:val="none"/>
              </w:rPr>
            </w:pPr>
          </w:p>
        </w:tc>
        <w:tc>
          <w:tcPr>
            <w:tcW w:w="1445" w:type="dxa"/>
            <w:vAlign w:val="center"/>
          </w:tcPr>
          <w:p w14:paraId="33AAA41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39A839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08912F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96" w:type="dxa"/>
            <w:vAlign w:val="center"/>
          </w:tcPr>
          <w:p w14:paraId="59FF325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505" w:type="dxa"/>
            <w:vAlign w:val="center"/>
          </w:tcPr>
          <w:p w14:paraId="67956BF0">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47" w:type="dxa"/>
            <w:vAlign w:val="center"/>
          </w:tcPr>
          <w:p w14:paraId="46DFE6A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D4B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0336D50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445" w:type="dxa"/>
            <w:vAlign w:val="center"/>
          </w:tcPr>
          <w:p w14:paraId="5876D1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7F2B9A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485E2C2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132A03C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505" w:type="dxa"/>
            <w:vAlign w:val="center"/>
          </w:tcPr>
          <w:p w14:paraId="73FAAC6A">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1047" w:type="dxa"/>
            <w:vAlign w:val="center"/>
          </w:tcPr>
          <w:p w14:paraId="253F4C1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74E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1E3DBD97">
            <w:pPr>
              <w:widowControl/>
              <w:jc w:val="left"/>
              <w:rPr>
                <w:rFonts w:ascii="宋体" w:hAnsi="宋体" w:cs="宋体"/>
                <w:color w:val="auto"/>
                <w:kern w:val="0"/>
                <w:sz w:val="18"/>
                <w:szCs w:val="18"/>
                <w:highlight w:val="none"/>
              </w:rPr>
            </w:pPr>
          </w:p>
        </w:tc>
        <w:tc>
          <w:tcPr>
            <w:tcW w:w="1445" w:type="dxa"/>
            <w:vAlign w:val="center"/>
          </w:tcPr>
          <w:p w14:paraId="7772D03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0ED850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3CB503D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96" w:type="dxa"/>
            <w:vAlign w:val="center"/>
          </w:tcPr>
          <w:p w14:paraId="2D197D4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05" w:type="dxa"/>
            <w:vAlign w:val="center"/>
          </w:tcPr>
          <w:p w14:paraId="38A0F78E">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47" w:type="dxa"/>
            <w:vAlign w:val="center"/>
          </w:tcPr>
          <w:p w14:paraId="6F5048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ACD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5802ACC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445" w:type="dxa"/>
            <w:vAlign w:val="center"/>
          </w:tcPr>
          <w:p w14:paraId="6220933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27BA8E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6DAA191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vAlign w:val="center"/>
          </w:tcPr>
          <w:p w14:paraId="467C0A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vAlign w:val="center"/>
          </w:tcPr>
          <w:p w14:paraId="07BE17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7" w:type="dxa"/>
            <w:vAlign w:val="center"/>
          </w:tcPr>
          <w:p w14:paraId="23DDC2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B20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68953B2C">
            <w:pPr>
              <w:widowControl/>
              <w:jc w:val="left"/>
              <w:rPr>
                <w:rFonts w:ascii="宋体" w:hAnsi="宋体" w:cs="宋体"/>
                <w:color w:val="auto"/>
                <w:kern w:val="0"/>
                <w:sz w:val="18"/>
                <w:szCs w:val="18"/>
                <w:highlight w:val="none"/>
              </w:rPr>
            </w:pPr>
          </w:p>
        </w:tc>
        <w:tc>
          <w:tcPr>
            <w:tcW w:w="1445" w:type="dxa"/>
            <w:vAlign w:val="center"/>
          </w:tcPr>
          <w:p w14:paraId="1B53E4D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01ED71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5DC1CE4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96" w:type="dxa"/>
            <w:vAlign w:val="center"/>
          </w:tcPr>
          <w:p w14:paraId="29FD9A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505" w:type="dxa"/>
            <w:vAlign w:val="center"/>
          </w:tcPr>
          <w:p w14:paraId="4DE72B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47" w:type="dxa"/>
            <w:vAlign w:val="center"/>
          </w:tcPr>
          <w:p w14:paraId="6133A4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00E6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414BD33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445" w:type="dxa"/>
            <w:vAlign w:val="center"/>
          </w:tcPr>
          <w:p w14:paraId="11FA3A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198BC9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54A8C1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96" w:type="dxa"/>
            <w:vAlign w:val="center"/>
          </w:tcPr>
          <w:p w14:paraId="68ABCD72">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505" w:type="dxa"/>
            <w:vAlign w:val="center"/>
          </w:tcPr>
          <w:p w14:paraId="21AA21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47" w:type="dxa"/>
            <w:vAlign w:val="center"/>
          </w:tcPr>
          <w:p w14:paraId="2C84B2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1CB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796FEEA0">
            <w:pPr>
              <w:widowControl/>
              <w:jc w:val="left"/>
              <w:rPr>
                <w:rFonts w:ascii="宋体" w:hAnsi="宋体" w:cs="宋体"/>
                <w:color w:val="auto"/>
                <w:kern w:val="0"/>
                <w:sz w:val="18"/>
                <w:szCs w:val="18"/>
                <w:highlight w:val="none"/>
              </w:rPr>
            </w:pPr>
          </w:p>
        </w:tc>
        <w:tc>
          <w:tcPr>
            <w:tcW w:w="1445" w:type="dxa"/>
            <w:vAlign w:val="center"/>
          </w:tcPr>
          <w:p w14:paraId="5B5D850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23096E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05CD51A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96" w:type="dxa"/>
            <w:vAlign w:val="center"/>
          </w:tcPr>
          <w:p w14:paraId="1E164A2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505" w:type="dxa"/>
            <w:vAlign w:val="center"/>
          </w:tcPr>
          <w:p w14:paraId="27A7325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7" w:type="dxa"/>
            <w:vAlign w:val="center"/>
          </w:tcPr>
          <w:p w14:paraId="48ACA2B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D2A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688558E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445" w:type="dxa"/>
            <w:vAlign w:val="center"/>
          </w:tcPr>
          <w:p w14:paraId="2AF7C8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1BE1A0B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2D28B2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vAlign w:val="center"/>
          </w:tcPr>
          <w:p w14:paraId="2A128E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vAlign w:val="center"/>
          </w:tcPr>
          <w:p w14:paraId="0BD5AE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7" w:type="dxa"/>
            <w:vAlign w:val="center"/>
          </w:tcPr>
          <w:p w14:paraId="1F0792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309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7668998F">
            <w:pPr>
              <w:widowControl/>
              <w:jc w:val="left"/>
              <w:rPr>
                <w:rFonts w:ascii="宋体" w:hAnsi="宋体" w:cs="宋体"/>
                <w:color w:val="auto"/>
                <w:kern w:val="0"/>
                <w:sz w:val="18"/>
                <w:szCs w:val="18"/>
                <w:highlight w:val="none"/>
              </w:rPr>
            </w:pPr>
          </w:p>
        </w:tc>
        <w:tc>
          <w:tcPr>
            <w:tcW w:w="1445" w:type="dxa"/>
            <w:vAlign w:val="center"/>
          </w:tcPr>
          <w:p w14:paraId="4D9A25C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419DF2B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586DEE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96" w:type="dxa"/>
            <w:vAlign w:val="center"/>
          </w:tcPr>
          <w:p w14:paraId="524D73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505" w:type="dxa"/>
            <w:vAlign w:val="center"/>
          </w:tcPr>
          <w:p w14:paraId="13B397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7" w:type="dxa"/>
            <w:vAlign w:val="center"/>
          </w:tcPr>
          <w:p w14:paraId="5B8C33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43D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2DE7AB6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445" w:type="dxa"/>
            <w:vAlign w:val="center"/>
          </w:tcPr>
          <w:p w14:paraId="458A9F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2E635C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6DD98E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21A8063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05" w:type="dxa"/>
            <w:vAlign w:val="center"/>
          </w:tcPr>
          <w:p w14:paraId="7FFA36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617FA0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A68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005D6FB6">
            <w:pPr>
              <w:widowControl/>
              <w:jc w:val="left"/>
              <w:rPr>
                <w:rFonts w:ascii="宋体" w:hAnsi="宋体" w:cs="宋体"/>
                <w:color w:val="auto"/>
                <w:kern w:val="0"/>
                <w:sz w:val="18"/>
                <w:szCs w:val="18"/>
                <w:highlight w:val="none"/>
              </w:rPr>
            </w:pPr>
          </w:p>
        </w:tc>
        <w:tc>
          <w:tcPr>
            <w:tcW w:w="1445" w:type="dxa"/>
            <w:vAlign w:val="center"/>
          </w:tcPr>
          <w:p w14:paraId="509AA30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24093BD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6EE5472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96" w:type="dxa"/>
            <w:vAlign w:val="center"/>
          </w:tcPr>
          <w:p w14:paraId="1FBD70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05" w:type="dxa"/>
            <w:vAlign w:val="center"/>
          </w:tcPr>
          <w:p w14:paraId="74F2B17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7" w:type="dxa"/>
            <w:vAlign w:val="center"/>
          </w:tcPr>
          <w:p w14:paraId="2956FFC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562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24F5EEA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445" w:type="dxa"/>
            <w:vAlign w:val="center"/>
          </w:tcPr>
          <w:p w14:paraId="1EB6A02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5885EC4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4AAB18F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482072B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05" w:type="dxa"/>
            <w:vAlign w:val="center"/>
          </w:tcPr>
          <w:p w14:paraId="30021C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1D0041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292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0360C018">
            <w:pPr>
              <w:widowControl/>
              <w:jc w:val="left"/>
              <w:rPr>
                <w:rFonts w:ascii="宋体" w:hAnsi="宋体" w:cs="宋体"/>
                <w:color w:val="auto"/>
                <w:kern w:val="0"/>
                <w:sz w:val="18"/>
                <w:szCs w:val="18"/>
                <w:highlight w:val="none"/>
              </w:rPr>
            </w:pPr>
          </w:p>
        </w:tc>
        <w:tc>
          <w:tcPr>
            <w:tcW w:w="1445" w:type="dxa"/>
            <w:vAlign w:val="center"/>
          </w:tcPr>
          <w:p w14:paraId="6033CBC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0FA8549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5F914A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96" w:type="dxa"/>
            <w:vAlign w:val="center"/>
          </w:tcPr>
          <w:p w14:paraId="70929B1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05" w:type="dxa"/>
            <w:vAlign w:val="center"/>
          </w:tcPr>
          <w:p w14:paraId="59F0C26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7" w:type="dxa"/>
            <w:vAlign w:val="center"/>
          </w:tcPr>
          <w:p w14:paraId="1A76785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648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0122AB0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445" w:type="dxa"/>
            <w:vAlign w:val="center"/>
          </w:tcPr>
          <w:p w14:paraId="73B741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4EBD7D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71A150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96" w:type="dxa"/>
            <w:vAlign w:val="center"/>
          </w:tcPr>
          <w:p w14:paraId="746EC0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505" w:type="dxa"/>
            <w:vAlign w:val="center"/>
          </w:tcPr>
          <w:p w14:paraId="567F68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153FCC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5C1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3CB99341">
            <w:pPr>
              <w:widowControl/>
              <w:jc w:val="left"/>
              <w:rPr>
                <w:rFonts w:ascii="宋体" w:hAnsi="宋体" w:cs="宋体"/>
                <w:color w:val="auto"/>
                <w:kern w:val="0"/>
                <w:sz w:val="18"/>
                <w:szCs w:val="18"/>
                <w:highlight w:val="none"/>
              </w:rPr>
            </w:pPr>
          </w:p>
        </w:tc>
        <w:tc>
          <w:tcPr>
            <w:tcW w:w="1445" w:type="dxa"/>
            <w:vAlign w:val="center"/>
          </w:tcPr>
          <w:p w14:paraId="17A737E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107074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04F4E6D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96" w:type="dxa"/>
            <w:vAlign w:val="center"/>
          </w:tcPr>
          <w:p w14:paraId="7D68D5F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505" w:type="dxa"/>
            <w:vAlign w:val="center"/>
          </w:tcPr>
          <w:p w14:paraId="565479C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7" w:type="dxa"/>
            <w:vAlign w:val="center"/>
          </w:tcPr>
          <w:p w14:paraId="062FDE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F3D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2A1E4440">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445" w:type="dxa"/>
            <w:vAlign w:val="center"/>
          </w:tcPr>
          <w:p w14:paraId="234FDC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533E533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672D7A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33A36BD4">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05" w:type="dxa"/>
            <w:vAlign w:val="center"/>
          </w:tcPr>
          <w:p w14:paraId="2808AD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4B1BC3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FD3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4059A0F1">
            <w:pPr>
              <w:widowControl/>
              <w:jc w:val="left"/>
              <w:rPr>
                <w:rFonts w:ascii="宋体" w:hAnsi="宋体" w:cs="宋体"/>
                <w:color w:val="auto"/>
                <w:spacing w:val="-12"/>
                <w:kern w:val="0"/>
                <w:sz w:val="18"/>
                <w:szCs w:val="18"/>
                <w:highlight w:val="none"/>
              </w:rPr>
            </w:pPr>
          </w:p>
        </w:tc>
        <w:tc>
          <w:tcPr>
            <w:tcW w:w="1445" w:type="dxa"/>
            <w:vAlign w:val="center"/>
          </w:tcPr>
          <w:p w14:paraId="7B0F901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0CF8AD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119E41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96" w:type="dxa"/>
            <w:vAlign w:val="center"/>
          </w:tcPr>
          <w:p w14:paraId="67D21BF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505" w:type="dxa"/>
            <w:vAlign w:val="center"/>
          </w:tcPr>
          <w:p w14:paraId="7196008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47" w:type="dxa"/>
            <w:vAlign w:val="center"/>
          </w:tcPr>
          <w:p w14:paraId="1CCC6E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148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2E144FC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445" w:type="dxa"/>
            <w:vAlign w:val="center"/>
          </w:tcPr>
          <w:p w14:paraId="0E3C6A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4C9BC4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219E41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96" w:type="dxa"/>
            <w:vAlign w:val="center"/>
          </w:tcPr>
          <w:p w14:paraId="469DCE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505" w:type="dxa"/>
            <w:vAlign w:val="center"/>
          </w:tcPr>
          <w:p w14:paraId="4646A6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7" w:type="dxa"/>
            <w:vAlign w:val="center"/>
          </w:tcPr>
          <w:p w14:paraId="571ED65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E7B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3209FF55">
            <w:pPr>
              <w:widowControl/>
              <w:jc w:val="left"/>
              <w:rPr>
                <w:rFonts w:ascii="宋体" w:hAnsi="宋体" w:cs="宋体"/>
                <w:color w:val="auto"/>
                <w:kern w:val="0"/>
                <w:sz w:val="18"/>
                <w:szCs w:val="18"/>
                <w:highlight w:val="none"/>
              </w:rPr>
            </w:pPr>
          </w:p>
        </w:tc>
        <w:tc>
          <w:tcPr>
            <w:tcW w:w="1445" w:type="dxa"/>
            <w:vAlign w:val="center"/>
          </w:tcPr>
          <w:p w14:paraId="5ED700B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48" w:type="dxa"/>
            <w:vAlign w:val="center"/>
          </w:tcPr>
          <w:p w14:paraId="6AD529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6FF6FE3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96" w:type="dxa"/>
            <w:vAlign w:val="center"/>
          </w:tcPr>
          <w:p w14:paraId="392C58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505" w:type="dxa"/>
            <w:vAlign w:val="center"/>
          </w:tcPr>
          <w:p w14:paraId="124854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047" w:type="dxa"/>
            <w:vAlign w:val="center"/>
          </w:tcPr>
          <w:p w14:paraId="094DEF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7CA5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58C9CB2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445" w:type="dxa"/>
            <w:vAlign w:val="center"/>
          </w:tcPr>
          <w:p w14:paraId="7AD36B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51C97C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0DD87E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vAlign w:val="center"/>
          </w:tcPr>
          <w:p w14:paraId="4C3C83C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vAlign w:val="center"/>
          </w:tcPr>
          <w:p w14:paraId="40F4EA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47" w:type="dxa"/>
            <w:vAlign w:val="center"/>
          </w:tcPr>
          <w:p w14:paraId="0E2D48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DA0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6617FA13">
            <w:pPr>
              <w:widowControl/>
              <w:jc w:val="left"/>
              <w:rPr>
                <w:rFonts w:ascii="宋体" w:hAnsi="宋体" w:cs="宋体"/>
                <w:color w:val="auto"/>
                <w:kern w:val="0"/>
                <w:sz w:val="18"/>
                <w:szCs w:val="18"/>
                <w:highlight w:val="none"/>
              </w:rPr>
            </w:pPr>
          </w:p>
        </w:tc>
        <w:tc>
          <w:tcPr>
            <w:tcW w:w="1445" w:type="dxa"/>
            <w:vAlign w:val="center"/>
          </w:tcPr>
          <w:p w14:paraId="36E22E9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61AF9E2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36C62F2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96" w:type="dxa"/>
            <w:vAlign w:val="center"/>
          </w:tcPr>
          <w:p w14:paraId="5491F59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05" w:type="dxa"/>
            <w:vAlign w:val="center"/>
          </w:tcPr>
          <w:p w14:paraId="77C6295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47" w:type="dxa"/>
            <w:vAlign w:val="center"/>
          </w:tcPr>
          <w:p w14:paraId="555049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65B9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46E0C22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445" w:type="dxa"/>
            <w:vAlign w:val="center"/>
          </w:tcPr>
          <w:p w14:paraId="169E54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26B7F6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1F5058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0865874D">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05" w:type="dxa"/>
            <w:vAlign w:val="center"/>
          </w:tcPr>
          <w:p w14:paraId="5316F7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416164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C9B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6E7992A7">
            <w:pPr>
              <w:widowControl/>
              <w:jc w:val="left"/>
              <w:rPr>
                <w:rFonts w:ascii="宋体" w:hAnsi="宋体" w:cs="宋体"/>
                <w:color w:val="auto"/>
                <w:kern w:val="0"/>
                <w:sz w:val="18"/>
                <w:szCs w:val="18"/>
                <w:highlight w:val="none"/>
              </w:rPr>
            </w:pPr>
          </w:p>
        </w:tc>
        <w:tc>
          <w:tcPr>
            <w:tcW w:w="1445" w:type="dxa"/>
            <w:vAlign w:val="center"/>
          </w:tcPr>
          <w:p w14:paraId="1499B33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48" w:type="dxa"/>
            <w:vAlign w:val="center"/>
          </w:tcPr>
          <w:p w14:paraId="5F8CBB1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65BB3A7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96" w:type="dxa"/>
            <w:vAlign w:val="center"/>
          </w:tcPr>
          <w:p w14:paraId="7B4A7C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505" w:type="dxa"/>
            <w:vAlign w:val="center"/>
          </w:tcPr>
          <w:p w14:paraId="050D47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47" w:type="dxa"/>
            <w:vAlign w:val="center"/>
          </w:tcPr>
          <w:p w14:paraId="387C860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3C7F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14:paraId="739BB95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445" w:type="dxa"/>
            <w:vAlign w:val="center"/>
          </w:tcPr>
          <w:p w14:paraId="6E9F0A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5A957EF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0270B6C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7CF3381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05" w:type="dxa"/>
            <w:vAlign w:val="center"/>
          </w:tcPr>
          <w:p w14:paraId="07F234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6F0A32D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4863342B">
      <w:pPr>
        <w:widowControl/>
        <w:spacing w:line="540" w:lineRule="exact"/>
        <w:rPr>
          <w:rFonts w:ascii="宋体" w:hAnsi="宋体" w:cs="宋体"/>
          <w:color w:val="auto"/>
          <w:spacing w:val="8"/>
          <w:kern w:val="0"/>
          <w:sz w:val="24"/>
          <w:highlight w:val="none"/>
        </w:rPr>
      </w:pPr>
    </w:p>
    <w:p w14:paraId="17FFC759">
      <w:pPr>
        <w:widowControl/>
        <w:spacing w:line="540" w:lineRule="exact"/>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说明：</w:t>
      </w:r>
    </w:p>
    <w:p w14:paraId="11DAD1AF">
      <w:pPr>
        <w:pStyle w:val="16"/>
        <w:adjustRightInd w:val="0"/>
        <w:spacing w:line="380" w:lineRule="exact"/>
        <w:ind w:firstLine="512" w:firstLineChars="200"/>
        <w:contextualSpacing/>
        <w:rPr>
          <w:rFonts w:hAnsi="宋体" w:cs="宋体"/>
          <w:color w:val="auto"/>
          <w:spacing w:val="8"/>
          <w:kern w:val="0"/>
          <w:sz w:val="24"/>
          <w:szCs w:val="24"/>
          <w:highlight w:val="none"/>
        </w:rPr>
      </w:pPr>
      <w:r>
        <w:rPr>
          <w:rFonts w:hint="eastAsia" w:hAnsi="宋体" w:cs="宋体"/>
          <w:color w:val="auto"/>
          <w:spacing w:val="8"/>
          <w:kern w:val="0"/>
          <w:sz w:val="24"/>
          <w:szCs w:val="24"/>
          <w:highlight w:val="none"/>
        </w:rPr>
        <w:t>1.大型、中型和小型企业须同时满足所列指标的下限，否则下划一档；微型企业只须满足所列指标中的一项即可。</w:t>
      </w:r>
    </w:p>
    <w:p w14:paraId="75DBD4C8">
      <w:pPr>
        <w:pStyle w:val="16"/>
        <w:adjustRightInd w:val="0"/>
        <w:spacing w:line="380" w:lineRule="exact"/>
        <w:ind w:firstLine="512" w:firstLineChars="200"/>
        <w:contextualSpacing/>
        <w:rPr>
          <w:rFonts w:hAnsi="宋体" w:cs="宋体"/>
          <w:color w:val="auto"/>
          <w:spacing w:val="8"/>
          <w:kern w:val="0"/>
          <w:sz w:val="24"/>
          <w:szCs w:val="24"/>
          <w:highlight w:val="none"/>
        </w:rPr>
      </w:pPr>
      <w:r>
        <w:rPr>
          <w:rFonts w:hint="eastAsia" w:hAnsi="宋体" w:cs="宋体"/>
          <w:color w:val="auto"/>
          <w:spacing w:val="8"/>
          <w:kern w:val="0"/>
          <w:sz w:val="24"/>
          <w:szCs w:val="24"/>
          <w:highlight w:val="none"/>
        </w:rPr>
        <w:t>2.附表中各行业的范围以《国民经济行业分类》（GB/T4754-2017）为准。带</w:t>
      </w:r>
      <w:r>
        <w:rPr>
          <w:rFonts w:hint="eastAsia" w:hAnsi="宋体" w:cs="宋体"/>
          <w:color w:val="auto"/>
          <w:kern w:val="0"/>
          <w:sz w:val="18"/>
          <w:szCs w:val="18"/>
          <w:highlight w:val="none"/>
        </w:rPr>
        <w:t>※</w:t>
      </w:r>
      <w:r>
        <w:rPr>
          <w:rFonts w:hint="eastAsia" w:hAnsi="宋体" w:cs="宋体"/>
          <w:color w:val="auto"/>
          <w:spacing w:val="8"/>
          <w:kern w:val="0"/>
          <w:sz w:val="24"/>
          <w:szCs w:val="24"/>
          <w:highlight w:val="none"/>
        </w:rPr>
        <w:t>的项为行业组合类别，其中，</w:t>
      </w:r>
      <w:r>
        <w:rPr>
          <w:rFonts w:hint="eastAsia" w:hAnsi="宋体" w:cs="宋体"/>
          <w:b/>
          <w:bCs/>
          <w:color w:val="auto"/>
          <w:spacing w:val="8"/>
          <w:kern w:val="0"/>
          <w:sz w:val="24"/>
          <w:szCs w:val="24"/>
          <w:highlight w:val="none"/>
        </w:rPr>
        <w:t>工业包括采矿业，制造业，电力、热力、燃气及水生产和供应业；</w:t>
      </w:r>
      <w:r>
        <w:rPr>
          <w:rFonts w:hint="eastAsia" w:hAnsi="宋体" w:cs="宋体"/>
          <w:color w:val="auto"/>
          <w:spacing w:val="8"/>
          <w:kern w:val="0"/>
          <w:sz w:val="24"/>
          <w:szCs w:val="24"/>
          <w:highlight w:val="none"/>
        </w:rPr>
        <w:t>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19A9D9B">
      <w:pPr>
        <w:pStyle w:val="16"/>
        <w:adjustRightInd w:val="0"/>
        <w:spacing w:line="380" w:lineRule="exact"/>
        <w:ind w:firstLine="512" w:firstLineChars="200"/>
        <w:contextualSpacing/>
        <w:rPr>
          <w:rFonts w:hAnsi="宋体" w:cs="宋体"/>
          <w:bCs/>
          <w:color w:val="auto"/>
          <w:highlight w:val="none"/>
        </w:rPr>
      </w:pPr>
      <w:r>
        <w:rPr>
          <w:rFonts w:hint="eastAsia" w:hAnsi="宋体" w:cs="宋体"/>
          <w:color w:val="auto"/>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166E214">
      <w:pPr>
        <w:jc w:val="center"/>
        <w:outlineLvl w:val="0"/>
        <w:rPr>
          <w:rFonts w:ascii="宋体" w:hAnsi="宋体" w:cs="宋体"/>
          <w:color w:val="auto"/>
          <w:sz w:val="32"/>
          <w:szCs w:val="32"/>
          <w:highlight w:val="none"/>
        </w:rPr>
      </w:pPr>
      <w:r>
        <w:rPr>
          <w:rFonts w:hint="eastAsia" w:ascii="宋体" w:hAnsi="宋体" w:cs="宋体"/>
          <w:color w:val="auto"/>
          <w:sz w:val="32"/>
          <w:szCs w:val="32"/>
          <w:highlight w:val="none"/>
        </w:rPr>
        <w:br w:type="page"/>
      </w:r>
      <w:bookmarkStart w:id="325" w:name="_Toc14595"/>
      <w:bookmarkStart w:id="326" w:name="_Toc32408"/>
      <w:bookmarkStart w:id="327" w:name="_Toc31602"/>
      <w:bookmarkStart w:id="328" w:name="_Toc9001"/>
      <w:bookmarkStart w:id="329" w:name="_Toc30753"/>
      <w:r>
        <w:rPr>
          <w:rFonts w:hint="eastAsia" w:ascii="宋体" w:hAnsi="宋体" w:cs="宋体"/>
          <w:b/>
          <w:bCs/>
          <w:color w:val="auto"/>
          <w:kern w:val="44"/>
          <w:sz w:val="32"/>
          <w:szCs w:val="32"/>
          <w:highlight w:val="none"/>
        </w:rPr>
        <w:t>第五章  采购合同（合同主要条款及格式）</w:t>
      </w:r>
      <w:bookmarkEnd w:id="325"/>
      <w:bookmarkEnd w:id="326"/>
      <w:bookmarkEnd w:id="327"/>
      <w:bookmarkEnd w:id="328"/>
      <w:bookmarkEnd w:id="329"/>
    </w:p>
    <w:p w14:paraId="59311C29">
      <w:pPr>
        <w:spacing w:line="400" w:lineRule="exac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lang w:eastAsia="zh-CN"/>
        </w:rPr>
        <w:t>荔浦市教育局荔浦市学校扩班及更换教学设备设施采购项目（重1）</w:t>
      </w:r>
    </w:p>
    <w:p w14:paraId="58881B68">
      <w:pPr>
        <w:spacing w:line="400" w:lineRule="exact"/>
        <w:rPr>
          <w:rFonts w:ascii="宋体" w:hAnsi="宋体" w:cs="宋体"/>
          <w:color w:val="auto"/>
          <w:highlight w:val="none"/>
        </w:rPr>
      </w:pPr>
      <w:r>
        <w:rPr>
          <w:rFonts w:hint="eastAsia" w:ascii="宋体" w:hAnsi="宋体" w:cs="宋体"/>
          <w:color w:val="auto"/>
          <w:highlight w:val="none"/>
        </w:rPr>
        <w:t>项目编号：</w:t>
      </w:r>
      <w:r>
        <w:rPr>
          <w:rFonts w:hint="eastAsia" w:ascii="宋体" w:hAnsi="宋体" w:cs="宋体"/>
          <w:color w:val="auto"/>
          <w:highlight w:val="none"/>
          <w:lang w:eastAsia="zh-CN"/>
        </w:rPr>
        <w:t>GLZC2025-G1-310035-GLSZ</w:t>
      </w:r>
      <w:r>
        <w:rPr>
          <w:rFonts w:hint="eastAsia" w:ascii="宋体" w:hAnsi="宋体" w:cs="宋体"/>
          <w:color w:val="auto"/>
          <w:highlight w:val="none"/>
        </w:rPr>
        <w:t xml:space="preserve">  </w:t>
      </w:r>
    </w:p>
    <w:p w14:paraId="3D7CABBC">
      <w:pPr>
        <w:spacing w:line="400" w:lineRule="exact"/>
        <w:rPr>
          <w:rFonts w:ascii="宋体" w:hAnsi="宋体" w:cs="宋体"/>
          <w:color w:val="auto"/>
          <w:highlight w:val="none"/>
          <w:u w:val="single"/>
        </w:rPr>
      </w:pPr>
      <w:r>
        <w:rPr>
          <w:rFonts w:hint="eastAsia" w:ascii="宋体" w:hAnsi="宋体" w:cs="宋体"/>
          <w:color w:val="auto"/>
          <w:highlight w:val="none"/>
        </w:rPr>
        <w:t>甲方：（采购人）</w:t>
      </w:r>
    </w:p>
    <w:p w14:paraId="5CD044CA">
      <w:pPr>
        <w:spacing w:line="400" w:lineRule="exact"/>
        <w:rPr>
          <w:rFonts w:ascii="宋体" w:hAnsi="宋体" w:cs="宋体"/>
          <w:color w:val="auto"/>
          <w:highlight w:val="none"/>
        </w:rPr>
      </w:pPr>
      <w:r>
        <w:rPr>
          <w:rFonts w:hint="eastAsia" w:ascii="宋体" w:hAnsi="宋体" w:cs="宋体"/>
          <w:color w:val="auto"/>
          <w:highlight w:val="none"/>
        </w:rPr>
        <w:t>乙方：（中标供应商）</w:t>
      </w:r>
    </w:p>
    <w:p w14:paraId="154A58E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根据《中华人民共和国政府采购法》、《中华人民共和国政府采购法实施条例》、《中华人民共和国民法典》等法律、法规规定，按照招、投标文件规定条款和中标供应商承诺、甲乙双方签订本采购合同。</w:t>
      </w:r>
    </w:p>
    <w:p w14:paraId="7A1037C8">
      <w:pPr>
        <w:spacing w:line="400" w:lineRule="exact"/>
        <w:ind w:firstLine="413" w:firstLineChars="196"/>
        <w:outlineLvl w:val="1"/>
        <w:rPr>
          <w:color w:val="auto"/>
          <w:highlight w:val="none"/>
        </w:rPr>
      </w:pPr>
      <w:bookmarkStart w:id="330" w:name="_Toc13005"/>
      <w:bookmarkStart w:id="331" w:name="_Toc22268"/>
      <w:bookmarkStart w:id="332" w:name="_Toc7911"/>
      <w:bookmarkStart w:id="333" w:name="_Toc18124"/>
      <w:bookmarkStart w:id="334" w:name="_Toc7473"/>
      <w:bookmarkStart w:id="335" w:name="_Toc495841768"/>
      <w:r>
        <w:rPr>
          <w:rFonts w:hint="eastAsia" w:ascii="宋体" w:hAnsi="宋体" w:cs="宋体"/>
          <w:b/>
          <w:color w:val="auto"/>
          <w:szCs w:val="21"/>
          <w:highlight w:val="none"/>
        </w:rPr>
        <w:t>第一条  合同标的及合同金额</w:t>
      </w:r>
      <w:bookmarkEnd w:id="330"/>
      <w:bookmarkEnd w:id="331"/>
      <w:bookmarkEnd w:id="332"/>
      <w:bookmarkEnd w:id="333"/>
      <w:bookmarkEnd w:id="334"/>
      <w:bookmarkEnd w:id="335"/>
    </w:p>
    <w:tbl>
      <w:tblPr>
        <w:tblStyle w:val="31"/>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14:paraId="5AF0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shd w:val="clear" w:color="auto" w:fill="8DB3E2"/>
            <w:vAlign w:val="center"/>
          </w:tcPr>
          <w:p w14:paraId="5C814117">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1232" w:type="dxa"/>
            <w:shd w:val="clear" w:color="auto" w:fill="8DB3E2"/>
            <w:vAlign w:val="center"/>
          </w:tcPr>
          <w:p w14:paraId="28FE274B">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标的名称</w:t>
            </w:r>
          </w:p>
        </w:tc>
        <w:tc>
          <w:tcPr>
            <w:tcW w:w="1445" w:type="dxa"/>
            <w:shd w:val="clear" w:color="auto" w:fill="8DB3E2"/>
            <w:vAlign w:val="center"/>
          </w:tcPr>
          <w:p w14:paraId="13AACB51">
            <w:pPr>
              <w:snapToGrid w:val="0"/>
              <w:spacing w:line="280" w:lineRule="exact"/>
              <w:jc w:val="center"/>
              <w:rPr>
                <w:rFonts w:ascii="宋体" w:hAnsi="宋体" w:cs="宋体"/>
                <w:b/>
                <w:color w:val="auto"/>
                <w:szCs w:val="21"/>
                <w:highlight w:val="none"/>
              </w:rPr>
            </w:pPr>
            <w:r>
              <w:rPr>
                <w:rFonts w:hint="eastAsia" w:ascii="宋体" w:hAnsi="宋体" w:cs="宋体"/>
                <w:b/>
                <w:color w:val="auto"/>
                <w:szCs w:val="30"/>
                <w:highlight w:val="none"/>
              </w:rPr>
              <w:t>生产厂家、品牌、规格型号</w:t>
            </w:r>
          </w:p>
        </w:tc>
        <w:tc>
          <w:tcPr>
            <w:tcW w:w="1483" w:type="dxa"/>
            <w:shd w:val="clear" w:color="auto" w:fill="8DB3E2"/>
            <w:vAlign w:val="center"/>
          </w:tcPr>
          <w:p w14:paraId="031F92BD">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技术参数</w:t>
            </w:r>
          </w:p>
        </w:tc>
        <w:tc>
          <w:tcPr>
            <w:tcW w:w="1073" w:type="dxa"/>
            <w:shd w:val="clear" w:color="auto" w:fill="8DB3E2"/>
            <w:vAlign w:val="center"/>
          </w:tcPr>
          <w:p w14:paraId="4DAC7772">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数量</w:t>
            </w:r>
          </w:p>
          <w:p w14:paraId="1F8F8624">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①</w:t>
            </w:r>
          </w:p>
        </w:tc>
        <w:tc>
          <w:tcPr>
            <w:tcW w:w="714" w:type="dxa"/>
            <w:shd w:val="clear" w:color="auto" w:fill="8DB3E2"/>
            <w:vAlign w:val="center"/>
          </w:tcPr>
          <w:p w14:paraId="28D0C6F2">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545" w:type="dxa"/>
            <w:shd w:val="clear" w:color="auto" w:fill="8DB3E2"/>
            <w:vAlign w:val="center"/>
          </w:tcPr>
          <w:p w14:paraId="4928BD94">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单价（元）</w:t>
            </w:r>
          </w:p>
          <w:p w14:paraId="5FB64597">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②</w:t>
            </w:r>
          </w:p>
        </w:tc>
        <w:tc>
          <w:tcPr>
            <w:tcW w:w="1575" w:type="dxa"/>
            <w:shd w:val="clear" w:color="auto" w:fill="8DB3E2"/>
            <w:vAlign w:val="center"/>
          </w:tcPr>
          <w:p w14:paraId="052E152D">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单项合计金额（元）</w:t>
            </w:r>
          </w:p>
          <w:p w14:paraId="0BBA5D81">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③＝①×②</w:t>
            </w:r>
          </w:p>
        </w:tc>
      </w:tr>
      <w:tr w14:paraId="1536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1CBC14D6">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32" w:type="dxa"/>
            <w:vAlign w:val="center"/>
          </w:tcPr>
          <w:p w14:paraId="58AC54DF">
            <w:pPr>
              <w:snapToGrid w:val="0"/>
              <w:spacing w:line="400" w:lineRule="exact"/>
              <w:jc w:val="center"/>
              <w:rPr>
                <w:rFonts w:ascii="宋体" w:hAnsi="宋体" w:cs="宋体"/>
                <w:color w:val="auto"/>
                <w:szCs w:val="21"/>
                <w:highlight w:val="none"/>
              </w:rPr>
            </w:pPr>
          </w:p>
        </w:tc>
        <w:tc>
          <w:tcPr>
            <w:tcW w:w="1445" w:type="dxa"/>
            <w:vAlign w:val="center"/>
          </w:tcPr>
          <w:p w14:paraId="702D2D7C">
            <w:pPr>
              <w:snapToGrid w:val="0"/>
              <w:spacing w:line="400" w:lineRule="exact"/>
              <w:jc w:val="center"/>
              <w:rPr>
                <w:rFonts w:ascii="宋体" w:hAnsi="宋体" w:cs="宋体"/>
                <w:color w:val="auto"/>
                <w:szCs w:val="21"/>
                <w:highlight w:val="none"/>
              </w:rPr>
            </w:pPr>
          </w:p>
        </w:tc>
        <w:tc>
          <w:tcPr>
            <w:tcW w:w="1483" w:type="dxa"/>
            <w:vAlign w:val="center"/>
          </w:tcPr>
          <w:p w14:paraId="7741C567">
            <w:pPr>
              <w:snapToGrid w:val="0"/>
              <w:spacing w:line="400" w:lineRule="exact"/>
              <w:jc w:val="center"/>
              <w:rPr>
                <w:rFonts w:ascii="宋体" w:hAnsi="宋体" w:cs="宋体"/>
                <w:color w:val="auto"/>
                <w:szCs w:val="21"/>
                <w:highlight w:val="none"/>
              </w:rPr>
            </w:pPr>
          </w:p>
        </w:tc>
        <w:tc>
          <w:tcPr>
            <w:tcW w:w="1073" w:type="dxa"/>
            <w:vAlign w:val="center"/>
          </w:tcPr>
          <w:p w14:paraId="36EC4C2F">
            <w:pPr>
              <w:snapToGrid w:val="0"/>
              <w:spacing w:line="400" w:lineRule="exact"/>
              <w:jc w:val="center"/>
              <w:rPr>
                <w:rFonts w:ascii="宋体" w:hAnsi="宋体" w:cs="宋体"/>
                <w:color w:val="auto"/>
                <w:szCs w:val="21"/>
                <w:highlight w:val="none"/>
              </w:rPr>
            </w:pPr>
          </w:p>
        </w:tc>
        <w:tc>
          <w:tcPr>
            <w:tcW w:w="714" w:type="dxa"/>
            <w:vAlign w:val="center"/>
          </w:tcPr>
          <w:p w14:paraId="7B31F1A7">
            <w:pPr>
              <w:snapToGrid w:val="0"/>
              <w:spacing w:line="400" w:lineRule="exact"/>
              <w:jc w:val="center"/>
              <w:rPr>
                <w:rFonts w:ascii="宋体" w:hAnsi="宋体" w:cs="宋体"/>
                <w:color w:val="auto"/>
                <w:szCs w:val="21"/>
                <w:highlight w:val="none"/>
              </w:rPr>
            </w:pPr>
          </w:p>
        </w:tc>
        <w:tc>
          <w:tcPr>
            <w:tcW w:w="1545" w:type="dxa"/>
            <w:vAlign w:val="center"/>
          </w:tcPr>
          <w:p w14:paraId="5AAFF8A5">
            <w:pPr>
              <w:snapToGrid w:val="0"/>
              <w:spacing w:line="400" w:lineRule="exact"/>
              <w:jc w:val="center"/>
              <w:rPr>
                <w:rFonts w:ascii="宋体" w:hAnsi="宋体" w:cs="宋体"/>
                <w:color w:val="auto"/>
                <w:szCs w:val="21"/>
                <w:highlight w:val="none"/>
              </w:rPr>
            </w:pPr>
          </w:p>
        </w:tc>
        <w:tc>
          <w:tcPr>
            <w:tcW w:w="1575" w:type="dxa"/>
            <w:vAlign w:val="center"/>
          </w:tcPr>
          <w:p w14:paraId="32BB2FC5">
            <w:pPr>
              <w:snapToGrid w:val="0"/>
              <w:spacing w:line="400" w:lineRule="exact"/>
              <w:jc w:val="center"/>
              <w:rPr>
                <w:rFonts w:ascii="宋体" w:hAnsi="宋体" w:cs="宋体"/>
                <w:color w:val="auto"/>
                <w:szCs w:val="21"/>
                <w:highlight w:val="none"/>
              </w:rPr>
            </w:pPr>
          </w:p>
        </w:tc>
      </w:tr>
      <w:tr w14:paraId="33E64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234A5C7A">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32" w:type="dxa"/>
            <w:vAlign w:val="center"/>
          </w:tcPr>
          <w:p w14:paraId="44C53AC0">
            <w:pPr>
              <w:snapToGrid w:val="0"/>
              <w:spacing w:line="400" w:lineRule="exact"/>
              <w:jc w:val="center"/>
              <w:rPr>
                <w:rFonts w:ascii="宋体" w:hAnsi="宋体" w:cs="宋体"/>
                <w:color w:val="auto"/>
                <w:szCs w:val="21"/>
                <w:highlight w:val="none"/>
              </w:rPr>
            </w:pPr>
          </w:p>
        </w:tc>
        <w:tc>
          <w:tcPr>
            <w:tcW w:w="1445" w:type="dxa"/>
            <w:vAlign w:val="center"/>
          </w:tcPr>
          <w:p w14:paraId="24696FDE">
            <w:pPr>
              <w:snapToGrid w:val="0"/>
              <w:spacing w:line="400" w:lineRule="exact"/>
              <w:jc w:val="center"/>
              <w:rPr>
                <w:rFonts w:ascii="宋体" w:hAnsi="宋体" w:cs="宋体"/>
                <w:color w:val="auto"/>
                <w:szCs w:val="21"/>
                <w:highlight w:val="none"/>
              </w:rPr>
            </w:pPr>
          </w:p>
        </w:tc>
        <w:tc>
          <w:tcPr>
            <w:tcW w:w="1483" w:type="dxa"/>
            <w:vAlign w:val="center"/>
          </w:tcPr>
          <w:p w14:paraId="1065477C">
            <w:pPr>
              <w:snapToGrid w:val="0"/>
              <w:spacing w:line="400" w:lineRule="exact"/>
              <w:jc w:val="center"/>
              <w:rPr>
                <w:rFonts w:ascii="宋体" w:hAnsi="宋体" w:cs="宋体"/>
                <w:color w:val="auto"/>
                <w:szCs w:val="21"/>
                <w:highlight w:val="none"/>
              </w:rPr>
            </w:pPr>
          </w:p>
        </w:tc>
        <w:tc>
          <w:tcPr>
            <w:tcW w:w="1073" w:type="dxa"/>
            <w:vAlign w:val="center"/>
          </w:tcPr>
          <w:p w14:paraId="4F3D7046">
            <w:pPr>
              <w:snapToGrid w:val="0"/>
              <w:spacing w:line="400" w:lineRule="exact"/>
              <w:jc w:val="center"/>
              <w:rPr>
                <w:rFonts w:ascii="宋体" w:hAnsi="宋体" w:cs="宋体"/>
                <w:color w:val="auto"/>
                <w:szCs w:val="21"/>
                <w:highlight w:val="none"/>
              </w:rPr>
            </w:pPr>
          </w:p>
        </w:tc>
        <w:tc>
          <w:tcPr>
            <w:tcW w:w="714" w:type="dxa"/>
            <w:vAlign w:val="center"/>
          </w:tcPr>
          <w:p w14:paraId="23DC893D">
            <w:pPr>
              <w:snapToGrid w:val="0"/>
              <w:spacing w:line="400" w:lineRule="exact"/>
              <w:jc w:val="center"/>
              <w:rPr>
                <w:rFonts w:ascii="宋体" w:hAnsi="宋体" w:cs="宋体"/>
                <w:color w:val="auto"/>
                <w:szCs w:val="21"/>
                <w:highlight w:val="none"/>
              </w:rPr>
            </w:pPr>
          </w:p>
        </w:tc>
        <w:tc>
          <w:tcPr>
            <w:tcW w:w="1545" w:type="dxa"/>
            <w:vAlign w:val="center"/>
          </w:tcPr>
          <w:p w14:paraId="46F8C48C">
            <w:pPr>
              <w:snapToGrid w:val="0"/>
              <w:spacing w:line="400" w:lineRule="exact"/>
              <w:jc w:val="center"/>
              <w:rPr>
                <w:rFonts w:ascii="宋体" w:hAnsi="宋体" w:cs="宋体"/>
                <w:color w:val="auto"/>
                <w:szCs w:val="21"/>
                <w:highlight w:val="none"/>
              </w:rPr>
            </w:pPr>
          </w:p>
        </w:tc>
        <w:tc>
          <w:tcPr>
            <w:tcW w:w="1575" w:type="dxa"/>
            <w:vAlign w:val="center"/>
          </w:tcPr>
          <w:p w14:paraId="6EAE4258">
            <w:pPr>
              <w:snapToGrid w:val="0"/>
              <w:spacing w:line="400" w:lineRule="exact"/>
              <w:jc w:val="center"/>
              <w:rPr>
                <w:rFonts w:ascii="宋体" w:hAnsi="宋体" w:cs="宋体"/>
                <w:color w:val="auto"/>
                <w:szCs w:val="21"/>
                <w:highlight w:val="none"/>
              </w:rPr>
            </w:pPr>
          </w:p>
        </w:tc>
      </w:tr>
      <w:tr w14:paraId="629D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4D8BF32F">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232" w:type="dxa"/>
            <w:vAlign w:val="center"/>
          </w:tcPr>
          <w:p w14:paraId="5FEB2698">
            <w:pPr>
              <w:snapToGrid w:val="0"/>
              <w:spacing w:line="400" w:lineRule="exact"/>
              <w:jc w:val="center"/>
              <w:rPr>
                <w:rFonts w:ascii="宋体" w:hAnsi="宋体" w:cs="宋体"/>
                <w:color w:val="auto"/>
                <w:szCs w:val="21"/>
                <w:highlight w:val="none"/>
              </w:rPr>
            </w:pPr>
          </w:p>
        </w:tc>
        <w:tc>
          <w:tcPr>
            <w:tcW w:w="1445" w:type="dxa"/>
            <w:vAlign w:val="center"/>
          </w:tcPr>
          <w:p w14:paraId="2A5D1C35">
            <w:pPr>
              <w:snapToGrid w:val="0"/>
              <w:spacing w:line="400" w:lineRule="exact"/>
              <w:jc w:val="center"/>
              <w:rPr>
                <w:rFonts w:ascii="宋体" w:hAnsi="宋体" w:cs="宋体"/>
                <w:color w:val="auto"/>
                <w:szCs w:val="21"/>
                <w:highlight w:val="none"/>
              </w:rPr>
            </w:pPr>
          </w:p>
        </w:tc>
        <w:tc>
          <w:tcPr>
            <w:tcW w:w="1483" w:type="dxa"/>
            <w:vAlign w:val="center"/>
          </w:tcPr>
          <w:p w14:paraId="594569C2">
            <w:pPr>
              <w:snapToGrid w:val="0"/>
              <w:spacing w:line="400" w:lineRule="exact"/>
              <w:jc w:val="center"/>
              <w:rPr>
                <w:rFonts w:ascii="宋体" w:hAnsi="宋体" w:cs="宋体"/>
                <w:color w:val="auto"/>
                <w:szCs w:val="21"/>
                <w:highlight w:val="none"/>
              </w:rPr>
            </w:pPr>
          </w:p>
        </w:tc>
        <w:tc>
          <w:tcPr>
            <w:tcW w:w="1073" w:type="dxa"/>
            <w:vAlign w:val="center"/>
          </w:tcPr>
          <w:p w14:paraId="7A8A24D9">
            <w:pPr>
              <w:snapToGrid w:val="0"/>
              <w:spacing w:line="400" w:lineRule="exact"/>
              <w:jc w:val="center"/>
              <w:rPr>
                <w:rFonts w:ascii="宋体" w:hAnsi="宋体" w:cs="宋体"/>
                <w:color w:val="auto"/>
                <w:szCs w:val="21"/>
                <w:highlight w:val="none"/>
              </w:rPr>
            </w:pPr>
          </w:p>
        </w:tc>
        <w:tc>
          <w:tcPr>
            <w:tcW w:w="714" w:type="dxa"/>
            <w:vAlign w:val="center"/>
          </w:tcPr>
          <w:p w14:paraId="7C6E7795">
            <w:pPr>
              <w:snapToGrid w:val="0"/>
              <w:spacing w:line="400" w:lineRule="exact"/>
              <w:jc w:val="center"/>
              <w:rPr>
                <w:rFonts w:ascii="宋体" w:hAnsi="宋体" w:cs="宋体"/>
                <w:color w:val="auto"/>
                <w:szCs w:val="21"/>
                <w:highlight w:val="none"/>
              </w:rPr>
            </w:pPr>
          </w:p>
        </w:tc>
        <w:tc>
          <w:tcPr>
            <w:tcW w:w="1545" w:type="dxa"/>
            <w:vAlign w:val="center"/>
          </w:tcPr>
          <w:p w14:paraId="24E3B2A0">
            <w:pPr>
              <w:snapToGrid w:val="0"/>
              <w:spacing w:line="400" w:lineRule="exact"/>
              <w:jc w:val="center"/>
              <w:rPr>
                <w:rFonts w:ascii="宋体" w:hAnsi="宋体" w:cs="宋体"/>
                <w:color w:val="auto"/>
                <w:szCs w:val="21"/>
                <w:highlight w:val="none"/>
              </w:rPr>
            </w:pPr>
          </w:p>
        </w:tc>
        <w:tc>
          <w:tcPr>
            <w:tcW w:w="1575" w:type="dxa"/>
            <w:vAlign w:val="center"/>
          </w:tcPr>
          <w:p w14:paraId="45757A92">
            <w:pPr>
              <w:snapToGrid w:val="0"/>
              <w:spacing w:line="400" w:lineRule="exact"/>
              <w:jc w:val="center"/>
              <w:rPr>
                <w:rFonts w:ascii="宋体" w:hAnsi="宋体" w:cs="宋体"/>
                <w:color w:val="auto"/>
                <w:szCs w:val="21"/>
                <w:highlight w:val="none"/>
              </w:rPr>
            </w:pPr>
          </w:p>
        </w:tc>
      </w:tr>
      <w:tr w14:paraId="6145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7"/>
            <w:vAlign w:val="center"/>
          </w:tcPr>
          <w:p w14:paraId="004AF3B1">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合     计</w:t>
            </w:r>
          </w:p>
        </w:tc>
        <w:tc>
          <w:tcPr>
            <w:tcW w:w="1575" w:type="dxa"/>
            <w:vAlign w:val="center"/>
          </w:tcPr>
          <w:p w14:paraId="21D538C5">
            <w:pPr>
              <w:snapToGrid w:val="0"/>
              <w:spacing w:line="400" w:lineRule="exact"/>
              <w:rPr>
                <w:rFonts w:ascii="宋体" w:hAnsi="宋体" w:cs="宋体"/>
                <w:color w:val="auto"/>
                <w:szCs w:val="21"/>
                <w:highlight w:val="none"/>
              </w:rPr>
            </w:pPr>
          </w:p>
        </w:tc>
      </w:tr>
    </w:tbl>
    <w:p w14:paraId="0EC7B49E">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根据《中标通知书》的中标内容，合同的总金额为：（大写）人民币（¥元）</w:t>
      </w:r>
    </w:p>
    <w:p w14:paraId="096341D2">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36" w:name="_Toc8219"/>
      <w:bookmarkStart w:id="337" w:name="_Toc6841"/>
      <w:bookmarkStart w:id="338" w:name="_Toc28223"/>
      <w:bookmarkStart w:id="339" w:name="_Toc15939"/>
      <w:bookmarkStart w:id="340" w:name="_Toc495841769"/>
      <w:bookmarkStart w:id="341" w:name="_Toc23870"/>
      <w:r>
        <w:rPr>
          <w:rFonts w:hint="eastAsia" w:ascii="宋体" w:hAnsi="宋体" w:cs="宋体"/>
          <w:b/>
          <w:color w:val="auto"/>
          <w:szCs w:val="21"/>
          <w:highlight w:val="none"/>
        </w:rPr>
        <w:t>第二条  质量保证</w:t>
      </w:r>
      <w:bookmarkEnd w:id="336"/>
      <w:bookmarkEnd w:id="337"/>
      <w:bookmarkEnd w:id="338"/>
      <w:bookmarkEnd w:id="339"/>
      <w:bookmarkEnd w:id="340"/>
      <w:bookmarkEnd w:id="341"/>
    </w:p>
    <w:p w14:paraId="01015E87">
      <w:pPr>
        <w:keepNext w:val="0"/>
        <w:keepLines w:val="0"/>
        <w:pageBreakBefore w:val="0"/>
        <w:widowControl w:val="0"/>
        <w:kinsoku/>
        <w:wordWrap/>
        <w:overflowPunct/>
        <w:topLinePunct w:val="0"/>
        <w:autoSpaceDE/>
        <w:autoSpaceDN/>
        <w:bidi w:val="0"/>
        <w:adjustRightInd/>
        <w:spacing w:line="30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1.乙方应按投标文件承诺的货物规格型号、技术参数、质量标准等向甲方提供未经使用的全新原装产品，且在正常安装使用和保养条件下，其使用寿命期内各项指标均达到质量标准。</w:t>
      </w:r>
    </w:p>
    <w:p w14:paraId="4B158576">
      <w:pPr>
        <w:keepNext w:val="0"/>
        <w:keepLines w:val="0"/>
        <w:pageBreakBefore w:val="0"/>
        <w:widowControl w:val="0"/>
        <w:kinsoku/>
        <w:wordWrap/>
        <w:overflowPunct/>
        <w:topLinePunct w:val="0"/>
        <w:autoSpaceDE/>
        <w:autoSpaceDN/>
        <w:bidi w:val="0"/>
        <w:adjustRightInd/>
        <w:spacing w:line="300" w:lineRule="exact"/>
        <w:ind w:firstLine="435"/>
        <w:textAlignment w:val="auto"/>
        <w:rPr>
          <w:rFonts w:ascii="宋体" w:hAnsi="宋体" w:cs="宋体"/>
          <w:color w:val="auto"/>
          <w:szCs w:val="21"/>
          <w:highlight w:val="none"/>
        </w:rPr>
      </w:pPr>
      <w:r>
        <w:rPr>
          <w:rFonts w:hint="eastAsia" w:ascii="宋体" w:hAnsi="宋体" w:cs="宋体"/>
          <w:color w:val="auto"/>
          <w:szCs w:val="21"/>
          <w:highlight w:val="none"/>
        </w:rPr>
        <w:t>2.乙方提供货物的质量保证期为（厂家规定质保期超过一年的，按厂家规定，“采购需求”有规定的，按规定执行）。在质保期内因货物本身的质量问题发生故障，乙方应负责免费修理和更换零部件。对达不到技术要求者，根据实际情况，经双方协商，可按以下第（1）款办法处理：</w:t>
      </w:r>
    </w:p>
    <w:p w14:paraId="49277124">
      <w:pPr>
        <w:keepNext w:val="0"/>
        <w:keepLines w:val="0"/>
        <w:pageBreakBefore w:val="0"/>
        <w:widowControl w:val="0"/>
        <w:kinsoku/>
        <w:wordWrap/>
        <w:overflowPunct/>
        <w:topLinePunct w:val="0"/>
        <w:autoSpaceDE/>
        <w:autoSpaceDN/>
        <w:bidi w:val="0"/>
        <w:adjustRightInd/>
        <w:spacing w:line="300" w:lineRule="exact"/>
        <w:ind w:firstLine="435"/>
        <w:textAlignment w:val="auto"/>
        <w:rPr>
          <w:rFonts w:ascii="宋体" w:hAnsi="宋体" w:cs="宋体"/>
          <w:color w:val="auto"/>
          <w:szCs w:val="21"/>
          <w:highlight w:val="none"/>
        </w:rPr>
      </w:pPr>
      <w:r>
        <w:rPr>
          <w:rFonts w:hint="eastAsia" w:ascii="宋体" w:hAnsi="宋体" w:cs="宋体"/>
          <w:color w:val="auto"/>
          <w:szCs w:val="21"/>
          <w:highlight w:val="none"/>
        </w:rPr>
        <w:t>（1）更换：由乙方承担所有发生的全部费用。</w:t>
      </w:r>
    </w:p>
    <w:p w14:paraId="7F6922D4">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（2）贬值处理：由甲乙双方合议定价。</w:t>
      </w:r>
    </w:p>
    <w:p w14:paraId="3412D7FB">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（3）退货处理：乙方应退还甲方支付的合同款，同时应承担该货物的直接费用（运输、保险、检验、贷款利息及银行手续费等）。</w:t>
      </w:r>
    </w:p>
    <w:p w14:paraId="51E1D63E">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42" w:name="_Toc22527"/>
      <w:bookmarkStart w:id="343" w:name="_Toc17443"/>
      <w:bookmarkStart w:id="344" w:name="_Toc28745"/>
      <w:bookmarkStart w:id="345" w:name="_Toc6468"/>
      <w:bookmarkStart w:id="346" w:name="_Toc5930"/>
      <w:bookmarkStart w:id="347" w:name="_Toc495841770"/>
      <w:r>
        <w:rPr>
          <w:rFonts w:hint="eastAsia" w:ascii="宋体" w:hAnsi="宋体" w:cs="宋体"/>
          <w:b/>
          <w:color w:val="auto"/>
          <w:szCs w:val="21"/>
          <w:highlight w:val="none"/>
        </w:rPr>
        <w:t>第三条  权利保证</w:t>
      </w:r>
      <w:bookmarkEnd w:id="342"/>
      <w:bookmarkEnd w:id="343"/>
      <w:bookmarkEnd w:id="344"/>
      <w:bookmarkEnd w:id="345"/>
      <w:bookmarkEnd w:id="346"/>
      <w:bookmarkEnd w:id="347"/>
    </w:p>
    <w:p w14:paraId="1DEBE50E">
      <w:pPr>
        <w:keepNext w:val="0"/>
        <w:keepLines w:val="0"/>
        <w:pageBreakBefore w:val="0"/>
        <w:widowControl w:val="0"/>
        <w:kinsoku/>
        <w:wordWrap/>
        <w:overflowPunct/>
        <w:topLinePunct w:val="0"/>
        <w:autoSpaceDE/>
        <w:autoSpaceDN/>
        <w:bidi w:val="0"/>
        <w:adjustRightInd/>
        <w:spacing w:line="30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1.乙方应保证所提供货物在使用时不会侵犯任何第三方的专利权、商标权、工业设计权或其他权利。</w:t>
      </w:r>
    </w:p>
    <w:p w14:paraId="538C813A">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2.乙方应按招标文件规定的时间向甲方提供使用货物的有关技术资料。</w:t>
      </w:r>
    </w:p>
    <w:p w14:paraId="525E023A">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3.乙方保证所交付的货物的所有权完全属于乙方且无任何抵押、质押、查封等产权瑕疵。</w:t>
      </w:r>
    </w:p>
    <w:p w14:paraId="6152395B">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48" w:name="_Toc7877"/>
      <w:bookmarkStart w:id="349" w:name="_Toc27339"/>
      <w:bookmarkStart w:id="350" w:name="_Toc7468"/>
      <w:bookmarkStart w:id="351" w:name="_Toc17138"/>
      <w:bookmarkStart w:id="352" w:name="_Toc495841771"/>
      <w:bookmarkStart w:id="353" w:name="_Toc24662"/>
      <w:r>
        <w:rPr>
          <w:rFonts w:hint="eastAsia" w:ascii="宋体" w:hAnsi="宋体" w:cs="宋体"/>
          <w:b/>
          <w:color w:val="auto"/>
          <w:szCs w:val="21"/>
          <w:highlight w:val="none"/>
        </w:rPr>
        <w:t>第四条  货物包装、运输</w:t>
      </w:r>
      <w:bookmarkEnd w:id="348"/>
      <w:bookmarkEnd w:id="349"/>
      <w:bookmarkEnd w:id="350"/>
      <w:bookmarkEnd w:id="351"/>
      <w:bookmarkEnd w:id="352"/>
      <w:bookmarkEnd w:id="353"/>
    </w:p>
    <w:p w14:paraId="31BA0EC0">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1.乙方应在货物发运前对其进行满足运输距离、防潮、防震、防锈和防破损装卸等要求包装，以保证货物安全运达甲方指定地点。</w:t>
      </w:r>
    </w:p>
    <w:p w14:paraId="19F5C61E">
      <w:pPr>
        <w:keepNext w:val="0"/>
        <w:keepLines w:val="0"/>
        <w:pageBreakBefore w:val="0"/>
        <w:widowControl w:val="0"/>
        <w:kinsoku/>
        <w:wordWrap/>
        <w:overflowPunct/>
        <w:topLinePunct w:val="0"/>
        <w:autoSpaceDE/>
        <w:autoSpaceDN/>
        <w:bidi w:val="0"/>
        <w:adjustRightInd/>
        <w:spacing w:line="30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2.使用中文说明书（货物属于进口产品的，供货时应同时附上中文使用说明书）、质量检验证明书、</w:t>
      </w:r>
    </w:p>
    <w:p w14:paraId="65CF22F7">
      <w:pPr>
        <w:keepNext w:val="0"/>
        <w:keepLines w:val="0"/>
        <w:pageBreakBefore w:val="0"/>
        <w:widowControl w:val="0"/>
        <w:kinsoku/>
        <w:wordWrap/>
        <w:overflowPunct/>
        <w:topLinePunct w:val="0"/>
        <w:autoSpaceDE/>
        <w:autoSpaceDN/>
        <w:bidi w:val="0"/>
        <w:adjustRightInd/>
        <w:spacing w:line="300" w:lineRule="exact"/>
        <w:textAlignment w:val="auto"/>
        <w:rPr>
          <w:color w:val="auto"/>
          <w:highlight w:val="none"/>
        </w:rPr>
      </w:pPr>
      <w:r>
        <w:rPr>
          <w:rFonts w:hint="eastAsia" w:ascii="宋体" w:hAnsi="宋体" w:cs="宋体"/>
          <w:color w:val="auto"/>
          <w:szCs w:val="21"/>
          <w:highlight w:val="none"/>
        </w:rPr>
        <w:t>随配附件和工具以及清单一并附于货物内。</w:t>
      </w:r>
    </w:p>
    <w:p w14:paraId="5E134623">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3.乙方在货物发运手续办理完毕后二十四小时内或货到甲方四十八小时前通知甲方，以准备接货。</w:t>
      </w:r>
    </w:p>
    <w:p w14:paraId="325EBB12">
      <w:pPr>
        <w:keepNext w:val="0"/>
        <w:keepLines w:val="0"/>
        <w:pageBreakBefore w:val="0"/>
        <w:widowControl w:val="0"/>
        <w:kinsoku/>
        <w:wordWrap/>
        <w:overflowPunct/>
        <w:topLinePunct w:val="0"/>
        <w:autoSpaceDE/>
        <w:autoSpaceDN/>
        <w:bidi w:val="0"/>
        <w:adjustRightInd/>
        <w:spacing w:line="30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4.货物在交付甲方前发生的风险均由乙方负责。</w:t>
      </w:r>
    </w:p>
    <w:p w14:paraId="249B2026">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54" w:name="_Toc15628"/>
      <w:bookmarkStart w:id="355" w:name="_Toc6754"/>
      <w:bookmarkStart w:id="356" w:name="_Toc6786"/>
      <w:bookmarkStart w:id="357" w:name="_Toc495841772"/>
      <w:bookmarkStart w:id="358" w:name="_Toc2705"/>
      <w:bookmarkStart w:id="359" w:name="_Toc581"/>
      <w:r>
        <w:rPr>
          <w:rFonts w:hint="eastAsia" w:ascii="宋体" w:hAnsi="宋体" w:cs="宋体"/>
          <w:b/>
          <w:color w:val="auto"/>
          <w:szCs w:val="21"/>
          <w:highlight w:val="none"/>
        </w:rPr>
        <w:t>第五条  交付</w:t>
      </w:r>
      <w:bookmarkEnd w:id="354"/>
    </w:p>
    <w:p w14:paraId="4DE2EE7B">
      <w:pPr>
        <w:keepNext w:val="0"/>
        <w:keepLines w:val="0"/>
        <w:pageBreakBefore w:val="0"/>
        <w:widowControl w:val="0"/>
        <w:kinsoku/>
        <w:wordWrap/>
        <w:overflowPunct/>
        <w:topLinePunct w:val="0"/>
        <w:autoSpaceDE/>
        <w:autoSpaceDN/>
        <w:bidi w:val="0"/>
        <w:adjustRightInd/>
        <w:spacing w:line="300" w:lineRule="exact"/>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交付使用时间：</w:t>
      </w:r>
      <w:r>
        <w:rPr>
          <w:rFonts w:hint="eastAsia" w:ascii="宋体" w:hAnsi="宋体" w:eastAsia="宋体" w:cs="宋体"/>
          <w:color w:val="auto"/>
          <w:szCs w:val="21"/>
          <w:highlight w:val="none"/>
          <w:lang w:val="en-US" w:eastAsia="zh-CN"/>
        </w:rPr>
        <w:t>自签订合同之日起 10 日历天内全部安装调试合格完毕并交付使用，超期未安装调试完毕则视为违约。</w:t>
      </w:r>
    </w:p>
    <w:p w14:paraId="44A78719">
      <w:pPr>
        <w:keepNext w:val="0"/>
        <w:keepLines w:val="0"/>
        <w:pageBreakBefore w:val="0"/>
        <w:widowControl w:val="0"/>
        <w:kinsoku/>
        <w:wordWrap/>
        <w:overflowPunct/>
        <w:topLinePunct w:val="0"/>
        <w:autoSpaceDE/>
        <w:autoSpaceDN/>
        <w:bidi w:val="0"/>
        <w:adjustRightInd/>
        <w:spacing w:line="300" w:lineRule="exact"/>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交付地点：</w:t>
      </w:r>
      <w:r>
        <w:rPr>
          <w:rFonts w:hint="eastAsia" w:ascii="宋体" w:hAnsi="宋体" w:cs="宋体"/>
          <w:color w:val="auto"/>
          <w:szCs w:val="21"/>
          <w:highlight w:val="none"/>
          <w:lang w:val="en-US" w:eastAsia="zh-CN"/>
        </w:rPr>
        <w:t>采购人指定地点</w:t>
      </w:r>
    </w:p>
    <w:p w14:paraId="518EC62E">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60" w:name="_Toc4258"/>
      <w:r>
        <w:rPr>
          <w:rFonts w:hint="eastAsia" w:ascii="宋体" w:hAnsi="宋体" w:cs="宋体"/>
          <w:b/>
          <w:color w:val="auto"/>
          <w:szCs w:val="21"/>
          <w:highlight w:val="none"/>
        </w:rPr>
        <w:t>第六条  验收方式</w:t>
      </w:r>
      <w:bookmarkEnd w:id="360"/>
    </w:p>
    <w:p w14:paraId="6740D3C2">
      <w:pPr>
        <w:keepNext w:val="0"/>
        <w:keepLines w:val="0"/>
        <w:widowControl/>
        <w:suppressLineNumbers w:val="0"/>
        <w:spacing w:before="0" w:beforeAutospacing="0" w:after="0" w:afterAutospacing="0" w:line="300" w:lineRule="exact"/>
        <w:ind w:left="0" w:right="0" w:firstLine="420" w:firstLineChars="200"/>
        <w:jc w:val="both"/>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1.验收过程中所产生的一切费用均由中标人承担。报价时应考虑相关费用。</w:t>
      </w:r>
    </w:p>
    <w:p w14:paraId="6CE76D85">
      <w:pPr>
        <w:keepNext w:val="0"/>
        <w:keepLines w:val="0"/>
        <w:widowControl/>
        <w:suppressLineNumbers w:val="0"/>
        <w:spacing w:before="0" w:beforeAutospacing="0" w:after="0" w:afterAutospacing="0" w:line="300" w:lineRule="exact"/>
        <w:ind w:left="0" w:right="0" w:firstLine="420" w:firstLineChars="200"/>
        <w:jc w:val="both"/>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2.中标人在货物验收时由采购单位对照招标文件的技术参数要求或功能描述全面核对检验，对所有要求出具的证明文件进行核查，如不符合招标文件的要求以及提供虚假承诺的，按相关规定做退货处理及违约处理，中标人承担所有责任和费用，采购人保留进一步追究责任的权利。</w:t>
      </w:r>
    </w:p>
    <w:p w14:paraId="026702D2">
      <w:pPr>
        <w:keepNext w:val="0"/>
        <w:keepLines w:val="0"/>
        <w:pageBreakBefore w:val="0"/>
        <w:widowControl w:val="0"/>
        <w:kinsoku/>
        <w:wordWrap/>
        <w:overflowPunct/>
        <w:topLinePunct w:val="0"/>
        <w:autoSpaceDE/>
        <w:autoSpaceDN/>
        <w:bidi w:val="0"/>
        <w:adjustRightInd/>
        <w:spacing w:line="300" w:lineRule="exact"/>
        <w:ind w:firstLine="411" w:firstLineChars="196"/>
        <w:textAlignment w:val="auto"/>
        <w:outlineLvl w:val="9"/>
        <w:rPr>
          <w:rFonts w:hint="eastAsia" w:ascii="宋体" w:hAnsi="宋体" w:cs="宋体"/>
          <w:b/>
          <w:color w:val="auto"/>
          <w:szCs w:val="21"/>
          <w:highlight w:val="none"/>
        </w:rPr>
      </w:pPr>
      <w:bookmarkStart w:id="361" w:name="_Toc24980"/>
      <w:r>
        <w:rPr>
          <w:rFonts w:hint="eastAsia" w:ascii="宋体" w:hAnsi="宋体" w:eastAsia="宋体" w:cs="宋体"/>
          <w:b w:val="0"/>
          <w:bCs/>
          <w:color w:val="auto"/>
          <w:sz w:val="21"/>
          <w:szCs w:val="21"/>
          <w:highlight w:val="none"/>
          <w:u w:val="none"/>
          <w:lang w:val="en-US" w:eastAsia="zh-CN"/>
        </w:rPr>
        <w:t>3.验收时，采购人对中标人所交货物依照中标人的投标文件所承诺的技术规格要求和国家有关标准进行现场验收。性能达到技术要求的给予签收，若有一项指标不满足其投标承诺的不予签收，并按照政府采购相关法律法规和合同约定条款进行处罚，由此造成的项目延误等所有责任均由中标人承担。</w:t>
      </w:r>
      <w:bookmarkEnd w:id="361"/>
    </w:p>
    <w:p w14:paraId="151BA292">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62" w:name="_Toc18127"/>
      <w:r>
        <w:rPr>
          <w:rFonts w:hint="eastAsia" w:ascii="宋体" w:hAnsi="宋体" w:cs="宋体"/>
          <w:b/>
          <w:color w:val="auto"/>
          <w:szCs w:val="21"/>
          <w:highlight w:val="none"/>
        </w:rPr>
        <w:t>第七条  安装和培训</w:t>
      </w:r>
      <w:bookmarkEnd w:id="362"/>
    </w:p>
    <w:p w14:paraId="023FB1BD">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color w:val="auto"/>
          <w:highlight w:val="none"/>
        </w:rPr>
      </w:pPr>
      <w:r>
        <w:rPr>
          <w:rFonts w:hint="eastAsia"/>
          <w:color w:val="auto"/>
          <w:highlight w:val="none"/>
        </w:rPr>
        <w:t>中标供应商根据本项目，特派出技术人员对采购方免费提供基本维护、保养等培训。</w:t>
      </w:r>
    </w:p>
    <w:p w14:paraId="657DB11A">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63" w:name="_Toc7514"/>
      <w:r>
        <w:rPr>
          <w:rFonts w:hint="eastAsia" w:ascii="宋体" w:hAnsi="宋体" w:cs="宋体"/>
          <w:b/>
          <w:color w:val="auto"/>
          <w:szCs w:val="21"/>
          <w:highlight w:val="none"/>
        </w:rPr>
        <w:t>第八条  售后服务、保修期</w:t>
      </w:r>
      <w:bookmarkEnd w:id="363"/>
    </w:p>
    <w:p w14:paraId="1D710D73">
      <w:pPr>
        <w:keepNext w:val="0"/>
        <w:keepLines w:val="0"/>
        <w:suppressLineNumbers w:val="0"/>
        <w:spacing w:before="0" w:beforeAutospacing="0" w:after="0" w:afterAutospacing="0" w:line="300" w:lineRule="exact"/>
        <w:ind w:left="0" w:right="0" w:firstLine="411" w:firstLineChars="19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1、质量保证期壹年（自交货并验收合格之日起计）（属于实行国家强制保修政策的除外，采购需求中另有要求的，按采购要求执行）。</w:t>
      </w:r>
    </w:p>
    <w:p w14:paraId="25EDA0C2">
      <w:pPr>
        <w:keepNext w:val="0"/>
        <w:keepLines w:val="0"/>
        <w:suppressLineNumbers w:val="0"/>
        <w:spacing w:before="0" w:beforeAutospacing="0" w:after="0" w:afterAutospacing="0" w:line="300" w:lineRule="exact"/>
        <w:ind w:left="0" w:right="0"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2、厂家免费提供操作培训和维修培训，保证被培训人员能熟练操作、使用、维护。</w:t>
      </w:r>
    </w:p>
    <w:p w14:paraId="50B0C402">
      <w:pPr>
        <w:keepNext w:val="0"/>
        <w:keepLines w:val="0"/>
        <w:suppressLineNumbers w:val="0"/>
        <w:adjustRightInd/>
        <w:snapToGrid/>
        <w:spacing w:before="0" w:beforeAutospacing="0" w:after="0" w:afterAutospacing="0" w:line="300" w:lineRule="exact"/>
        <w:ind w:left="0" w:right="0"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3、免费质保期内，中标人应承诺：</w:t>
      </w:r>
    </w:p>
    <w:p w14:paraId="6F98EBBC">
      <w:pPr>
        <w:keepNext w:val="0"/>
        <w:keepLines w:val="0"/>
        <w:suppressLineNumbers w:val="0"/>
        <w:adjustRightInd/>
        <w:snapToGrid/>
        <w:spacing w:before="0" w:beforeAutospacing="0" w:after="0" w:afterAutospacing="0" w:line="300" w:lineRule="exact"/>
        <w:ind w:left="0" w:right="0"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（1）设备如发生部件损坏，在7个工作日内提供更换；</w:t>
      </w:r>
    </w:p>
    <w:p w14:paraId="7143C081">
      <w:pPr>
        <w:keepNext w:val="0"/>
        <w:keepLines w:val="0"/>
        <w:suppressLineNumbers w:val="0"/>
        <w:adjustRightInd/>
        <w:snapToGrid/>
        <w:spacing w:before="0" w:beforeAutospacing="0" w:after="0" w:afterAutospacing="0" w:line="300" w:lineRule="exact"/>
        <w:ind w:left="0" w:right="0"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（2）设备出现故障的，须派出技术工程师到达现场处理故障，并承担一切费用，免费质保期外设备出现故障的，只收材料成本费；</w:t>
      </w:r>
    </w:p>
    <w:p w14:paraId="6830853D">
      <w:pPr>
        <w:keepNext w:val="0"/>
        <w:keepLines w:val="0"/>
        <w:suppressLineNumbers w:val="0"/>
        <w:adjustRightInd/>
        <w:snapToGrid/>
        <w:spacing w:before="0" w:beforeAutospacing="0" w:after="0" w:afterAutospacing="0" w:line="300" w:lineRule="exact"/>
        <w:ind w:left="0" w:right="0"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（3）免费保修期满前1个月内中标人应负责对设备进行一次免费全面检查、维护，如发现潜在问题，应写出正式报告，并负责排除，保证设备正常运行。</w:t>
      </w:r>
    </w:p>
    <w:p w14:paraId="236CE0BE">
      <w:pPr>
        <w:keepNext w:val="0"/>
        <w:keepLines w:val="0"/>
        <w:suppressLineNumbers w:val="0"/>
        <w:adjustRightInd/>
        <w:snapToGrid/>
        <w:spacing w:before="0" w:beforeAutospacing="0" w:after="0" w:afterAutospacing="0" w:line="300" w:lineRule="exact"/>
        <w:ind w:left="0" w:right="0"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4、故障响应时间：</w:t>
      </w:r>
    </w:p>
    <w:p w14:paraId="207B7338">
      <w:pPr>
        <w:keepNext w:val="0"/>
        <w:keepLines w:val="0"/>
        <w:suppressLineNumbers w:val="0"/>
        <w:adjustRightInd/>
        <w:snapToGrid/>
        <w:spacing w:before="0" w:beforeAutospacing="0" w:after="0" w:afterAutospacing="0" w:line="300" w:lineRule="exact"/>
        <w:ind w:left="0" w:right="0"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投标人接到用户故障通知后，维修人员12小时内赶到故障现场处理，一般故障不超过24小时、重大故障不超过48小时修复；</w:t>
      </w:r>
      <w:r>
        <w:rPr>
          <w:rFonts w:hint="eastAsia" w:ascii="宋体" w:hAnsi="宋体" w:cs="宋体"/>
          <w:color w:val="auto"/>
          <w:kern w:val="0"/>
          <w:szCs w:val="21"/>
          <w:highlight w:val="none"/>
        </w:rPr>
        <w:t>特殊情况无法修复的，免费质保期内中标人应无条件更换新设备或提供代用设备或采取使设备可正常运转的其它措施；</w:t>
      </w:r>
    </w:p>
    <w:p w14:paraId="0DCAECCE">
      <w:pPr>
        <w:keepNext w:val="0"/>
        <w:keepLines w:val="0"/>
        <w:suppressLineNumbers w:val="0"/>
        <w:adjustRightInd/>
        <w:snapToGrid/>
        <w:spacing w:before="0" w:beforeAutospacing="0" w:after="0" w:afterAutospacing="0" w:line="300" w:lineRule="exact"/>
        <w:ind w:left="0" w:right="0"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产品在保修期内如有质量问题的，供货方负责包修、包换。质保期内免费维修及更换配件，终身维修（质保期外只收配件费，差旅费由厂家或成交人负责）。</w:t>
      </w:r>
    </w:p>
    <w:p w14:paraId="0606D9BE">
      <w:pPr>
        <w:keepNext w:val="0"/>
        <w:keepLines w:val="0"/>
        <w:pageBreakBefore w:val="0"/>
        <w:widowControl w:val="0"/>
        <w:kinsoku/>
        <w:wordWrap/>
        <w:overflowPunct/>
        <w:topLinePunct w:val="0"/>
        <w:autoSpaceDE/>
        <w:autoSpaceDN/>
        <w:bidi w:val="0"/>
        <w:adjustRightInd/>
        <w:spacing w:line="300" w:lineRule="exact"/>
        <w:ind w:firstLine="411" w:firstLineChars="196"/>
        <w:textAlignment w:val="auto"/>
        <w:outlineLvl w:val="9"/>
        <w:rPr>
          <w:rFonts w:hint="eastAsia" w:ascii="宋体" w:hAnsi="宋体" w:cs="宋体"/>
          <w:b/>
          <w:color w:val="auto"/>
          <w:szCs w:val="21"/>
          <w:highlight w:val="none"/>
        </w:rPr>
      </w:pPr>
      <w:bookmarkStart w:id="364" w:name="_Toc7091"/>
      <w:r>
        <w:rPr>
          <w:rFonts w:hint="eastAsia" w:ascii="宋体" w:hAnsi="宋体" w:cs="宋体"/>
          <w:color w:val="auto"/>
          <w:kern w:val="0"/>
          <w:szCs w:val="21"/>
          <w:highlight w:val="none"/>
        </w:rPr>
        <w:t>（3）提供7天×24小时通过远程、上门服务、电话、E-mail等方式为采购人提供终身完善的售后技术咨询服务。</w:t>
      </w:r>
      <w:bookmarkEnd w:id="364"/>
    </w:p>
    <w:p w14:paraId="5AEFB103">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65" w:name="_Toc7345"/>
      <w:r>
        <w:rPr>
          <w:rFonts w:hint="eastAsia" w:ascii="宋体" w:hAnsi="宋体" w:cs="宋体"/>
          <w:b/>
          <w:color w:val="auto"/>
          <w:szCs w:val="21"/>
          <w:highlight w:val="none"/>
        </w:rPr>
        <w:t>第九条  税费</w:t>
      </w:r>
      <w:bookmarkEnd w:id="365"/>
    </w:p>
    <w:p w14:paraId="0C6FA831">
      <w:pPr>
        <w:keepNext w:val="0"/>
        <w:keepLines w:val="0"/>
        <w:pageBreakBefore w:val="0"/>
        <w:widowControl w:val="0"/>
        <w:kinsoku/>
        <w:wordWrap/>
        <w:overflowPunct/>
        <w:topLinePunct w:val="0"/>
        <w:autoSpaceDE/>
        <w:autoSpaceDN/>
        <w:bidi w:val="0"/>
        <w:adjustRightInd/>
        <w:spacing w:line="30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14:paraId="00576680">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66" w:name="_Toc24524"/>
      <w:r>
        <w:rPr>
          <w:rFonts w:hint="eastAsia" w:ascii="宋体" w:hAnsi="宋体" w:cs="宋体"/>
          <w:b/>
          <w:color w:val="auto"/>
          <w:szCs w:val="21"/>
          <w:highlight w:val="none"/>
        </w:rPr>
        <w:t>第十条  付款方式</w:t>
      </w:r>
      <w:bookmarkEnd w:id="366"/>
    </w:p>
    <w:p w14:paraId="29A483B8">
      <w:pPr>
        <w:keepNext w:val="0"/>
        <w:keepLines w:val="0"/>
        <w:pageBreakBefore w:val="0"/>
        <w:widowControl w:val="0"/>
        <w:kinsoku/>
        <w:wordWrap/>
        <w:overflowPunct/>
        <w:topLinePunct w:val="0"/>
        <w:autoSpaceDE/>
        <w:autoSpaceDN/>
        <w:bidi w:val="0"/>
        <w:adjustRightInd/>
        <w:spacing w:line="300" w:lineRule="exact"/>
        <w:ind w:firstLine="411" w:firstLineChars="196"/>
        <w:textAlignment w:val="auto"/>
        <w:outlineLvl w:val="9"/>
        <w:rPr>
          <w:rFonts w:hint="default" w:ascii="宋体" w:hAnsi="宋体" w:eastAsia="宋体" w:cs="宋体"/>
          <w:b/>
          <w:color w:val="auto"/>
          <w:szCs w:val="21"/>
          <w:highlight w:val="none"/>
          <w:lang w:val="en-US" w:eastAsia="zh-CN"/>
        </w:rPr>
      </w:pPr>
      <w:r>
        <w:rPr>
          <w:rFonts w:hint="eastAsia" w:ascii="宋体" w:hAnsi="宋体" w:eastAsia="宋体" w:cs="宋体"/>
          <w:color w:val="auto"/>
          <w:szCs w:val="21"/>
          <w:highlight w:val="none"/>
          <w:lang w:val="en-US" w:eastAsia="zh-CN"/>
        </w:rPr>
        <w:t>本项目的资金拨付根据财政部门的付款流程执行，采购人不承担延期付款的责任。专项资金到账且项目验收合格后，成交供应商开具全额发票给采购人，采购人收到发票后付至合同价款的100%（无息）。</w:t>
      </w:r>
      <w:bookmarkEnd w:id="355"/>
      <w:bookmarkEnd w:id="356"/>
      <w:bookmarkEnd w:id="357"/>
      <w:bookmarkEnd w:id="358"/>
      <w:bookmarkEnd w:id="359"/>
      <w:bookmarkStart w:id="367" w:name="_Toc19042"/>
      <w:bookmarkStart w:id="368" w:name="_Toc26154"/>
      <w:bookmarkStart w:id="369" w:name="_Toc495841778"/>
      <w:bookmarkStart w:id="370" w:name="_Toc6761"/>
    </w:p>
    <w:p w14:paraId="43875405">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71" w:name="_Toc16951"/>
      <w:bookmarkStart w:id="372" w:name="_Toc2212"/>
      <w:r>
        <w:rPr>
          <w:rFonts w:hint="eastAsia" w:ascii="宋体" w:hAnsi="宋体" w:cs="宋体"/>
          <w:b/>
          <w:color w:val="auto"/>
          <w:szCs w:val="21"/>
          <w:highlight w:val="none"/>
        </w:rPr>
        <w:t>第十一条  违约责任</w:t>
      </w:r>
      <w:bookmarkEnd w:id="367"/>
      <w:bookmarkEnd w:id="368"/>
      <w:bookmarkEnd w:id="369"/>
      <w:bookmarkEnd w:id="370"/>
      <w:bookmarkEnd w:id="371"/>
      <w:bookmarkEnd w:id="372"/>
    </w:p>
    <w:p w14:paraId="698D1076">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1.乙方所提供的货物规格、技术标准、材料等质量不合格的，应及时更换，更换不及时的按逾期交货处罚，乙方应向甲方支付合同金额%违约金并赔偿甲方经济损失。</w:t>
      </w:r>
    </w:p>
    <w:p w14:paraId="3AD9C60F">
      <w:pPr>
        <w:keepNext w:val="0"/>
        <w:keepLines w:val="0"/>
        <w:pageBreakBefore w:val="0"/>
        <w:widowControl w:val="0"/>
        <w:kinsoku/>
        <w:wordWrap/>
        <w:overflowPunct/>
        <w:topLinePunct w:val="0"/>
        <w:autoSpaceDE/>
        <w:autoSpaceDN/>
        <w:bidi w:val="0"/>
        <w:adjustRightInd/>
        <w:spacing w:line="30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2.乙方提供的货物如果侵犯了第三方合法权益而引发的任何纠纷或诉讼，均由乙方负责交涉并承担全部责任。</w:t>
      </w:r>
    </w:p>
    <w:p w14:paraId="1B9257EE">
      <w:pPr>
        <w:keepNext w:val="0"/>
        <w:keepLines w:val="0"/>
        <w:pageBreakBefore w:val="0"/>
        <w:widowControl w:val="0"/>
        <w:kinsoku/>
        <w:wordWrap/>
        <w:overflowPunct/>
        <w:topLinePunct w:val="0"/>
        <w:autoSpaceDE/>
        <w:autoSpaceDN/>
        <w:bidi w:val="0"/>
        <w:adjustRightInd/>
        <w:spacing w:line="30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3.因包装、运输引起的货物损坏，按质量不合格处理。</w:t>
      </w:r>
    </w:p>
    <w:p w14:paraId="4DA0AA9F">
      <w:pPr>
        <w:keepNext w:val="0"/>
        <w:keepLines w:val="0"/>
        <w:pageBreakBefore w:val="0"/>
        <w:widowControl w:val="0"/>
        <w:kinsoku/>
        <w:wordWrap/>
        <w:overflowPunct/>
        <w:topLinePunct w:val="0"/>
        <w:autoSpaceDE/>
        <w:autoSpaceDN/>
        <w:bidi w:val="0"/>
        <w:adjustRightInd/>
        <w:spacing w:line="30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4.甲方无故延期接收货物、乙方逾期交货的，每天向对方偿付违约货款额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违约金，但违约金累计不得超过违约货款额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，超过天对方有权解除合同，违约方承担因此给对方造成经济损失；甲方延期付货款的，每天向乙方偿付延期货款额‰滞纳金，但滞纳金累计不得超过延期货款额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A47F669">
      <w:pPr>
        <w:keepNext w:val="0"/>
        <w:keepLines w:val="0"/>
        <w:pageBreakBefore w:val="0"/>
        <w:widowControl w:val="0"/>
        <w:kinsoku/>
        <w:wordWrap/>
        <w:overflowPunct/>
        <w:topLinePunct w:val="0"/>
        <w:autoSpaceDE/>
        <w:autoSpaceDN/>
        <w:bidi w:val="0"/>
        <w:adjustRightInd/>
        <w:spacing w:line="30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5.乙方未按本合同和投标文件中规定的服务承诺提供售后服务的，乙方应按本合同合同金额%向甲方支付违约金。</w:t>
      </w:r>
    </w:p>
    <w:p w14:paraId="7CCAACBE">
      <w:pPr>
        <w:keepNext w:val="0"/>
        <w:keepLines w:val="0"/>
        <w:pageBreakBefore w:val="0"/>
        <w:widowControl w:val="0"/>
        <w:kinsoku/>
        <w:wordWrap/>
        <w:overflowPunct/>
        <w:topLinePunct w:val="0"/>
        <w:autoSpaceDE/>
        <w:autoSpaceDN/>
        <w:bidi w:val="0"/>
        <w:adjustRightInd/>
        <w:spacing w:line="30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6.乙方提供的货物在质保期内，因设计、工艺或材料的缺陷和其他质量原因造成的问题，由乙方负责。</w:t>
      </w:r>
    </w:p>
    <w:p w14:paraId="0C1D4AA7">
      <w:pPr>
        <w:keepNext w:val="0"/>
        <w:keepLines w:val="0"/>
        <w:pageBreakBefore w:val="0"/>
        <w:widowControl w:val="0"/>
        <w:kinsoku/>
        <w:wordWrap/>
        <w:overflowPunct/>
        <w:topLinePunct w:val="0"/>
        <w:autoSpaceDE/>
        <w:autoSpaceDN/>
        <w:bidi w:val="0"/>
        <w:adjustRightInd/>
        <w:spacing w:line="30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7.其他违约行为按违约货款额%收取违约金并赔偿经济损失。</w:t>
      </w:r>
    </w:p>
    <w:p w14:paraId="1634DB1F">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73" w:name="_Toc15932"/>
      <w:bookmarkStart w:id="374" w:name="_Toc12051"/>
      <w:bookmarkStart w:id="375" w:name="_Toc495841779"/>
      <w:bookmarkStart w:id="376" w:name="_Toc5808"/>
      <w:bookmarkStart w:id="377" w:name="_Toc20004"/>
      <w:bookmarkStart w:id="378" w:name="_Toc4299"/>
      <w:r>
        <w:rPr>
          <w:rFonts w:hint="eastAsia" w:ascii="宋体" w:hAnsi="宋体" w:cs="宋体"/>
          <w:b/>
          <w:color w:val="auto"/>
          <w:szCs w:val="21"/>
          <w:highlight w:val="none"/>
        </w:rPr>
        <w:t>第十二条  不可抗力事件处理</w:t>
      </w:r>
      <w:bookmarkEnd w:id="373"/>
      <w:bookmarkEnd w:id="374"/>
      <w:bookmarkEnd w:id="375"/>
      <w:bookmarkEnd w:id="376"/>
      <w:bookmarkEnd w:id="377"/>
      <w:bookmarkEnd w:id="378"/>
    </w:p>
    <w:p w14:paraId="1D5C078D">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1.在合同有效期内，乙方因不可抗力事件导致不能履行合同，则合同履行期可延长，其延长期与不可抗力影响期相同。</w:t>
      </w:r>
    </w:p>
    <w:p w14:paraId="1D42CD63">
      <w:pPr>
        <w:keepNext w:val="0"/>
        <w:keepLines w:val="0"/>
        <w:pageBreakBefore w:val="0"/>
        <w:widowControl w:val="0"/>
        <w:kinsoku/>
        <w:wordWrap/>
        <w:overflowPunct/>
        <w:topLinePunct w:val="0"/>
        <w:autoSpaceDE/>
        <w:autoSpaceDN/>
        <w:bidi w:val="0"/>
        <w:adjustRightInd/>
        <w:spacing w:line="30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79EC7F57">
      <w:pPr>
        <w:keepNext w:val="0"/>
        <w:keepLines w:val="0"/>
        <w:pageBreakBefore w:val="0"/>
        <w:widowControl w:val="0"/>
        <w:kinsoku/>
        <w:wordWrap/>
        <w:overflowPunct/>
        <w:topLinePunct w:val="0"/>
        <w:autoSpaceDE/>
        <w:autoSpaceDN/>
        <w:bidi w:val="0"/>
        <w:adjustRightInd/>
        <w:spacing w:line="30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632C0F37">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79" w:name="_Toc9"/>
      <w:bookmarkStart w:id="380" w:name="_Toc8423"/>
      <w:bookmarkStart w:id="381" w:name="_Toc495841780"/>
      <w:bookmarkStart w:id="382" w:name="_Toc24966"/>
      <w:bookmarkStart w:id="383" w:name="_Toc14871"/>
      <w:bookmarkStart w:id="384" w:name="_Toc665"/>
      <w:r>
        <w:rPr>
          <w:rFonts w:hint="eastAsia" w:ascii="宋体" w:hAnsi="宋体" w:cs="宋体"/>
          <w:b/>
          <w:color w:val="auto"/>
          <w:szCs w:val="21"/>
          <w:highlight w:val="none"/>
        </w:rPr>
        <w:t>第十三条  合同争议解决</w:t>
      </w:r>
      <w:bookmarkEnd w:id="379"/>
      <w:bookmarkEnd w:id="380"/>
      <w:bookmarkEnd w:id="381"/>
      <w:bookmarkEnd w:id="382"/>
      <w:bookmarkEnd w:id="383"/>
      <w:bookmarkEnd w:id="384"/>
    </w:p>
    <w:p w14:paraId="618FF3D1">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1.因货物质量问题发生争议的，应邀请国家认可的质量检测机构对货物质量进行鉴定。货物符合标准的，鉴定费由甲方承担；货物不符合标准的，鉴定费由乙方承担。</w:t>
      </w:r>
    </w:p>
    <w:p w14:paraId="77E54952">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2.因履行本合同引起的或与本合同有关的争议，甲乙双方应首先通过友好协商解决，如果协商不能解决，可向项目所在地辖区人民法院提起诉讼。</w:t>
      </w:r>
    </w:p>
    <w:p w14:paraId="10F82B7C">
      <w:pPr>
        <w:keepNext w:val="0"/>
        <w:keepLines w:val="0"/>
        <w:pageBreakBefore w:val="0"/>
        <w:widowControl w:val="0"/>
        <w:kinsoku/>
        <w:wordWrap/>
        <w:overflowPunct/>
        <w:topLinePunct w:val="0"/>
        <w:autoSpaceDE/>
        <w:autoSpaceDN/>
        <w:bidi w:val="0"/>
        <w:adjustRightInd/>
        <w:spacing w:line="300" w:lineRule="exact"/>
        <w:ind w:left="435"/>
        <w:textAlignment w:val="auto"/>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137075A1">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85" w:name="_Toc10423"/>
      <w:bookmarkStart w:id="386" w:name="_Toc10780"/>
      <w:bookmarkStart w:id="387" w:name="_Toc495841781"/>
      <w:bookmarkStart w:id="388" w:name="_Toc26569"/>
      <w:bookmarkStart w:id="389" w:name="_Toc26480"/>
      <w:bookmarkStart w:id="390" w:name="_Toc26915"/>
      <w:r>
        <w:rPr>
          <w:rFonts w:hint="eastAsia" w:ascii="宋体" w:hAnsi="宋体" w:cs="宋体"/>
          <w:b/>
          <w:color w:val="auto"/>
          <w:szCs w:val="21"/>
          <w:highlight w:val="none"/>
        </w:rPr>
        <w:t>第十四条  合同生效及其它</w:t>
      </w:r>
      <w:bookmarkEnd w:id="385"/>
      <w:bookmarkEnd w:id="386"/>
      <w:bookmarkEnd w:id="387"/>
      <w:bookmarkEnd w:id="388"/>
      <w:bookmarkEnd w:id="389"/>
      <w:bookmarkEnd w:id="390"/>
    </w:p>
    <w:p w14:paraId="6C6571C7">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1.合同经甲乙双方法定代表人、负责人、自然人或相应的授权代表签字并加盖投标人公章后生效。</w:t>
      </w:r>
    </w:p>
    <w:p w14:paraId="1DDF312F">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2.合同执行中涉及采购资金和采购内容修改或补充的，需经同级财政部门审批，并签订书面补充协议报同级财政部门备案，方可作为主合同不可分割的一部分。</w:t>
      </w:r>
    </w:p>
    <w:p w14:paraId="10B2D45A">
      <w:pPr>
        <w:keepNext w:val="0"/>
        <w:keepLines w:val="0"/>
        <w:pageBreakBefore w:val="0"/>
        <w:widowControl w:val="0"/>
        <w:kinsoku/>
        <w:wordWrap/>
        <w:overflowPunct/>
        <w:topLinePunct w:val="0"/>
        <w:autoSpaceDE/>
        <w:autoSpaceDN/>
        <w:bidi w:val="0"/>
        <w:adjustRightInd/>
        <w:spacing w:line="300" w:lineRule="exact"/>
        <w:ind w:left="435"/>
        <w:textAlignment w:val="auto"/>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38BCF133">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91" w:name="_Toc31400"/>
      <w:bookmarkStart w:id="392" w:name="_Toc495841782"/>
      <w:bookmarkStart w:id="393" w:name="_Toc24704"/>
      <w:bookmarkStart w:id="394" w:name="_Toc20115"/>
      <w:bookmarkStart w:id="395" w:name="_Toc23733"/>
      <w:bookmarkStart w:id="396" w:name="_Toc15420"/>
      <w:r>
        <w:rPr>
          <w:rFonts w:hint="eastAsia" w:ascii="宋体" w:hAnsi="宋体" w:cs="宋体"/>
          <w:b/>
          <w:color w:val="auto"/>
          <w:szCs w:val="21"/>
          <w:highlight w:val="none"/>
        </w:rPr>
        <w:t>第十五条  合同的变更、终止与转让</w:t>
      </w:r>
      <w:bookmarkEnd w:id="391"/>
      <w:bookmarkEnd w:id="392"/>
      <w:bookmarkEnd w:id="393"/>
      <w:bookmarkEnd w:id="394"/>
      <w:bookmarkEnd w:id="395"/>
      <w:bookmarkEnd w:id="396"/>
    </w:p>
    <w:p w14:paraId="1D2FD57F">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14:paraId="1C89C8CB">
      <w:pPr>
        <w:keepNext w:val="0"/>
        <w:keepLines w:val="0"/>
        <w:pageBreakBefore w:val="0"/>
        <w:widowControl w:val="0"/>
        <w:kinsoku/>
        <w:wordWrap/>
        <w:overflowPunct/>
        <w:topLinePunct w:val="0"/>
        <w:autoSpaceDE/>
        <w:autoSpaceDN/>
        <w:bidi w:val="0"/>
        <w:adjustRightInd/>
        <w:spacing w:line="30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2.乙方不得擅自转让(无进口资格的供应商委托进口货物除外)其应履行的合同义务。</w:t>
      </w:r>
    </w:p>
    <w:p w14:paraId="1E8B631F">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97" w:name="_Toc20427"/>
      <w:bookmarkStart w:id="398" w:name="_Toc495841783"/>
      <w:bookmarkStart w:id="399" w:name="_Toc19322"/>
      <w:bookmarkStart w:id="400" w:name="_Toc13625"/>
      <w:bookmarkStart w:id="401" w:name="_Toc10700"/>
      <w:bookmarkStart w:id="402" w:name="_Toc22041"/>
      <w:r>
        <w:rPr>
          <w:rFonts w:hint="eastAsia" w:ascii="宋体" w:hAnsi="宋体" w:cs="宋体"/>
          <w:b/>
          <w:color w:val="auto"/>
          <w:szCs w:val="21"/>
          <w:highlight w:val="none"/>
        </w:rPr>
        <w:t>第十六条  签订本合同依据</w:t>
      </w:r>
      <w:bookmarkEnd w:id="397"/>
      <w:bookmarkEnd w:id="398"/>
      <w:bookmarkEnd w:id="399"/>
      <w:bookmarkEnd w:id="400"/>
      <w:bookmarkEnd w:id="401"/>
      <w:bookmarkEnd w:id="402"/>
    </w:p>
    <w:p w14:paraId="3744F41B">
      <w:pPr>
        <w:keepNext w:val="0"/>
        <w:keepLines w:val="0"/>
        <w:pageBreakBefore w:val="0"/>
        <w:widowControl w:val="0"/>
        <w:kinsoku/>
        <w:wordWrap/>
        <w:overflowPunct/>
        <w:topLinePunct w:val="0"/>
        <w:autoSpaceDE/>
        <w:autoSpaceDN/>
        <w:bidi w:val="0"/>
        <w:adjustRightInd/>
        <w:spacing w:line="30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1.招标文件；</w:t>
      </w:r>
    </w:p>
    <w:p w14:paraId="7826E2F7">
      <w:pPr>
        <w:keepNext w:val="0"/>
        <w:keepLines w:val="0"/>
        <w:pageBreakBefore w:val="0"/>
        <w:widowControl w:val="0"/>
        <w:kinsoku/>
        <w:wordWrap/>
        <w:overflowPunct/>
        <w:topLinePunct w:val="0"/>
        <w:autoSpaceDE/>
        <w:autoSpaceDN/>
        <w:bidi w:val="0"/>
        <w:adjustRightInd/>
        <w:spacing w:line="30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2.乙方提供的投标（或应答）文件；</w:t>
      </w:r>
    </w:p>
    <w:p w14:paraId="64F340C3">
      <w:pPr>
        <w:keepNext w:val="0"/>
        <w:keepLines w:val="0"/>
        <w:pageBreakBefore w:val="0"/>
        <w:widowControl w:val="0"/>
        <w:kinsoku/>
        <w:wordWrap/>
        <w:overflowPunct/>
        <w:topLinePunct w:val="0"/>
        <w:autoSpaceDE/>
        <w:autoSpaceDN/>
        <w:bidi w:val="0"/>
        <w:adjustRightInd/>
        <w:spacing w:line="30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3.售后服务承诺书；</w:t>
      </w:r>
    </w:p>
    <w:p w14:paraId="32F002DE">
      <w:pPr>
        <w:keepNext w:val="0"/>
        <w:keepLines w:val="0"/>
        <w:pageBreakBefore w:val="0"/>
        <w:widowControl w:val="0"/>
        <w:kinsoku/>
        <w:wordWrap/>
        <w:overflowPunct/>
        <w:topLinePunct w:val="0"/>
        <w:autoSpaceDE/>
        <w:autoSpaceDN/>
        <w:bidi w:val="0"/>
        <w:adjustRightInd/>
        <w:spacing w:line="30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4.中标通知书。</w:t>
      </w:r>
    </w:p>
    <w:p w14:paraId="2873377E">
      <w:pPr>
        <w:keepNext w:val="0"/>
        <w:keepLines w:val="0"/>
        <w:pageBreakBefore w:val="0"/>
        <w:widowControl w:val="0"/>
        <w:kinsoku/>
        <w:wordWrap/>
        <w:overflowPunct/>
        <w:topLinePunct w:val="0"/>
        <w:autoSpaceDE/>
        <w:autoSpaceDN/>
        <w:bidi w:val="0"/>
        <w:adjustRightInd/>
        <w:spacing w:line="300" w:lineRule="exact"/>
        <w:ind w:left="2" w:leftChars="1" w:firstLine="420" w:firstLineChars="200"/>
        <w:textAlignment w:val="auto"/>
        <w:rPr>
          <w:color w:val="auto"/>
          <w:highlight w:val="none"/>
        </w:rPr>
      </w:pPr>
      <w:r>
        <w:rPr>
          <w:rFonts w:hint="eastAsia" w:ascii="宋体" w:hAnsi="宋体" w:cs="宋体"/>
          <w:color w:val="auto"/>
          <w:szCs w:val="21"/>
          <w:highlight w:val="none"/>
        </w:rPr>
        <w:t>政府采购合同自签订之日起将自动存档于“广西政府采购云平台”上，采购人于合同签订之日起七个工作日内将一份合同原件送本级财政部门备案。</w:t>
      </w:r>
    </w:p>
    <w:p w14:paraId="3124C597">
      <w:pPr>
        <w:spacing w:line="400" w:lineRule="exact"/>
        <w:rPr>
          <w:rFonts w:hint="eastAsia" w:ascii="宋体" w:hAnsi="宋体" w:cs="宋体"/>
          <w:color w:val="auto"/>
          <w:szCs w:val="21"/>
          <w:highlight w:val="none"/>
        </w:rPr>
      </w:pPr>
    </w:p>
    <w:p w14:paraId="59CA174D">
      <w:pPr>
        <w:spacing w:line="400" w:lineRule="exact"/>
        <w:rPr>
          <w:rFonts w:hint="eastAsia" w:ascii="宋体" w:hAnsi="宋体" w:cs="宋体"/>
          <w:color w:val="auto"/>
          <w:szCs w:val="21"/>
          <w:highlight w:val="none"/>
        </w:rPr>
      </w:pPr>
    </w:p>
    <w:p w14:paraId="49032DD8">
      <w:pPr>
        <w:spacing w:line="400" w:lineRule="exact"/>
        <w:rPr>
          <w:rFonts w:hint="eastAsia" w:ascii="宋体" w:hAnsi="宋体" w:cs="宋体"/>
          <w:color w:val="auto"/>
          <w:szCs w:val="21"/>
          <w:highlight w:val="none"/>
        </w:rPr>
      </w:pPr>
    </w:p>
    <w:p w14:paraId="0F2189B2">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甲方（公章）：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乙方（公章，自然人除外）：</w:t>
      </w:r>
      <w:r>
        <w:rPr>
          <w:rFonts w:hint="eastAsia" w:ascii="宋体" w:hAnsi="宋体" w:cs="宋体"/>
          <w:color w:val="auto"/>
          <w:szCs w:val="21"/>
          <w:highlight w:val="none"/>
          <w:u w:val="single"/>
        </w:rPr>
        <w:t xml:space="preserve">                        </w:t>
      </w:r>
    </w:p>
    <w:p w14:paraId="3DA1CA96">
      <w:pPr>
        <w:spacing w:line="400" w:lineRule="exact"/>
        <w:ind w:left="4620" w:hanging="4620" w:hangingChars="2200"/>
        <w:rPr>
          <w:rFonts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highlight w:val="none"/>
        </w:rPr>
        <w:t>法定代表人（负责人、自然人）签字（属自然人的应在签名处加盖大拇指指印）</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5ECD095C">
      <w:pPr>
        <w:tabs>
          <w:tab w:val="left" w:pos="4680"/>
        </w:tabs>
        <w:spacing w:line="400" w:lineRule="exact"/>
        <w:rPr>
          <w:rFonts w:ascii="宋体" w:hAnsi="宋体" w:cs="宋体"/>
          <w:color w:val="auto"/>
          <w:szCs w:val="21"/>
          <w:highlight w:val="none"/>
          <w:u w:val="singl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14:paraId="5AC39EA6">
      <w:pPr>
        <w:tabs>
          <w:tab w:val="left" w:pos="5040"/>
        </w:tabs>
        <w:spacing w:line="400" w:lineRule="exact"/>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 </w:t>
      </w:r>
      <w:r>
        <w:rPr>
          <w:rFonts w:hint="eastAsia" w:ascii="宋体" w:hAnsi="宋体" w:cs="宋体"/>
          <w:color w:val="auto"/>
          <w:szCs w:val="21"/>
          <w:highlight w:val="none"/>
          <w:u w:val="single"/>
        </w:rPr>
        <w:t xml:space="preserve">                                       </w:t>
      </w:r>
    </w:p>
    <w:p w14:paraId="4EC37F58">
      <w:pPr>
        <w:tabs>
          <w:tab w:val="left" w:pos="5040"/>
        </w:tabs>
        <w:spacing w:line="400" w:lineRule="exact"/>
        <w:rPr>
          <w:rFonts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开户名称：</w:t>
      </w:r>
      <w:r>
        <w:rPr>
          <w:rFonts w:hint="eastAsia" w:ascii="宋体" w:hAnsi="宋体" w:cs="宋体"/>
          <w:color w:val="auto"/>
          <w:szCs w:val="21"/>
          <w:highlight w:val="none"/>
          <w:u w:val="single"/>
        </w:rPr>
        <w:t xml:space="preserve">                                       </w:t>
      </w:r>
    </w:p>
    <w:p w14:paraId="01120B26">
      <w:pPr>
        <w:tabs>
          <w:tab w:val="left" w:pos="5040"/>
        </w:tabs>
        <w:spacing w:line="400" w:lineRule="exact"/>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01FAA233">
      <w:pPr>
        <w:tabs>
          <w:tab w:val="left" w:pos="5040"/>
        </w:tabs>
        <w:spacing w:line="400" w:lineRule="exact"/>
        <w:rPr>
          <w:rFonts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银行账号：</w:t>
      </w:r>
      <w:r>
        <w:rPr>
          <w:rFonts w:hint="eastAsia" w:ascii="宋体" w:hAnsi="宋体" w:cs="宋体"/>
          <w:color w:val="auto"/>
          <w:szCs w:val="21"/>
          <w:highlight w:val="none"/>
          <w:u w:val="single"/>
        </w:rPr>
        <w:t xml:space="preserve">                                       </w:t>
      </w:r>
    </w:p>
    <w:p w14:paraId="6538C3AE">
      <w:pPr>
        <w:tabs>
          <w:tab w:val="left" w:pos="5040"/>
        </w:tabs>
        <w:spacing w:line="400" w:lineRule="exact"/>
        <w:rPr>
          <w:rFonts w:ascii="宋体" w:hAnsi="宋体" w:cs="宋体"/>
          <w:color w:val="auto"/>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p w14:paraId="24EA7618">
      <w:pPr>
        <w:jc w:val="center"/>
        <w:outlineLvl w:val="0"/>
        <w:rPr>
          <w:rFonts w:ascii="宋体" w:hAnsi="宋体" w:cs="宋体"/>
          <w:color w:val="auto"/>
          <w:sz w:val="32"/>
          <w:szCs w:val="32"/>
          <w:highlight w:val="none"/>
        </w:rPr>
      </w:pPr>
      <w:r>
        <w:rPr>
          <w:rFonts w:hint="eastAsia" w:ascii="宋体" w:hAnsi="宋体" w:cs="宋体"/>
          <w:b/>
          <w:color w:val="auto"/>
          <w:sz w:val="32"/>
          <w:szCs w:val="32"/>
          <w:highlight w:val="none"/>
        </w:rPr>
        <w:br w:type="page"/>
      </w:r>
      <w:bookmarkStart w:id="403" w:name="_Toc24269"/>
      <w:bookmarkStart w:id="404" w:name="_Toc13840"/>
      <w:bookmarkStart w:id="405" w:name="_Toc28363"/>
      <w:bookmarkStart w:id="406" w:name="_Toc26274"/>
      <w:bookmarkStart w:id="407" w:name="_Toc19349"/>
      <w:r>
        <w:rPr>
          <w:rFonts w:hint="eastAsia" w:ascii="宋体" w:hAnsi="宋体" w:cs="宋体"/>
          <w:b/>
          <w:bCs/>
          <w:color w:val="auto"/>
          <w:kern w:val="44"/>
          <w:sz w:val="32"/>
          <w:szCs w:val="32"/>
          <w:highlight w:val="none"/>
        </w:rPr>
        <w:t>第六章  投标文件（格式）</w:t>
      </w:r>
      <w:bookmarkEnd w:id="403"/>
      <w:bookmarkEnd w:id="404"/>
      <w:bookmarkEnd w:id="405"/>
      <w:bookmarkEnd w:id="406"/>
      <w:bookmarkEnd w:id="407"/>
    </w:p>
    <w:p w14:paraId="007B54AF">
      <w:pPr>
        <w:rPr>
          <w:b/>
          <w:bCs/>
          <w:color w:val="auto"/>
          <w:sz w:val="30"/>
          <w:szCs w:val="30"/>
          <w:highlight w:val="none"/>
        </w:rPr>
      </w:pPr>
      <w:r>
        <w:rPr>
          <w:rFonts w:hint="eastAsia"/>
          <w:b/>
          <w:bCs/>
          <w:color w:val="auto"/>
          <w:sz w:val="30"/>
          <w:szCs w:val="30"/>
          <w:highlight w:val="none"/>
        </w:rPr>
        <w:t>投标文件封面格式：</w:t>
      </w:r>
    </w:p>
    <w:p w14:paraId="770A4231">
      <w:pPr>
        <w:adjustRightInd w:val="0"/>
        <w:snapToGrid w:val="0"/>
        <w:jc w:val="right"/>
        <w:rPr>
          <w:rFonts w:ascii="宋体" w:hAnsi="宋体" w:cs="宋体"/>
          <w:b/>
          <w:color w:val="auto"/>
          <w:sz w:val="32"/>
          <w:szCs w:val="32"/>
          <w:highlight w:val="none"/>
        </w:rPr>
      </w:pPr>
    </w:p>
    <w:p w14:paraId="6A8DF5AB">
      <w:pPr>
        <w:adjustRightInd w:val="0"/>
        <w:snapToGrid w:val="0"/>
        <w:rPr>
          <w:rFonts w:ascii="宋体" w:hAnsi="宋体" w:cs="宋体"/>
          <w:b/>
          <w:color w:val="auto"/>
          <w:sz w:val="44"/>
          <w:szCs w:val="44"/>
          <w:highlight w:val="none"/>
        </w:rPr>
      </w:pPr>
    </w:p>
    <w:p w14:paraId="69C9CCCB">
      <w:pPr>
        <w:adjustRightInd w:val="0"/>
        <w:snapToGrid w:val="0"/>
        <w:jc w:val="center"/>
        <w:rPr>
          <w:rFonts w:ascii="宋体" w:hAnsi="宋体" w:cs="宋体"/>
          <w:b/>
          <w:color w:val="auto"/>
          <w:sz w:val="44"/>
          <w:szCs w:val="44"/>
          <w:highlight w:val="none"/>
        </w:rPr>
      </w:pPr>
      <w:r>
        <w:rPr>
          <w:rFonts w:hint="eastAsia" w:ascii="宋体" w:hAnsi="宋体" w:cs="宋体"/>
          <w:bCs/>
          <w:color w:val="auto"/>
          <w:sz w:val="72"/>
          <w:szCs w:val="72"/>
          <w:highlight w:val="none"/>
        </w:rPr>
        <w:t>投标文件</w:t>
      </w:r>
    </w:p>
    <w:p w14:paraId="7C827942">
      <w:pPr>
        <w:adjustRightInd w:val="0"/>
        <w:snapToGrid w:val="0"/>
        <w:rPr>
          <w:rFonts w:ascii="宋体" w:hAnsi="宋体" w:cs="宋体"/>
          <w:b/>
          <w:color w:val="auto"/>
          <w:sz w:val="44"/>
          <w:szCs w:val="44"/>
          <w:highlight w:val="none"/>
        </w:rPr>
      </w:pPr>
    </w:p>
    <w:p w14:paraId="0009B86F">
      <w:pPr>
        <w:adjustRightInd w:val="0"/>
        <w:snapToGrid w:val="0"/>
        <w:rPr>
          <w:rFonts w:ascii="宋体" w:hAnsi="宋体" w:cs="宋体"/>
          <w:b/>
          <w:color w:val="auto"/>
          <w:sz w:val="44"/>
          <w:szCs w:val="44"/>
          <w:highlight w:val="none"/>
        </w:rPr>
      </w:pPr>
    </w:p>
    <w:p w14:paraId="7D88A2C6">
      <w:pPr>
        <w:pStyle w:val="148"/>
        <w:ind w:firstLine="883"/>
        <w:rPr>
          <w:rFonts w:ascii="宋体" w:hAnsi="宋体" w:cs="宋体"/>
          <w:b/>
          <w:color w:val="auto"/>
          <w:sz w:val="44"/>
          <w:szCs w:val="44"/>
          <w:highlight w:val="none"/>
        </w:rPr>
      </w:pPr>
    </w:p>
    <w:p w14:paraId="6EE4EEE7">
      <w:pPr>
        <w:jc w:val="center"/>
        <w:rPr>
          <w:rFonts w:hint="eastAsia" w:ascii="宋体" w:hAnsi="宋体" w:cs="宋体"/>
          <w:bCs/>
          <w:color w:val="auto"/>
          <w:sz w:val="30"/>
          <w:szCs w:val="30"/>
          <w:highlight w:val="none"/>
          <w:lang w:eastAsia="zh-CN"/>
        </w:rPr>
      </w:pPr>
      <w:r>
        <w:rPr>
          <w:rFonts w:hint="eastAsia" w:ascii="宋体" w:hAnsi="宋体" w:cs="宋体"/>
          <w:bCs/>
          <w:color w:val="auto"/>
          <w:sz w:val="30"/>
          <w:szCs w:val="30"/>
          <w:highlight w:val="none"/>
        </w:rPr>
        <w:t>项目名称：</w:t>
      </w:r>
      <w:r>
        <w:rPr>
          <w:rFonts w:hint="eastAsia" w:ascii="宋体" w:hAnsi="宋体" w:cs="宋体"/>
          <w:bCs/>
          <w:color w:val="auto"/>
          <w:sz w:val="30"/>
          <w:szCs w:val="30"/>
          <w:highlight w:val="none"/>
          <w:lang w:eastAsia="zh-CN"/>
        </w:rPr>
        <w:t>荔浦市教育局荔浦市学校扩班及更换教学设备设施</w:t>
      </w:r>
    </w:p>
    <w:p w14:paraId="02D55AFD">
      <w:pPr>
        <w:jc w:val="center"/>
        <w:rPr>
          <w:rFonts w:ascii="宋体" w:hAnsi="宋体" w:cs="宋体"/>
          <w:color w:val="auto"/>
          <w:sz w:val="30"/>
          <w:szCs w:val="30"/>
          <w:highlight w:val="none"/>
        </w:rPr>
      </w:pPr>
      <w:r>
        <w:rPr>
          <w:rFonts w:hint="eastAsia" w:ascii="宋体" w:hAnsi="宋体" w:cs="宋体"/>
          <w:bCs/>
          <w:color w:val="auto"/>
          <w:sz w:val="30"/>
          <w:szCs w:val="30"/>
          <w:highlight w:val="none"/>
          <w:lang w:eastAsia="zh-CN"/>
        </w:rPr>
        <w:t>采购项目（重1）</w:t>
      </w:r>
    </w:p>
    <w:p w14:paraId="4DF3CA93">
      <w:pPr>
        <w:jc w:val="center"/>
        <w:rPr>
          <w:rFonts w:hint="eastAsia" w:ascii="宋体" w:hAnsi="宋体" w:eastAsia="宋体" w:cs="宋体"/>
          <w:bCs/>
          <w:color w:val="auto"/>
          <w:sz w:val="30"/>
          <w:szCs w:val="30"/>
          <w:highlight w:val="none"/>
          <w:u w:val="single"/>
          <w:lang w:eastAsia="zh-CN"/>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lang w:eastAsia="zh-CN"/>
        </w:rPr>
        <w:t>GLZC2025-G1-310035-GLSZ</w:t>
      </w:r>
    </w:p>
    <w:p w14:paraId="4FDF4960">
      <w:pPr>
        <w:rPr>
          <w:rFonts w:ascii="宋体" w:hAnsi="宋体" w:cs="宋体"/>
          <w:color w:val="auto"/>
          <w:highlight w:val="none"/>
        </w:rPr>
      </w:pPr>
    </w:p>
    <w:p w14:paraId="16801B91">
      <w:pPr>
        <w:snapToGrid w:val="0"/>
        <w:spacing w:beforeLines="50" w:after="50"/>
        <w:ind w:firstLine="1260" w:firstLineChars="450"/>
        <w:rPr>
          <w:rFonts w:ascii="宋体" w:hAnsi="宋体" w:cs="宋体"/>
          <w:bCs/>
          <w:color w:val="auto"/>
          <w:sz w:val="28"/>
          <w:szCs w:val="28"/>
          <w:highlight w:val="none"/>
        </w:rPr>
      </w:pPr>
    </w:p>
    <w:p w14:paraId="47E52749">
      <w:pPr>
        <w:pStyle w:val="148"/>
        <w:ind w:firstLine="420"/>
        <w:rPr>
          <w:color w:val="auto"/>
          <w:highlight w:val="none"/>
        </w:rPr>
      </w:pPr>
    </w:p>
    <w:p w14:paraId="71EC9624">
      <w:pPr>
        <w:snapToGrid w:val="0"/>
        <w:spacing w:beforeLines="50" w:after="50"/>
        <w:rPr>
          <w:rFonts w:ascii="宋体" w:hAnsi="宋体" w:cs="宋体"/>
          <w:bCs/>
          <w:color w:val="auto"/>
          <w:sz w:val="28"/>
          <w:szCs w:val="28"/>
          <w:highlight w:val="none"/>
        </w:rPr>
      </w:pPr>
    </w:p>
    <w:p w14:paraId="7DFE03A2">
      <w:pPr>
        <w:snapToGrid w:val="0"/>
        <w:spacing w:beforeLines="50" w:after="50"/>
        <w:ind w:firstLine="1260" w:firstLineChars="450"/>
        <w:rPr>
          <w:rFonts w:ascii="宋体" w:hAnsi="宋体" w:cs="宋体"/>
          <w:bCs/>
          <w:color w:val="auto"/>
          <w:sz w:val="28"/>
          <w:szCs w:val="28"/>
          <w:highlight w:val="none"/>
        </w:rPr>
      </w:pPr>
    </w:p>
    <w:p w14:paraId="791FE77E">
      <w:pPr>
        <w:ind w:firstLine="964" w:firstLineChars="300"/>
        <w:jc w:val="left"/>
        <w:rPr>
          <w:rFonts w:ascii="宋体" w:hAnsi="宋体" w:cs="宋体"/>
          <w:b/>
          <w:color w:val="auto"/>
          <w:sz w:val="32"/>
          <w:szCs w:val="32"/>
          <w:highlight w:val="none"/>
        </w:rPr>
      </w:pPr>
    </w:p>
    <w:p w14:paraId="72861A38">
      <w:pPr>
        <w:pStyle w:val="14"/>
        <w:ind w:left="980" w:hanging="560" w:hangingChars="200"/>
        <w:jc w:val="center"/>
        <w:rPr>
          <w:rFonts w:ascii="宋体" w:hAnsi="宋体" w:cs="宋体"/>
          <w:bCs/>
          <w:color w:val="auto"/>
          <w:sz w:val="28"/>
          <w:szCs w:val="28"/>
          <w:highlight w:val="none"/>
          <w:u w:val="single"/>
        </w:rPr>
      </w:pPr>
      <w:r>
        <w:rPr>
          <w:rFonts w:hint="eastAsia" w:ascii="宋体" w:hAnsi="宋体" w:cs="宋体"/>
          <w:bCs/>
          <w:color w:val="auto"/>
          <w:sz w:val="28"/>
          <w:szCs w:val="28"/>
          <w:highlight w:val="none"/>
        </w:rPr>
        <w:t>采购代理机构：</w:t>
      </w:r>
      <w:r>
        <w:rPr>
          <w:rFonts w:hint="eastAsia" w:ascii="宋体" w:hAnsi="宋体" w:cs="宋体"/>
          <w:bCs/>
          <w:color w:val="auto"/>
          <w:sz w:val="28"/>
          <w:szCs w:val="28"/>
          <w:highlight w:val="none"/>
          <w:u w:val="single"/>
        </w:rPr>
        <w:t>桂林市政府集中采购中心</w:t>
      </w:r>
    </w:p>
    <w:p w14:paraId="67DA4471">
      <w:pPr>
        <w:pStyle w:val="14"/>
        <w:ind w:left="980" w:hanging="560" w:hangingChars="200"/>
        <w:rPr>
          <w:rFonts w:ascii="宋体" w:hAnsi="宋体" w:cs="宋体"/>
          <w:bCs/>
          <w:color w:val="auto"/>
          <w:sz w:val="28"/>
          <w:szCs w:val="28"/>
          <w:highlight w:val="none"/>
        </w:rPr>
      </w:pPr>
      <w:r>
        <w:rPr>
          <w:rFonts w:hint="eastAsia" w:ascii="宋体" w:hAnsi="宋体" w:cs="宋体"/>
          <w:bCs/>
          <w:color w:val="auto"/>
          <w:sz w:val="28"/>
          <w:szCs w:val="28"/>
          <w:highlight w:val="none"/>
        </w:rPr>
        <w:t>投标人（公章(CA签章)、自然人除外）：</w:t>
      </w:r>
    </w:p>
    <w:p w14:paraId="08E3A113">
      <w:pPr>
        <w:pStyle w:val="16"/>
        <w:spacing w:line="320" w:lineRule="exact"/>
        <w:ind w:firstLine="420"/>
        <w:rPr>
          <w:rFonts w:hAnsi="宋体" w:cs="宋体"/>
          <w:color w:val="auto"/>
          <w:sz w:val="28"/>
          <w:szCs w:val="28"/>
          <w:highlight w:val="none"/>
        </w:rPr>
      </w:pPr>
      <w:r>
        <w:rPr>
          <w:rFonts w:hint="eastAsia" w:hAnsi="宋体" w:cs="宋体"/>
          <w:color w:val="auto"/>
          <w:sz w:val="28"/>
          <w:szCs w:val="28"/>
          <w:highlight w:val="none"/>
        </w:rPr>
        <w:t>法定代表人、负责人、自然人或相应的委托代理人签字[或盖章(CA签章)]</w:t>
      </w:r>
    </w:p>
    <w:p w14:paraId="4B4951CF">
      <w:pPr>
        <w:pStyle w:val="14"/>
        <w:ind w:left="980" w:hanging="560" w:hangingChars="200"/>
        <w:rPr>
          <w:rFonts w:ascii="宋体" w:hAnsi="宋体" w:cs="宋体"/>
          <w:color w:val="auto"/>
          <w:sz w:val="28"/>
          <w:szCs w:val="28"/>
          <w:highlight w:val="none"/>
          <w:u w:val="single"/>
        </w:rPr>
      </w:pPr>
      <w:r>
        <w:rPr>
          <w:rFonts w:hint="eastAsia" w:ascii="宋体" w:hAnsi="宋体" w:cs="宋体"/>
          <w:color w:val="auto"/>
          <w:sz w:val="28"/>
          <w:szCs w:val="28"/>
          <w:highlight w:val="none"/>
        </w:rPr>
        <w:t>（属自然人的应在签名处加盖大拇指指印或个人CA签章）：</w:t>
      </w:r>
    </w:p>
    <w:p w14:paraId="679F9774">
      <w:pPr>
        <w:pStyle w:val="14"/>
        <w:ind w:left="980" w:hanging="560" w:hangingChars="200"/>
        <w:rPr>
          <w:rFonts w:ascii="宋体" w:hAnsi="宋体" w:cs="宋体"/>
          <w:bCs/>
          <w:color w:val="auto"/>
          <w:sz w:val="28"/>
          <w:szCs w:val="28"/>
          <w:highlight w:val="none"/>
          <w:u w:val="single"/>
        </w:rPr>
      </w:pPr>
      <w:r>
        <w:rPr>
          <w:rFonts w:hint="eastAsia" w:ascii="宋体" w:hAnsi="宋体" w:cs="宋体"/>
          <w:bCs/>
          <w:color w:val="auto"/>
          <w:sz w:val="28"/>
          <w:szCs w:val="28"/>
          <w:highlight w:val="none"/>
        </w:rPr>
        <w:t>联系电话：</w:t>
      </w:r>
    </w:p>
    <w:p w14:paraId="740E2DB9">
      <w:pPr>
        <w:pStyle w:val="14"/>
        <w:ind w:left="980" w:hanging="560" w:hangingChars="200"/>
        <w:rPr>
          <w:rFonts w:ascii="宋体" w:hAnsi="宋体" w:cs="宋体"/>
          <w:b/>
          <w:color w:val="auto"/>
          <w:sz w:val="32"/>
          <w:szCs w:val="32"/>
          <w:highlight w:val="none"/>
        </w:rPr>
      </w:pPr>
      <w:r>
        <w:rPr>
          <w:rFonts w:hint="eastAsia" w:ascii="宋体" w:hAnsi="宋体" w:cs="宋体"/>
          <w:bCs/>
          <w:color w:val="auto"/>
          <w:sz w:val="28"/>
          <w:szCs w:val="28"/>
          <w:highlight w:val="none"/>
        </w:rPr>
        <w:t>日期：年月日</w:t>
      </w:r>
    </w:p>
    <w:p w14:paraId="65AC439E">
      <w:pPr>
        <w:jc w:val="center"/>
        <w:rPr>
          <w:b/>
          <w:bCs/>
          <w:color w:val="auto"/>
          <w:sz w:val="32"/>
          <w:szCs w:val="32"/>
          <w:highlight w:val="none"/>
        </w:rPr>
      </w:pPr>
    </w:p>
    <w:p w14:paraId="1474C116">
      <w:pPr>
        <w:jc w:val="center"/>
        <w:rPr>
          <w:b/>
          <w:bCs/>
          <w:color w:val="auto"/>
          <w:sz w:val="32"/>
          <w:szCs w:val="32"/>
          <w:highlight w:val="none"/>
        </w:rPr>
      </w:pPr>
      <w:r>
        <w:rPr>
          <w:rFonts w:hint="eastAsia"/>
          <w:b/>
          <w:bCs/>
          <w:color w:val="auto"/>
          <w:sz w:val="32"/>
          <w:szCs w:val="32"/>
          <w:highlight w:val="none"/>
        </w:rPr>
        <w:t>投标文件目录</w:t>
      </w:r>
    </w:p>
    <w:p w14:paraId="7B7207EC">
      <w:pPr>
        <w:tabs>
          <w:tab w:val="left" w:pos="1305"/>
        </w:tabs>
        <w:spacing w:line="380" w:lineRule="exact"/>
        <w:ind w:firstLine="422" w:firstLineChars="150"/>
        <w:rPr>
          <w:rFonts w:ascii="宋体" w:hAnsi="宋体" w:cs="宋体"/>
          <w:b/>
          <w:color w:val="auto"/>
          <w:sz w:val="28"/>
          <w:szCs w:val="28"/>
          <w:highlight w:val="none"/>
        </w:rPr>
      </w:pPr>
      <w:r>
        <w:rPr>
          <w:rFonts w:hint="eastAsia" w:ascii="宋体" w:hAnsi="宋体" w:cs="宋体"/>
          <w:b/>
          <w:color w:val="auto"/>
          <w:sz w:val="28"/>
          <w:szCs w:val="28"/>
          <w:highlight w:val="none"/>
        </w:rPr>
        <w:t>一、资格性响应证明材料：</w:t>
      </w:r>
    </w:p>
    <w:p w14:paraId="43F4F81D">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1.投标人相应的法定代表人、负责人、自然人身份证正反面扫描件</w:t>
      </w:r>
      <w:r>
        <w:rPr>
          <w:rFonts w:hint="eastAsia" w:ascii="宋体" w:hAnsi="宋体" w:cs="宋体"/>
          <w:b/>
          <w:bCs/>
          <w:color w:val="auto"/>
          <w:szCs w:val="21"/>
          <w:highlight w:val="none"/>
        </w:rPr>
        <w:t>（必须提供）；</w:t>
      </w:r>
    </w:p>
    <w:p w14:paraId="59C20BF4">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投标人的授权委托书原件、委托代理人身份证正反面扫描件以及由县级以上（含县级）社会养老保险经办机构出具的投标人为委托代理人交纳的开标截止时间前三个月内任意一个月养老保险证明扫描件，除投标人为以下四种情形的：</w:t>
      </w:r>
    </w:p>
    <w:p w14:paraId="5160D682">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①如投标人为截标时间前60日以内成立的公司，可以提供投标人与委托代理人签订的劳动合同扫描件代替养老保险证明扫描件；</w:t>
      </w:r>
    </w:p>
    <w:p w14:paraId="6F111FF2">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②如投标人为事业单位，可以提供事业单位机构编制管理证扫描件或事业单位机构为其发放工资的工资条扫描件代替养老保险证明扫描件；</w:t>
      </w:r>
    </w:p>
    <w:p w14:paraId="39B620FB">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③如委托代理人为免缴纳养老保险人员，提供免缴纳养老保险的证明材料扫描件及投标人与委托代理人签订的劳动合同扫描件代替养老保险证明扫描件；</w:t>
      </w:r>
    </w:p>
    <w:p w14:paraId="6DAEFED5">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184EE54F">
      <w:pPr>
        <w:spacing w:line="400" w:lineRule="exact"/>
        <w:ind w:firstLine="413" w:firstLineChars="196"/>
        <w:rPr>
          <w:rFonts w:ascii="宋体" w:hAnsi="宋体" w:cs="宋体"/>
          <w:color w:val="auto"/>
          <w:szCs w:val="21"/>
          <w:highlight w:val="none"/>
        </w:rPr>
      </w:pPr>
      <w:r>
        <w:rPr>
          <w:rFonts w:hint="eastAsia" w:ascii="宋体" w:hAnsi="宋体" w:cs="宋体"/>
          <w:b/>
          <w:bCs/>
          <w:color w:val="auto"/>
          <w:szCs w:val="21"/>
          <w:highlight w:val="none"/>
        </w:rPr>
        <w:t>【属自然人的应提供由县级以上（含县级）社会养老保险经办机构出具的自然人本人及委托代理人所交纳的开标截止时间前三个月内任意一个月养老保险证明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cs="宋体"/>
          <w:b/>
          <w:color w:val="auto"/>
          <w:szCs w:val="21"/>
          <w:highlight w:val="none"/>
        </w:rPr>
        <w:t>（委托代理时必须提供；</w:t>
      </w:r>
      <w:r>
        <w:rPr>
          <w:rFonts w:hint="eastAsia" w:ascii="宋体" w:hAnsi="宋体" w:cs="宋体"/>
          <w:b/>
          <w:bCs/>
          <w:color w:val="auto"/>
          <w:szCs w:val="21"/>
          <w:highlight w:val="none"/>
        </w:rPr>
        <w:t>如为联合体的，授权委托书原件须由牵头人出具</w:t>
      </w:r>
      <w:r>
        <w:rPr>
          <w:rFonts w:hint="eastAsia" w:ascii="宋体" w:hAnsi="宋体" w:cs="宋体"/>
          <w:b/>
          <w:color w:val="auto"/>
          <w:szCs w:val="21"/>
          <w:highlight w:val="none"/>
        </w:rPr>
        <w:t>）；</w:t>
      </w:r>
    </w:p>
    <w:p w14:paraId="0E819BE1">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3.投标人的法人或者其他组织营业执照等证明文件扫描件</w:t>
      </w:r>
      <w:r>
        <w:rPr>
          <w:rFonts w:hint="eastAsia" w:ascii="宋体" w:hAnsi="宋体" w:cs="宋体"/>
          <w:b/>
          <w:color w:val="auto"/>
          <w:szCs w:val="21"/>
          <w:highlight w:val="none"/>
        </w:rPr>
        <w:t>（必须提供，自然人除外）</w:t>
      </w:r>
      <w:r>
        <w:rPr>
          <w:rFonts w:hint="eastAsia" w:ascii="宋体" w:hAnsi="宋体" w:cs="宋体"/>
          <w:color w:val="auto"/>
          <w:szCs w:val="21"/>
          <w:highlight w:val="none"/>
        </w:rPr>
        <w:t>；</w:t>
      </w:r>
    </w:p>
    <w:p w14:paraId="556B9BEC">
      <w:pPr>
        <w:spacing w:line="400" w:lineRule="exact"/>
        <w:ind w:firstLine="420" w:firstLineChars="200"/>
        <w:rPr>
          <w:color w:val="auto"/>
          <w:szCs w:val="21"/>
          <w:highlight w:val="none"/>
        </w:rPr>
      </w:pPr>
      <w:r>
        <w:rPr>
          <w:rFonts w:hint="eastAsia" w:ascii="宋体" w:hAnsi="宋体" w:cs="宋体"/>
          <w:color w:val="auto"/>
          <w:szCs w:val="21"/>
          <w:highlight w:val="none"/>
        </w:rPr>
        <w:t>4.财务状况报告</w:t>
      </w:r>
      <w:r>
        <w:rPr>
          <w:rFonts w:hint="eastAsia" w:ascii="宋体" w:hAnsi="宋体" w:cs="宋体"/>
          <w:b/>
          <w:bCs/>
          <w:color w:val="auto"/>
          <w:szCs w:val="21"/>
          <w:highlight w:val="none"/>
        </w:rPr>
        <w:t>（格式自拟，必须提供）</w:t>
      </w:r>
      <w:r>
        <w:rPr>
          <w:rFonts w:hint="eastAsia" w:ascii="宋体" w:hAnsi="宋体" w:cs="宋体"/>
          <w:color w:val="auto"/>
          <w:szCs w:val="21"/>
          <w:highlight w:val="none"/>
        </w:rPr>
        <w:t>；</w:t>
      </w:r>
    </w:p>
    <w:p w14:paraId="438333C7">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5.投标人参加政府采购活动前3年内在经营活动中没有重大违法记录及有关信用信息的书面声明或专项信用报告</w:t>
      </w:r>
      <w:r>
        <w:rPr>
          <w:rFonts w:hint="eastAsia" w:ascii="宋体" w:hAnsi="宋体" w:cs="宋体"/>
          <w:b/>
          <w:bCs/>
          <w:color w:val="auto"/>
          <w:szCs w:val="21"/>
          <w:highlight w:val="none"/>
        </w:rPr>
        <w:t>（必须提供）；</w:t>
      </w:r>
    </w:p>
    <w:p w14:paraId="2D2C47B6">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投标人根据注册地信用中国网站的要求获取。</w:t>
      </w:r>
    </w:p>
    <w:p w14:paraId="16A5B479">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6.投标人截止开标时间前近半年内任意一个月或任一季度依法缴纳税收的证明材料【增值税发票(税收完税证明)或企业所得税完税证明或税务部门出具的免税证明】扫描件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21184C7C">
      <w:pPr>
        <w:tabs>
          <w:tab w:val="left" w:pos="1305"/>
        </w:tabs>
        <w:spacing w:line="380" w:lineRule="exact"/>
        <w:ind w:firstLine="420" w:firstLineChars="200"/>
        <w:rPr>
          <w:rFonts w:ascii="宋体" w:hAnsi="宋体" w:cs="宋体"/>
          <w:color w:val="auto"/>
          <w:szCs w:val="21"/>
          <w:highlight w:val="none"/>
        </w:rPr>
      </w:pPr>
    </w:p>
    <w:p w14:paraId="2898A868">
      <w:pPr>
        <w:tabs>
          <w:tab w:val="left" w:pos="1305"/>
        </w:tabs>
        <w:spacing w:line="380" w:lineRule="exact"/>
        <w:ind w:firstLine="422" w:firstLineChars="150"/>
        <w:rPr>
          <w:rFonts w:ascii="宋体" w:hAnsi="宋体" w:cs="宋体"/>
          <w:b/>
          <w:color w:val="auto"/>
          <w:sz w:val="28"/>
          <w:szCs w:val="28"/>
          <w:highlight w:val="none"/>
        </w:rPr>
      </w:pPr>
    </w:p>
    <w:p w14:paraId="07A2A4C1">
      <w:pPr>
        <w:tabs>
          <w:tab w:val="left" w:pos="1305"/>
        </w:tabs>
        <w:spacing w:line="380" w:lineRule="exact"/>
        <w:ind w:firstLine="422" w:firstLineChars="150"/>
        <w:rPr>
          <w:rFonts w:ascii="宋体" w:hAnsi="宋体" w:cs="宋体"/>
          <w:b/>
          <w:color w:val="auto"/>
          <w:sz w:val="28"/>
          <w:szCs w:val="28"/>
          <w:highlight w:val="none"/>
        </w:rPr>
      </w:pPr>
    </w:p>
    <w:p w14:paraId="13D48885">
      <w:pPr>
        <w:tabs>
          <w:tab w:val="left" w:pos="1305"/>
        </w:tabs>
        <w:spacing w:line="380" w:lineRule="exact"/>
        <w:ind w:firstLine="422" w:firstLineChars="150"/>
        <w:rPr>
          <w:rFonts w:ascii="宋体" w:hAnsi="宋体" w:cs="宋体"/>
          <w:b/>
          <w:color w:val="auto"/>
          <w:sz w:val="28"/>
          <w:szCs w:val="28"/>
          <w:highlight w:val="none"/>
        </w:rPr>
      </w:pPr>
    </w:p>
    <w:p w14:paraId="71592575">
      <w:pPr>
        <w:tabs>
          <w:tab w:val="left" w:pos="1305"/>
        </w:tabs>
        <w:spacing w:line="380" w:lineRule="exact"/>
        <w:ind w:firstLine="422" w:firstLineChars="150"/>
        <w:rPr>
          <w:rFonts w:ascii="宋体" w:hAnsi="宋体" w:cs="宋体"/>
          <w:b/>
          <w:color w:val="auto"/>
          <w:sz w:val="28"/>
          <w:szCs w:val="28"/>
          <w:highlight w:val="none"/>
        </w:rPr>
      </w:pPr>
    </w:p>
    <w:p w14:paraId="78F2DE77">
      <w:pPr>
        <w:tabs>
          <w:tab w:val="left" w:pos="1305"/>
        </w:tabs>
        <w:spacing w:line="380" w:lineRule="exact"/>
        <w:ind w:firstLine="422" w:firstLineChars="150"/>
        <w:rPr>
          <w:rFonts w:ascii="宋体" w:hAnsi="宋体" w:cs="宋体"/>
          <w:b/>
          <w:color w:val="auto"/>
          <w:sz w:val="28"/>
          <w:szCs w:val="28"/>
          <w:highlight w:val="none"/>
        </w:rPr>
      </w:pPr>
      <w:r>
        <w:rPr>
          <w:rFonts w:hint="eastAsia" w:ascii="宋体" w:hAnsi="宋体" w:cs="宋体"/>
          <w:b/>
          <w:color w:val="auto"/>
          <w:sz w:val="28"/>
          <w:szCs w:val="28"/>
          <w:highlight w:val="none"/>
        </w:rPr>
        <w:t>二、商务、技术性响应及其他证明材料：</w:t>
      </w:r>
    </w:p>
    <w:p w14:paraId="3FB06A7C">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1.投标报价表（格式见附件）</w:t>
      </w:r>
      <w:r>
        <w:rPr>
          <w:rFonts w:hint="eastAsia" w:ascii="宋体" w:hAnsi="宋体" w:cs="宋体"/>
          <w:b/>
          <w:color w:val="auto"/>
          <w:szCs w:val="21"/>
          <w:highlight w:val="none"/>
        </w:rPr>
        <w:t>（必须提供）</w:t>
      </w:r>
    </w:p>
    <w:p w14:paraId="78FE1C8B">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2.技术规格偏离表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bCs/>
          <w:color w:val="auto"/>
          <w:szCs w:val="21"/>
          <w:highlight w:val="none"/>
        </w:rPr>
        <w:t>；</w:t>
      </w:r>
    </w:p>
    <w:p w14:paraId="2F8B8A6E">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3.商务响应表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bCs/>
          <w:color w:val="auto"/>
          <w:szCs w:val="21"/>
          <w:highlight w:val="none"/>
        </w:rPr>
        <w:t>；</w:t>
      </w:r>
    </w:p>
    <w:p w14:paraId="46D2AFF9">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4.“采购需求”需提供的有效证明文件</w:t>
      </w:r>
      <w:r>
        <w:rPr>
          <w:rFonts w:hint="eastAsia" w:ascii="宋体" w:hAnsi="宋体" w:cs="宋体"/>
          <w:b/>
          <w:bCs/>
          <w:color w:val="auto"/>
          <w:szCs w:val="21"/>
          <w:highlight w:val="none"/>
        </w:rPr>
        <w:t>（按其要求提供）</w:t>
      </w:r>
      <w:r>
        <w:rPr>
          <w:rFonts w:hint="eastAsia" w:ascii="宋体" w:hAnsi="宋体" w:cs="宋体"/>
          <w:color w:val="auto"/>
          <w:szCs w:val="21"/>
          <w:highlight w:val="none"/>
        </w:rPr>
        <w:t>；</w:t>
      </w:r>
    </w:p>
    <w:p w14:paraId="7258CFCD">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5.投标人的售后服务承诺书（必须包含售后服务要求的全部内容）（格式见附件）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0107047B">
      <w:pPr>
        <w:tabs>
          <w:tab w:val="left" w:pos="1305"/>
        </w:tabs>
        <w:spacing w:line="360" w:lineRule="exact"/>
        <w:ind w:firstLine="420" w:firstLineChars="200"/>
        <w:rPr>
          <w:color w:val="auto"/>
          <w:szCs w:val="21"/>
          <w:highlight w:val="none"/>
        </w:rPr>
      </w:pPr>
      <w:r>
        <w:rPr>
          <w:rFonts w:hint="eastAsia" w:ascii="宋体" w:hAnsi="宋体" w:cs="宋体"/>
          <w:color w:val="auto"/>
          <w:szCs w:val="21"/>
          <w:highlight w:val="none"/>
        </w:rPr>
        <w:t>6.项目实施方案（格式见附件）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4F229D7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7.项目实施人员一览表（格式见附件）</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58E8A121">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8.节能方面的证书扫描件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56287D58">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9.环境标志方面的证书扫描件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12B5F7D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10.投标人自2023年1月1日以来具有同类产品的销售业绩 [以中标（成交）通知书或采购合同扫描件为准（能清晰反映所销售的货物名称、种类、金额)，否则将不予计分；同一个编号的项目有两个或两个以上的分标中标的只算一次]</w:t>
      </w:r>
      <w:r>
        <w:rPr>
          <w:rFonts w:hint="eastAsia" w:ascii="宋体" w:hAnsi="宋体" w:cs="宋体"/>
          <w:b/>
          <w:color w:val="auto"/>
          <w:highlight w:val="none"/>
        </w:rPr>
        <w:t>（如有，请提供）</w:t>
      </w:r>
      <w:r>
        <w:rPr>
          <w:rFonts w:hint="eastAsia" w:ascii="宋体" w:hAnsi="宋体" w:cs="宋体"/>
          <w:color w:val="auto"/>
          <w:szCs w:val="21"/>
          <w:highlight w:val="none"/>
        </w:rPr>
        <w:t>；</w:t>
      </w:r>
    </w:p>
    <w:p w14:paraId="24AE6AE8">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11.《中小企业声明函》（见附件）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7CCCE686">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12.如货物生产企业属于监狱企业的，应当提供由省级以上监狱管理局、戒毒管理局等（含新疆生产建设兵团）出具的属于监狱企业的证明文件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36331E3A">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13.符合条件的残疾人福利性单位在参加政府采购活动时，应当提供《残疾人福利性单位声明函》（见附件），并对声明的真实性负责</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3E3070D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14.投标人可结合本项目的评标办法视自身情况自行提交相关证明材料</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3331A522">
      <w:pPr>
        <w:spacing w:line="400" w:lineRule="exact"/>
        <w:ind w:firstLine="420"/>
        <w:rPr>
          <w:rFonts w:ascii="宋体" w:hAnsi="宋体" w:cs="宋体"/>
          <w:b/>
          <w:bCs/>
          <w:color w:val="auto"/>
          <w:highlight w:val="none"/>
        </w:rPr>
      </w:pPr>
      <w:r>
        <w:rPr>
          <w:rFonts w:hint="eastAsia" w:ascii="宋体" w:hAnsi="宋体" w:cs="宋体"/>
          <w:b/>
          <w:bCs/>
          <w:color w:val="auto"/>
          <w:highlight w:val="none"/>
        </w:rPr>
        <w:t>投标人提供的以上相关证明材料属于“必须提供”的文件应加盖投标人公章（CA签章）/自然人签字或个人CA签章，否则投标无效。</w:t>
      </w:r>
    </w:p>
    <w:p w14:paraId="08AD1413">
      <w:pPr>
        <w:pStyle w:val="2"/>
        <w:rPr>
          <w:rFonts w:ascii="宋体" w:hAnsi="宋体" w:cs="宋体"/>
          <w:color w:val="auto"/>
          <w:szCs w:val="21"/>
          <w:highlight w:val="none"/>
        </w:rPr>
      </w:pPr>
    </w:p>
    <w:p w14:paraId="72E2A0C0">
      <w:pPr>
        <w:pStyle w:val="2"/>
        <w:rPr>
          <w:rFonts w:ascii="宋体" w:hAnsi="宋体" w:cs="宋体"/>
          <w:color w:val="auto"/>
          <w:szCs w:val="21"/>
          <w:highlight w:val="none"/>
        </w:rPr>
      </w:pPr>
    </w:p>
    <w:p w14:paraId="6E2F3A22">
      <w:pPr>
        <w:pStyle w:val="2"/>
        <w:rPr>
          <w:rFonts w:ascii="宋体" w:hAnsi="宋体" w:cs="宋体"/>
          <w:color w:val="auto"/>
          <w:szCs w:val="21"/>
          <w:highlight w:val="none"/>
        </w:rPr>
      </w:pPr>
    </w:p>
    <w:p w14:paraId="1AD87E1F">
      <w:pPr>
        <w:pStyle w:val="2"/>
        <w:rPr>
          <w:rFonts w:ascii="宋体" w:hAnsi="宋体" w:cs="宋体"/>
          <w:color w:val="auto"/>
          <w:szCs w:val="21"/>
          <w:highlight w:val="none"/>
        </w:rPr>
      </w:pPr>
    </w:p>
    <w:p w14:paraId="37C3AEB3">
      <w:pPr>
        <w:pStyle w:val="2"/>
        <w:rPr>
          <w:rFonts w:ascii="宋体" w:hAnsi="宋体" w:cs="宋体"/>
          <w:color w:val="auto"/>
          <w:szCs w:val="21"/>
          <w:highlight w:val="none"/>
        </w:rPr>
      </w:pPr>
    </w:p>
    <w:p w14:paraId="7FC58418">
      <w:pPr>
        <w:pStyle w:val="2"/>
        <w:rPr>
          <w:rFonts w:ascii="宋体" w:hAnsi="宋体" w:cs="宋体"/>
          <w:color w:val="auto"/>
          <w:szCs w:val="21"/>
          <w:highlight w:val="none"/>
        </w:rPr>
      </w:pPr>
    </w:p>
    <w:p w14:paraId="4F57EFD6">
      <w:pPr>
        <w:pStyle w:val="2"/>
        <w:rPr>
          <w:rFonts w:ascii="宋体" w:hAnsi="宋体" w:cs="宋体"/>
          <w:color w:val="auto"/>
          <w:szCs w:val="21"/>
          <w:highlight w:val="none"/>
        </w:rPr>
      </w:pPr>
    </w:p>
    <w:p w14:paraId="54AC6F47">
      <w:pPr>
        <w:pStyle w:val="2"/>
        <w:rPr>
          <w:rFonts w:ascii="宋体" w:hAnsi="宋体" w:cs="宋体"/>
          <w:color w:val="auto"/>
          <w:szCs w:val="21"/>
          <w:highlight w:val="none"/>
        </w:rPr>
      </w:pPr>
    </w:p>
    <w:p w14:paraId="4056AEA3">
      <w:pPr>
        <w:pStyle w:val="2"/>
        <w:rPr>
          <w:rFonts w:ascii="宋体" w:hAnsi="宋体" w:cs="宋体"/>
          <w:color w:val="auto"/>
          <w:szCs w:val="21"/>
          <w:highlight w:val="none"/>
        </w:rPr>
      </w:pPr>
    </w:p>
    <w:p w14:paraId="42C62962">
      <w:pPr>
        <w:pStyle w:val="2"/>
        <w:rPr>
          <w:rFonts w:ascii="宋体" w:hAnsi="宋体" w:cs="宋体"/>
          <w:color w:val="auto"/>
          <w:szCs w:val="21"/>
          <w:highlight w:val="none"/>
        </w:rPr>
      </w:pPr>
    </w:p>
    <w:p w14:paraId="251AF933">
      <w:pPr>
        <w:pStyle w:val="2"/>
        <w:rPr>
          <w:rFonts w:ascii="宋体" w:hAnsi="宋体" w:cs="宋体"/>
          <w:color w:val="auto"/>
          <w:szCs w:val="21"/>
          <w:highlight w:val="none"/>
        </w:rPr>
      </w:pPr>
    </w:p>
    <w:p w14:paraId="63719DF5">
      <w:pPr>
        <w:pStyle w:val="2"/>
        <w:rPr>
          <w:rFonts w:ascii="宋体" w:hAnsi="宋体" w:cs="宋体"/>
          <w:color w:val="auto"/>
          <w:szCs w:val="21"/>
          <w:highlight w:val="none"/>
        </w:rPr>
      </w:pPr>
    </w:p>
    <w:p w14:paraId="7602B87B">
      <w:pPr>
        <w:pStyle w:val="2"/>
        <w:rPr>
          <w:rFonts w:ascii="宋体" w:hAnsi="宋体" w:cs="宋体"/>
          <w:color w:val="auto"/>
          <w:szCs w:val="21"/>
          <w:highlight w:val="none"/>
        </w:rPr>
      </w:pPr>
    </w:p>
    <w:p w14:paraId="4290363C">
      <w:pPr>
        <w:pStyle w:val="2"/>
        <w:rPr>
          <w:rFonts w:ascii="宋体" w:hAnsi="宋体" w:cs="宋体"/>
          <w:color w:val="auto"/>
          <w:szCs w:val="21"/>
          <w:highlight w:val="none"/>
        </w:rPr>
      </w:pPr>
    </w:p>
    <w:p w14:paraId="07F4940E">
      <w:pPr>
        <w:pStyle w:val="2"/>
        <w:rPr>
          <w:rFonts w:ascii="宋体" w:hAnsi="宋体" w:cs="宋体"/>
          <w:color w:val="auto"/>
          <w:szCs w:val="21"/>
          <w:highlight w:val="none"/>
        </w:rPr>
      </w:pPr>
    </w:p>
    <w:p w14:paraId="6300498B">
      <w:pPr>
        <w:rPr>
          <w:rFonts w:ascii="宋体" w:hAnsi="宋体" w:cs="宋体"/>
          <w:b/>
          <w:bCs/>
          <w:color w:val="auto"/>
          <w:sz w:val="32"/>
          <w:szCs w:val="32"/>
          <w:highlight w:val="none"/>
        </w:rPr>
      </w:pPr>
      <w:r>
        <w:rPr>
          <w:rFonts w:hint="eastAsia"/>
          <w:b/>
          <w:bCs/>
          <w:color w:val="auto"/>
          <w:sz w:val="32"/>
          <w:szCs w:val="32"/>
          <w:highlight w:val="none"/>
        </w:rPr>
        <w:t>一、资格性响应证明材料（格式）</w:t>
      </w:r>
    </w:p>
    <w:p w14:paraId="334BD576">
      <w:pPr>
        <w:rPr>
          <w:rFonts w:ascii="宋体" w:hAnsi="宋体" w:cs="宋体"/>
          <w:b/>
          <w:bCs/>
          <w:color w:val="auto"/>
          <w:sz w:val="32"/>
          <w:szCs w:val="32"/>
          <w:highlight w:val="none"/>
        </w:rPr>
      </w:pPr>
    </w:p>
    <w:p w14:paraId="01FC6A82">
      <w:pPr>
        <w:rPr>
          <w:rFonts w:ascii="宋体" w:hAnsi="宋体" w:cs="宋体"/>
          <w:b/>
          <w:bCs/>
          <w:color w:val="auto"/>
          <w:sz w:val="32"/>
          <w:szCs w:val="32"/>
          <w:highlight w:val="none"/>
        </w:rPr>
      </w:pPr>
      <w:r>
        <w:rPr>
          <w:rFonts w:hint="eastAsia" w:ascii="宋体" w:hAnsi="宋体" w:cs="宋体"/>
          <w:b/>
          <w:bCs/>
          <w:color w:val="auto"/>
          <w:sz w:val="32"/>
          <w:szCs w:val="32"/>
          <w:highlight w:val="none"/>
        </w:rPr>
        <w:t>1.投标人相应的法定代表人、负责人、自然人身份证正反面扫描件（必须提供）</w:t>
      </w:r>
    </w:p>
    <w:p w14:paraId="569C9B72">
      <w:pPr>
        <w:rPr>
          <w:rFonts w:ascii="宋体" w:hAnsi="宋体" w:cs="宋体"/>
          <w:b/>
          <w:bCs/>
          <w:color w:val="auto"/>
          <w:sz w:val="32"/>
          <w:szCs w:val="32"/>
          <w:highlight w:val="none"/>
        </w:rPr>
      </w:pPr>
    </w:p>
    <w:p w14:paraId="6A079422">
      <w:pPr>
        <w:rPr>
          <w:rFonts w:ascii="宋体" w:hAnsi="宋体" w:cs="宋体"/>
          <w:b/>
          <w:bCs/>
          <w:color w:val="auto"/>
          <w:sz w:val="32"/>
          <w:szCs w:val="32"/>
          <w:highlight w:val="none"/>
        </w:rPr>
      </w:pPr>
    </w:p>
    <w:p w14:paraId="6D4CD686">
      <w:pPr>
        <w:pStyle w:val="2"/>
        <w:rPr>
          <w:rFonts w:ascii="宋体" w:hAnsi="宋体" w:cs="宋体"/>
          <w:b/>
          <w:bCs/>
          <w:color w:val="auto"/>
          <w:sz w:val="32"/>
          <w:szCs w:val="32"/>
          <w:highlight w:val="none"/>
        </w:rPr>
      </w:pPr>
      <w:r>
        <w:rPr>
          <w:rFonts w:hint="eastAsia" w:ascii="宋体" w:hAnsi="宋体" w:cs="宋体"/>
          <w:b/>
          <w:bCs/>
          <w:color w:val="auto"/>
          <w:sz w:val="32"/>
          <w:szCs w:val="32"/>
          <w:highlight w:val="none"/>
        </w:rPr>
        <w:t>2.投标人的授权委托书原件、委托代理人身份证正反面</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以及由县级以上（含县级）社会养老保险经办机构出具的投标人为委托代理人交纳的开标截止时间前三个月内任意一个月养老保险证明</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，除投标人为以下四种情形的：</w:t>
      </w:r>
    </w:p>
    <w:p w14:paraId="5389048A">
      <w:pPr>
        <w:pStyle w:val="2"/>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①如投标人为截标时间前60日以内成立的公司，可以提供投标人与委托代理人签订的劳动合同</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代替养老保险证明</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w:t>
      </w:r>
    </w:p>
    <w:p w14:paraId="2E224D33">
      <w:pPr>
        <w:pStyle w:val="2"/>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②如投标人为事业单位，可以提供事业单位机构编制管理证</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或事业单位机构为其发放工资的工资条</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代替养老保险证明</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w:t>
      </w:r>
    </w:p>
    <w:p w14:paraId="3B9163F8">
      <w:pPr>
        <w:pStyle w:val="2"/>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③如委托代理人为免缴纳养老保险人员，提供免缴纳养老保险的证明材料</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及投标人与委托代理人签订的劳动合同</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代替养老保险证明</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w:t>
      </w:r>
    </w:p>
    <w:p w14:paraId="2771A3DE">
      <w:pPr>
        <w:pStyle w:val="2"/>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0555754D">
      <w:pPr>
        <w:pStyle w:val="2"/>
        <w:ind w:firstLine="643" w:firstLineChars="200"/>
        <w:rPr>
          <w:rFonts w:ascii="宋体" w:hAnsi="宋体" w:cs="宋体"/>
          <w:b/>
          <w:bCs/>
          <w:color w:val="auto"/>
          <w:sz w:val="32"/>
          <w:szCs w:val="32"/>
          <w:highlight w:val="none"/>
        </w:rPr>
      </w:pPr>
    </w:p>
    <w:p w14:paraId="40BB1E6D">
      <w:pPr>
        <w:pStyle w:val="2"/>
        <w:ind w:firstLine="643" w:firstLineChars="200"/>
        <w:rPr>
          <w:rFonts w:ascii="宋体" w:hAnsi="宋体"/>
          <w:color w:val="auto"/>
          <w:highlight w:val="none"/>
        </w:rPr>
      </w:pPr>
      <w:r>
        <w:rPr>
          <w:rFonts w:hint="eastAsia" w:ascii="宋体" w:hAnsi="宋体" w:cs="宋体"/>
          <w:b/>
          <w:bCs/>
          <w:color w:val="auto"/>
          <w:sz w:val="32"/>
          <w:szCs w:val="32"/>
          <w:highlight w:val="none"/>
        </w:rPr>
        <w:t>【属自然人的应提供由县级以上（含县级）社会养老保险经办机构出具的自然人本人及委托代理人所交纳的开标截止时间前三个月内任意一个月养老保险证明</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如为联合体的，授权委托书原件须由牵头人出具）；</w:t>
      </w:r>
    </w:p>
    <w:p w14:paraId="081BEFA0">
      <w:pPr>
        <w:pStyle w:val="2"/>
        <w:rPr>
          <w:rFonts w:ascii="宋体" w:hAnsi="宋体"/>
          <w:color w:val="auto"/>
          <w:highlight w:val="none"/>
        </w:rPr>
      </w:pPr>
    </w:p>
    <w:p w14:paraId="62632B8A">
      <w:pPr>
        <w:rPr>
          <w:color w:val="auto"/>
          <w:highlight w:val="none"/>
        </w:rPr>
      </w:pPr>
    </w:p>
    <w:p w14:paraId="54F1BBCE">
      <w:pPr>
        <w:jc w:val="center"/>
        <w:rPr>
          <w:rFonts w:ascii="宋体" w:hAnsi="宋体" w:cs="宋体"/>
          <w:b/>
          <w:color w:val="auto"/>
          <w:sz w:val="32"/>
          <w:highlight w:val="none"/>
        </w:rPr>
      </w:pPr>
      <w:r>
        <w:rPr>
          <w:rFonts w:hint="eastAsia" w:ascii="宋体" w:hAnsi="宋体" w:cs="宋体"/>
          <w:b/>
          <w:color w:val="auto"/>
          <w:sz w:val="32"/>
          <w:highlight w:val="none"/>
        </w:rPr>
        <w:t>授权委托书（格式一）</w:t>
      </w:r>
    </w:p>
    <w:p w14:paraId="01E251AC">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桂林市政府集中采购中心</w:t>
      </w:r>
    </w:p>
    <w:p w14:paraId="5A38770F">
      <w:pPr>
        <w:spacing w:line="400" w:lineRule="exact"/>
        <w:ind w:firstLine="525" w:firstLineChars="250"/>
        <w:rPr>
          <w:rFonts w:ascii="宋体" w:hAnsi="宋体" w:cs="宋体"/>
          <w:color w:val="auto"/>
          <w:highlight w:val="none"/>
        </w:rPr>
      </w:pPr>
      <w:r>
        <w:rPr>
          <w:rFonts w:hint="eastAsia" w:ascii="宋体" w:hAnsi="宋体" w:cs="宋体"/>
          <w:color w:val="auto"/>
          <w:kern w:val="0"/>
          <w:highlight w:val="none"/>
        </w:rPr>
        <w:t>我（姓名）系（投标人名称）的法定代表人（负责人），现授权委托本单位在职职工（姓名），身份证号码：以我公司名义参加</w:t>
      </w:r>
      <w:r>
        <w:rPr>
          <w:rFonts w:hint="eastAsia" w:ascii="宋体" w:hAnsi="宋体" w:cs="宋体"/>
          <w:color w:val="auto"/>
          <w:highlight w:val="none"/>
          <w:u w:val="single"/>
        </w:rPr>
        <w:t xml:space="preserve">（项目名称及项目编号）    </w:t>
      </w:r>
      <w:r>
        <w:rPr>
          <w:rFonts w:hint="eastAsia" w:ascii="宋体" w:hAnsi="宋体" w:cs="宋体"/>
          <w:color w:val="auto"/>
          <w:highlight w:val="none"/>
        </w:rPr>
        <w:t>项目的投标活动，并代表我方全权办理针对上述项目的投标、开标、评标、签约等具体事务和签署相关文件。</w:t>
      </w:r>
    </w:p>
    <w:p w14:paraId="199CDF4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我方对被授权人的签字事项负全部责任。</w:t>
      </w:r>
    </w:p>
    <w:p w14:paraId="19CAE024">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授权委托代理期限：自即日起至该项目政府采购活动结束。</w:t>
      </w:r>
    </w:p>
    <w:p w14:paraId="02820154">
      <w:pPr>
        <w:spacing w:line="400" w:lineRule="exact"/>
        <w:rPr>
          <w:rFonts w:ascii="宋体" w:hAnsi="宋体" w:cs="宋体"/>
          <w:color w:val="auto"/>
          <w:highlight w:val="none"/>
          <w:u w:val="single"/>
        </w:rPr>
      </w:pPr>
    </w:p>
    <w:p w14:paraId="11F1355F">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04204C27">
      <w:pPr>
        <w:snapToGrid w:val="0"/>
        <w:spacing w:line="400" w:lineRule="exact"/>
        <w:ind w:firstLine="525"/>
        <w:rPr>
          <w:rFonts w:ascii="宋体" w:hAnsi="宋体" w:cs="宋体"/>
          <w:color w:val="auto"/>
          <w:szCs w:val="21"/>
          <w:highlight w:val="none"/>
        </w:rPr>
      </w:pPr>
    </w:p>
    <w:p w14:paraId="0C0EEBB3">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4EAABB23">
      <w:pPr>
        <w:snapToGrid w:val="0"/>
        <w:spacing w:line="400" w:lineRule="exact"/>
        <w:ind w:firstLine="420"/>
        <w:rPr>
          <w:rFonts w:ascii="宋体" w:hAnsi="宋体" w:cs="宋体"/>
          <w:color w:val="auto"/>
          <w:szCs w:val="21"/>
          <w:highlight w:val="none"/>
        </w:rPr>
      </w:pPr>
    </w:p>
    <w:p w14:paraId="760735C8">
      <w:pPr>
        <w:snapToGrid w:val="0"/>
        <w:spacing w:line="400" w:lineRule="exact"/>
        <w:ind w:firstLine="420"/>
        <w:rPr>
          <w:rFonts w:ascii="宋体" w:hAnsi="宋体" w:cs="宋体"/>
          <w:color w:val="auto"/>
          <w:szCs w:val="21"/>
          <w:highlight w:val="none"/>
          <w:u w:val="single"/>
        </w:rPr>
      </w:pPr>
      <w:r>
        <w:rPr>
          <w:rFonts w:hint="eastAsia" w:ascii="宋体" w:hAnsi="宋体" w:cs="宋体"/>
          <w:color w:val="auto"/>
          <w:szCs w:val="21"/>
          <w:highlight w:val="none"/>
        </w:rPr>
        <w:t>投标人[公章（CA签章）]：</w:t>
      </w:r>
    </w:p>
    <w:p w14:paraId="1EC43237">
      <w:pPr>
        <w:snapToGrid w:val="0"/>
        <w:spacing w:line="400" w:lineRule="exact"/>
        <w:ind w:firstLine="420"/>
        <w:rPr>
          <w:rFonts w:ascii="宋体" w:hAnsi="宋体" w:cs="宋体"/>
          <w:color w:val="auto"/>
          <w:szCs w:val="21"/>
          <w:highlight w:val="none"/>
        </w:rPr>
      </w:pPr>
    </w:p>
    <w:p w14:paraId="7D08B43F">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法定代表人（负责人）签字（或个人CA签章）：     　　 年月日</w:t>
      </w:r>
    </w:p>
    <w:p w14:paraId="32371E24">
      <w:pPr>
        <w:snapToGrid w:val="0"/>
        <w:spacing w:line="400" w:lineRule="exact"/>
        <w:ind w:firstLine="420"/>
        <w:rPr>
          <w:rFonts w:ascii="宋体" w:hAnsi="宋体" w:cs="宋体"/>
          <w:color w:val="auto"/>
          <w:szCs w:val="21"/>
          <w:highlight w:val="none"/>
        </w:rPr>
      </w:pPr>
    </w:p>
    <w:p w14:paraId="1DE56F21">
      <w:pPr>
        <w:spacing w:line="400" w:lineRule="exact"/>
        <w:ind w:firstLine="602" w:firstLineChars="250"/>
        <w:rPr>
          <w:rFonts w:ascii="宋体" w:hAnsi="宋体" w:cs="宋体"/>
          <w:b/>
          <w:color w:val="auto"/>
          <w:sz w:val="24"/>
          <w:highlight w:val="none"/>
        </w:rPr>
      </w:pPr>
      <w:r>
        <w:rPr>
          <w:rFonts w:hint="eastAsia" w:ascii="宋体" w:hAnsi="宋体" w:cs="宋体"/>
          <w:b/>
          <w:color w:val="auto"/>
          <w:sz w:val="24"/>
          <w:highlight w:val="none"/>
        </w:rPr>
        <w:t>附：投标人的授权委托书原件、委托代理人身份证正反面扫描件以及由县级以上（含县级）社会养老保险经办机构出具的投标人为委托代理人交纳的开标截止时间前三个月内任意一个月养老保险证明扫描件（如投标人为截标时间前60日以内成立的公司，可以提供投标人与委托代理人签订的劳动合同扫描件代替养老保险证明扫描件；如投标人为事业单位，可以提供事业单位机构编制管理证扫描件或事业单位机构为其发放工资的工资条扫描件代替养老保险证明扫描件；如委托代理人为免缴纳养老保险人员，提供免缴纳养老保险的证明材料扫描件及投标人与委托代理人签订的劳动合同扫描件代替养老保险证明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w:t>
      </w:r>
    </w:p>
    <w:p w14:paraId="34382A74">
      <w:pPr>
        <w:pStyle w:val="16"/>
        <w:jc w:val="center"/>
        <w:rPr>
          <w:rFonts w:hAnsi="宋体" w:cs="宋体"/>
          <w:b/>
          <w:color w:val="auto"/>
          <w:sz w:val="32"/>
          <w:highlight w:val="none"/>
        </w:rPr>
      </w:pPr>
    </w:p>
    <w:p w14:paraId="148D2057">
      <w:pPr>
        <w:pStyle w:val="16"/>
        <w:jc w:val="center"/>
        <w:rPr>
          <w:rFonts w:hAnsi="宋体" w:cs="宋体"/>
          <w:b/>
          <w:color w:val="auto"/>
          <w:sz w:val="32"/>
          <w:highlight w:val="none"/>
        </w:rPr>
      </w:pPr>
    </w:p>
    <w:p w14:paraId="4B5732A7">
      <w:pPr>
        <w:rPr>
          <w:rFonts w:hAnsi="宋体" w:cs="宋体"/>
          <w:b/>
          <w:color w:val="auto"/>
          <w:sz w:val="32"/>
          <w:highlight w:val="none"/>
        </w:rPr>
      </w:pPr>
    </w:p>
    <w:p w14:paraId="7CAF46D4">
      <w:pPr>
        <w:pStyle w:val="2"/>
        <w:rPr>
          <w:color w:val="auto"/>
          <w:highlight w:val="none"/>
        </w:rPr>
      </w:pPr>
    </w:p>
    <w:p w14:paraId="7DF3BBCE">
      <w:pPr>
        <w:pStyle w:val="16"/>
        <w:jc w:val="center"/>
        <w:rPr>
          <w:rFonts w:hAnsi="宋体" w:cs="宋体"/>
          <w:b/>
          <w:color w:val="auto"/>
          <w:sz w:val="32"/>
          <w:highlight w:val="none"/>
        </w:rPr>
      </w:pPr>
    </w:p>
    <w:p w14:paraId="2B63B936">
      <w:pPr>
        <w:pStyle w:val="16"/>
        <w:jc w:val="center"/>
        <w:rPr>
          <w:rFonts w:hAnsi="宋体" w:cs="宋体"/>
          <w:b/>
          <w:color w:val="auto"/>
          <w:sz w:val="32"/>
          <w:highlight w:val="none"/>
        </w:rPr>
      </w:pPr>
      <w:r>
        <w:rPr>
          <w:rFonts w:hint="eastAsia" w:hAnsi="宋体" w:cs="宋体"/>
          <w:b/>
          <w:color w:val="auto"/>
          <w:sz w:val="32"/>
          <w:highlight w:val="none"/>
        </w:rPr>
        <w:t>授权委托书（格式二）</w:t>
      </w:r>
    </w:p>
    <w:p w14:paraId="53790DE6">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桂林市政府集中采购中心</w:t>
      </w:r>
    </w:p>
    <w:p w14:paraId="621E3C61">
      <w:pPr>
        <w:snapToGrid w:val="0"/>
        <w:spacing w:line="400" w:lineRule="exact"/>
        <w:rPr>
          <w:rFonts w:ascii="宋体" w:hAnsi="宋体" w:cs="宋体"/>
          <w:color w:val="auto"/>
          <w:szCs w:val="21"/>
          <w:highlight w:val="none"/>
          <w:u w:val="single"/>
        </w:rPr>
      </w:pPr>
    </w:p>
    <w:p w14:paraId="26AB804A">
      <w:pPr>
        <w:pStyle w:val="16"/>
        <w:spacing w:line="340" w:lineRule="exact"/>
        <w:ind w:firstLine="420" w:firstLineChars="200"/>
        <w:rPr>
          <w:rFonts w:hAnsi="宋体" w:cs="宋体"/>
          <w:color w:val="auto"/>
          <w:highlight w:val="none"/>
        </w:rPr>
      </w:pPr>
      <w:r>
        <w:rPr>
          <w:rFonts w:hint="eastAsia" w:hAnsi="宋体" w:cs="宋体"/>
          <w:color w:val="auto"/>
          <w:kern w:val="0"/>
          <w:highlight w:val="none"/>
        </w:rPr>
        <w:t>我（姓名）系自然人，现授权委托（姓 名），身份证号码：以本人名义参加</w:t>
      </w:r>
      <w:r>
        <w:rPr>
          <w:rFonts w:hint="eastAsia" w:hAnsi="宋体" w:cs="宋体"/>
          <w:color w:val="auto"/>
          <w:highlight w:val="none"/>
          <w:u w:val="single"/>
        </w:rPr>
        <w:t xml:space="preserve">（项目名称及项目编号）        </w:t>
      </w:r>
      <w:r>
        <w:rPr>
          <w:rFonts w:hint="eastAsia" w:hAnsi="宋体" w:cs="宋体"/>
          <w:color w:val="auto"/>
          <w:highlight w:val="none"/>
        </w:rPr>
        <w:t>项目的投标活动，并代表本人全权办理针对上述项目的投标、开标、评标、签约等具体事务和签署相关文件。</w:t>
      </w:r>
    </w:p>
    <w:p w14:paraId="415BBCFA">
      <w:pPr>
        <w:pStyle w:val="16"/>
        <w:spacing w:line="340" w:lineRule="exact"/>
        <w:ind w:firstLine="420" w:firstLineChars="200"/>
        <w:rPr>
          <w:rFonts w:hAnsi="宋体" w:cs="宋体"/>
          <w:color w:val="auto"/>
          <w:highlight w:val="none"/>
        </w:rPr>
      </w:pPr>
      <w:r>
        <w:rPr>
          <w:rFonts w:hint="eastAsia" w:hAnsi="宋体" w:cs="宋体"/>
          <w:color w:val="auto"/>
          <w:highlight w:val="none"/>
        </w:rPr>
        <w:t>本人对被授权人的签字事项负全部责任。</w:t>
      </w:r>
    </w:p>
    <w:p w14:paraId="329B468C">
      <w:pPr>
        <w:pStyle w:val="16"/>
        <w:spacing w:line="400" w:lineRule="exact"/>
        <w:ind w:firstLine="420" w:firstLineChars="200"/>
        <w:rPr>
          <w:rFonts w:hAnsi="宋体" w:cs="宋体"/>
          <w:color w:val="auto"/>
          <w:highlight w:val="none"/>
          <w:u w:val="single"/>
        </w:rPr>
      </w:pPr>
      <w:r>
        <w:rPr>
          <w:rFonts w:hint="eastAsia" w:hAnsi="宋体" w:cs="宋体"/>
          <w:color w:val="auto"/>
          <w:highlight w:val="none"/>
        </w:rPr>
        <w:t>授权委托代理期限：自即日起至该项目政府采购活动结束。</w:t>
      </w:r>
    </w:p>
    <w:p w14:paraId="35D7ACDC">
      <w:pPr>
        <w:pStyle w:val="16"/>
        <w:spacing w:line="340" w:lineRule="exact"/>
        <w:ind w:firstLine="420" w:firstLineChars="200"/>
        <w:rPr>
          <w:rFonts w:hAnsi="宋体" w:cs="宋体"/>
          <w:color w:val="auto"/>
          <w:highlight w:val="none"/>
          <w:u w:val="single"/>
        </w:rPr>
      </w:pPr>
    </w:p>
    <w:p w14:paraId="75793A21">
      <w:pPr>
        <w:pStyle w:val="16"/>
        <w:spacing w:line="340" w:lineRule="exact"/>
        <w:rPr>
          <w:rFonts w:hAnsi="宋体" w:cs="宋体"/>
          <w:color w:val="auto"/>
          <w:highlight w:val="none"/>
          <w:u w:val="single"/>
        </w:rPr>
      </w:pPr>
    </w:p>
    <w:p w14:paraId="60EC19A4">
      <w:pPr>
        <w:spacing w:line="3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5A318974">
      <w:pPr>
        <w:snapToGrid w:val="0"/>
        <w:spacing w:line="340" w:lineRule="exact"/>
        <w:ind w:firstLine="525"/>
        <w:rPr>
          <w:rFonts w:ascii="宋体" w:hAnsi="宋体" w:cs="宋体"/>
          <w:color w:val="auto"/>
          <w:szCs w:val="21"/>
          <w:highlight w:val="none"/>
        </w:rPr>
      </w:pPr>
    </w:p>
    <w:p w14:paraId="0AF5E024">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08FD213F">
      <w:pPr>
        <w:snapToGrid w:val="0"/>
        <w:spacing w:line="340" w:lineRule="exact"/>
        <w:ind w:firstLine="420"/>
        <w:rPr>
          <w:rFonts w:ascii="宋体" w:hAnsi="宋体" w:cs="宋体"/>
          <w:color w:val="auto"/>
          <w:szCs w:val="21"/>
          <w:highlight w:val="none"/>
        </w:rPr>
      </w:pPr>
    </w:p>
    <w:p w14:paraId="72D98AD1">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自然人签字并在签名处加盖大拇指指印或个人CA签章：年月日</w:t>
      </w:r>
    </w:p>
    <w:p w14:paraId="33EA7E56">
      <w:pPr>
        <w:snapToGrid w:val="0"/>
        <w:spacing w:line="340" w:lineRule="exact"/>
        <w:ind w:firstLine="420"/>
        <w:rPr>
          <w:rFonts w:ascii="宋体" w:hAnsi="宋体" w:cs="宋体"/>
          <w:color w:val="auto"/>
          <w:szCs w:val="21"/>
          <w:highlight w:val="none"/>
        </w:rPr>
      </w:pPr>
    </w:p>
    <w:p w14:paraId="569959AF">
      <w:pPr>
        <w:rPr>
          <w:rFonts w:ascii="宋体" w:hAnsi="宋体" w:cs="宋体"/>
          <w:b/>
          <w:bCs/>
          <w:color w:val="auto"/>
          <w:sz w:val="32"/>
          <w:szCs w:val="32"/>
          <w:highlight w:val="none"/>
        </w:rPr>
      </w:pPr>
    </w:p>
    <w:p w14:paraId="3DC3F349">
      <w:pPr>
        <w:rPr>
          <w:rFonts w:ascii="宋体" w:hAnsi="宋体" w:cs="宋体"/>
          <w:b/>
          <w:bCs/>
          <w:color w:val="auto"/>
          <w:sz w:val="32"/>
          <w:szCs w:val="32"/>
          <w:highlight w:val="none"/>
        </w:rPr>
      </w:pPr>
    </w:p>
    <w:p w14:paraId="6E2524C1">
      <w:pPr>
        <w:rPr>
          <w:rFonts w:ascii="宋体" w:hAnsi="宋体" w:cs="宋体"/>
          <w:b/>
          <w:bCs/>
          <w:color w:val="auto"/>
          <w:sz w:val="32"/>
          <w:szCs w:val="32"/>
          <w:highlight w:val="none"/>
        </w:rPr>
      </w:pPr>
      <w:r>
        <w:rPr>
          <w:rFonts w:hint="eastAsia" w:ascii="宋体" w:hAnsi="宋体" w:cs="宋体"/>
          <w:b/>
          <w:bCs/>
          <w:color w:val="auto"/>
          <w:sz w:val="32"/>
          <w:szCs w:val="32"/>
          <w:highlight w:val="none"/>
        </w:rPr>
        <w:t>3.投标人的法人或者其他组织营业执照等证明文件扫描件（必须提供，自然人除外）</w:t>
      </w:r>
    </w:p>
    <w:p w14:paraId="09C99B60">
      <w:pPr>
        <w:tabs>
          <w:tab w:val="left" w:pos="1305"/>
        </w:tabs>
        <w:spacing w:line="400" w:lineRule="exact"/>
        <w:rPr>
          <w:rFonts w:ascii="宋体" w:hAnsi="宋体" w:cs="宋体"/>
          <w:b/>
          <w:color w:val="auto"/>
          <w:szCs w:val="21"/>
          <w:highlight w:val="none"/>
        </w:rPr>
      </w:pPr>
      <w:r>
        <w:rPr>
          <w:rFonts w:hint="eastAsia" w:ascii="宋体" w:hAnsi="宋体" w:cs="宋体"/>
          <w:b/>
          <w:color w:val="auto"/>
          <w:szCs w:val="21"/>
          <w:highlight w:val="none"/>
        </w:rPr>
        <w:t>注：供应商为企业（包括合伙企业），应提供</w:t>
      </w:r>
      <w:r>
        <w:rPr>
          <w:rFonts w:hint="eastAsia" w:ascii="宋体" w:hAnsi="宋体" w:cs="宋体"/>
          <w:b/>
          <w:color w:val="auto"/>
          <w:szCs w:val="21"/>
          <w:highlight w:val="none"/>
          <w:u w:val="single"/>
          <w:lang w:val="en-US" w:eastAsia="zh-CN"/>
        </w:rPr>
        <w:t>市场监管部门（登记机关）</w:t>
      </w:r>
      <w:r>
        <w:rPr>
          <w:rFonts w:hint="eastAsia" w:ascii="宋体" w:hAnsi="宋体" w:cs="宋体"/>
          <w:b/>
          <w:color w:val="auto"/>
          <w:szCs w:val="21"/>
          <w:highlight w:val="none"/>
        </w:rPr>
        <w:t>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C8D82C4">
      <w:pPr>
        <w:spacing w:line="400" w:lineRule="exact"/>
        <w:ind w:left="420" w:leftChars="200" w:firstLine="157" w:firstLineChars="49"/>
        <w:rPr>
          <w:rFonts w:ascii="宋体" w:hAnsi="宋体" w:cs="宋体"/>
          <w:b/>
          <w:color w:val="auto"/>
          <w:sz w:val="32"/>
          <w:szCs w:val="32"/>
          <w:highlight w:val="none"/>
        </w:rPr>
      </w:pPr>
    </w:p>
    <w:p w14:paraId="6DF63019">
      <w:pPr>
        <w:pStyle w:val="116"/>
        <w:rPr>
          <w:rFonts w:ascii="宋体" w:hAnsi="宋体" w:cs="宋体"/>
          <w:color w:val="auto"/>
          <w:highlight w:val="none"/>
        </w:rPr>
      </w:pPr>
    </w:p>
    <w:p w14:paraId="0F71F4FB">
      <w:pPr>
        <w:rPr>
          <w:rFonts w:ascii="宋体" w:hAnsi="宋体" w:cs="宋体"/>
          <w:color w:val="auto"/>
          <w:highlight w:val="none"/>
        </w:rPr>
      </w:pPr>
    </w:p>
    <w:p w14:paraId="6F9D477A">
      <w:pPr>
        <w:rPr>
          <w:rFonts w:ascii="宋体" w:hAnsi="宋体" w:cs="宋体"/>
          <w:b/>
          <w:bCs/>
          <w:color w:val="auto"/>
          <w:sz w:val="32"/>
          <w:szCs w:val="32"/>
          <w:highlight w:val="none"/>
        </w:rPr>
      </w:pPr>
      <w:r>
        <w:rPr>
          <w:rFonts w:hint="eastAsia" w:ascii="宋体" w:hAnsi="宋体" w:cs="宋体"/>
          <w:b/>
          <w:bCs/>
          <w:color w:val="auto"/>
          <w:sz w:val="32"/>
          <w:szCs w:val="32"/>
          <w:highlight w:val="none"/>
        </w:rPr>
        <w:t>4.财务状况报告（格式自拟，必须提供）；</w:t>
      </w:r>
    </w:p>
    <w:p w14:paraId="17C6E4F9">
      <w:pPr>
        <w:pStyle w:val="16"/>
        <w:ind w:firstLine="420" w:firstLineChars="200"/>
        <w:jc w:val="left"/>
        <w:rPr>
          <w:rFonts w:hAnsi="宋体" w:cs="宋体"/>
          <w:color w:val="auto"/>
          <w:szCs w:val="21"/>
          <w:highlight w:val="none"/>
        </w:rPr>
      </w:pPr>
    </w:p>
    <w:p w14:paraId="26A07851">
      <w:pPr>
        <w:pStyle w:val="16"/>
        <w:ind w:firstLine="420" w:firstLineChars="200"/>
        <w:jc w:val="left"/>
        <w:rPr>
          <w:rFonts w:hAnsi="宋体" w:cs="宋体"/>
          <w:color w:val="auto"/>
          <w:szCs w:val="21"/>
          <w:highlight w:val="none"/>
        </w:rPr>
      </w:pPr>
    </w:p>
    <w:p w14:paraId="443675D3">
      <w:pPr>
        <w:rPr>
          <w:rFonts w:hAnsi="宋体" w:cs="宋体"/>
          <w:color w:val="auto"/>
          <w:szCs w:val="21"/>
          <w:highlight w:val="none"/>
        </w:rPr>
      </w:pPr>
    </w:p>
    <w:p w14:paraId="28B502D4">
      <w:pPr>
        <w:pStyle w:val="2"/>
        <w:rPr>
          <w:rFonts w:hAnsi="宋体" w:cs="宋体"/>
          <w:color w:val="auto"/>
          <w:szCs w:val="21"/>
          <w:highlight w:val="none"/>
        </w:rPr>
      </w:pPr>
    </w:p>
    <w:p w14:paraId="78301D4F">
      <w:pPr>
        <w:rPr>
          <w:color w:val="auto"/>
          <w:highlight w:val="none"/>
        </w:rPr>
      </w:pPr>
    </w:p>
    <w:p w14:paraId="08608867">
      <w:pPr>
        <w:pStyle w:val="16"/>
        <w:ind w:firstLine="420" w:firstLineChars="200"/>
        <w:jc w:val="left"/>
        <w:rPr>
          <w:rFonts w:hAnsi="宋体" w:cs="宋体"/>
          <w:color w:val="auto"/>
          <w:szCs w:val="21"/>
          <w:highlight w:val="none"/>
        </w:rPr>
      </w:pPr>
    </w:p>
    <w:p w14:paraId="5F582C86">
      <w:pPr>
        <w:rPr>
          <w:rFonts w:hAnsi="宋体" w:cs="宋体"/>
          <w:color w:val="auto"/>
          <w:szCs w:val="21"/>
          <w:highlight w:val="none"/>
        </w:rPr>
      </w:pPr>
    </w:p>
    <w:p w14:paraId="197375BD">
      <w:pPr>
        <w:rPr>
          <w:rFonts w:ascii="宋体" w:hAnsi="宋体" w:cs="宋体"/>
          <w:b/>
          <w:bCs/>
          <w:color w:val="auto"/>
          <w:sz w:val="32"/>
          <w:szCs w:val="32"/>
          <w:highlight w:val="none"/>
        </w:rPr>
      </w:pPr>
      <w:r>
        <w:rPr>
          <w:rFonts w:hint="eastAsia" w:ascii="宋体" w:hAnsi="宋体" w:cs="宋体"/>
          <w:b/>
          <w:bCs/>
          <w:color w:val="auto"/>
          <w:sz w:val="32"/>
          <w:szCs w:val="32"/>
          <w:highlight w:val="none"/>
        </w:rPr>
        <w:t>5.投标人参加政府采购活动前3年内在经营活动中没有重大违法记录及有关信用信息的书面声明或专项信用报告（必须提供）；</w:t>
      </w:r>
    </w:p>
    <w:p w14:paraId="203E0294">
      <w:pPr>
        <w:rPr>
          <w:rFonts w:ascii="宋体" w:hAnsi="宋体" w:cs="宋体"/>
          <w:b/>
          <w:bCs/>
          <w:color w:val="auto"/>
          <w:sz w:val="32"/>
          <w:szCs w:val="32"/>
          <w:highlight w:val="none"/>
        </w:rPr>
      </w:pPr>
      <w:r>
        <w:rPr>
          <w:rFonts w:hint="eastAsia" w:ascii="宋体" w:hAnsi="宋体" w:cs="宋体"/>
          <w:b/>
          <w:bCs/>
          <w:color w:val="auto"/>
          <w:sz w:val="32"/>
          <w:szCs w:val="32"/>
          <w:highlight w:val="none"/>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投标人根据注册地信用中国网站的要求获取。</w:t>
      </w:r>
    </w:p>
    <w:p w14:paraId="2D4DE0A1">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声   明</w:t>
      </w:r>
    </w:p>
    <w:p w14:paraId="7CF6558C">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桂林市政府集中采购中心</w:t>
      </w:r>
    </w:p>
    <w:p w14:paraId="5AE6715C">
      <w:pPr>
        <w:snapToGrid w:val="0"/>
        <w:spacing w:line="400" w:lineRule="exact"/>
        <w:rPr>
          <w:rFonts w:ascii="宋体" w:hAnsi="宋体" w:cs="宋体"/>
          <w:color w:val="auto"/>
          <w:szCs w:val="21"/>
          <w:highlight w:val="none"/>
          <w:u w:val="single"/>
        </w:rPr>
      </w:pPr>
    </w:p>
    <w:p w14:paraId="05B67C93">
      <w:pPr>
        <w:pStyle w:val="16"/>
        <w:spacing w:line="380" w:lineRule="exact"/>
        <w:ind w:firstLine="420" w:firstLineChars="200"/>
        <w:rPr>
          <w:rFonts w:hAnsi="宋体" w:cs="宋体"/>
          <w:color w:val="auto"/>
          <w:highlight w:val="none"/>
        </w:rPr>
      </w:pPr>
      <w:r>
        <w:rPr>
          <w:rFonts w:hint="eastAsia" w:hAnsi="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2DCFD7E">
      <w:pPr>
        <w:snapToGrid w:val="0"/>
        <w:spacing w:line="400" w:lineRule="exact"/>
        <w:ind w:firstLine="4515" w:firstLineChars="2150"/>
        <w:rPr>
          <w:rFonts w:ascii="宋体" w:hAnsi="宋体" w:cs="宋体"/>
          <w:color w:val="auto"/>
          <w:szCs w:val="21"/>
          <w:highlight w:val="none"/>
        </w:rPr>
      </w:pPr>
    </w:p>
    <w:p w14:paraId="3CADC4E5">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310C3BAC">
      <w:pPr>
        <w:spacing w:line="340" w:lineRule="exact"/>
        <w:ind w:firstLine="1680" w:firstLineChars="800"/>
        <w:rPr>
          <w:rFonts w:ascii="宋体" w:hAnsi="宋体" w:cs="宋体"/>
          <w:color w:val="auto"/>
          <w:szCs w:val="21"/>
          <w:highlight w:val="none"/>
          <w:u w:val="single"/>
        </w:rPr>
      </w:pPr>
    </w:p>
    <w:p w14:paraId="63AA9E7F">
      <w:pPr>
        <w:snapToGrid w:val="0"/>
        <w:spacing w:line="400" w:lineRule="exact"/>
        <w:ind w:firstLine="1890" w:firstLineChars="900"/>
        <w:rPr>
          <w:rFonts w:ascii="宋体" w:hAnsi="宋体" w:cs="宋体"/>
          <w:color w:val="auto"/>
          <w:highlight w:val="none"/>
        </w:rPr>
      </w:pPr>
    </w:p>
    <w:p w14:paraId="6F530E2C">
      <w:pPr>
        <w:snapToGrid w:val="0"/>
        <w:spacing w:line="400" w:lineRule="exact"/>
        <w:ind w:firstLine="1890" w:firstLineChars="900"/>
        <w:rPr>
          <w:rFonts w:ascii="宋体" w:hAnsi="宋体" w:cs="宋体"/>
          <w:color w:val="auto"/>
          <w:highlight w:val="none"/>
          <w:u w:val="single"/>
        </w:rPr>
      </w:pPr>
      <w:r>
        <w:rPr>
          <w:rFonts w:hint="eastAsia" w:ascii="宋体" w:hAnsi="宋体" w:cs="宋体"/>
          <w:color w:val="auto"/>
          <w:highlight w:val="none"/>
        </w:rPr>
        <w:t>日          期：</w:t>
      </w:r>
    </w:p>
    <w:p w14:paraId="54F07503">
      <w:pPr>
        <w:pStyle w:val="2"/>
        <w:rPr>
          <w:rFonts w:ascii="宋体" w:hAnsi="宋体" w:cs="宋体"/>
          <w:color w:val="auto"/>
          <w:highlight w:val="none"/>
          <w:u w:val="single"/>
        </w:rPr>
      </w:pPr>
    </w:p>
    <w:p w14:paraId="25A72560">
      <w:pPr>
        <w:pStyle w:val="2"/>
        <w:rPr>
          <w:rFonts w:ascii="宋体" w:hAnsi="宋体" w:cs="宋体"/>
          <w:color w:val="auto"/>
          <w:highlight w:val="none"/>
          <w:u w:val="single"/>
        </w:rPr>
      </w:pPr>
    </w:p>
    <w:p w14:paraId="55908409">
      <w:pPr>
        <w:pStyle w:val="2"/>
        <w:rPr>
          <w:rFonts w:ascii="宋体" w:hAnsi="宋体" w:cs="宋体"/>
          <w:color w:val="auto"/>
          <w:highlight w:val="none"/>
          <w:u w:val="single"/>
        </w:rPr>
      </w:pPr>
    </w:p>
    <w:p w14:paraId="55128529">
      <w:pPr>
        <w:rPr>
          <w:rFonts w:ascii="宋体" w:hAnsi="宋体" w:cs="宋体"/>
          <w:b/>
          <w:bCs/>
          <w:color w:val="auto"/>
          <w:sz w:val="32"/>
          <w:szCs w:val="32"/>
          <w:highlight w:val="none"/>
        </w:rPr>
      </w:pPr>
      <w:r>
        <w:rPr>
          <w:rFonts w:hint="eastAsia" w:ascii="宋体" w:hAnsi="宋体" w:cs="宋体"/>
          <w:b/>
          <w:bCs/>
          <w:color w:val="auto"/>
          <w:sz w:val="32"/>
          <w:szCs w:val="32"/>
          <w:highlight w:val="none"/>
        </w:rPr>
        <w:t>6.投标人截止开标时间前近半年内任意一个月或任一季度依法缴纳税收的证明材料【增值税发票(税收完税证明)或企业所得税完税证明或税务部门出具的免税证明】扫描件（必须提供）；</w:t>
      </w:r>
    </w:p>
    <w:p w14:paraId="2C81BBAC">
      <w:pPr>
        <w:rPr>
          <w:rFonts w:ascii="宋体" w:hAnsi="宋体" w:cs="宋体"/>
          <w:b/>
          <w:bCs/>
          <w:color w:val="auto"/>
          <w:sz w:val="32"/>
          <w:szCs w:val="32"/>
          <w:highlight w:val="none"/>
        </w:rPr>
      </w:pPr>
      <w:r>
        <w:rPr>
          <w:rFonts w:hint="eastAsia" w:ascii="宋体" w:hAnsi="宋体" w:cs="宋体"/>
          <w:b/>
          <w:bCs/>
          <w:color w:val="auto"/>
          <w:sz w:val="32"/>
          <w:szCs w:val="32"/>
          <w:highlight w:val="none"/>
        </w:rPr>
        <w:t>二、商务、技术性响应及其他有效证明材料（格式）</w:t>
      </w:r>
    </w:p>
    <w:p w14:paraId="658AD8AD">
      <w:pPr>
        <w:rPr>
          <w:rFonts w:ascii="宋体" w:hAnsi="宋体" w:cs="宋体"/>
          <w:b/>
          <w:bCs/>
          <w:color w:val="auto"/>
          <w:sz w:val="32"/>
          <w:szCs w:val="32"/>
          <w:highlight w:val="none"/>
        </w:rPr>
      </w:pPr>
      <w:r>
        <w:rPr>
          <w:rFonts w:hint="eastAsia" w:ascii="宋体" w:hAnsi="宋体" w:cs="宋体"/>
          <w:b/>
          <w:bCs/>
          <w:color w:val="auto"/>
          <w:sz w:val="32"/>
          <w:szCs w:val="32"/>
          <w:highlight w:val="none"/>
        </w:rPr>
        <w:t>1.投标报价表（格式见附件）（必须提供）</w:t>
      </w:r>
    </w:p>
    <w:p w14:paraId="374249E6">
      <w:pPr>
        <w:jc w:val="center"/>
        <w:rPr>
          <w:rFonts w:ascii="宋体" w:hAnsi="宋体"/>
          <w:b/>
          <w:bCs/>
          <w:color w:val="auto"/>
          <w:sz w:val="24"/>
          <w:highlight w:val="none"/>
        </w:rPr>
      </w:pPr>
    </w:p>
    <w:p w14:paraId="535363A8">
      <w:pPr>
        <w:pStyle w:val="148"/>
        <w:ind w:firstLine="0" w:firstLineChars="0"/>
        <w:rPr>
          <w:rFonts w:hAnsi="宋体"/>
          <w:b/>
          <w:color w:val="auto"/>
          <w:sz w:val="24"/>
          <w:highlight w:val="none"/>
        </w:rPr>
      </w:pPr>
      <w:r>
        <w:rPr>
          <w:rFonts w:hint="eastAsia"/>
          <w:b/>
          <w:bCs/>
          <w:color w:val="auto"/>
          <w:sz w:val="30"/>
          <w:szCs w:val="30"/>
          <w:highlight w:val="none"/>
        </w:rPr>
        <w:t>附件：</w:t>
      </w:r>
    </w:p>
    <w:p w14:paraId="4E443FA2">
      <w:pPr>
        <w:pStyle w:val="16"/>
        <w:spacing w:line="320" w:lineRule="exact"/>
        <w:ind w:left="420"/>
        <w:jc w:val="center"/>
        <w:rPr>
          <w:rFonts w:hAnsi="宋体"/>
          <w:b/>
          <w:color w:val="auto"/>
          <w:sz w:val="32"/>
          <w:highlight w:val="none"/>
        </w:rPr>
      </w:pPr>
      <w:r>
        <w:rPr>
          <w:rFonts w:hint="eastAsia" w:hAnsi="宋体"/>
          <w:b/>
          <w:color w:val="auto"/>
          <w:sz w:val="32"/>
          <w:highlight w:val="none"/>
        </w:rPr>
        <w:t>投标报价表</w:t>
      </w:r>
    </w:p>
    <w:tbl>
      <w:tblPr>
        <w:tblStyle w:val="31"/>
        <w:tblW w:w="992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2728"/>
        <w:gridCol w:w="1275"/>
        <w:gridCol w:w="1215"/>
        <w:gridCol w:w="1157"/>
        <w:gridCol w:w="426"/>
        <w:gridCol w:w="427"/>
        <w:gridCol w:w="427"/>
        <w:gridCol w:w="1113"/>
        <w:gridCol w:w="730"/>
      </w:tblGrid>
      <w:tr w14:paraId="20031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left w:val="single" w:color="auto" w:sz="4" w:space="0"/>
              <w:bottom w:val="single" w:color="auto" w:sz="4" w:space="0"/>
              <w:right w:val="single" w:color="auto" w:sz="4" w:space="0"/>
            </w:tcBorders>
            <w:vAlign w:val="center"/>
          </w:tcPr>
          <w:p w14:paraId="3ECC927E">
            <w:pPr>
              <w:spacing w:line="300" w:lineRule="exact"/>
              <w:jc w:val="center"/>
              <w:rPr>
                <w:rFonts w:ascii="宋体" w:hAnsi="宋体"/>
                <w:color w:val="auto"/>
                <w:highlight w:val="none"/>
              </w:rPr>
            </w:pPr>
            <w:r>
              <w:rPr>
                <w:rFonts w:hint="eastAsia" w:ascii="宋体" w:hAnsi="宋体"/>
                <w:color w:val="auto"/>
                <w:highlight w:val="none"/>
              </w:rPr>
              <w:t>项号</w:t>
            </w:r>
          </w:p>
        </w:tc>
        <w:tc>
          <w:tcPr>
            <w:tcW w:w="2728" w:type="dxa"/>
            <w:tcBorders>
              <w:top w:val="single" w:color="auto" w:sz="4" w:space="0"/>
              <w:left w:val="single" w:color="auto" w:sz="4" w:space="0"/>
              <w:bottom w:val="single" w:color="auto" w:sz="4" w:space="0"/>
              <w:right w:val="single" w:color="auto" w:sz="4" w:space="0"/>
            </w:tcBorders>
            <w:vAlign w:val="center"/>
          </w:tcPr>
          <w:p w14:paraId="46ACF1A8">
            <w:pPr>
              <w:spacing w:line="280" w:lineRule="exact"/>
              <w:jc w:val="center"/>
              <w:rPr>
                <w:rFonts w:ascii="宋体" w:hAnsi="宋体"/>
                <w:color w:val="auto"/>
                <w:highlight w:val="none"/>
              </w:rPr>
            </w:pPr>
            <w:r>
              <w:rPr>
                <w:rFonts w:hint="eastAsia" w:ascii="宋体" w:hAnsi="宋体"/>
                <w:color w:val="auto"/>
                <w:highlight w:val="none"/>
              </w:rPr>
              <w:t>标的名称</w:t>
            </w:r>
          </w:p>
        </w:tc>
        <w:tc>
          <w:tcPr>
            <w:tcW w:w="1275" w:type="dxa"/>
            <w:tcBorders>
              <w:top w:val="single" w:color="auto" w:sz="4" w:space="0"/>
              <w:left w:val="single" w:color="auto" w:sz="4" w:space="0"/>
              <w:bottom w:val="single" w:color="auto" w:sz="4" w:space="0"/>
              <w:right w:val="single" w:color="auto" w:sz="4" w:space="0"/>
            </w:tcBorders>
            <w:vAlign w:val="center"/>
          </w:tcPr>
          <w:p w14:paraId="5161DC70">
            <w:pPr>
              <w:spacing w:line="280" w:lineRule="exact"/>
              <w:jc w:val="center"/>
              <w:rPr>
                <w:rFonts w:ascii="宋体" w:hAnsi="宋体"/>
                <w:color w:val="auto"/>
                <w:highlight w:val="none"/>
              </w:rPr>
            </w:pPr>
            <w:r>
              <w:rPr>
                <w:rFonts w:hint="eastAsia" w:ascii="宋体" w:hAnsi="宋体"/>
                <w:color w:val="auto"/>
                <w:highlight w:val="none"/>
              </w:rPr>
              <w:t>生产厂家</w:t>
            </w:r>
          </w:p>
        </w:tc>
        <w:tc>
          <w:tcPr>
            <w:tcW w:w="1215" w:type="dxa"/>
            <w:tcBorders>
              <w:top w:val="single" w:color="auto" w:sz="4" w:space="0"/>
              <w:left w:val="single" w:color="auto" w:sz="4" w:space="0"/>
              <w:bottom w:val="single" w:color="auto" w:sz="4" w:space="0"/>
              <w:right w:val="single" w:color="auto" w:sz="4" w:space="0"/>
            </w:tcBorders>
            <w:vAlign w:val="center"/>
          </w:tcPr>
          <w:p w14:paraId="7FCA5134">
            <w:pPr>
              <w:spacing w:line="280" w:lineRule="exact"/>
              <w:jc w:val="center"/>
              <w:rPr>
                <w:rFonts w:ascii="宋体" w:hAnsi="宋体"/>
                <w:color w:val="auto"/>
                <w:highlight w:val="none"/>
              </w:rPr>
            </w:pPr>
            <w:r>
              <w:rPr>
                <w:rFonts w:hint="eastAsia" w:ascii="宋体" w:hAnsi="宋体"/>
                <w:color w:val="auto"/>
                <w:szCs w:val="21"/>
                <w:highlight w:val="none"/>
              </w:rPr>
              <w:t>品牌</w:t>
            </w:r>
          </w:p>
        </w:tc>
        <w:tc>
          <w:tcPr>
            <w:tcW w:w="1157" w:type="dxa"/>
            <w:tcBorders>
              <w:top w:val="single" w:color="auto" w:sz="4" w:space="0"/>
              <w:left w:val="single" w:color="auto" w:sz="4" w:space="0"/>
              <w:bottom w:val="single" w:color="auto" w:sz="4" w:space="0"/>
              <w:right w:val="single" w:color="auto" w:sz="4" w:space="0"/>
            </w:tcBorders>
            <w:vAlign w:val="center"/>
          </w:tcPr>
          <w:p w14:paraId="3166FFD0">
            <w:pPr>
              <w:spacing w:line="300" w:lineRule="exact"/>
              <w:jc w:val="center"/>
              <w:rPr>
                <w:rFonts w:ascii="宋体" w:hAnsi="宋体"/>
                <w:color w:val="auto"/>
                <w:highlight w:val="none"/>
              </w:rPr>
            </w:pPr>
            <w:r>
              <w:rPr>
                <w:rFonts w:hint="eastAsia" w:ascii="宋体" w:hAnsi="宋体"/>
                <w:color w:val="auto"/>
                <w:szCs w:val="21"/>
                <w:highlight w:val="none"/>
              </w:rPr>
              <w:t>规格型号</w:t>
            </w:r>
          </w:p>
        </w:tc>
        <w:tc>
          <w:tcPr>
            <w:tcW w:w="426" w:type="dxa"/>
            <w:tcBorders>
              <w:top w:val="single" w:color="auto" w:sz="4" w:space="0"/>
              <w:left w:val="single" w:color="auto" w:sz="4" w:space="0"/>
              <w:bottom w:val="single" w:color="auto" w:sz="4" w:space="0"/>
              <w:right w:val="single" w:color="auto" w:sz="4" w:space="0"/>
            </w:tcBorders>
            <w:vAlign w:val="center"/>
          </w:tcPr>
          <w:p w14:paraId="10299B96">
            <w:pPr>
              <w:spacing w:line="300" w:lineRule="exact"/>
              <w:jc w:val="center"/>
              <w:rPr>
                <w:rFonts w:ascii="宋体" w:hAnsi="宋体"/>
                <w:color w:val="auto"/>
                <w:highlight w:val="none"/>
              </w:rPr>
            </w:pPr>
            <w:r>
              <w:rPr>
                <w:rFonts w:hint="eastAsia" w:ascii="宋体" w:hAnsi="宋体"/>
                <w:color w:val="auto"/>
                <w:highlight w:val="none"/>
              </w:rPr>
              <w:t>数量</w:t>
            </w:r>
          </w:p>
          <w:p w14:paraId="755F7702">
            <w:pPr>
              <w:spacing w:line="300" w:lineRule="exact"/>
              <w:jc w:val="center"/>
              <w:rPr>
                <w:rFonts w:ascii="宋体" w:hAnsi="宋体"/>
                <w:color w:val="auto"/>
                <w:highlight w:val="none"/>
              </w:rPr>
            </w:pPr>
            <w:r>
              <w:rPr>
                <w:rFonts w:hint="eastAsia" w:ascii="宋体" w:hAnsi="宋体"/>
                <w:color w:val="auto"/>
                <w:szCs w:val="21"/>
                <w:highlight w:val="none"/>
              </w:rPr>
              <w:t>①</w:t>
            </w:r>
          </w:p>
        </w:tc>
        <w:tc>
          <w:tcPr>
            <w:tcW w:w="427" w:type="dxa"/>
            <w:tcBorders>
              <w:top w:val="single" w:color="auto" w:sz="4" w:space="0"/>
              <w:left w:val="single" w:color="auto" w:sz="4" w:space="0"/>
              <w:bottom w:val="single" w:color="auto" w:sz="4" w:space="0"/>
              <w:right w:val="single" w:color="auto" w:sz="4" w:space="0"/>
            </w:tcBorders>
            <w:vAlign w:val="center"/>
          </w:tcPr>
          <w:p w14:paraId="40739914">
            <w:pPr>
              <w:spacing w:line="300" w:lineRule="exact"/>
              <w:jc w:val="center"/>
              <w:rPr>
                <w:rFonts w:ascii="宋体" w:hAnsi="宋体"/>
                <w:color w:val="auto"/>
                <w:highlight w:val="none"/>
              </w:rPr>
            </w:pPr>
            <w:r>
              <w:rPr>
                <w:rFonts w:hint="eastAsia" w:ascii="宋体" w:hAnsi="宋体"/>
                <w:color w:val="auto"/>
                <w:highlight w:val="none"/>
              </w:rPr>
              <w:t>单位</w:t>
            </w:r>
          </w:p>
        </w:tc>
        <w:tc>
          <w:tcPr>
            <w:tcW w:w="427" w:type="dxa"/>
            <w:tcBorders>
              <w:top w:val="single" w:color="auto" w:sz="4" w:space="0"/>
              <w:left w:val="single" w:color="auto" w:sz="4" w:space="0"/>
              <w:bottom w:val="single" w:color="auto" w:sz="4" w:space="0"/>
              <w:right w:val="single" w:color="auto" w:sz="4" w:space="0"/>
            </w:tcBorders>
            <w:vAlign w:val="center"/>
          </w:tcPr>
          <w:p w14:paraId="34A4FE97">
            <w:pPr>
              <w:spacing w:line="300" w:lineRule="exact"/>
              <w:jc w:val="center"/>
              <w:rPr>
                <w:rFonts w:ascii="宋体" w:hAnsi="宋体"/>
                <w:color w:val="auto"/>
                <w:highlight w:val="none"/>
              </w:rPr>
            </w:pPr>
            <w:r>
              <w:rPr>
                <w:rFonts w:hint="eastAsia" w:ascii="宋体" w:hAnsi="宋体"/>
                <w:color w:val="auto"/>
                <w:highlight w:val="none"/>
              </w:rPr>
              <w:t>单价</w:t>
            </w:r>
          </w:p>
          <w:p w14:paraId="31509752">
            <w:pPr>
              <w:spacing w:line="300" w:lineRule="exact"/>
              <w:jc w:val="center"/>
              <w:rPr>
                <w:rFonts w:ascii="宋体" w:hAnsi="宋体"/>
                <w:color w:val="auto"/>
                <w:highlight w:val="none"/>
              </w:rPr>
            </w:pPr>
            <w:r>
              <w:rPr>
                <w:rFonts w:hint="eastAsia" w:ascii="宋体" w:hAnsi="宋体"/>
                <w:color w:val="auto"/>
                <w:szCs w:val="21"/>
                <w:highlight w:val="none"/>
              </w:rPr>
              <w:t>②</w:t>
            </w:r>
          </w:p>
        </w:tc>
        <w:tc>
          <w:tcPr>
            <w:tcW w:w="1113" w:type="dxa"/>
            <w:tcBorders>
              <w:top w:val="single" w:color="auto" w:sz="4" w:space="0"/>
              <w:left w:val="single" w:color="auto" w:sz="4" w:space="0"/>
              <w:bottom w:val="single" w:color="auto" w:sz="4" w:space="0"/>
              <w:right w:val="single" w:color="auto" w:sz="4" w:space="0"/>
            </w:tcBorders>
            <w:vAlign w:val="center"/>
          </w:tcPr>
          <w:p w14:paraId="713243B2">
            <w:pPr>
              <w:spacing w:line="300" w:lineRule="exact"/>
              <w:jc w:val="center"/>
              <w:rPr>
                <w:rFonts w:ascii="宋体" w:hAnsi="宋体"/>
                <w:color w:val="auto"/>
                <w:highlight w:val="none"/>
              </w:rPr>
            </w:pPr>
            <w:r>
              <w:rPr>
                <w:rFonts w:hint="eastAsia" w:ascii="宋体" w:hAnsi="宋体"/>
                <w:color w:val="auto"/>
                <w:highlight w:val="none"/>
              </w:rPr>
              <w:t>单项合计=数量×单价</w:t>
            </w:r>
          </w:p>
          <w:p w14:paraId="2D0E14A1">
            <w:pPr>
              <w:spacing w:line="300" w:lineRule="exact"/>
              <w:jc w:val="center"/>
              <w:rPr>
                <w:rFonts w:ascii="宋体" w:hAnsi="宋体"/>
                <w:color w:val="auto"/>
                <w:highlight w:val="none"/>
              </w:rPr>
            </w:pPr>
            <w:r>
              <w:rPr>
                <w:rFonts w:hint="eastAsia" w:ascii="宋体" w:hAnsi="宋体"/>
                <w:color w:val="auto"/>
                <w:szCs w:val="21"/>
                <w:highlight w:val="none"/>
              </w:rPr>
              <w:t>③＝①×②</w:t>
            </w:r>
          </w:p>
        </w:tc>
        <w:tc>
          <w:tcPr>
            <w:tcW w:w="730" w:type="dxa"/>
            <w:tcBorders>
              <w:bottom w:val="single" w:color="auto" w:sz="4" w:space="0"/>
            </w:tcBorders>
            <w:vAlign w:val="center"/>
          </w:tcPr>
          <w:p w14:paraId="0CF8E543">
            <w:pPr>
              <w:spacing w:line="300" w:lineRule="exact"/>
              <w:jc w:val="center"/>
              <w:rPr>
                <w:rFonts w:ascii="宋体" w:hAnsi="宋体"/>
                <w:color w:val="auto"/>
                <w:highlight w:val="none"/>
              </w:rPr>
            </w:pPr>
            <w:r>
              <w:rPr>
                <w:rFonts w:hint="eastAsia" w:ascii="宋体" w:hAnsi="宋体"/>
                <w:color w:val="auto"/>
                <w:highlight w:val="none"/>
              </w:rPr>
              <w:t>备注</w:t>
            </w:r>
          </w:p>
        </w:tc>
      </w:tr>
      <w:tr w14:paraId="56E8E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26" w:type="dxa"/>
            <w:tcBorders>
              <w:top w:val="single" w:color="auto" w:sz="4" w:space="0"/>
              <w:left w:val="single" w:color="auto" w:sz="4" w:space="0"/>
              <w:bottom w:val="single" w:color="auto" w:sz="4" w:space="0"/>
              <w:right w:val="single" w:color="auto" w:sz="4" w:space="0"/>
            </w:tcBorders>
            <w:vAlign w:val="center"/>
          </w:tcPr>
          <w:p w14:paraId="3AFEB822">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728" w:type="dxa"/>
            <w:tcBorders>
              <w:top w:val="single" w:color="auto" w:sz="4" w:space="0"/>
              <w:left w:val="single" w:color="auto" w:sz="4" w:space="0"/>
              <w:bottom w:val="single" w:color="auto" w:sz="4" w:space="0"/>
              <w:right w:val="single" w:color="auto" w:sz="4" w:space="0"/>
            </w:tcBorders>
            <w:vAlign w:val="center"/>
          </w:tcPr>
          <w:p w14:paraId="1E73AAFD">
            <w:pPr>
              <w:spacing w:line="300" w:lineRule="exact"/>
              <w:jc w:val="center"/>
              <w:rPr>
                <w:rFonts w:ascii="宋体" w:hAnsi="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4A200E2E">
            <w:pPr>
              <w:spacing w:line="300" w:lineRule="exact"/>
              <w:jc w:val="center"/>
              <w:rPr>
                <w:rFonts w:ascii="宋体" w:hAnsi="宋体"/>
                <w:color w:val="auto"/>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67B4C119">
            <w:pPr>
              <w:spacing w:line="300" w:lineRule="exact"/>
              <w:jc w:val="center"/>
              <w:rPr>
                <w:rFonts w:ascii="宋体" w:hAnsi="宋体"/>
                <w:color w:val="auto"/>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05213806">
            <w:pPr>
              <w:spacing w:line="300" w:lineRule="exact"/>
              <w:jc w:val="center"/>
              <w:rPr>
                <w:rFonts w:ascii="宋体" w:hAnsi="宋体"/>
                <w:color w:val="auto"/>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14:paraId="5454417D">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vAlign w:val="center"/>
          </w:tcPr>
          <w:p w14:paraId="5A22A1A5">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vAlign w:val="center"/>
          </w:tcPr>
          <w:p w14:paraId="0D498EFD">
            <w:pPr>
              <w:spacing w:line="300" w:lineRule="exact"/>
              <w:jc w:val="center"/>
              <w:rPr>
                <w:rFonts w:ascii="宋体" w:hAnsi="宋体"/>
                <w:b/>
                <w:bCs/>
                <w:color w:val="auto"/>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14:paraId="61297D23">
            <w:pPr>
              <w:spacing w:line="300" w:lineRule="exact"/>
              <w:jc w:val="center"/>
              <w:rPr>
                <w:rFonts w:ascii="宋体" w:hAnsi="宋体"/>
                <w:b/>
                <w:bCs/>
                <w:color w:val="auto"/>
                <w:highlight w:val="none"/>
              </w:rPr>
            </w:pPr>
          </w:p>
        </w:tc>
        <w:tc>
          <w:tcPr>
            <w:tcW w:w="730" w:type="dxa"/>
            <w:tcBorders>
              <w:top w:val="single" w:color="auto" w:sz="4" w:space="0"/>
              <w:bottom w:val="single" w:color="auto" w:sz="4" w:space="0"/>
            </w:tcBorders>
            <w:vAlign w:val="center"/>
          </w:tcPr>
          <w:p w14:paraId="0C6BFA09">
            <w:pPr>
              <w:spacing w:line="300" w:lineRule="exact"/>
              <w:jc w:val="center"/>
              <w:rPr>
                <w:rFonts w:ascii="宋体" w:hAnsi="宋体"/>
                <w:b/>
                <w:bCs/>
                <w:color w:val="auto"/>
                <w:highlight w:val="none"/>
              </w:rPr>
            </w:pPr>
          </w:p>
        </w:tc>
      </w:tr>
      <w:tr w14:paraId="26926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26" w:type="dxa"/>
            <w:tcBorders>
              <w:top w:val="single" w:color="auto" w:sz="4" w:space="0"/>
              <w:left w:val="single" w:color="auto" w:sz="4" w:space="0"/>
              <w:right w:val="single" w:color="auto" w:sz="4" w:space="0"/>
            </w:tcBorders>
            <w:vAlign w:val="center"/>
          </w:tcPr>
          <w:p w14:paraId="008F7D6C">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728" w:type="dxa"/>
            <w:tcBorders>
              <w:top w:val="single" w:color="auto" w:sz="4" w:space="0"/>
              <w:left w:val="single" w:color="auto" w:sz="4" w:space="0"/>
              <w:bottom w:val="single" w:color="auto" w:sz="4" w:space="0"/>
              <w:right w:val="single" w:color="auto" w:sz="4" w:space="0"/>
            </w:tcBorders>
            <w:vAlign w:val="center"/>
          </w:tcPr>
          <w:p w14:paraId="22D69E0D">
            <w:pPr>
              <w:spacing w:line="300" w:lineRule="exact"/>
              <w:jc w:val="center"/>
              <w:rPr>
                <w:rFonts w:ascii="宋体" w:hAnsi="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57D39F3">
            <w:pPr>
              <w:spacing w:line="300" w:lineRule="exact"/>
              <w:jc w:val="center"/>
              <w:rPr>
                <w:rFonts w:ascii="宋体" w:hAnsi="宋体"/>
                <w:color w:val="auto"/>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1EFFE4D6">
            <w:pPr>
              <w:spacing w:line="300" w:lineRule="exact"/>
              <w:jc w:val="center"/>
              <w:rPr>
                <w:rFonts w:ascii="宋体" w:hAnsi="宋体"/>
                <w:color w:val="auto"/>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1CBE2E02">
            <w:pPr>
              <w:spacing w:line="300" w:lineRule="exact"/>
              <w:jc w:val="center"/>
              <w:rPr>
                <w:rFonts w:ascii="宋体" w:hAnsi="宋体"/>
                <w:color w:val="auto"/>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14:paraId="08927CB6">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vAlign w:val="center"/>
          </w:tcPr>
          <w:p w14:paraId="5EDEE05A">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vAlign w:val="center"/>
          </w:tcPr>
          <w:p w14:paraId="40BD2084">
            <w:pPr>
              <w:spacing w:line="300" w:lineRule="exact"/>
              <w:jc w:val="center"/>
              <w:rPr>
                <w:rFonts w:ascii="宋体" w:hAnsi="宋体"/>
                <w:b/>
                <w:bCs/>
                <w:color w:val="auto"/>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14:paraId="600267C5">
            <w:pPr>
              <w:spacing w:line="300" w:lineRule="exact"/>
              <w:jc w:val="center"/>
              <w:rPr>
                <w:rFonts w:ascii="宋体" w:hAnsi="宋体"/>
                <w:b/>
                <w:bCs/>
                <w:color w:val="auto"/>
                <w:highlight w:val="none"/>
              </w:rPr>
            </w:pPr>
          </w:p>
        </w:tc>
        <w:tc>
          <w:tcPr>
            <w:tcW w:w="730" w:type="dxa"/>
            <w:tcBorders>
              <w:top w:val="single" w:color="auto" w:sz="4" w:space="0"/>
              <w:bottom w:val="single" w:color="auto" w:sz="4" w:space="0"/>
            </w:tcBorders>
            <w:vAlign w:val="center"/>
          </w:tcPr>
          <w:p w14:paraId="0DCB28B3">
            <w:pPr>
              <w:spacing w:line="300" w:lineRule="exact"/>
              <w:jc w:val="center"/>
              <w:rPr>
                <w:rFonts w:ascii="宋体" w:hAnsi="宋体"/>
                <w:b/>
                <w:bCs/>
                <w:color w:val="auto"/>
                <w:highlight w:val="none"/>
              </w:rPr>
            </w:pPr>
          </w:p>
        </w:tc>
      </w:tr>
      <w:tr w14:paraId="6B0AD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26" w:type="dxa"/>
            <w:tcBorders>
              <w:top w:val="single" w:color="auto" w:sz="4" w:space="0"/>
              <w:left w:val="single" w:color="auto" w:sz="4" w:space="0"/>
              <w:right w:val="single" w:color="auto" w:sz="4" w:space="0"/>
            </w:tcBorders>
            <w:vAlign w:val="center"/>
          </w:tcPr>
          <w:p w14:paraId="0C38463B">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728" w:type="dxa"/>
            <w:tcBorders>
              <w:top w:val="single" w:color="auto" w:sz="4" w:space="0"/>
              <w:left w:val="single" w:color="auto" w:sz="4" w:space="0"/>
              <w:bottom w:val="single" w:color="auto" w:sz="4" w:space="0"/>
              <w:right w:val="single" w:color="auto" w:sz="4" w:space="0"/>
            </w:tcBorders>
            <w:vAlign w:val="center"/>
          </w:tcPr>
          <w:p w14:paraId="7C9E4D79">
            <w:pPr>
              <w:spacing w:line="300" w:lineRule="exact"/>
              <w:jc w:val="center"/>
              <w:rPr>
                <w:rFonts w:ascii="宋体" w:hAnsi="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021B7A59">
            <w:pPr>
              <w:spacing w:line="300" w:lineRule="exact"/>
              <w:jc w:val="center"/>
              <w:rPr>
                <w:rFonts w:ascii="宋体" w:hAnsi="宋体"/>
                <w:color w:val="auto"/>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6FCC6765">
            <w:pPr>
              <w:spacing w:line="300" w:lineRule="exact"/>
              <w:jc w:val="center"/>
              <w:rPr>
                <w:rFonts w:ascii="宋体" w:hAnsi="宋体"/>
                <w:color w:val="auto"/>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38B1A58F">
            <w:pPr>
              <w:spacing w:line="300" w:lineRule="exact"/>
              <w:jc w:val="center"/>
              <w:rPr>
                <w:rFonts w:ascii="宋体" w:hAnsi="宋体"/>
                <w:color w:val="auto"/>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14:paraId="0B8488AD">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vAlign w:val="center"/>
          </w:tcPr>
          <w:p w14:paraId="69134FB6">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vAlign w:val="center"/>
          </w:tcPr>
          <w:p w14:paraId="492084E7">
            <w:pPr>
              <w:spacing w:line="300" w:lineRule="exact"/>
              <w:jc w:val="center"/>
              <w:rPr>
                <w:rFonts w:ascii="宋体" w:hAnsi="宋体"/>
                <w:b/>
                <w:bCs/>
                <w:color w:val="auto"/>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14:paraId="750DC83E">
            <w:pPr>
              <w:spacing w:line="300" w:lineRule="exact"/>
              <w:jc w:val="center"/>
              <w:rPr>
                <w:rFonts w:ascii="宋体" w:hAnsi="宋体"/>
                <w:b/>
                <w:bCs/>
                <w:color w:val="auto"/>
                <w:highlight w:val="none"/>
              </w:rPr>
            </w:pPr>
          </w:p>
        </w:tc>
        <w:tc>
          <w:tcPr>
            <w:tcW w:w="730" w:type="dxa"/>
            <w:tcBorders>
              <w:top w:val="single" w:color="auto" w:sz="4" w:space="0"/>
              <w:bottom w:val="single" w:color="auto" w:sz="4" w:space="0"/>
            </w:tcBorders>
            <w:vAlign w:val="center"/>
          </w:tcPr>
          <w:p w14:paraId="69778A71">
            <w:pPr>
              <w:spacing w:line="300" w:lineRule="exact"/>
              <w:jc w:val="center"/>
              <w:rPr>
                <w:rFonts w:ascii="宋体" w:hAnsi="宋体"/>
                <w:b/>
                <w:bCs/>
                <w:color w:val="auto"/>
                <w:highlight w:val="none"/>
              </w:rPr>
            </w:pPr>
          </w:p>
        </w:tc>
      </w:tr>
      <w:tr w14:paraId="17534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26" w:type="dxa"/>
            <w:tcBorders>
              <w:top w:val="single" w:color="auto" w:sz="4" w:space="0"/>
              <w:left w:val="single" w:color="auto" w:sz="4" w:space="0"/>
              <w:right w:val="single" w:color="auto" w:sz="4" w:space="0"/>
            </w:tcBorders>
            <w:vAlign w:val="center"/>
          </w:tcPr>
          <w:p w14:paraId="1F7F129B">
            <w:pPr>
              <w:jc w:val="center"/>
              <w:rPr>
                <w:rFonts w:ascii="宋体" w:hAnsi="宋体" w:cs="宋体"/>
                <w:color w:val="auto"/>
                <w:szCs w:val="21"/>
                <w:highlight w:val="none"/>
              </w:rPr>
            </w:pPr>
            <w:r>
              <w:rPr>
                <w:rFonts w:hint="eastAsia" w:ascii="宋体" w:hAnsi="宋体" w:cs="宋体"/>
                <w:color w:val="auto"/>
                <w:szCs w:val="21"/>
                <w:highlight w:val="none"/>
              </w:rPr>
              <w:t>N</w:t>
            </w:r>
          </w:p>
        </w:tc>
        <w:tc>
          <w:tcPr>
            <w:tcW w:w="2728" w:type="dxa"/>
            <w:tcBorders>
              <w:top w:val="single" w:color="auto" w:sz="4" w:space="0"/>
              <w:left w:val="single" w:color="auto" w:sz="4" w:space="0"/>
              <w:bottom w:val="single" w:color="auto" w:sz="4" w:space="0"/>
              <w:right w:val="single" w:color="auto" w:sz="4" w:space="0"/>
            </w:tcBorders>
            <w:vAlign w:val="center"/>
          </w:tcPr>
          <w:p w14:paraId="7A7178F0">
            <w:pPr>
              <w:spacing w:line="300" w:lineRule="exact"/>
              <w:jc w:val="center"/>
              <w:rPr>
                <w:rFonts w:ascii="宋体" w:hAnsi="宋体"/>
                <w:b/>
                <w:bCs/>
                <w:color w:val="auto"/>
                <w:highlight w:val="none"/>
              </w:rPr>
            </w:pPr>
            <w:r>
              <w:rPr>
                <w:rFonts w:ascii="宋体" w:hAnsi="宋体" w:cs="宋体"/>
                <w:color w:val="auto"/>
                <w:szCs w:val="21"/>
                <w:highlight w:val="none"/>
              </w:rPr>
              <w:t>…</w:t>
            </w:r>
          </w:p>
        </w:tc>
        <w:tc>
          <w:tcPr>
            <w:tcW w:w="1275" w:type="dxa"/>
            <w:tcBorders>
              <w:top w:val="single" w:color="auto" w:sz="4" w:space="0"/>
              <w:left w:val="single" w:color="auto" w:sz="4" w:space="0"/>
              <w:bottom w:val="single" w:color="auto" w:sz="4" w:space="0"/>
              <w:right w:val="single" w:color="auto" w:sz="4" w:space="0"/>
            </w:tcBorders>
            <w:vAlign w:val="center"/>
          </w:tcPr>
          <w:p w14:paraId="635F2CAA">
            <w:pPr>
              <w:spacing w:line="300" w:lineRule="exact"/>
              <w:jc w:val="center"/>
              <w:rPr>
                <w:rFonts w:ascii="宋体" w:hAnsi="宋体"/>
                <w:b/>
                <w:bCs/>
                <w:color w:val="auto"/>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5B81BEC2">
            <w:pPr>
              <w:spacing w:line="300" w:lineRule="exact"/>
              <w:jc w:val="center"/>
              <w:rPr>
                <w:rFonts w:ascii="宋体" w:hAnsi="宋体"/>
                <w:b/>
                <w:bCs/>
                <w:color w:val="auto"/>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2624A37C">
            <w:pPr>
              <w:spacing w:line="300" w:lineRule="exact"/>
              <w:jc w:val="center"/>
              <w:rPr>
                <w:rFonts w:ascii="宋体" w:hAnsi="宋体"/>
                <w:b/>
                <w:bCs/>
                <w:color w:val="auto"/>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14:paraId="57F98E3B">
            <w:pPr>
              <w:jc w:val="center"/>
              <w:rPr>
                <w:rFonts w:ascii="宋体" w:hAnsi="宋体" w:cs="宋体"/>
                <w:color w:val="auto"/>
                <w:szCs w:val="21"/>
                <w:highlight w:val="none"/>
              </w:rPr>
            </w:pPr>
            <w:r>
              <w:rPr>
                <w:rFonts w:ascii="宋体" w:hAnsi="宋体" w:cs="宋体"/>
                <w:color w:val="auto"/>
                <w:szCs w:val="21"/>
                <w:highlight w:val="none"/>
              </w:rPr>
              <w:t>…</w:t>
            </w:r>
          </w:p>
        </w:tc>
        <w:tc>
          <w:tcPr>
            <w:tcW w:w="427" w:type="dxa"/>
            <w:tcBorders>
              <w:top w:val="single" w:color="auto" w:sz="4" w:space="0"/>
              <w:left w:val="single" w:color="auto" w:sz="4" w:space="0"/>
              <w:bottom w:val="single" w:color="auto" w:sz="4" w:space="0"/>
              <w:right w:val="single" w:color="auto" w:sz="4" w:space="0"/>
            </w:tcBorders>
            <w:vAlign w:val="center"/>
          </w:tcPr>
          <w:p w14:paraId="0D3D9E9B">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vAlign w:val="center"/>
          </w:tcPr>
          <w:p w14:paraId="5DC2D69B">
            <w:pPr>
              <w:spacing w:line="300" w:lineRule="exact"/>
              <w:jc w:val="center"/>
              <w:rPr>
                <w:rFonts w:ascii="宋体" w:hAnsi="宋体"/>
                <w:b/>
                <w:bCs/>
                <w:color w:val="auto"/>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14:paraId="21F2DF79">
            <w:pPr>
              <w:spacing w:line="300" w:lineRule="exact"/>
              <w:jc w:val="center"/>
              <w:rPr>
                <w:rFonts w:ascii="宋体" w:hAnsi="宋体"/>
                <w:b/>
                <w:bCs/>
                <w:color w:val="auto"/>
                <w:highlight w:val="none"/>
              </w:rPr>
            </w:pPr>
          </w:p>
        </w:tc>
        <w:tc>
          <w:tcPr>
            <w:tcW w:w="730" w:type="dxa"/>
            <w:tcBorders>
              <w:top w:val="single" w:color="auto" w:sz="4" w:space="0"/>
              <w:bottom w:val="single" w:color="auto" w:sz="4" w:space="0"/>
            </w:tcBorders>
            <w:vAlign w:val="center"/>
          </w:tcPr>
          <w:p w14:paraId="0F5D2B65">
            <w:pPr>
              <w:spacing w:line="300" w:lineRule="exact"/>
              <w:jc w:val="center"/>
              <w:rPr>
                <w:rFonts w:ascii="宋体" w:hAnsi="宋体"/>
                <w:b/>
                <w:bCs/>
                <w:color w:val="auto"/>
                <w:highlight w:val="none"/>
              </w:rPr>
            </w:pPr>
          </w:p>
        </w:tc>
      </w:tr>
      <w:tr w14:paraId="43135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24" w:type="dxa"/>
            <w:gridSpan w:val="10"/>
            <w:tcBorders>
              <w:top w:val="single" w:color="auto" w:sz="4" w:space="0"/>
              <w:left w:val="single" w:color="auto" w:sz="4" w:space="0"/>
              <w:bottom w:val="single" w:color="auto" w:sz="4" w:space="0"/>
            </w:tcBorders>
            <w:vAlign w:val="center"/>
          </w:tcPr>
          <w:p w14:paraId="0037FDDE">
            <w:pPr>
              <w:spacing w:line="300" w:lineRule="exact"/>
              <w:rPr>
                <w:rFonts w:ascii="宋体" w:hAnsi="宋体"/>
                <w:color w:val="auto"/>
                <w:spacing w:val="-6"/>
                <w:highlight w:val="none"/>
              </w:rPr>
            </w:pPr>
            <w:r>
              <w:rPr>
                <w:rFonts w:hint="eastAsia" w:ascii="宋体" w:hAnsi="宋体"/>
                <w:color w:val="auto"/>
                <w:spacing w:val="-6"/>
                <w:highlight w:val="none"/>
              </w:rPr>
              <w:t>投标总</w:t>
            </w:r>
            <w:r>
              <w:rPr>
                <w:rFonts w:ascii="宋体" w:hAnsi="宋体"/>
                <w:color w:val="auto"/>
                <w:spacing w:val="-6"/>
                <w:highlight w:val="none"/>
              </w:rPr>
              <w:t xml:space="preserve">报价（大写）：                      </w:t>
            </w:r>
            <w:r>
              <w:rPr>
                <w:rFonts w:hint="eastAsia" w:ascii="宋体" w:hAnsi="宋体"/>
                <w:color w:val="auto"/>
                <w:spacing w:val="-6"/>
                <w:highlight w:val="none"/>
              </w:rPr>
              <w:t>元</w:t>
            </w:r>
            <w:r>
              <w:rPr>
                <w:rFonts w:ascii="宋体" w:hAnsi="宋体"/>
                <w:color w:val="auto"/>
                <w:spacing w:val="-6"/>
                <w:highlight w:val="none"/>
              </w:rPr>
              <w:t>人民币（</w:t>
            </w:r>
            <w:r>
              <w:rPr>
                <w:rFonts w:hint="eastAsia" w:ascii="宋体" w:hAnsi="宋体"/>
                <w:color w:val="auto"/>
                <w:spacing w:val="-6"/>
                <w:highlight w:val="none"/>
              </w:rPr>
              <w:t>¥</w:t>
            </w:r>
            <w:r>
              <w:rPr>
                <w:rFonts w:ascii="宋体" w:hAnsi="宋体"/>
                <w:color w:val="auto"/>
                <w:spacing w:val="-6"/>
                <w:highlight w:val="none"/>
              </w:rPr>
              <w:t xml:space="preserve">             ）</w:t>
            </w:r>
          </w:p>
        </w:tc>
      </w:tr>
      <w:tr w14:paraId="02B9B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24" w:type="dxa"/>
            <w:gridSpan w:val="10"/>
            <w:tcBorders>
              <w:top w:val="single" w:color="auto" w:sz="4" w:space="0"/>
              <w:left w:val="single" w:color="auto" w:sz="4" w:space="0"/>
              <w:bottom w:val="single" w:color="auto" w:sz="4" w:space="0"/>
            </w:tcBorders>
            <w:vAlign w:val="center"/>
          </w:tcPr>
          <w:p w14:paraId="773B43F9">
            <w:pPr>
              <w:spacing w:line="300" w:lineRule="exact"/>
              <w:rPr>
                <w:rFonts w:ascii="宋体" w:hAnsi="宋体"/>
                <w:color w:val="auto"/>
                <w:spacing w:val="-6"/>
                <w:highlight w:val="none"/>
              </w:rPr>
            </w:pPr>
            <w:r>
              <w:rPr>
                <w:rFonts w:hint="eastAsia" w:ascii="宋体" w:hAnsi="宋体"/>
                <w:color w:val="auto"/>
                <w:spacing w:val="-6"/>
                <w:highlight w:val="none"/>
              </w:rPr>
              <w:t>交付使用期:</w:t>
            </w:r>
          </w:p>
        </w:tc>
      </w:tr>
      <w:tr w14:paraId="52151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24" w:type="dxa"/>
            <w:gridSpan w:val="10"/>
            <w:tcBorders>
              <w:top w:val="single" w:color="auto" w:sz="4" w:space="0"/>
              <w:left w:val="single" w:color="auto" w:sz="4" w:space="0"/>
              <w:bottom w:val="single" w:color="auto" w:sz="4" w:space="0"/>
            </w:tcBorders>
            <w:vAlign w:val="center"/>
          </w:tcPr>
          <w:p w14:paraId="16288861">
            <w:pPr>
              <w:spacing w:line="300" w:lineRule="exact"/>
              <w:rPr>
                <w:rFonts w:ascii="宋体" w:hAnsi="宋体"/>
                <w:color w:val="auto"/>
                <w:spacing w:val="-6"/>
                <w:highlight w:val="none"/>
              </w:rPr>
            </w:pPr>
            <w:r>
              <w:rPr>
                <w:rFonts w:hint="eastAsia" w:ascii="宋体" w:hAnsi="宋体"/>
                <w:color w:val="auto"/>
                <w:spacing w:val="-6"/>
                <w:highlight w:val="none"/>
              </w:rPr>
              <w:t>免费保修期:</w:t>
            </w:r>
          </w:p>
        </w:tc>
      </w:tr>
      <w:tr w14:paraId="51CD2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9924" w:type="dxa"/>
            <w:gridSpan w:val="10"/>
            <w:tcBorders>
              <w:top w:val="single" w:color="auto" w:sz="4" w:space="0"/>
              <w:left w:val="single" w:color="auto" w:sz="4" w:space="0"/>
              <w:bottom w:val="single" w:color="auto" w:sz="4" w:space="0"/>
            </w:tcBorders>
            <w:vAlign w:val="center"/>
          </w:tcPr>
          <w:p w14:paraId="573D9146">
            <w:pPr>
              <w:spacing w:line="340" w:lineRule="exact"/>
              <w:rPr>
                <w:rFonts w:ascii="宋体" w:hAnsi="宋体"/>
                <w:color w:val="auto"/>
                <w:highlight w:val="none"/>
              </w:rPr>
            </w:pPr>
            <w:r>
              <w:rPr>
                <w:rFonts w:hint="eastAsia" w:ascii="宋体" w:hAnsi="宋体"/>
                <w:color w:val="auto"/>
                <w:highlight w:val="none"/>
              </w:rPr>
              <w:t>说明：投标报价指</w:t>
            </w:r>
            <w:r>
              <w:rPr>
                <w:rFonts w:hint="eastAsia" w:ascii="宋体" w:hAnsi="宋体"/>
                <w:color w:val="auto"/>
                <w:szCs w:val="21"/>
                <w:highlight w:val="none"/>
              </w:rPr>
              <w:t>本次招标采购范围内货物价款、</w:t>
            </w:r>
            <w:r>
              <w:rPr>
                <w:rFonts w:hint="eastAsia" w:ascii="宋体" w:hAnsi="宋体" w:cs="Courier New"/>
                <w:color w:val="auto"/>
                <w:szCs w:val="21"/>
                <w:highlight w:val="none"/>
              </w:rPr>
              <w:t>货物随配标准附件、</w:t>
            </w:r>
            <w:r>
              <w:rPr>
                <w:rFonts w:hint="eastAsia" w:ascii="宋体" w:hAnsi="宋体"/>
                <w:color w:val="auto"/>
                <w:szCs w:val="21"/>
                <w:highlight w:val="none"/>
              </w:rPr>
              <w:t>包装、运输、装卸、保险、税金、货到位以及安装、安装所需辅材、调试、检验、售后服务、培训、保修</w:t>
            </w:r>
            <w:r>
              <w:rPr>
                <w:rFonts w:hint="eastAsia" w:ascii="宋体" w:hAnsi="宋体" w:cs="Courier New"/>
                <w:color w:val="auto"/>
                <w:szCs w:val="21"/>
                <w:highlight w:val="none"/>
              </w:rPr>
              <w:t>及其他所有成本费用的总和</w:t>
            </w:r>
            <w:r>
              <w:rPr>
                <w:rFonts w:hint="eastAsia" w:ascii="宋体" w:hAnsi="宋体"/>
                <w:color w:val="auto"/>
                <w:szCs w:val="21"/>
                <w:highlight w:val="none"/>
              </w:rPr>
              <w:t>；</w:t>
            </w:r>
            <w:r>
              <w:rPr>
                <w:rFonts w:hint="eastAsia" w:ascii="宋体" w:hAnsi="宋体"/>
                <w:color w:val="auto"/>
                <w:highlight w:val="none"/>
              </w:rPr>
              <w:t>投标人综合考虑在报价中。</w:t>
            </w:r>
          </w:p>
        </w:tc>
      </w:tr>
    </w:tbl>
    <w:p w14:paraId="69DDE909">
      <w:pPr>
        <w:spacing w:line="340" w:lineRule="exact"/>
        <w:rPr>
          <w:rFonts w:ascii="宋体" w:hAnsi="宋体"/>
          <w:color w:val="auto"/>
          <w:szCs w:val="21"/>
          <w:highlight w:val="none"/>
        </w:rPr>
      </w:pPr>
    </w:p>
    <w:p w14:paraId="0E58E6DA">
      <w:pPr>
        <w:spacing w:line="340" w:lineRule="exact"/>
        <w:rPr>
          <w:rFonts w:ascii="宋体" w:hAnsi="宋体"/>
          <w:color w:val="auto"/>
          <w:szCs w:val="21"/>
          <w:highlight w:val="none"/>
          <w:u w:val="single"/>
        </w:rPr>
      </w:pPr>
      <w:r>
        <w:rPr>
          <w:rFonts w:hint="eastAsia" w:ascii="宋体" w:hAnsi="宋体"/>
          <w:color w:val="auto"/>
          <w:szCs w:val="21"/>
          <w:highlight w:val="none"/>
        </w:rPr>
        <w:t>投标人（CA签章，自然人除外）：</w:t>
      </w:r>
    </w:p>
    <w:p w14:paraId="4F5289F1">
      <w:pPr>
        <w:spacing w:line="340" w:lineRule="exact"/>
        <w:rPr>
          <w:rFonts w:ascii="宋体" w:hAnsi="宋体"/>
          <w:color w:val="auto"/>
          <w:szCs w:val="21"/>
          <w:highlight w:val="none"/>
          <w:u w:val="single"/>
        </w:rPr>
      </w:pPr>
      <w:r>
        <w:rPr>
          <w:rFonts w:hint="eastAsia" w:hAnsi="宋体"/>
          <w:color w:val="auto"/>
          <w:highlight w:val="none"/>
        </w:rPr>
        <w:t>法定代表人、负责人、自然人或相应的委托代理人签字或个人CA签章（属自然人的应在签名处加盖食指指印或个人CA签章）：</w:t>
      </w:r>
    </w:p>
    <w:p w14:paraId="6F069DB7">
      <w:pPr>
        <w:spacing w:line="340" w:lineRule="exact"/>
        <w:rPr>
          <w:rFonts w:ascii="宋体" w:hAnsi="宋体"/>
          <w:color w:val="auto"/>
          <w:highlight w:val="none"/>
        </w:rPr>
      </w:pPr>
    </w:p>
    <w:p w14:paraId="38FF0127">
      <w:pPr>
        <w:tabs>
          <w:tab w:val="left" w:pos="1305"/>
        </w:tabs>
        <w:spacing w:line="360" w:lineRule="exact"/>
        <w:ind w:left="630" w:leftChars="100" w:hanging="420" w:hangingChars="200"/>
        <w:rPr>
          <w:rFonts w:ascii="宋体" w:hAnsi="宋体"/>
          <w:bCs/>
          <w:color w:val="auto"/>
          <w:szCs w:val="21"/>
          <w:highlight w:val="none"/>
        </w:rPr>
      </w:pPr>
      <w:r>
        <w:rPr>
          <w:rFonts w:hint="eastAsia" w:ascii="宋体" w:hAnsi="宋体"/>
          <w:bCs/>
          <w:color w:val="auto"/>
          <w:szCs w:val="21"/>
          <w:highlight w:val="none"/>
        </w:rPr>
        <w:t>注</w:t>
      </w:r>
      <w:r>
        <w:rPr>
          <w:rFonts w:hint="eastAsia" w:ascii="宋体" w:hAnsi="宋体"/>
          <w:b/>
          <w:bCs/>
          <w:color w:val="auto"/>
          <w:szCs w:val="21"/>
          <w:highlight w:val="none"/>
        </w:rPr>
        <w:t>：</w:t>
      </w:r>
      <w:r>
        <w:rPr>
          <w:rFonts w:hint="eastAsia" w:ascii="宋体" w:hAnsi="宋体"/>
          <w:bCs/>
          <w:color w:val="auto"/>
          <w:szCs w:val="21"/>
          <w:highlight w:val="none"/>
        </w:rPr>
        <w:t>1.各投标人</w:t>
      </w:r>
      <w:r>
        <w:rPr>
          <w:rFonts w:hint="eastAsia" w:ascii="宋体" w:hAnsi="宋体"/>
          <w:color w:val="auto"/>
          <w:szCs w:val="21"/>
          <w:highlight w:val="none"/>
        </w:rPr>
        <w:t>必须就“采购需求”中所投分标的所有内容作完整唯一报价，否则，其投标将被拒绝。投标文件只允许有一个报价。</w:t>
      </w:r>
    </w:p>
    <w:p w14:paraId="76E86099">
      <w:pPr>
        <w:pStyle w:val="16"/>
        <w:spacing w:line="360" w:lineRule="exact"/>
        <w:ind w:firstLine="630" w:firstLineChars="300"/>
        <w:rPr>
          <w:rFonts w:hAnsi="宋体"/>
          <w:color w:val="auto"/>
          <w:highlight w:val="none"/>
        </w:rPr>
      </w:pPr>
      <w:r>
        <w:rPr>
          <w:rFonts w:hint="eastAsia" w:hAnsi="宋体"/>
          <w:color w:val="auto"/>
          <w:highlight w:val="none"/>
        </w:rPr>
        <w:t>2.投标人应根据所投货物如实填写投标报价表</w:t>
      </w:r>
      <w:r>
        <w:rPr>
          <w:rFonts w:hint="eastAsia" w:hAnsi="宋体"/>
          <w:bCs/>
          <w:color w:val="auto"/>
          <w:szCs w:val="21"/>
          <w:highlight w:val="none"/>
        </w:rPr>
        <w:t>的各项内容。</w:t>
      </w:r>
    </w:p>
    <w:p w14:paraId="338AD5E6">
      <w:pPr>
        <w:pStyle w:val="16"/>
        <w:spacing w:line="360" w:lineRule="exact"/>
        <w:ind w:left="630" w:leftChars="300"/>
        <w:rPr>
          <w:rFonts w:hAnsi="宋体"/>
          <w:b/>
          <w:bCs/>
          <w:color w:val="auto"/>
          <w:szCs w:val="21"/>
          <w:highlight w:val="none"/>
        </w:rPr>
      </w:pPr>
      <w:r>
        <w:rPr>
          <w:rFonts w:hint="eastAsia"/>
          <w:color w:val="auto"/>
          <w:highlight w:val="none"/>
        </w:rPr>
        <w:t>3.投标报价表须由法定代表人负责人、自然人或相应的委托代理人签字</w:t>
      </w:r>
      <w:r>
        <w:rPr>
          <w:rFonts w:hint="eastAsia" w:hAnsi="宋体"/>
          <w:color w:val="auto"/>
          <w:highlight w:val="none"/>
        </w:rPr>
        <w:t>或个人CA签章（属自然人的应在签名处加盖食指指印或个人CA签章）</w:t>
      </w:r>
      <w:r>
        <w:rPr>
          <w:rFonts w:hint="eastAsia"/>
          <w:color w:val="auto"/>
          <w:highlight w:val="none"/>
        </w:rPr>
        <w:t>并加盖投标人CA签章（自然人除外）。</w:t>
      </w:r>
      <w:r>
        <w:rPr>
          <w:rFonts w:hint="eastAsia"/>
          <w:b/>
          <w:color w:val="auto"/>
          <w:highlight w:val="none"/>
        </w:rPr>
        <w:t>当本表由多页构成时，需逐页加盖投标人公章（属自然人的须逐页签字或个人CA签章）。</w:t>
      </w:r>
    </w:p>
    <w:p w14:paraId="4B86D033">
      <w:pPr>
        <w:spacing w:line="360" w:lineRule="exact"/>
        <w:ind w:left="630" w:leftChars="300"/>
        <w:rPr>
          <w:rFonts w:ascii="宋体" w:hAnsi="宋体"/>
          <w:color w:val="auto"/>
          <w:szCs w:val="20"/>
          <w:highlight w:val="none"/>
        </w:rPr>
      </w:pPr>
      <w:r>
        <w:rPr>
          <w:rFonts w:hint="eastAsia" w:ascii="宋体" w:hAnsi="宋体"/>
          <w:bCs/>
          <w:color w:val="auto"/>
          <w:szCs w:val="21"/>
          <w:highlight w:val="none"/>
        </w:rPr>
        <w:t>4.如投标的全部或部分产品属于《节能产品政府采购清单》或《环境标志产品政府采购清单》目录范围的，投标人应在本表备注栏内写明各分项货物属于节能（或环境标志）产品政府采购清单第几类第几项序号的产品；属于节能产品或环境标志产品，但不在上述最新目录范围内的，请在本表备注栏内写明“详见证明材料”，并提供相关证明材料扫描件（加盖投标人CA签章，属自然人的应在签名处加盖食指指印或个人CA签章），以便评标委员会作为优先采购或评分的依据。</w:t>
      </w:r>
    </w:p>
    <w:p w14:paraId="1E8FCCC8">
      <w:pPr>
        <w:pStyle w:val="2"/>
        <w:rPr>
          <w:rFonts w:ascii="宋体" w:hAnsi="宋体"/>
          <w:color w:val="auto"/>
          <w:sz w:val="21"/>
          <w:highlight w:val="none"/>
        </w:rPr>
      </w:pPr>
    </w:p>
    <w:p w14:paraId="50081E7C">
      <w:pPr>
        <w:rPr>
          <w:color w:val="auto"/>
          <w:highlight w:val="none"/>
        </w:rPr>
      </w:pPr>
    </w:p>
    <w:p w14:paraId="18668893">
      <w:pPr>
        <w:rPr>
          <w:rFonts w:ascii="宋体" w:hAnsi="宋体" w:cs="宋体"/>
          <w:b/>
          <w:bCs/>
          <w:color w:val="auto"/>
          <w:sz w:val="32"/>
          <w:szCs w:val="32"/>
          <w:highlight w:val="none"/>
        </w:rPr>
      </w:pPr>
      <w:r>
        <w:rPr>
          <w:rFonts w:hint="eastAsia" w:ascii="宋体" w:hAnsi="宋体" w:cs="宋体"/>
          <w:b/>
          <w:bCs/>
          <w:color w:val="auto"/>
          <w:sz w:val="32"/>
          <w:szCs w:val="32"/>
          <w:highlight w:val="none"/>
        </w:rPr>
        <w:t>2.技术规格偏离表（格式见附件）（必须提供）</w:t>
      </w:r>
    </w:p>
    <w:p w14:paraId="0A9B8087">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5E722BB3">
      <w:pPr>
        <w:jc w:val="center"/>
        <w:rPr>
          <w:rFonts w:ascii="宋体" w:hAnsi="宋体" w:cs="宋体"/>
          <w:b/>
          <w:bCs/>
          <w:color w:val="auto"/>
          <w:sz w:val="32"/>
          <w:highlight w:val="none"/>
        </w:rPr>
      </w:pPr>
      <w:r>
        <w:rPr>
          <w:rFonts w:hint="eastAsia" w:ascii="宋体" w:hAnsi="宋体" w:cs="宋体"/>
          <w:b/>
          <w:color w:val="auto"/>
          <w:sz w:val="32"/>
          <w:szCs w:val="32"/>
          <w:highlight w:val="none"/>
        </w:rPr>
        <w:t>技术规格偏离表</w:t>
      </w:r>
      <w:r>
        <w:rPr>
          <w:rFonts w:hint="eastAsia" w:ascii="宋体" w:hAnsi="宋体" w:cs="宋体"/>
          <w:b/>
          <w:bCs/>
          <w:color w:val="auto"/>
          <w:sz w:val="32"/>
          <w:highlight w:val="none"/>
        </w:rPr>
        <w:t>（格式）</w:t>
      </w:r>
    </w:p>
    <w:p w14:paraId="3B6FDBEC">
      <w:pPr>
        <w:pStyle w:val="108"/>
        <w:rPr>
          <w:color w:val="auto"/>
          <w:highlight w:val="none"/>
        </w:rPr>
      </w:pPr>
    </w:p>
    <w:tbl>
      <w:tblPr>
        <w:tblStyle w:val="3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14:paraId="603D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vAlign w:val="center"/>
          </w:tcPr>
          <w:p w14:paraId="4DF2CED3">
            <w:pPr>
              <w:spacing w:line="400" w:lineRule="exact"/>
              <w:jc w:val="center"/>
              <w:rPr>
                <w:rFonts w:ascii="宋体" w:hAnsi="宋体" w:cs="宋体"/>
                <w:b/>
                <w:color w:val="auto"/>
                <w:highlight w:val="none"/>
              </w:rPr>
            </w:pPr>
            <w:r>
              <w:rPr>
                <w:rFonts w:hint="eastAsia" w:ascii="宋体" w:hAnsi="宋体" w:cs="宋体"/>
                <w:b/>
                <w:color w:val="auto"/>
                <w:highlight w:val="none"/>
              </w:rPr>
              <w:t>序号</w:t>
            </w:r>
          </w:p>
        </w:tc>
        <w:tc>
          <w:tcPr>
            <w:tcW w:w="2126" w:type="dxa"/>
            <w:shd w:val="clear" w:color="auto" w:fill="8DB3E2"/>
            <w:vAlign w:val="center"/>
          </w:tcPr>
          <w:p w14:paraId="4501F138">
            <w:pPr>
              <w:spacing w:line="400" w:lineRule="exact"/>
              <w:jc w:val="center"/>
              <w:rPr>
                <w:rFonts w:ascii="宋体" w:hAnsi="宋体" w:cs="宋体"/>
                <w:b/>
                <w:color w:val="auto"/>
                <w:highlight w:val="none"/>
              </w:rPr>
            </w:pPr>
            <w:r>
              <w:rPr>
                <w:rFonts w:hint="eastAsia" w:ascii="宋体" w:hAnsi="宋体" w:cs="宋体"/>
                <w:b/>
                <w:color w:val="auto"/>
                <w:highlight w:val="none"/>
              </w:rPr>
              <w:t>货物名称</w:t>
            </w:r>
          </w:p>
        </w:tc>
        <w:tc>
          <w:tcPr>
            <w:tcW w:w="2313" w:type="dxa"/>
            <w:shd w:val="clear" w:color="auto" w:fill="8DB3E2"/>
            <w:vAlign w:val="center"/>
          </w:tcPr>
          <w:p w14:paraId="76A42E0D">
            <w:pPr>
              <w:spacing w:line="400" w:lineRule="exact"/>
              <w:jc w:val="center"/>
              <w:rPr>
                <w:rFonts w:ascii="宋体" w:hAnsi="宋体" w:cs="宋体"/>
                <w:b/>
                <w:color w:val="auto"/>
                <w:highlight w:val="none"/>
              </w:rPr>
            </w:pPr>
            <w:r>
              <w:rPr>
                <w:rFonts w:hint="eastAsia" w:ascii="宋体" w:hAnsi="宋体" w:cs="宋体"/>
                <w:b/>
                <w:color w:val="auto"/>
                <w:szCs w:val="21"/>
                <w:highlight w:val="none"/>
              </w:rPr>
              <w:t>项目要求及技术需求</w:t>
            </w:r>
          </w:p>
        </w:tc>
        <w:tc>
          <w:tcPr>
            <w:tcW w:w="2520" w:type="dxa"/>
            <w:shd w:val="clear" w:color="auto" w:fill="8DB3E2"/>
            <w:vAlign w:val="center"/>
          </w:tcPr>
          <w:p w14:paraId="22B0E27D">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投标文件的响应情况</w:t>
            </w:r>
          </w:p>
        </w:tc>
        <w:tc>
          <w:tcPr>
            <w:tcW w:w="2113" w:type="dxa"/>
            <w:shd w:val="clear" w:color="auto" w:fill="8DB3E2"/>
            <w:vAlign w:val="center"/>
          </w:tcPr>
          <w:p w14:paraId="534F981D">
            <w:pPr>
              <w:spacing w:line="400" w:lineRule="exact"/>
              <w:jc w:val="center"/>
              <w:rPr>
                <w:rFonts w:ascii="宋体" w:hAnsi="宋体" w:cs="宋体"/>
                <w:b/>
                <w:color w:val="auto"/>
                <w:highlight w:val="none"/>
              </w:rPr>
            </w:pPr>
            <w:r>
              <w:rPr>
                <w:rFonts w:hint="eastAsia" w:ascii="宋体" w:hAnsi="宋体" w:cs="宋体"/>
                <w:b/>
                <w:color w:val="auto"/>
                <w:highlight w:val="none"/>
              </w:rPr>
              <w:t>偏离情况说明</w:t>
            </w:r>
          </w:p>
        </w:tc>
      </w:tr>
      <w:tr w14:paraId="16DB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0A787B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126" w:type="dxa"/>
            <w:vAlign w:val="center"/>
          </w:tcPr>
          <w:p w14:paraId="3BDEFA10">
            <w:pPr>
              <w:spacing w:line="400" w:lineRule="exact"/>
              <w:rPr>
                <w:rFonts w:ascii="宋体" w:hAnsi="宋体" w:cs="宋体"/>
                <w:color w:val="auto"/>
                <w:kern w:val="0"/>
                <w:szCs w:val="21"/>
                <w:highlight w:val="none"/>
              </w:rPr>
            </w:pPr>
          </w:p>
        </w:tc>
        <w:tc>
          <w:tcPr>
            <w:tcW w:w="2313" w:type="dxa"/>
            <w:vAlign w:val="center"/>
          </w:tcPr>
          <w:p w14:paraId="74B1C4D4">
            <w:pPr>
              <w:spacing w:line="400" w:lineRule="exact"/>
              <w:jc w:val="left"/>
              <w:rPr>
                <w:rFonts w:ascii="宋体" w:hAnsi="宋体" w:cs="宋体"/>
                <w:color w:val="auto"/>
                <w:highlight w:val="none"/>
              </w:rPr>
            </w:pPr>
          </w:p>
        </w:tc>
        <w:tc>
          <w:tcPr>
            <w:tcW w:w="2520" w:type="dxa"/>
          </w:tcPr>
          <w:p w14:paraId="4FEF47E4">
            <w:pPr>
              <w:spacing w:line="400" w:lineRule="exact"/>
              <w:jc w:val="left"/>
              <w:rPr>
                <w:rFonts w:ascii="宋体" w:hAnsi="宋体" w:cs="宋体"/>
                <w:color w:val="auto"/>
                <w:highlight w:val="none"/>
              </w:rPr>
            </w:pPr>
          </w:p>
        </w:tc>
        <w:tc>
          <w:tcPr>
            <w:tcW w:w="2113" w:type="dxa"/>
            <w:vAlign w:val="center"/>
          </w:tcPr>
          <w:p w14:paraId="078E2247">
            <w:pPr>
              <w:spacing w:line="400" w:lineRule="exact"/>
              <w:jc w:val="left"/>
              <w:rPr>
                <w:rFonts w:ascii="宋体" w:hAnsi="宋体" w:cs="宋体"/>
                <w:color w:val="auto"/>
                <w:highlight w:val="none"/>
              </w:rPr>
            </w:pPr>
          </w:p>
        </w:tc>
      </w:tr>
      <w:tr w14:paraId="06B7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A3F74B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126" w:type="dxa"/>
            <w:vAlign w:val="center"/>
          </w:tcPr>
          <w:p w14:paraId="03904A60">
            <w:pPr>
              <w:spacing w:line="400" w:lineRule="exact"/>
              <w:rPr>
                <w:rFonts w:ascii="宋体" w:hAnsi="宋体" w:cs="宋体"/>
                <w:color w:val="auto"/>
                <w:kern w:val="0"/>
                <w:szCs w:val="21"/>
                <w:highlight w:val="none"/>
              </w:rPr>
            </w:pPr>
          </w:p>
        </w:tc>
        <w:tc>
          <w:tcPr>
            <w:tcW w:w="2313" w:type="dxa"/>
            <w:vAlign w:val="center"/>
          </w:tcPr>
          <w:p w14:paraId="15BD0472">
            <w:pPr>
              <w:spacing w:line="400" w:lineRule="exact"/>
              <w:jc w:val="left"/>
              <w:rPr>
                <w:rFonts w:ascii="宋体" w:hAnsi="宋体" w:cs="宋体"/>
                <w:color w:val="auto"/>
                <w:highlight w:val="none"/>
              </w:rPr>
            </w:pPr>
          </w:p>
        </w:tc>
        <w:tc>
          <w:tcPr>
            <w:tcW w:w="2520" w:type="dxa"/>
          </w:tcPr>
          <w:p w14:paraId="7D0A2C64">
            <w:pPr>
              <w:spacing w:line="400" w:lineRule="exact"/>
              <w:jc w:val="left"/>
              <w:rPr>
                <w:rFonts w:ascii="宋体" w:hAnsi="宋体" w:cs="宋体"/>
                <w:color w:val="auto"/>
                <w:highlight w:val="none"/>
              </w:rPr>
            </w:pPr>
          </w:p>
        </w:tc>
        <w:tc>
          <w:tcPr>
            <w:tcW w:w="2113" w:type="dxa"/>
            <w:vAlign w:val="center"/>
          </w:tcPr>
          <w:p w14:paraId="7C9BAEC3">
            <w:pPr>
              <w:spacing w:line="400" w:lineRule="exact"/>
              <w:jc w:val="left"/>
              <w:rPr>
                <w:rFonts w:ascii="宋体" w:hAnsi="宋体" w:cs="宋体"/>
                <w:color w:val="auto"/>
                <w:highlight w:val="none"/>
              </w:rPr>
            </w:pPr>
          </w:p>
        </w:tc>
      </w:tr>
      <w:tr w14:paraId="2E2B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4346C8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126" w:type="dxa"/>
            <w:vAlign w:val="center"/>
          </w:tcPr>
          <w:p w14:paraId="1FF38883">
            <w:pPr>
              <w:spacing w:line="400" w:lineRule="exact"/>
              <w:rPr>
                <w:rFonts w:ascii="宋体" w:hAnsi="宋体" w:cs="宋体"/>
                <w:color w:val="auto"/>
                <w:kern w:val="0"/>
                <w:szCs w:val="21"/>
                <w:highlight w:val="none"/>
              </w:rPr>
            </w:pPr>
          </w:p>
        </w:tc>
        <w:tc>
          <w:tcPr>
            <w:tcW w:w="2313" w:type="dxa"/>
          </w:tcPr>
          <w:p w14:paraId="38D7C048">
            <w:pPr>
              <w:spacing w:line="400" w:lineRule="exact"/>
              <w:jc w:val="left"/>
              <w:rPr>
                <w:rFonts w:ascii="宋体" w:hAnsi="宋体" w:cs="宋体"/>
                <w:color w:val="auto"/>
                <w:highlight w:val="none"/>
              </w:rPr>
            </w:pPr>
          </w:p>
        </w:tc>
        <w:tc>
          <w:tcPr>
            <w:tcW w:w="2520" w:type="dxa"/>
          </w:tcPr>
          <w:p w14:paraId="76938CD3">
            <w:pPr>
              <w:spacing w:line="400" w:lineRule="exact"/>
              <w:jc w:val="left"/>
              <w:rPr>
                <w:rFonts w:ascii="宋体" w:hAnsi="宋体" w:cs="宋体"/>
                <w:color w:val="auto"/>
                <w:highlight w:val="none"/>
              </w:rPr>
            </w:pPr>
          </w:p>
        </w:tc>
        <w:tc>
          <w:tcPr>
            <w:tcW w:w="2113" w:type="dxa"/>
          </w:tcPr>
          <w:p w14:paraId="3A87C8DE">
            <w:pPr>
              <w:spacing w:line="400" w:lineRule="exact"/>
              <w:jc w:val="left"/>
              <w:rPr>
                <w:rFonts w:ascii="宋体" w:hAnsi="宋体" w:cs="宋体"/>
                <w:color w:val="auto"/>
                <w:highlight w:val="none"/>
              </w:rPr>
            </w:pPr>
          </w:p>
        </w:tc>
      </w:tr>
      <w:tr w14:paraId="5451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735F6E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126" w:type="dxa"/>
            <w:vAlign w:val="center"/>
          </w:tcPr>
          <w:p w14:paraId="30948587">
            <w:pPr>
              <w:spacing w:line="400" w:lineRule="exact"/>
              <w:rPr>
                <w:rFonts w:ascii="宋体" w:hAnsi="宋体" w:cs="宋体"/>
                <w:color w:val="auto"/>
                <w:kern w:val="0"/>
                <w:szCs w:val="21"/>
                <w:highlight w:val="none"/>
              </w:rPr>
            </w:pPr>
          </w:p>
        </w:tc>
        <w:tc>
          <w:tcPr>
            <w:tcW w:w="2313" w:type="dxa"/>
          </w:tcPr>
          <w:p w14:paraId="5AF57C99">
            <w:pPr>
              <w:spacing w:line="400" w:lineRule="exact"/>
              <w:jc w:val="left"/>
              <w:rPr>
                <w:rFonts w:ascii="宋体" w:hAnsi="宋体" w:cs="宋体"/>
                <w:color w:val="auto"/>
                <w:highlight w:val="none"/>
              </w:rPr>
            </w:pPr>
          </w:p>
        </w:tc>
        <w:tc>
          <w:tcPr>
            <w:tcW w:w="2520" w:type="dxa"/>
          </w:tcPr>
          <w:p w14:paraId="6EEFAFB5">
            <w:pPr>
              <w:spacing w:line="400" w:lineRule="exact"/>
              <w:jc w:val="left"/>
              <w:rPr>
                <w:rFonts w:ascii="宋体" w:hAnsi="宋体" w:cs="宋体"/>
                <w:color w:val="auto"/>
                <w:highlight w:val="none"/>
              </w:rPr>
            </w:pPr>
          </w:p>
        </w:tc>
        <w:tc>
          <w:tcPr>
            <w:tcW w:w="2113" w:type="dxa"/>
          </w:tcPr>
          <w:p w14:paraId="774D6F64">
            <w:pPr>
              <w:spacing w:line="400" w:lineRule="exact"/>
              <w:jc w:val="left"/>
              <w:rPr>
                <w:rFonts w:ascii="宋体" w:hAnsi="宋体" w:cs="宋体"/>
                <w:color w:val="auto"/>
                <w:highlight w:val="none"/>
              </w:rPr>
            </w:pPr>
          </w:p>
        </w:tc>
      </w:tr>
      <w:tr w14:paraId="32DC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D9487B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126" w:type="dxa"/>
            <w:vAlign w:val="center"/>
          </w:tcPr>
          <w:p w14:paraId="4D969AB3">
            <w:pPr>
              <w:spacing w:line="400" w:lineRule="exact"/>
              <w:rPr>
                <w:rFonts w:ascii="宋体" w:hAnsi="宋体" w:cs="宋体"/>
                <w:color w:val="auto"/>
                <w:kern w:val="0"/>
                <w:szCs w:val="21"/>
                <w:highlight w:val="none"/>
              </w:rPr>
            </w:pPr>
          </w:p>
        </w:tc>
        <w:tc>
          <w:tcPr>
            <w:tcW w:w="2313" w:type="dxa"/>
          </w:tcPr>
          <w:p w14:paraId="20EB2D0A">
            <w:pPr>
              <w:spacing w:line="400" w:lineRule="exact"/>
              <w:jc w:val="left"/>
              <w:rPr>
                <w:rFonts w:ascii="宋体" w:hAnsi="宋体" w:cs="宋体"/>
                <w:color w:val="auto"/>
                <w:highlight w:val="none"/>
              </w:rPr>
            </w:pPr>
          </w:p>
        </w:tc>
        <w:tc>
          <w:tcPr>
            <w:tcW w:w="2520" w:type="dxa"/>
          </w:tcPr>
          <w:p w14:paraId="7C8E9A42">
            <w:pPr>
              <w:spacing w:line="400" w:lineRule="exact"/>
              <w:jc w:val="left"/>
              <w:rPr>
                <w:rFonts w:ascii="宋体" w:hAnsi="宋体" w:cs="宋体"/>
                <w:color w:val="auto"/>
                <w:highlight w:val="none"/>
              </w:rPr>
            </w:pPr>
          </w:p>
        </w:tc>
        <w:tc>
          <w:tcPr>
            <w:tcW w:w="2113" w:type="dxa"/>
          </w:tcPr>
          <w:p w14:paraId="19710453">
            <w:pPr>
              <w:spacing w:line="400" w:lineRule="exact"/>
              <w:jc w:val="left"/>
              <w:rPr>
                <w:rFonts w:ascii="宋体" w:hAnsi="宋体" w:cs="宋体"/>
                <w:color w:val="auto"/>
                <w:highlight w:val="none"/>
              </w:rPr>
            </w:pPr>
          </w:p>
        </w:tc>
      </w:tr>
      <w:tr w14:paraId="48DC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D51174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N</w:t>
            </w:r>
          </w:p>
        </w:tc>
        <w:tc>
          <w:tcPr>
            <w:tcW w:w="2126" w:type="dxa"/>
            <w:vAlign w:val="center"/>
          </w:tcPr>
          <w:p w14:paraId="15179FF3">
            <w:pPr>
              <w:spacing w:line="400" w:lineRule="exact"/>
              <w:rPr>
                <w:rFonts w:ascii="宋体" w:hAnsi="宋体" w:cs="宋体"/>
                <w:b/>
                <w:bCs/>
                <w:color w:val="auto"/>
                <w:kern w:val="0"/>
                <w:szCs w:val="21"/>
                <w:highlight w:val="none"/>
              </w:rPr>
            </w:pPr>
          </w:p>
        </w:tc>
        <w:tc>
          <w:tcPr>
            <w:tcW w:w="2313" w:type="dxa"/>
          </w:tcPr>
          <w:p w14:paraId="4D52840D">
            <w:pPr>
              <w:spacing w:line="400" w:lineRule="exact"/>
              <w:jc w:val="left"/>
              <w:rPr>
                <w:rFonts w:ascii="宋体" w:hAnsi="宋体" w:cs="宋体"/>
                <w:color w:val="auto"/>
                <w:highlight w:val="none"/>
              </w:rPr>
            </w:pPr>
          </w:p>
        </w:tc>
        <w:tc>
          <w:tcPr>
            <w:tcW w:w="2520" w:type="dxa"/>
          </w:tcPr>
          <w:p w14:paraId="2A149222">
            <w:pPr>
              <w:spacing w:line="400" w:lineRule="exact"/>
              <w:jc w:val="left"/>
              <w:rPr>
                <w:rFonts w:ascii="宋体" w:hAnsi="宋体" w:cs="宋体"/>
                <w:color w:val="auto"/>
                <w:highlight w:val="none"/>
              </w:rPr>
            </w:pPr>
          </w:p>
        </w:tc>
        <w:tc>
          <w:tcPr>
            <w:tcW w:w="2113" w:type="dxa"/>
          </w:tcPr>
          <w:p w14:paraId="3F8F6402">
            <w:pPr>
              <w:spacing w:line="400" w:lineRule="exact"/>
              <w:jc w:val="left"/>
              <w:rPr>
                <w:rFonts w:ascii="宋体" w:hAnsi="宋体" w:cs="宋体"/>
                <w:color w:val="auto"/>
                <w:highlight w:val="none"/>
              </w:rPr>
            </w:pPr>
          </w:p>
        </w:tc>
      </w:tr>
    </w:tbl>
    <w:p w14:paraId="38D67D29">
      <w:pPr>
        <w:snapToGrid w:val="0"/>
        <w:spacing w:line="400" w:lineRule="exact"/>
        <w:rPr>
          <w:rFonts w:ascii="宋体" w:hAnsi="宋体" w:cs="宋体"/>
          <w:color w:val="auto"/>
          <w:szCs w:val="20"/>
          <w:highlight w:val="none"/>
          <w:u w:val="single"/>
        </w:rPr>
      </w:pPr>
      <w:r>
        <w:rPr>
          <w:rFonts w:hint="eastAsia" w:ascii="宋体" w:hAnsi="宋体" w:cs="宋体"/>
          <w:color w:val="auto"/>
          <w:highlight w:val="none"/>
        </w:rPr>
        <w:t>注：投标人应对照招标文件中项目要求及技术需求的内容逐条响应，并在“偏离情况说明”栏注明“正偏离”、“负偏离”或“无偏离”。</w:t>
      </w:r>
    </w:p>
    <w:p w14:paraId="0BAEFF42">
      <w:pPr>
        <w:snapToGrid w:val="0"/>
        <w:spacing w:line="400" w:lineRule="exact"/>
        <w:ind w:firstLine="3780" w:firstLineChars="1800"/>
        <w:rPr>
          <w:rFonts w:ascii="宋体" w:hAnsi="宋体" w:cs="宋体"/>
          <w:color w:val="auto"/>
          <w:szCs w:val="20"/>
          <w:highlight w:val="none"/>
          <w:u w:val="single"/>
        </w:rPr>
      </w:pPr>
    </w:p>
    <w:p w14:paraId="04E30495">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0FBE4388">
      <w:pPr>
        <w:spacing w:line="340" w:lineRule="exact"/>
        <w:rPr>
          <w:rFonts w:ascii="宋体" w:hAnsi="宋体" w:cs="宋体"/>
          <w:color w:val="auto"/>
          <w:szCs w:val="21"/>
          <w:highlight w:val="none"/>
          <w:u w:val="single"/>
        </w:rPr>
      </w:pPr>
    </w:p>
    <w:p w14:paraId="5FCD5C9E">
      <w:pPr>
        <w:ind w:firstLine="1890" w:firstLineChars="900"/>
        <w:rPr>
          <w:rFonts w:ascii="宋体" w:hAnsi="宋体" w:cs="宋体"/>
          <w:color w:val="auto"/>
          <w:highlight w:val="none"/>
          <w:u w:val="single"/>
        </w:rPr>
      </w:pPr>
      <w:r>
        <w:rPr>
          <w:rFonts w:hint="eastAsia" w:ascii="宋体" w:hAnsi="宋体" w:cs="宋体"/>
          <w:color w:val="auto"/>
          <w:highlight w:val="none"/>
        </w:rPr>
        <w:t xml:space="preserve"> 日          期：</w:t>
      </w:r>
    </w:p>
    <w:p w14:paraId="31C11CDD">
      <w:pPr>
        <w:spacing w:line="360" w:lineRule="exact"/>
        <w:rPr>
          <w:rFonts w:ascii="宋体" w:hAnsi="宋体" w:cs="宋体"/>
          <w:color w:val="auto"/>
          <w:highlight w:val="none"/>
        </w:rPr>
      </w:pPr>
    </w:p>
    <w:p w14:paraId="5B9C3A0B">
      <w:pPr>
        <w:spacing w:line="400" w:lineRule="exact"/>
        <w:ind w:left="982" w:leftChars="200" w:hanging="562" w:hangingChars="200"/>
        <w:rPr>
          <w:rFonts w:ascii="宋体" w:hAnsi="宋体" w:cs="宋体"/>
          <w:b/>
          <w:color w:val="auto"/>
          <w:sz w:val="24"/>
          <w:highlight w:val="none"/>
        </w:rPr>
      </w:pPr>
      <w:r>
        <w:rPr>
          <w:rFonts w:hint="eastAsia" w:ascii="宋体" w:hAnsi="宋体" w:cs="宋体"/>
          <w:b/>
          <w:bCs/>
          <w:color w:val="auto"/>
          <w:sz w:val="28"/>
          <w:szCs w:val="28"/>
          <w:highlight w:val="none"/>
        </w:rPr>
        <w:t>注：</w:t>
      </w:r>
      <w:r>
        <w:rPr>
          <w:rFonts w:hint="eastAsia" w:ascii="宋体" w:hAnsi="宋体" w:cs="宋体"/>
          <w:b/>
          <w:color w:val="auto"/>
          <w:sz w:val="24"/>
          <w:highlight w:val="none"/>
        </w:rPr>
        <w:t>1.“技术规格偏离表”各项内容必须如实填写。</w:t>
      </w:r>
    </w:p>
    <w:p w14:paraId="25DE0755">
      <w:pPr>
        <w:spacing w:line="400" w:lineRule="exact"/>
        <w:ind w:left="840" w:leftChars="400" w:firstLine="181" w:firstLineChars="75"/>
        <w:rPr>
          <w:rFonts w:ascii="宋体" w:hAnsi="宋体" w:cs="宋体"/>
          <w:b/>
          <w:color w:val="auto"/>
          <w:sz w:val="24"/>
          <w:highlight w:val="none"/>
        </w:rPr>
      </w:pPr>
      <w:r>
        <w:rPr>
          <w:rFonts w:hint="eastAsia" w:ascii="宋体" w:hAnsi="宋体" w:cs="宋体"/>
          <w:b/>
          <w:color w:val="auto"/>
          <w:sz w:val="24"/>
          <w:highlight w:val="none"/>
        </w:rPr>
        <w:t>2.当本表由多页构成时，需逐页加盖投标人公章（CA签章）（属自然人的须逐页签字或个人CA签章）。</w:t>
      </w:r>
    </w:p>
    <w:p w14:paraId="405C3028">
      <w:pPr>
        <w:pStyle w:val="16"/>
        <w:jc w:val="center"/>
        <w:rPr>
          <w:rFonts w:hAnsi="宋体" w:cs="宋体"/>
          <w:b/>
          <w:color w:val="auto"/>
          <w:sz w:val="32"/>
          <w:highlight w:val="none"/>
        </w:rPr>
      </w:pPr>
    </w:p>
    <w:p w14:paraId="4FCA790B">
      <w:pPr>
        <w:pStyle w:val="16"/>
        <w:jc w:val="center"/>
        <w:rPr>
          <w:rFonts w:hAnsi="宋体" w:cs="宋体"/>
          <w:b/>
          <w:color w:val="auto"/>
          <w:sz w:val="32"/>
          <w:highlight w:val="none"/>
        </w:rPr>
      </w:pPr>
    </w:p>
    <w:p w14:paraId="261891AC">
      <w:pPr>
        <w:pStyle w:val="16"/>
        <w:jc w:val="center"/>
        <w:rPr>
          <w:rFonts w:hAnsi="宋体" w:cs="宋体"/>
          <w:b/>
          <w:color w:val="auto"/>
          <w:sz w:val="32"/>
          <w:highlight w:val="none"/>
        </w:rPr>
      </w:pPr>
    </w:p>
    <w:p w14:paraId="69968B65">
      <w:pPr>
        <w:pStyle w:val="16"/>
        <w:jc w:val="center"/>
        <w:rPr>
          <w:rFonts w:hAnsi="宋体" w:cs="宋体"/>
          <w:b/>
          <w:color w:val="auto"/>
          <w:sz w:val="32"/>
          <w:highlight w:val="none"/>
        </w:rPr>
      </w:pPr>
    </w:p>
    <w:p w14:paraId="0753827F">
      <w:pPr>
        <w:pStyle w:val="16"/>
        <w:jc w:val="center"/>
        <w:rPr>
          <w:rFonts w:hAnsi="宋体" w:cs="宋体"/>
          <w:b/>
          <w:color w:val="auto"/>
          <w:sz w:val="32"/>
          <w:highlight w:val="none"/>
        </w:rPr>
      </w:pPr>
    </w:p>
    <w:p w14:paraId="091867C8">
      <w:pPr>
        <w:pStyle w:val="2"/>
        <w:rPr>
          <w:color w:val="auto"/>
          <w:highlight w:val="none"/>
        </w:rPr>
      </w:pPr>
    </w:p>
    <w:p w14:paraId="6EC5A511">
      <w:pPr>
        <w:rPr>
          <w:color w:val="auto"/>
          <w:highlight w:val="none"/>
        </w:rPr>
      </w:pPr>
    </w:p>
    <w:p w14:paraId="2422FEFF">
      <w:pPr>
        <w:pStyle w:val="2"/>
        <w:rPr>
          <w:color w:val="auto"/>
          <w:highlight w:val="none"/>
        </w:rPr>
      </w:pPr>
    </w:p>
    <w:p w14:paraId="16B8BFA9">
      <w:pPr>
        <w:rPr>
          <w:color w:val="auto"/>
          <w:highlight w:val="none"/>
        </w:rPr>
      </w:pPr>
    </w:p>
    <w:p w14:paraId="3E609C73">
      <w:pPr>
        <w:rPr>
          <w:rFonts w:ascii="宋体" w:hAnsi="宋体" w:cs="宋体"/>
          <w:b/>
          <w:bCs/>
          <w:color w:val="auto"/>
          <w:sz w:val="32"/>
          <w:szCs w:val="32"/>
          <w:highlight w:val="none"/>
        </w:rPr>
      </w:pPr>
      <w:r>
        <w:rPr>
          <w:rFonts w:hint="eastAsia" w:ascii="宋体" w:hAnsi="宋体" w:cs="宋体"/>
          <w:b/>
          <w:bCs/>
          <w:color w:val="auto"/>
          <w:sz w:val="32"/>
          <w:szCs w:val="32"/>
          <w:highlight w:val="none"/>
        </w:rPr>
        <w:t>3.商务响应表（格式见附件）（必须提供）</w:t>
      </w:r>
    </w:p>
    <w:p w14:paraId="1E65A1AF">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3E3EA885">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商务响应表（格式）</w:t>
      </w:r>
    </w:p>
    <w:p w14:paraId="39ABA7CD">
      <w:pPr>
        <w:pStyle w:val="108"/>
        <w:rPr>
          <w:color w:val="auto"/>
          <w:highlight w:val="none"/>
        </w:rPr>
      </w:pPr>
    </w:p>
    <w:tbl>
      <w:tblPr>
        <w:tblStyle w:val="31"/>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3373"/>
        <w:gridCol w:w="2835"/>
        <w:gridCol w:w="2410"/>
      </w:tblGrid>
      <w:tr w14:paraId="4CF0C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vAlign w:val="center"/>
          </w:tcPr>
          <w:p w14:paraId="1CF316E3">
            <w:pPr>
              <w:snapToGrid w:val="0"/>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项号</w:t>
            </w:r>
          </w:p>
        </w:tc>
        <w:tc>
          <w:tcPr>
            <w:tcW w:w="3373" w:type="dxa"/>
            <w:tcBorders>
              <w:top w:val="single" w:color="auto" w:sz="4" w:space="0"/>
              <w:left w:val="single" w:color="auto" w:sz="4" w:space="0"/>
              <w:bottom w:val="single" w:color="auto" w:sz="4" w:space="0"/>
              <w:right w:val="single" w:color="auto" w:sz="4" w:space="0"/>
            </w:tcBorders>
            <w:shd w:val="clear" w:color="auto" w:fill="8DB3E2"/>
            <w:vAlign w:val="center"/>
          </w:tcPr>
          <w:p w14:paraId="2EB99559">
            <w:pPr>
              <w:pStyle w:val="16"/>
              <w:spacing w:line="360" w:lineRule="exact"/>
              <w:jc w:val="center"/>
              <w:rPr>
                <w:rFonts w:hAnsi="宋体" w:cs="宋体"/>
                <w:b/>
                <w:bCs/>
                <w:color w:val="auto"/>
                <w:highlight w:val="none"/>
              </w:rPr>
            </w:pPr>
            <w:r>
              <w:rPr>
                <w:rFonts w:hint="eastAsia" w:hAnsi="宋体" w:cs="宋体"/>
                <w:b/>
                <w:bCs/>
                <w:color w:val="auto"/>
                <w:szCs w:val="24"/>
                <w:highlight w:val="none"/>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vAlign w:val="center"/>
          </w:tcPr>
          <w:p w14:paraId="23B430F1">
            <w:pPr>
              <w:pStyle w:val="16"/>
              <w:spacing w:line="360" w:lineRule="exact"/>
              <w:jc w:val="center"/>
              <w:rPr>
                <w:rFonts w:hAnsi="宋体" w:cs="宋体"/>
                <w:b/>
                <w:bCs/>
                <w:color w:val="auto"/>
                <w:highlight w:val="none"/>
              </w:rPr>
            </w:pPr>
            <w:r>
              <w:rPr>
                <w:rFonts w:hint="eastAsia" w:hAnsi="宋体" w:cs="宋体"/>
                <w:b/>
                <w:bCs/>
                <w:color w:val="auto"/>
                <w:szCs w:val="24"/>
                <w:highlight w:val="none"/>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vAlign w:val="center"/>
          </w:tcPr>
          <w:p w14:paraId="54AEEA1F">
            <w:pPr>
              <w:pStyle w:val="16"/>
              <w:spacing w:line="360" w:lineRule="exact"/>
              <w:jc w:val="center"/>
              <w:rPr>
                <w:rFonts w:hAnsi="宋体" w:cs="宋体"/>
                <w:b/>
                <w:bCs/>
                <w:color w:val="auto"/>
                <w:highlight w:val="none"/>
              </w:rPr>
            </w:pPr>
            <w:r>
              <w:rPr>
                <w:rFonts w:hint="eastAsia" w:hAnsi="宋体" w:cs="宋体"/>
                <w:b/>
                <w:bCs/>
                <w:color w:val="auto"/>
                <w:szCs w:val="24"/>
                <w:highlight w:val="none"/>
              </w:rPr>
              <w:t>偏离情况说明</w:t>
            </w:r>
          </w:p>
        </w:tc>
      </w:tr>
      <w:tr w14:paraId="1E224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14:paraId="134CD11C">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tcPr>
          <w:p w14:paraId="74C4E893">
            <w:pPr>
              <w:keepNext w:val="0"/>
              <w:keepLines w:val="0"/>
              <w:snapToGrid w:val="0"/>
              <w:spacing w:beforeLines="50" w:after="0" w:line="240" w:lineRule="auto"/>
              <w:jc w:val="left"/>
              <w:outlineLvl w:val="9"/>
              <w:rPr>
                <w:rFonts w:ascii="宋体" w:hAnsi="宋体" w:cs="宋体"/>
                <w:b/>
                <w:bCs/>
                <w:color w:val="auto"/>
                <w:sz w:val="44"/>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1BBDDF18">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3B65D203">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r>
      <w:tr w14:paraId="5F4AF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vAlign w:val="center"/>
          </w:tcPr>
          <w:p w14:paraId="442C0FB8">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vAlign w:val="center"/>
          </w:tcPr>
          <w:p w14:paraId="463785F1">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304800F8">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4B0998DF">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r>
      <w:tr w14:paraId="734E8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vAlign w:val="center"/>
          </w:tcPr>
          <w:p w14:paraId="70C9B55D">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vAlign w:val="center"/>
          </w:tcPr>
          <w:p w14:paraId="0AF3B6E4">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200A5E7F">
            <w:pPr>
              <w:keepNext w:val="0"/>
              <w:keepLines w:val="0"/>
              <w:snapToGrid w:val="0"/>
              <w:spacing w:beforeLines="50" w:after="0" w:line="240" w:lineRule="auto"/>
              <w:ind w:left="43"/>
              <w:jc w:val="center"/>
              <w:outlineLvl w:val="9"/>
              <w:rPr>
                <w:rFonts w:ascii="宋体" w:hAnsi="宋体" w:cs="宋体"/>
                <w:b/>
                <w:bCs/>
                <w:color w:val="auto"/>
                <w:sz w:val="44"/>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2C8186C0">
            <w:pPr>
              <w:keepNext w:val="0"/>
              <w:keepLines w:val="0"/>
              <w:snapToGrid w:val="0"/>
              <w:spacing w:beforeLines="50" w:after="0" w:line="240" w:lineRule="auto"/>
              <w:ind w:left="43"/>
              <w:jc w:val="center"/>
              <w:outlineLvl w:val="9"/>
              <w:rPr>
                <w:rFonts w:ascii="宋体" w:hAnsi="宋体" w:cs="宋体"/>
                <w:b/>
                <w:bCs/>
                <w:color w:val="auto"/>
                <w:sz w:val="44"/>
                <w:szCs w:val="21"/>
                <w:highlight w:val="none"/>
              </w:rPr>
            </w:pPr>
          </w:p>
        </w:tc>
      </w:tr>
      <w:tr w14:paraId="36459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14:paraId="435C5725">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vAlign w:val="center"/>
          </w:tcPr>
          <w:p w14:paraId="1EF1408D">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1AB20257">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569C8798">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r>
      <w:tr w14:paraId="1631B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14:paraId="53BD6E19">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vAlign w:val="center"/>
          </w:tcPr>
          <w:p w14:paraId="6E8F63AE">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02A2CBD5">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44A8C15A">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r>
      <w:tr w14:paraId="6D3EE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14:paraId="095DDF7D">
            <w:pPr>
              <w:snapToGrid w:val="0"/>
              <w:spacing w:beforeLines="50"/>
              <w:jc w:val="center"/>
              <w:rPr>
                <w:rFonts w:ascii="宋体" w:hAnsi="宋体" w:cs="宋体"/>
                <w:color w:val="auto"/>
                <w:szCs w:val="21"/>
                <w:highlight w:val="none"/>
              </w:rPr>
            </w:pPr>
            <w:r>
              <w:rPr>
                <w:rFonts w:hint="eastAsia" w:ascii="宋体" w:hAnsi="宋体" w:cs="宋体"/>
                <w:color w:val="auto"/>
                <w:szCs w:val="21"/>
                <w:highlight w:val="none"/>
              </w:rPr>
              <w:t>……</w:t>
            </w:r>
          </w:p>
        </w:tc>
        <w:tc>
          <w:tcPr>
            <w:tcW w:w="3373" w:type="dxa"/>
            <w:tcBorders>
              <w:top w:val="single" w:color="auto" w:sz="4" w:space="0"/>
              <w:left w:val="single" w:color="auto" w:sz="4" w:space="0"/>
              <w:bottom w:val="single" w:color="auto" w:sz="4" w:space="0"/>
              <w:right w:val="single" w:color="auto" w:sz="4" w:space="0"/>
            </w:tcBorders>
            <w:vAlign w:val="center"/>
          </w:tcPr>
          <w:p w14:paraId="1DE805D9">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4C41713B">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6C4CAC53">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r>
    </w:tbl>
    <w:p w14:paraId="1ECAEBEF">
      <w:pPr>
        <w:snapToGrid w:val="0"/>
        <w:spacing w:before="50" w:after="50"/>
        <w:rPr>
          <w:rFonts w:ascii="宋体" w:hAnsi="宋体" w:cs="宋体"/>
          <w:color w:val="auto"/>
          <w:highlight w:val="none"/>
        </w:rPr>
      </w:pPr>
      <w:r>
        <w:rPr>
          <w:rFonts w:hint="eastAsia" w:ascii="宋体" w:hAnsi="宋体" w:cs="宋体"/>
          <w:color w:val="auto"/>
          <w:highlight w:val="none"/>
        </w:rPr>
        <w:t>注：投标人应对照招标文件中商务要求的内容逐条响应，并在“偏离情况说明”栏注明“正偏离”、“负偏离”或“无偏离”。</w:t>
      </w:r>
    </w:p>
    <w:p w14:paraId="4EBDBFF0">
      <w:pPr>
        <w:snapToGrid w:val="0"/>
        <w:spacing w:before="50" w:after="50"/>
        <w:rPr>
          <w:rFonts w:ascii="宋体" w:hAnsi="宋体" w:cs="宋体"/>
          <w:color w:val="auto"/>
          <w:spacing w:val="20"/>
          <w:sz w:val="24"/>
          <w:highlight w:val="none"/>
        </w:rPr>
      </w:pPr>
    </w:p>
    <w:p w14:paraId="77B94428">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71955718">
      <w:pPr>
        <w:spacing w:line="340" w:lineRule="exact"/>
        <w:rPr>
          <w:color w:val="auto"/>
          <w:highlight w:val="none"/>
        </w:rPr>
      </w:pPr>
    </w:p>
    <w:p w14:paraId="1D0BCCF9">
      <w:pPr>
        <w:snapToGrid w:val="0"/>
        <w:spacing w:line="400" w:lineRule="exact"/>
        <w:ind w:firstLine="1680" w:firstLineChars="800"/>
        <w:rPr>
          <w:rFonts w:ascii="宋体" w:hAnsi="宋体" w:cs="宋体"/>
          <w:color w:val="auto"/>
          <w:highlight w:val="none"/>
        </w:rPr>
      </w:pPr>
    </w:p>
    <w:p w14:paraId="3A30CBE0">
      <w:pPr>
        <w:snapToGrid w:val="0"/>
        <w:spacing w:line="400" w:lineRule="exact"/>
        <w:ind w:firstLine="1680" w:firstLineChars="800"/>
        <w:rPr>
          <w:rFonts w:ascii="宋体" w:hAnsi="宋体" w:cs="宋体"/>
          <w:color w:val="auto"/>
          <w:highlight w:val="none"/>
        </w:rPr>
      </w:pPr>
      <w:r>
        <w:rPr>
          <w:rFonts w:hint="eastAsia" w:ascii="宋体" w:hAnsi="宋体" w:cs="宋体"/>
          <w:color w:val="auto"/>
          <w:highlight w:val="none"/>
        </w:rPr>
        <w:t xml:space="preserve"> 日          期：</w:t>
      </w:r>
    </w:p>
    <w:p w14:paraId="4CD3D886">
      <w:pPr>
        <w:ind w:firstLine="1890" w:firstLineChars="900"/>
        <w:rPr>
          <w:rFonts w:ascii="宋体" w:hAnsi="宋体" w:cs="宋体"/>
          <w:color w:val="auto"/>
          <w:highlight w:val="none"/>
          <w:u w:val="single"/>
        </w:rPr>
      </w:pPr>
    </w:p>
    <w:p w14:paraId="13230966">
      <w:pPr>
        <w:ind w:firstLine="1890" w:firstLineChars="900"/>
        <w:rPr>
          <w:rFonts w:ascii="宋体" w:hAnsi="宋体" w:cs="宋体"/>
          <w:color w:val="auto"/>
          <w:highlight w:val="none"/>
          <w:u w:val="single"/>
        </w:rPr>
      </w:pPr>
    </w:p>
    <w:p w14:paraId="4A00F7F5">
      <w:pPr>
        <w:spacing w:line="400" w:lineRule="exact"/>
        <w:ind w:left="982" w:leftChars="200" w:hanging="562" w:hangingChars="200"/>
        <w:rPr>
          <w:rFonts w:ascii="宋体" w:hAnsi="宋体" w:cs="宋体"/>
          <w:b/>
          <w:bCs/>
          <w:color w:val="auto"/>
          <w:sz w:val="28"/>
          <w:szCs w:val="28"/>
          <w:highlight w:val="none"/>
        </w:rPr>
      </w:pPr>
      <w:r>
        <w:rPr>
          <w:rFonts w:hint="eastAsia" w:ascii="宋体" w:hAnsi="宋体" w:cs="宋体"/>
          <w:b/>
          <w:bCs/>
          <w:color w:val="auto"/>
          <w:sz w:val="28"/>
          <w:szCs w:val="28"/>
          <w:highlight w:val="none"/>
        </w:rPr>
        <w:t>注：</w:t>
      </w:r>
      <w:r>
        <w:rPr>
          <w:rFonts w:hint="eastAsia" w:ascii="宋体" w:hAnsi="宋体" w:cs="宋体"/>
          <w:b/>
          <w:color w:val="auto"/>
          <w:sz w:val="24"/>
          <w:highlight w:val="none"/>
        </w:rPr>
        <w:t>1.“商务响应表”各项内容必须如实填写。</w:t>
      </w:r>
    </w:p>
    <w:p w14:paraId="169226BA">
      <w:pPr>
        <w:spacing w:line="400" w:lineRule="exact"/>
        <w:ind w:firstLine="964" w:firstLineChars="400"/>
        <w:rPr>
          <w:rFonts w:ascii="宋体" w:hAnsi="宋体" w:cs="宋体"/>
          <w:b/>
          <w:bCs/>
          <w:color w:val="auto"/>
          <w:sz w:val="28"/>
          <w:szCs w:val="28"/>
          <w:highlight w:val="none"/>
        </w:rPr>
      </w:pPr>
      <w:r>
        <w:rPr>
          <w:rFonts w:hint="eastAsia" w:ascii="宋体" w:hAnsi="宋体" w:cs="宋体"/>
          <w:b/>
          <w:color w:val="auto"/>
          <w:sz w:val="24"/>
          <w:highlight w:val="none"/>
        </w:rPr>
        <w:t>2.当本表由多页构成时，需逐页加盖投标人公章（CA签章）（属自然人的须逐页签字或个人CA签章）。</w:t>
      </w:r>
    </w:p>
    <w:p w14:paraId="7E1A463C">
      <w:pPr>
        <w:pStyle w:val="2"/>
        <w:rPr>
          <w:color w:val="auto"/>
          <w:highlight w:val="none"/>
        </w:rPr>
      </w:pPr>
    </w:p>
    <w:p w14:paraId="7B2C9283">
      <w:pPr>
        <w:pStyle w:val="2"/>
        <w:rPr>
          <w:color w:val="auto"/>
          <w:highlight w:val="none"/>
        </w:rPr>
      </w:pPr>
    </w:p>
    <w:p w14:paraId="74C713F0">
      <w:pPr>
        <w:pStyle w:val="2"/>
        <w:rPr>
          <w:color w:val="auto"/>
          <w:highlight w:val="none"/>
        </w:rPr>
      </w:pPr>
    </w:p>
    <w:p w14:paraId="42E683CE">
      <w:pPr>
        <w:pStyle w:val="2"/>
        <w:rPr>
          <w:color w:val="auto"/>
          <w:highlight w:val="none"/>
        </w:rPr>
      </w:pPr>
    </w:p>
    <w:p w14:paraId="707DC0BE">
      <w:pPr>
        <w:pStyle w:val="2"/>
        <w:rPr>
          <w:color w:val="auto"/>
          <w:highlight w:val="none"/>
        </w:rPr>
      </w:pPr>
    </w:p>
    <w:p w14:paraId="662911E7">
      <w:pPr>
        <w:pStyle w:val="2"/>
        <w:rPr>
          <w:color w:val="auto"/>
          <w:highlight w:val="none"/>
        </w:rPr>
      </w:pPr>
    </w:p>
    <w:p w14:paraId="19C504EF">
      <w:pPr>
        <w:rPr>
          <w:rFonts w:ascii="宋体" w:hAnsi="宋体" w:cs="宋体"/>
          <w:b/>
          <w:bCs/>
          <w:color w:val="auto"/>
          <w:sz w:val="32"/>
          <w:szCs w:val="32"/>
          <w:highlight w:val="none"/>
        </w:rPr>
      </w:pPr>
      <w:r>
        <w:rPr>
          <w:rFonts w:hint="eastAsia" w:ascii="宋体" w:hAnsi="宋体" w:cs="宋体"/>
          <w:b/>
          <w:bCs/>
          <w:color w:val="auto"/>
          <w:sz w:val="32"/>
          <w:szCs w:val="32"/>
          <w:highlight w:val="none"/>
        </w:rPr>
        <w:t>4.“采购需求”需提供的有效证明文件（按其要求提供）：</w:t>
      </w:r>
    </w:p>
    <w:p w14:paraId="0BA783D0">
      <w:pPr>
        <w:rPr>
          <w:rFonts w:ascii="宋体" w:hAnsi="宋体" w:cs="宋体"/>
          <w:b/>
          <w:bCs/>
          <w:color w:val="auto"/>
          <w:sz w:val="32"/>
          <w:szCs w:val="32"/>
          <w:highlight w:val="none"/>
        </w:rPr>
      </w:pPr>
    </w:p>
    <w:p w14:paraId="77E644F3">
      <w:pPr>
        <w:rPr>
          <w:rFonts w:ascii="宋体" w:hAnsi="宋体" w:cs="宋体"/>
          <w:b/>
          <w:bCs/>
          <w:color w:val="auto"/>
          <w:sz w:val="32"/>
          <w:szCs w:val="32"/>
          <w:highlight w:val="none"/>
        </w:rPr>
      </w:pPr>
    </w:p>
    <w:p w14:paraId="253BF81D">
      <w:pPr>
        <w:pStyle w:val="6"/>
        <w:rPr>
          <w:rFonts w:ascii="宋体" w:hAnsi="宋体" w:cs="宋体"/>
          <w:b w:val="0"/>
          <w:bCs w:val="0"/>
          <w:color w:val="auto"/>
          <w:sz w:val="32"/>
          <w:szCs w:val="32"/>
          <w:highlight w:val="none"/>
        </w:rPr>
      </w:pPr>
    </w:p>
    <w:p w14:paraId="71F90706">
      <w:pPr>
        <w:rPr>
          <w:color w:val="auto"/>
          <w:highlight w:val="none"/>
        </w:rPr>
      </w:pPr>
    </w:p>
    <w:p w14:paraId="07346F8A">
      <w:pPr>
        <w:rPr>
          <w:rFonts w:ascii="宋体" w:hAnsi="宋体" w:cs="宋体"/>
          <w:b/>
          <w:bCs/>
          <w:color w:val="auto"/>
          <w:sz w:val="32"/>
          <w:szCs w:val="32"/>
          <w:highlight w:val="none"/>
        </w:rPr>
      </w:pPr>
      <w:r>
        <w:rPr>
          <w:rFonts w:hint="eastAsia" w:ascii="宋体" w:hAnsi="宋体" w:cs="宋体"/>
          <w:b/>
          <w:bCs/>
          <w:color w:val="auto"/>
          <w:sz w:val="32"/>
          <w:szCs w:val="32"/>
          <w:highlight w:val="none"/>
        </w:rPr>
        <w:t>5.投标人的售后服务承诺书（必须包含售后服务要求的全部内容）（格式见附件）（必须提供）</w:t>
      </w:r>
    </w:p>
    <w:p w14:paraId="2090AB55">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2BB926C6">
      <w:pPr>
        <w:pStyle w:val="2"/>
        <w:rPr>
          <w:rFonts w:ascii="宋体" w:hAnsi="宋体" w:cs="宋体"/>
          <w:b/>
          <w:bCs/>
          <w:color w:val="auto"/>
          <w:sz w:val="32"/>
          <w:szCs w:val="32"/>
          <w:highlight w:val="none"/>
        </w:rPr>
      </w:pPr>
    </w:p>
    <w:p w14:paraId="29415476">
      <w:pPr>
        <w:ind w:firstLine="472" w:firstLineChars="147"/>
        <w:jc w:val="center"/>
        <w:rPr>
          <w:rFonts w:ascii="宋体" w:hAnsi="宋体" w:cs="宋体"/>
          <w:b/>
          <w:bCs/>
          <w:color w:val="auto"/>
          <w:sz w:val="32"/>
          <w:highlight w:val="none"/>
        </w:rPr>
      </w:pPr>
      <w:r>
        <w:rPr>
          <w:rFonts w:hint="eastAsia" w:ascii="宋体" w:hAnsi="宋体" w:cs="宋体"/>
          <w:b/>
          <w:bCs/>
          <w:color w:val="auto"/>
          <w:sz w:val="32"/>
          <w:szCs w:val="32"/>
          <w:highlight w:val="none"/>
        </w:rPr>
        <w:t>售后服务承诺书</w:t>
      </w:r>
      <w:r>
        <w:rPr>
          <w:rFonts w:hint="eastAsia" w:ascii="宋体" w:hAnsi="宋体" w:cs="宋体"/>
          <w:b/>
          <w:bCs/>
          <w:color w:val="auto"/>
          <w:sz w:val="32"/>
          <w:highlight w:val="none"/>
        </w:rPr>
        <w:t>（格式）</w:t>
      </w:r>
    </w:p>
    <w:p w14:paraId="36667C7C">
      <w:pPr>
        <w:spacing w:line="360" w:lineRule="exact"/>
        <w:rPr>
          <w:rFonts w:ascii="宋体" w:hAnsi="宋体" w:cs="宋体"/>
          <w:color w:val="auto"/>
          <w:sz w:val="24"/>
          <w:highlight w:val="none"/>
        </w:rPr>
      </w:pPr>
    </w:p>
    <w:p w14:paraId="0E3B48FF">
      <w:pPr>
        <w:pStyle w:val="108"/>
        <w:spacing w:line="360" w:lineRule="exact"/>
        <w:rPr>
          <w:rFonts w:ascii="宋体" w:hAnsi="宋体" w:eastAsia="宋体" w:cs="宋体"/>
          <w:color w:val="auto"/>
          <w:highlight w:val="none"/>
        </w:rPr>
      </w:pPr>
    </w:p>
    <w:p w14:paraId="754790C6">
      <w:pPr>
        <w:spacing w:line="400" w:lineRule="exact"/>
        <w:rPr>
          <w:rFonts w:ascii="宋体" w:hAnsi="宋体" w:cs="宋体"/>
          <w:color w:val="auto"/>
          <w:sz w:val="32"/>
          <w:szCs w:val="32"/>
          <w:highlight w:val="none"/>
        </w:rPr>
      </w:pPr>
    </w:p>
    <w:p w14:paraId="45E77076">
      <w:pPr>
        <w:spacing w:line="400" w:lineRule="exact"/>
        <w:rPr>
          <w:rFonts w:ascii="宋体" w:hAnsi="宋体" w:cs="宋体"/>
          <w:color w:val="auto"/>
          <w:sz w:val="32"/>
          <w:szCs w:val="32"/>
          <w:highlight w:val="none"/>
        </w:rPr>
      </w:pPr>
    </w:p>
    <w:p w14:paraId="7FA00EFF">
      <w:pPr>
        <w:spacing w:line="400" w:lineRule="exact"/>
        <w:rPr>
          <w:rFonts w:ascii="宋体" w:hAnsi="宋体" w:cs="宋体"/>
          <w:color w:val="auto"/>
          <w:sz w:val="32"/>
          <w:szCs w:val="32"/>
          <w:highlight w:val="none"/>
        </w:rPr>
      </w:pPr>
    </w:p>
    <w:p w14:paraId="0163F985">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3BA14F0D">
      <w:pPr>
        <w:pStyle w:val="6"/>
        <w:rPr>
          <w:color w:val="auto"/>
          <w:highlight w:val="none"/>
        </w:rPr>
      </w:pPr>
    </w:p>
    <w:p w14:paraId="64B36413">
      <w:pPr>
        <w:snapToGrid w:val="0"/>
        <w:spacing w:line="400" w:lineRule="exact"/>
        <w:ind w:firstLine="1680" w:firstLineChars="800"/>
        <w:rPr>
          <w:rFonts w:ascii="宋体" w:hAnsi="宋体" w:cs="宋体"/>
          <w:color w:val="auto"/>
          <w:highlight w:val="none"/>
        </w:rPr>
      </w:pPr>
      <w:r>
        <w:rPr>
          <w:rFonts w:hint="eastAsia" w:ascii="宋体" w:hAnsi="宋体" w:cs="宋体"/>
          <w:color w:val="auto"/>
          <w:highlight w:val="none"/>
        </w:rPr>
        <w:t xml:space="preserve"> 日          期：</w:t>
      </w:r>
    </w:p>
    <w:p w14:paraId="1F6CFEAE">
      <w:pPr>
        <w:pStyle w:val="2"/>
        <w:rPr>
          <w:color w:val="auto"/>
          <w:highlight w:val="none"/>
        </w:rPr>
      </w:pPr>
    </w:p>
    <w:p w14:paraId="2BC1FB63">
      <w:pPr>
        <w:pStyle w:val="2"/>
        <w:rPr>
          <w:color w:val="auto"/>
          <w:highlight w:val="none"/>
        </w:rPr>
      </w:pPr>
    </w:p>
    <w:p w14:paraId="49227DFC">
      <w:pPr>
        <w:pStyle w:val="2"/>
        <w:rPr>
          <w:color w:val="auto"/>
          <w:highlight w:val="none"/>
        </w:rPr>
      </w:pPr>
    </w:p>
    <w:p w14:paraId="253A2035">
      <w:pPr>
        <w:pStyle w:val="2"/>
        <w:rPr>
          <w:color w:val="auto"/>
          <w:highlight w:val="none"/>
        </w:rPr>
      </w:pPr>
    </w:p>
    <w:p w14:paraId="7565BF08">
      <w:pPr>
        <w:pStyle w:val="2"/>
        <w:rPr>
          <w:color w:val="auto"/>
          <w:highlight w:val="none"/>
        </w:rPr>
      </w:pPr>
    </w:p>
    <w:p w14:paraId="52CCD845">
      <w:pPr>
        <w:rPr>
          <w:color w:val="auto"/>
          <w:highlight w:val="none"/>
        </w:rPr>
      </w:pPr>
    </w:p>
    <w:p w14:paraId="21BD4533">
      <w:pPr>
        <w:pStyle w:val="2"/>
        <w:rPr>
          <w:color w:val="auto"/>
          <w:highlight w:val="none"/>
        </w:rPr>
      </w:pPr>
    </w:p>
    <w:p w14:paraId="74D2B880">
      <w:pPr>
        <w:rPr>
          <w:color w:val="auto"/>
          <w:highlight w:val="none"/>
        </w:rPr>
      </w:pPr>
    </w:p>
    <w:p w14:paraId="1ABD1585">
      <w:pPr>
        <w:pStyle w:val="2"/>
        <w:rPr>
          <w:color w:val="auto"/>
          <w:highlight w:val="none"/>
        </w:rPr>
      </w:pPr>
    </w:p>
    <w:p w14:paraId="6A08A773">
      <w:pPr>
        <w:rPr>
          <w:color w:val="auto"/>
          <w:highlight w:val="none"/>
        </w:rPr>
      </w:pPr>
    </w:p>
    <w:p w14:paraId="3109EB44">
      <w:pPr>
        <w:rPr>
          <w:color w:val="auto"/>
          <w:highlight w:val="none"/>
        </w:rPr>
      </w:pPr>
    </w:p>
    <w:p w14:paraId="55196CBB">
      <w:pPr>
        <w:rPr>
          <w:rFonts w:ascii="宋体" w:hAnsi="宋体" w:cs="宋体"/>
          <w:b/>
          <w:bCs/>
          <w:color w:val="auto"/>
          <w:sz w:val="32"/>
          <w:szCs w:val="32"/>
          <w:highlight w:val="none"/>
        </w:rPr>
      </w:pPr>
      <w:r>
        <w:rPr>
          <w:rFonts w:hint="eastAsia" w:ascii="宋体" w:hAnsi="宋体" w:cs="宋体"/>
          <w:b/>
          <w:bCs/>
          <w:color w:val="auto"/>
          <w:sz w:val="32"/>
          <w:szCs w:val="32"/>
          <w:highlight w:val="none"/>
        </w:rPr>
        <w:t>6.项目实施方案（格式见附件）（如有，请提供）；</w:t>
      </w:r>
    </w:p>
    <w:p w14:paraId="1D0E730D">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1FCFFE28">
      <w:pPr>
        <w:rPr>
          <w:color w:val="auto"/>
          <w:highlight w:val="none"/>
        </w:rPr>
      </w:pPr>
    </w:p>
    <w:p w14:paraId="49570824">
      <w:pPr>
        <w:pStyle w:val="2"/>
        <w:rPr>
          <w:color w:val="auto"/>
          <w:highlight w:val="none"/>
        </w:rPr>
      </w:pPr>
    </w:p>
    <w:p w14:paraId="780FF396">
      <w:pPr>
        <w:rPr>
          <w:color w:val="auto"/>
          <w:highlight w:val="none"/>
        </w:rPr>
      </w:pPr>
    </w:p>
    <w:p w14:paraId="1F145668">
      <w:pPr>
        <w:pStyle w:val="16"/>
        <w:spacing w:line="340" w:lineRule="exact"/>
        <w:jc w:val="center"/>
        <w:rPr>
          <w:b/>
          <w:color w:val="auto"/>
          <w:sz w:val="32"/>
          <w:szCs w:val="32"/>
          <w:highlight w:val="none"/>
        </w:rPr>
      </w:pPr>
      <w:r>
        <w:rPr>
          <w:rFonts w:hint="eastAsia"/>
          <w:b/>
          <w:color w:val="auto"/>
          <w:sz w:val="32"/>
          <w:szCs w:val="32"/>
          <w:highlight w:val="none"/>
        </w:rPr>
        <w:t>项目实施方案 （格式）</w:t>
      </w:r>
    </w:p>
    <w:p w14:paraId="2A4625EA">
      <w:pPr>
        <w:rPr>
          <w:rFonts w:hAnsi="Courier New"/>
          <w:b/>
          <w:color w:val="auto"/>
          <w:sz w:val="32"/>
          <w:szCs w:val="32"/>
          <w:highlight w:val="none"/>
        </w:rPr>
      </w:pPr>
    </w:p>
    <w:p w14:paraId="32FB5170">
      <w:pPr>
        <w:pStyle w:val="2"/>
        <w:rPr>
          <w:color w:val="auto"/>
          <w:highlight w:val="none"/>
        </w:rPr>
      </w:pPr>
    </w:p>
    <w:p w14:paraId="107D45E9">
      <w:pPr>
        <w:widowControl/>
        <w:ind w:firstLine="3092" w:firstLineChars="1100"/>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 xml:space="preserve">（根据采购需求自行编制） </w:t>
      </w:r>
    </w:p>
    <w:p w14:paraId="6D07A54A">
      <w:pPr>
        <w:widowControl/>
        <w:ind w:firstLine="3092" w:firstLineChars="1100"/>
        <w:jc w:val="left"/>
        <w:rPr>
          <w:rFonts w:ascii="宋体" w:hAnsi="宋体" w:cs="宋体"/>
          <w:b/>
          <w:color w:val="auto"/>
          <w:kern w:val="0"/>
          <w:sz w:val="28"/>
          <w:szCs w:val="28"/>
          <w:highlight w:val="none"/>
        </w:rPr>
      </w:pPr>
    </w:p>
    <w:p w14:paraId="426CCB8F">
      <w:pPr>
        <w:widowControl/>
        <w:ind w:firstLine="1470" w:firstLineChars="700"/>
        <w:jc w:val="left"/>
        <w:rPr>
          <w:rFonts w:ascii="宋体"/>
          <w:color w:val="auto"/>
          <w:szCs w:val="21"/>
          <w:highlight w:val="none"/>
        </w:rPr>
      </w:pPr>
      <w:r>
        <w:rPr>
          <w:rFonts w:hint="eastAsia" w:ascii="宋体" w:hAnsi="宋体" w:cs="宋体"/>
          <w:color w:val="auto"/>
          <w:szCs w:val="21"/>
          <w:highlight w:val="none"/>
        </w:rPr>
        <w:t>投标人[公章(CA签章)，自然人签字或个人CA签章]：</w:t>
      </w:r>
    </w:p>
    <w:p w14:paraId="24E95916">
      <w:pPr>
        <w:pStyle w:val="16"/>
        <w:spacing w:line="300" w:lineRule="exact"/>
        <w:ind w:left="2940" w:leftChars="1400" w:firstLine="630" w:firstLineChars="300"/>
        <w:rPr>
          <w:rFonts w:hAnsi="宋体"/>
          <w:color w:val="auto"/>
          <w:highlight w:val="none"/>
        </w:rPr>
      </w:pPr>
    </w:p>
    <w:p w14:paraId="6ACA0323">
      <w:pPr>
        <w:pStyle w:val="16"/>
        <w:spacing w:line="300" w:lineRule="exact"/>
        <w:ind w:firstLine="4638" w:firstLineChars="1650"/>
        <w:rPr>
          <w:b/>
          <w:color w:val="auto"/>
          <w:sz w:val="28"/>
          <w:szCs w:val="28"/>
          <w:highlight w:val="none"/>
        </w:rPr>
      </w:pPr>
    </w:p>
    <w:p w14:paraId="640A13A9">
      <w:pPr>
        <w:pStyle w:val="16"/>
        <w:spacing w:line="300" w:lineRule="exact"/>
        <w:rPr>
          <w:b/>
          <w:color w:val="auto"/>
          <w:sz w:val="28"/>
          <w:szCs w:val="28"/>
          <w:highlight w:val="none"/>
        </w:rPr>
      </w:pPr>
    </w:p>
    <w:p w14:paraId="6E45D401">
      <w:pPr>
        <w:snapToGrid w:val="0"/>
        <w:spacing w:line="300" w:lineRule="exact"/>
        <w:ind w:firstLine="3570" w:firstLineChars="1700"/>
        <w:rPr>
          <w:color w:val="auto"/>
          <w:highlight w:val="none"/>
          <w:u w:val="single"/>
        </w:rPr>
      </w:pPr>
      <w:r>
        <w:rPr>
          <w:color w:val="auto"/>
          <w:highlight w:val="none"/>
        </w:rPr>
        <w:t>日          期：</w:t>
      </w:r>
    </w:p>
    <w:p w14:paraId="7371712C">
      <w:pPr>
        <w:pStyle w:val="2"/>
        <w:rPr>
          <w:color w:val="auto"/>
          <w:highlight w:val="none"/>
          <w:u w:val="single"/>
        </w:rPr>
      </w:pPr>
    </w:p>
    <w:p w14:paraId="5BCAC0C8">
      <w:pPr>
        <w:rPr>
          <w:color w:val="auto"/>
          <w:highlight w:val="none"/>
          <w:u w:val="single"/>
        </w:rPr>
      </w:pPr>
    </w:p>
    <w:p w14:paraId="7B249B87">
      <w:pPr>
        <w:pStyle w:val="2"/>
        <w:rPr>
          <w:color w:val="auto"/>
          <w:highlight w:val="none"/>
          <w:u w:val="single"/>
        </w:rPr>
      </w:pPr>
    </w:p>
    <w:p w14:paraId="04EB0F2A">
      <w:pPr>
        <w:rPr>
          <w:color w:val="auto"/>
          <w:highlight w:val="none"/>
          <w:u w:val="single"/>
        </w:rPr>
      </w:pPr>
    </w:p>
    <w:p w14:paraId="506EC356">
      <w:pPr>
        <w:pStyle w:val="2"/>
        <w:rPr>
          <w:color w:val="auto"/>
          <w:highlight w:val="none"/>
          <w:u w:val="single"/>
        </w:rPr>
      </w:pPr>
    </w:p>
    <w:p w14:paraId="07D3CDA2">
      <w:pPr>
        <w:rPr>
          <w:color w:val="auto"/>
          <w:highlight w:val="none"/>
          <w:u w:val="single"/>
        </w:rPr>
      </w:pPr>
    </w:p>
    <w:p w14:paraId="462E46CC">
      <w:pPr>
        <w:pStyle w:val="2"/>
        <w:rPr>
          <w:color w:val="auto"/>
          <w:highlight w:val="none"/>
          <w:u w:val="single"/>
        </w:rPr>
      </w:pPr>
    </w:p>
    <w:p w14:paraId="5EBE6D39">
      <w:pPr>
        <w:rPr>
          <w:color w:val="auto"/>
          <w:highlight w:val="none"/>
          <w:u w:val="single"/>
        </w:rPr>
      </w:pPr>
    </w:p>
    <w:p w14:paraId="1FD34419">
      <w:pPr>
        <w:pStyle w:val="2"/>
        <w:rPr>
          <w:color w:val="auto"/>
          <w:highlight w:val="none"/>
          <w:u w:val="single"/>
        </w:rPr>
      </w:pPr>
    </w:p>
    <w:p w14:paraId="73B24FE6">
      <w:pPr>
        <w:rPr>
          <w:color w:val="auto"/>
          <w:highlight w:val="none"/>
          <w:u w:val="single"/>
        </w:rPr>
      </w:pPr>
    </w:p>
    <w:p w14:paraId="29EDFB33">
      <w:pPr>
        <w:pStyle w:val="2"/>
        <w:rPr>
          <w:color w:val="auto"/>
          <w:highlight w:val="none"/>
          <w:u w:val="single"/>
        </w:rPr>
      </w:pPr>
    </w:p>
    <w:p w14:paraId="2103EB58">
      <w:pPr>
        <w:rPr>
          <w:color w:val="auto"/>
          <w:highlight w:val="none"/>
          <w:u w:val="single"/>
        </w:rPr>
      </w:pPr>
    </w:p>
    <w:p w14:paraId="43A1C326">
      <w:pPr>
        <w:pStyle w:val="2"/>
        <w:rPr>
          <w:color w:val="auto"/>
          <w:highlight w:val="none"/>
          <w:u w:val="single"/>
        </w:rPr>
      </w:pPr>
    </w:p>
    <w:p w14:paraId="0E6885D4">
      <w:pPr>
        <w:rPr>
          <w:color w:val="auto"/>
          <w:highlight w:val="none"/>
          <w:u w:val="single"/>
        </w:rPr>
      </w:pPr>
    </w:p>
    <w:p w14:paraId="1E96A29A">
      <w:pPr>
        <w:pStyle w:val="2"/>
        <w:rPr>
          <w:color w:val="auto"/>
          <w:highlight w:val="none"/>
          <w:u w:val="single"/>
        </w:rPr>
      </w:pPr>
    </w:p>
    <w:p w14:paraId="3569F81E">
      <w:pPr>
        <w:rPr>
          <w:color w:val="auto"/>
          <w:highlight w:val="none"/>
          <w:u w:val="single"/>
        </w:rPr>
      </w:pPr>
    </w:p>
    <w:p w14:paraId="45C37731">
      <w:pPr>
        <w:pStyle w:val="2"/>
        <w:rPr>
          <w:color w:val="auto"/>
          <w:highlight w:val="none"/>
          <w:u w:val="single"/>
        </w:rPr>
      </w:pPr>
    </w:p>
    <w:p w14:paraId="0A1E9F71">
      <w:pPr>
        <w:rPr>
          <w:color w:val="auto"/>
          <w:highlight w:val="none"/>
          <w:u w:val="single"/>
        </w:rPr>
      </w:pPr>
    </w:p>
    <w:p w14:paraId="662A2D10">
      <w:pPr>
        <w:pStyle w:val="2"/>
        <w:rPr>
          <w:color w:val="auto"/>
          <w:highlight w:val="none"/>
          <w:u w:val="single"/>
        </w:rPr>
      </w:pPr>
    </w:p>
    <w:p w14:paraId="56C61596">
      <w:pPr>
        <w:rPr>
          <w:color w:val="auto"/>
          <w:highlight w:val="none"/>
          <w:u w:val="single"/>
        </w:rPr>
      </w:pPr>
    </w:p>
    <w:p w14:paraId="6C558EEE">
      <w:pPr>
        <w:pStyle w:val="2"/>
        <w:rPr>
          <w:color w:val="auto"/>
          <w:highlight w:val="none"/>
        </w:rPr>
      </w:pPr>
    </w:p>
    <w:p w14:paraId="59612A84">
      <w:pPr>
        <w:rPr>
          <w:color w:val="auto"/>
          <w:highlight w:val="none"/>
        </w:rPr>
      </w:pPr>
    </w:p>
    <w:p w14:paraId="5667E560">
      <w:pPr>
        <w:spacing w:line="440" w:lineRule="exact"/>
        <w:rPr>
          <w:rFonts w:ascii="宋体" w:hAnsi="宋体" w:cs="宋体"/>
          <w:b/>
          <w:bCs/>
          <w:color w:val="auto"/>
          <w:sz w:val="32"/>
          <w:szCs w:val="32"/>
          <w:highlight w:val="none"/>
        </w:rPr>
      </w:pPr>
      <w:r>
        <w:rPr>
          <w:rFonts w:hint="eastAsia" w:ascii="宋体" w:hAnsi="宋体" w:cs="宋体"/>
          <w:b/>
          <w:bCs/>
          <w:color w:val="auto"/>
          <w:sz w:val="32"/>
          <w:szCs w:val="32"/>
          <w:highlight w:val="none"/>
        </w:rPr>
        <w:t>7.项目实施人员一览表（格式见附件）（如有，请提供）</w:t>
      </w:r>
    </w:p>
    <w:p w14:paraId="797FCFFC">
      <w:pPr>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38983A1F">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项目实施人员一览表（格式）</w:t>
      </w:r>
    </w:p>
    <w:p w14:paraId="6CF4802C">
      <w:pPr>
        <w:rPr>
          <w:rFonts w:ascii="宋体" w:hAnsi="宋体" w:cs="宋体"/>
          <w:b/>
          <w:bCs/>
          <w:color w:val="auto"/>
          <w:sz w:val="32"/>
          <w:szCs w:val="32"/>
          <w:highlight w:val="none"/>
        </w:rPr>
      </w:pPr>
    </w:p>
    <w:tbl>
      <w:tblPr>
        <w:tblStyle w:val="3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14:paraId="6FF0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vAlign w:val="center"/>
          </w:tcPr>
          <w:p w14:paraId="69510881">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姓 名</w:t>
            </w:r>
          </w:p>
        </w:tc>
        <w:tc>
          <w:tcPr>
            <w:tcW w:w="993" w:type="dxa"/>
            <w:shd w:val="clear" w:color="auto" w:fill="8DB3E2"/>
            <w:vAlign w:val="center"/>
          </w:tcPr>
          <w:p w14:paraId="680319FF">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职务</w:t>
            </w:r>
          </w:p>
        </w:tc>
        <w:tc>
          <w:tcPr>
            <w:tcW w:w="1888" w:type="dxa"/>
            <w:shd w:val="clear" w:color="auto" w:fill="8DB3E2"/>
            <w:vAlign w:val="center"/>
          </w:tcPr>
          <w:p w14:paraId="686EF0C8">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专业技术资格</w:t>
            </w:r>
          </w:p>
        </w:tc>
        <w:tc>
          <w:tcPr>
            <w:tcW w:w="1559" w:type="dxa"/>
            <w:shd w:val="clear" w:color="auto" w:fill="8DB3E2"/>
            <w:vAlign w:val="center"/>
          </w:tcPr>
          <w:p w14:paraId="6FD7B3D4">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证书编号</w:t>
            </w:r>
          </w:p>
        </w:tc>
        <w:tc>
          <w:tcPr>
            <w:tcW w:w="2163" w:type="dxa"/>
            <w:shd w:val="clear" w:color="auto" w:fill="8DB3E2"/>
            <w:vAlign w:val="center"/>
          </w:tcPr>
          <w:p w14:paraId="6961130F">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参加工作时间</w:t>
            </w:r>
          </w:p>
        </w:tc>
        <w:tc>
          <w:tcPr>
            <w:tcW w:w="1477" w:type="dxa"/>
            <w:shd w:val="clear" w:color="auto" w:fill="8DB3E2"/>
            <w:vAlign w:val="center"/>
          </w:tcPr>
          <w:p w14:paraId="5C55BFA1">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1A7C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7061E1E9">
            <w:pPr>
              <w:spacing w:line="400" w:lineRule="exact"/>
              <w:rPr>
                <w:rFonts w:ascii="宋体" w:hAnsi="宋体" w:cs="宋体"/>
                <w:color w:val="auto"/>
                <w:szCs w:val="21"/>
                <w:highlight w:val="none"/>
              </w:rPr>
            </w:pPr>
          </w:p>
        </w:tc>
        <w:tc>
          <w:tcPr>
            <w:tcW w:w="993" w:type="dxa"/>
          </w:tcPr>
          <w:p w14:paraId="6E0032CF">
            <w:pPr>
              <w:spacing w:line="400" w:lineRule="exact"/>
              <w:rPr>
                <w:rFonts w:ascii="宋体" w:hAnsi="宋体" w:cs="宋体"/>
                <w:color w:val="auto"/>
                <w:szCs w:val="21"/>
                <w:highlight w:val="none"/>
              </w:rPr>
            </w:pPr>
          </w:p>
        </w:tc>
        <w:tc>
          <w:tcPr>
            <w:tcW w:w="1888" w:type="dxa"/>
          </w:tcPr>
          <w:p w14:paraId="141A3384">
            <w:pPr>
              <w:spacing w:line="400" w:lineRule="exact"/>
              <w:rPr>
                <w:rFonts w:ascii="宋体" w:hAnsi="宋体" w:cs="宋体"/>
                <w:color w:val="auto"/>
                <w:szCs w:val="21"/>
                <w:highlight w:val="none"/>
              </w:rPr>
            </w:pPr>
          </w:p>
        </w:tc>
        <w:tc>
          <w:tcPr>
            <w:tcW w:w="1559" w:type="dxa"/>
          </w:tcPr>
          <w:p w14:paraId="44727A3F">
            <w:pPr>
              <w:spacing w:line="400" w:lineRule="exact"/>
              <w:rPr>
                <w:rFonts w:ascii="宋体" w:hAnsi="宋体" w:cs="宋体"/>
                <w:color w:val="auto"/>
                <w:szCs w:val="21"/>
                <w:highlight w:val="none"/>
              </w:rPr>
            </w:pPr>
          </w:p>
        </w:tc>
        <w:tc>
          <w:tcPr>
            <w:tcW w:w="2163" w:type="dxa"/>
          </w:tcPr>
          <w:p w14:paraId="3E6AB417">
            <w:pPr>
              <w:spacing w:line="400" w:lineRule="exact"/>
              <w:rPr>
                <w:rFonts w:ascii="宋体" w:hAnsi="宋体" w:cs="宋体"/>
                <w:color w:val="auto"/>
                <w:szCs w:val="21"/>
                <w:highlight w:val="none"/>
              </w:rPr>
            </w:pPr>
          </w:p>
        </w:tc>
        <w:tc>
          <w:tcPr>
            <w:tcW w:w="1477" w:type="dxa"/>
          </w:tcPr>
          <w:p w14:paraId="484C3424">
            <w:pPr>
              <w:spacing w:line="400" w:lineRule="exact"/>
              <w:rPr>
                <w:rFonts w:ascii="宋体" w:hAnsi="宋体" w:cs="宋体"/>
                <w:color w:val="auto"/>
                <w:szCs w:val="21"/>
                <w:highlight w:val="none"/>
              </w:rPr>
            </w:pPr>
          </w:p>
        </w:tc>
      </w:tr>
      <w:tr w14:paraId="35B8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312DE340">
            <w:pPr>
              <w:spacing w:line="400" w:lineRule="exact"/>
              <w:rPr>
                <w:rFonts w:ascii="宋体" w:hAnsi="宋体" w:cs="宋体"/>
                <w:color w:val="auto"/>
                <w:szCs w:val="21"/>
                <w:highlight w:val="none"/>
              </w:rPr>
            </w:pPr>
          </w:p>
        </w:tc>
        <w:tc>
          <w:tcPr>
            <w:tcW w:w="993" w:type="dxa"/>
          </w:tcPr>
          <w:p w14:paraId="368A29CF">
            <w:pPr>
              <w:spacing w:line="400" w:lineRule="exact"/>
              <w:rPr>
                <w:rFonts w:ascii="宋体" w:hAnsi="宋体" w:cs="宋体"/>
                <w:color w:val="auto"/>
                <w:szCs w:val="21"/>
                <w:highlight w:val="none"/>
              </w:rPr>
            </w:pPr>
          </w:p>
        </w:tc>
        <w:tc>
          <w:tcPr>
            <w:tcW w:w="1888" w:type="dxa"/>
          </w:tcPr>
          <w:p w14:paraId="29DCB77F">
            <w:pPr>
              <w:spacing w:line="400" w:lineRule="exact"/>
              <w:rPr>
                <w:rFonts w:ascii="宋体" w:hAnsi="宋体" w:cs="宋体"/>
                <w:color w:val="auto"/>
                <w:szCs w:val="21"/>
                <w:highlight w:val="none"/>
              </w:rPr>
            </w:pPr>
          </w:p>
        </w:tc>
        <w:tc>
          <w:tcPr>
            <w:tcW w:w="1559" w:type="dxa"/>
          </w:tcPr>
          <w:p w14:paraId="5E31A4B2">
            <w:pPr>
              <w:spacing w:line="400" w:lineRule="exact"/>
              <w:rPr>
                <w:rFonts w:ascii="宋体" w:hAnsi="宋体" w:cs="宋体"/>
                <w:color w:val="auto"/>
                <w:szCs w:val="21"/>
                <w:highlight w:val="none"/>
              </w:rPr>
            </w:pPr>
          </w:p>
        </w:tc>
        <w:tc>
          <w:tcPr>
            <w:tcW w:w="2163" w:type="dxa"/>
          </w:tcPr>
          <w:p w14:paraId="37AEA4E2">
            <w:pPr>
              <w:spacing w:line="400" w:lineRule="exact"/>
              <w:rPr>
                <w:rFonts w:ascii="宋体" w:hAnsi="宋体" w:cs="宋体"/>
                <w:color w:val="auto"/>
                <w:szCs w:val="21"/>
                <w:highlight w:val="none"/>
              </w:rPr>
            </w:pPr>
          </w:p>
        </w:tc>
        <w:tc>
          <w:tcPr>
            <w:tcW w:w="1477" w:type="dxa"/>
          </w:tcPr>
          <w:p w14:paraId="6D3AADFD">
            <w:pPr>
              <w:spacing w:line="400" w:lineRule="exact"/>
              <w:rPr>
                <w:rFonts w:ascii="宋体" w:hAnsi="宋体" w:cs="宋体"/>
                <w:color w:val="auto"/>
                <w:szCs w:val="21"/>
                <w:highlight w:val="none"/>
              </w:rPr>
            </w:pPr>
          </w:p>
        </w:tc>
      </w:tr>
      <w:tr w14:paraId="08C5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211139E5">
            <w:pPr>
              <w:spacing w:line="400" w:lineRule="exact"/>
              <w:rPr>
                <w:rFonts w:ascii="宋体" w:hAnsi="宋体" w:cs="宋体"/>
                <w:color w:val="auto"/>
                <w:szCs w:val="21"/>
                <w:highlight w:val="none"/>
              </w:rPr>
            </w:pPr>
          </w:p>
        </w:tc>
        <w:tc>
          <w:tcPr>
            <w:tcW w:w="993" w:type="dxa"/>
          </w:tcPr>
          <w:p w14:paraId="0EC9539D">
            <w:pPr>
              <w:spacing w:line="400" w:lineRule="exact"/>
              <w:rPr>
                <w:rFonts w:ascii="宋体" w:hAnsi="宋体" w:cs="宋体"/>
                <w:color w:val="auto"/>
                <w:szCs w:val="21"/>
                <w:highlight w:val="none"/>
              </w:rPr>
            </w:pPr>
          </w:p>
        </w:tc>
        <w:tc>
          <w:tcPr>
            <w:tcW w:w="1888" w:type="dxa"/>
          </w:tcPr>
          <w:p w14:paraId="6FD22822">
            <w:pPr>
              <w:spacing w:line="400" w:lineRule="exact"/>
              <w:rPr>
                <w:rFonts w:ascii="宋体" w:hAnsi="宋体" w:cs="宋体"/>
                <w:color w:val="auto"/>
                <w:szCs w:val="21"/>
                <w:highlight w:val="none"/>
              </w:rPr>
            </w:pPr>
          </w:p>
        </w:tc>
        <w:tc>
          <w:tcPr>
            <w:tcW w:w="1559" w:type="dxa"/>
          </w:tcPr>
          <w:p w14:paraId="7C3593C3">
            <w:pPr>
              <w:spacing w:line="400" w:lineRule="exact"/>
              <w:rPr>
                <w:rFonts w:ascii="宋体" w:hAnsi="宋体" w:cs="宋体"/>
                <w:color w:val="auto"/>
                <w:szCs w:val="21"/>
                <w:highlight w:val="none"/>
              </w:rPr>
            </w:pPr>
          </w:p>
        </w:tc>
        <w:tc>
          <w:tcPr>
            <w:tcW w:w="2163" w:type="dxa"/>
          </w:tcPr>
          <w:p w14:paraId="430E7F96">
            <w:pPr>
              <w:spacing w:line="400" w:lineRule="exact"/>
              <w:rPr>
                <w:rFonts w:ascii="宋体" w:hAnsi="宋体" w:cs="宋体"/>
                <w:color w:val="auto"/>
                <w:szCs w:val="21"/>
                <w:highlight w:val="none"/>
              </w:rPr>
            </w:pPr>
          </w:p>
        </w:tc>
        <w:tc>
          <w:tcPr>
            <w:tcW w:w="1477" w:type="dxa"/>
          </w:tcPr>
          <w:p w14:paraId="76F85234">
            <w:pPr>
              <w:spacing w:line="400" w:lineRule="exact"/>
              <w:rPr>
                <w:rFonts w:ascii="宋体" w:hAnsi="宋体" w:cs="宋体"/>
                <w:color w:val="auto"/>
                <w:szCs w:val="21"/>
                <w:highlight w:val="none"/>
              </w:rPr>
            </w:pPr>
          </w:p>
        </w:tc>
      </w:tr>
      <w:tr w14:paraId="708D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10323B7A">
            <w:pPr>
              <w:spacing w:line="400" w:lineRule="exact"/>
              <w:rPr>
                <w:rFonts w:ascii="宋体" w:hAnsi="宋体" w:cs="宋体"/>
                <w:color w:val="auto"/>
                <w:szCs w:val="21"/>
                <w:highlight w:val="none"/>
              </w:rPr>
            </w:pPr>
          </w:p>
        </w:tc>
        <w:tc>
          <w:tcPr>
            <w:tcW w:w="993" w:type="dxa"/>
          </w:tcPr>
          <w:p w14:paraId="079D9B22">
            <w:pPr>
              <w:spacing w:line="400" w:lineRule="exact"/>
              <w:rPr>
                <w:rFonts w:ascii="宋体" w:hAnsi="宋体" w:cs="宋体"/>
                <w:color w:val="auto"/>
                <w:szCs w:val="21"/>
                <w:highlight w:val="none"/>
              </w:rPr>
            </w:pPr>
          </w:p>
        </w:tc>
        <w:tc>
          <w:tcPr>
            <w:tcW w:w="1888" w:type="dxa"/>
          </w:tcPr>
          <w:p w14:paraId="5460A9A7">
            <w:pPr>
              <w:spacing w:line="400" w:lineRule="exact"/>
              <w:rPr>
                <w:rFonts w:ascii="宋体" w:hAnsi="宋体" w:cs="宋体"/>
                <w:color w:val="auto"/>
                <w:szCs w:val="21"/>
                <w:highlight w:val="none"/>
              </w:rPr>
            </w:pPr>
          </w:p>
        </w:tc>
        <w:tc>
          <w:tcPr>
            <w:tcW w:w="1559" w:type="dxa"/>
          </w:tcPr>
          <w:p w14:paraId="0C5F2799">
            <w:pPr>
              <w:spacing w:line="400" w:lineRule="exact"/>
              <w:rPr>
                <w:rFonts w:ascii="宋体" w:hAnsi="宋体" w:cs="宋体"/>
                <w:color w:val="auto"/>
                <w:szCs w:val="21"/>
                <w:highlight w:val="none"/>
              </w:rPr>
            </w:pPr>
          </w:p>
        </w:tc>
        <w:tc>
          <w:tcPr>
            <w:tcW w:w="2163" w:type="dxa"/>
          </w:tcPr>
          <w:p w14:paraId="51D47BA8">
            <w:pPr>
              <w:spacing w:line="400" w:lineRule="exact"/>
              <w:rPr>
                <w:rFonts w:ascii="宋体" w:hAnsi="宋体" w:cs="宋体"/>
                <w:color w:val="auto"/>
                <w:szCs w:val="21"/>
                <w:highlight w:val="none"/>
              </w:rPr>
            </w:pPr>
          </w:p>
        </w:tc>
        <w:tc>
          <w:tcPr>
            <w:tcW w:w="1477" w:type="dxa"/>
          </w:tcPr>
          <w:p w14:paraId="57F8A4C9">
            <w:pPr>
              <w:spacing w:line="400" w:lineRule="exact"/>
              <w:rPr>
                <w:rFonts w:ascii="宋体" w:hAnsi="宋体" w:cs="宋体"/>
                <w:color w:val="auto"/>
                <w:szCs w:val="21"/>
                <w:highlight w:val="none"/>
              </w:rPr>
            </w:pPr>
          </w:p>
        </w:tc>
      </w:tr>
      <w:tr w14:paraId="3ABD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223D5DD0">
            <w:pPr>
              <w:spacing w:line="400" w:lineRule="exact"/>
              <w:rPr>
                <w:rFonts w:ascii="宋体" w:hAnsi="宋体" w:cs="宋体"/>
                <w:color w:val="auto"/>
                <w:szCs w:val="21"/>
                <w:highlight w:val="none"/>
              </w:rPr>
            </w:pPr>
          </w:p>
        </w:tc>
        <w:tc>
          <w:tcPr>
            <w:tcW w:w="993" w:type="dxa"/>
          </w:tcPr>
          <w:p w14:paraId="2EF55466">
            <w:pPr>
              <w:spacing w:line="400" w:lineRule="exact"/>
              <w:rPr>
                <w:rFonts w:ascii="宋体" w:hAnsi="宋体" w:cs="宋体"/>
                <w:color w:val="auto"/>
                <w:szCs w:val="21"/>
                <w:highlight w:val="none"/>
              </w:rPr>
            </w:pPr>
          </w:p>
        </w:tc>
        <w:tc>
          <w:tcPr>
            <w:tcW w:w="1888" w:type="dxa"/>
          </w:tcPr>
          <w:p w14:paraId="122E9E2B">
            <w:pPr>
              <w:spacing w:line="400" w:lineRule="exact"/>
              <w:rPr>
                <w:rFonts w:ascii="宋体" w:hAnsi="宋体" w:cs="宋体"/>
                <w:color w:val="auto"/>
                <w:szCs w:val="21"/>
                <w:highlight w:val="none"/>
              </w:rPr>
            </w:pPr>
          </w:p>
        </w:tc>
        <w:tc>
          <w:tcPr>
            <w:tcW w:w="1559" w:type="dxa"/>
          </w:tcPr>
          <w:p w14:paraId="6742F04C">
            <w:pPr>
              <w:spacing w:line="400" w:lineRule="exact"/>
              <w:rPr>
                <w:rFonts w:ascii="宋体" w:hAnsi="宋体" w:cs="宋体"/>
                <w:color w:val="auto"/>
                <w:szCs w:val="21"/>
                <w:highlight w:val="none"/>
              </w:rPr>
            </w:pPr>
          </w:p>
        </w:tc>
        <w:tc>
          <w:tcPr>
            <w:tcW w:w="2163" w:type="dxa"/>
          </w:tcPr>
          <w:p w14:paraId="61D6B5D2">
            <w:pPr>
              <w:spacing w:line="400" w:lineRule="exact"/>
              <w:rPr>
                <w:rFonts w:ascii="宋体" w:hAnsi="宋体" w:cs="宋体"/>
                <w:color w:val="auto"/>
                <w:szCs w:val="21"/>
                <w:highlight w:val="none"/>
              </w:rPr>
            </w:pPr>
          </w:p>
        </w:tc>
        <w:tc>
          <w:tcPr>
            <w:tcW w:w="1477" w:type="dxa"/>
          </w:tcPr>
          <w:p w14:paraId="4AF9C06A">
            <w:pPr>
              <w:spacing w:line="400" w:lineRule="exact"/>
              <w:rPr>
                <w:rFonts w:ascii="宋体" w:hAnsi="宋体" w:cs="宋体"/>
                <w:color w:val="auto"/>
                <w:szCs w:val="21"/>
                <w:highlight w:val="none"/>
              </w:rPr>
            </w:pPr>
          </w:p>
        </w:tc>
      </w:tr>
      <w:tr w14:paraId="4E1B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2C5E03ED">
            <w:pPr>
              <w:spacing w:line="400" w:lineRule="exact"/>
              <w:rPr>
                <w:rFonts w:ascii="宋体" w:hAnsi="宋体" w:cs="宋体"/>
                <w:color w:val="auto"/>
                <w:szCs w:val="21"/>
                <w:highlight w:val="none"/>
              </w:rPr>
            </w:pPr>
          </w:p>
        </w:tc>
        <w:tc>
          <w:tcPr>
            <w:tcW w:w="993" w:type="dxa"/>
          </w:tcPr>
          <w:p w14:paraId="6383DD26">
            <w:pPr>
              <w:spacing w:line="400" w:lineRule="exact"/>
              <w:rPr>
                <w:rFonts w:ascii="宋体" w:hAnsi="宋体" w:cs="宋体"/>
                <w:color w:val="auto"/>
                <w:szCs w:val="21"/>
                <w:highlight w:val="none"/>
              </w:rPr>
            </w:pPr>
          </w:p>
        </w:tc>
        <w:tc>
          <w:tcPr>
            <w:tcW w:w="1888" w:type="dxa"/>
          </w:tcPr>
          <w:p w14:paraId="729AF156">
            <w:pPr>
              <w:spacing w:line="400" w:lineRule="exact"/>
              <w:rPr>
                <w:rFonts w:ascii="宋体" w:hAnsi="宋体" w:cs="宋体"/>
                <w:color w:val="auto"/>
                <w:szCs w:val="21"/>
                <w:highlight w:val="none"/>
              </w:rPr>
            </w:pPr>
          </w:p>
        </w:tc>
        <w:tc>
          <w:tcPr>
            <w:tcW w:w="1559" w:type="dxa"/>
          </w:tcPr>
          <w:p w14:paraId="26AC588D">
            <w:pPr>
              <w:spacing w:line="400" w:lineRule="exact"/>
              <w:rPr>
                <w:rFonts w:ascii="宋体" w:hAnsi="宋体" w:cs="宋体"/>
                <w:color w:val="auto"/>
                <w:szCs w:val="21"/>
                <w:highlight w:val="none"/>
              </w:rPr>
            </w:pPr>
          </w:p>
        </w:tc>
        <w:tc>
          <w:tcPr>
            <w:tcW w:w="2163" w:type="dxa"/>
          </w:tcPr>
          <w:p w14:paraId="66792F4F">
            <w:pPr>
              <w:spacing w:line="400" w:lineRule="exact"/>
              <w:rPr>
                <w:rFonts w:ascii="宋体" w:hAnsi="宋体" w:cs="宋体"/>
                <w:color w:val="auto"/>
                <w:szCs w:val="21"/>
                <w:highlight w:val="none"/>
              </w:rPr>
            </w:pPr>
          </w:p>
        </w:tc>
        <w:tc>
          <w:tcPr>
            <w:tcW w:w="1477" w:type="dxa"/>
          </w:tcPr>
          <w:p w14:paraId="1C1F895F">
            <w:pPr>
              <w:spacing w:line="400" w:lineRule="exact"/>
              <w:rPr>
                <w:rFonts w:ascii="宋体" w:hAnsi="宋体" w:cs="宋体"/>
                <w:color w:val="auto"/>
                <w:szCs w:val="21"/>
                <w:highlight w:val="none"/>
              </w:rPr>
            </w:pPr>
          </w:p>
        </w:tc>
      </w:tr>
    </w:tbl>
    <w:p w14:paraId="738DCDB3">
      <w:pPr>
        <w:spacing w:line="400" w:lineRule="exact"/>
        <w:rPr>
          <w:rFonts w:ascii="宋体" w:hAnsi="宋体" w:cs="宋体"/>
          <w:color w:val="auto"/>
          <w:szCs w:val="21"/>
          <w:highlight w:val="none"/>
        </w:rPr>
      </w:pPr>
    </w:p>
    <w:p w14:paraId="0D2C2961">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注：1.在填写时，如本表格不适合投标单位的实际情况，可根据本表格式自行制表填写。</w:t>
      </w:r>
    </w:p>
    <w:p w14:paraId="34ACCA55">
      <w:pPr>
        <w:spacing w:line="400" w:lineRule="exact"/>
        <w:ind w:firstLine="3255" w:firstLineChars="1550"/>
        <w:rPr>
          <w:rFonts w:ascii="宋体" w:hAnsi="宋体" w:cs="宋体"/>
          <w:color w:val="auto"/>
          <w:highlight w:val="none"/>
        </w:rPr>
      </w:pPr>
    </w:p>
    <w:p w14:paraId="159563E1">
      <w:pPr>
        <w:spacing w:line="400" w:lineRule="exact"/>
        <w:ind w:firstLine="3255" w:firstLineChars="1550"/>
        <w:rPr>
          <w:rFonts w:ascii="宋体" w:hAnsi="宋体" w:cs="宋体"/>
          <w:color w:val="auto"/>
          <w:highlight w:val="none"/>
        </w:rPr>
      </w:pPr>
    </w:p>
    <w:p w14:paraId="5DE1A520">
      <w:pPr>
        <w:snapToGrid w:val="0"/>
        <w:spacing w:line="40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4501E0FB">
      <w:pPr>
        <w:spacing w:line="340" w:lineRule="exact"/>
        <w:ind w:firstLine="1680" w:firstLineChars="800"/>
        <w:rPr>
          <w:rFonts w:ascii="宋体" w:hAnsi="宋体" w:cs="宋体"/>
          <w:color w:val="auto"/>
          <w:szCs w:val="21"/>
          <w:highlight w:val="none"/>
          <w:u w:val="single"/>
        </w:rPr>
      </w:pPr>
    </w:p>
    <w:p w14:paraId="3D120B67">
      <w:pPr>
        <w:spacing w:line="340" w:lineRule="exact"/>
        <w:ind w:firstLine="4200" w:firstLineChars="2000"/>
        <w:rPr>
          <w:rFonts w:ascii="宋体" w:hAnsi="宋体" w:cs="宋体"/>
          <w:color w:val="auto"/>
          <w:highlight w:val="none"/>
          <w:u w:val="single"/>
        </w:rPr>
      </w:pPr>
      <w:r>
        <w:rPr>
          <w:rFonts w:hint="eastAsia" w:ascii="宋体" w:hAnsi="宋体" w:cs="宋体"/>
          <w:color w:val="auto"/>
          <w:highlight w:val="none"/>
        </w:rPr>
        <w:t>日          期：</w:t>
      </w:r>
    </w:p>
    <w:p w14:paraId="3635FEEF">
      <w:pPr>
        <w:rPr>
          <w:rFonts w:ascii="宋体" w:hAnsi="宋体" w:cs="宋体"/>
          <w:b/>
          <w:bCs/>
          <w:color w:val="auto"/>
          <w:sz w:val="32"/>
          <w:szCs w:val="32"/>
          <w:highlight w:val="none"/>
        </w:rPr>
      </w:pPr>
    </w:p>
    <w:p w14:paraId="3A584022">
      <w:pPr>
        <w:rPr>
          <w:rFonts w:ascii="宋体" w:hAnsi="宋体" w:cs="宋体"/>
          <w:b/>
          <w:bCs/>
          <w:color w:val="auto"/>
          <w:sz w:val="32"/>
          <w:szCs w:val="32"/>
          <w:highlight w:val="none"/>
        </w:rPr>
      </w:pPr>
    </w:p>
    <w:p w14:paraId="6ACC2924">
      <w:pPr>
        <w:rPr>
          <w:rFonts w:ascii="宋体" w:hAnsi="宋体" w:cs="宋体"/>
          <w:b/>
          <w:bCs/>
          <w:color w:val="auto"/>
          <w:sz w:val="32"/>
          <w:szCs w:val="32"/>
          <w:highlight w:val="none"/>
        </w:rPr>
      </w:pPr>
      <w:r>
        <w:rPr>
          <w:rFonts w:hint="eastAsia" w:ascii="宋体" w:hAnsi="宋体" w:cs="宋体"/>
          <w:b/>
          <w:bCs/>
          <w:color w:val="auto"/>
          <w:sz w:val="32"/>
          <w:szCs w:val="32"/>
          <w:highlight w:val="none"/>
        </w:rPr>
        <w:t>8.节能方面的证书扫描件（如有，请提供）</w:t>
      </w:r>
    </w:p>
    <w:p w14:paraId="1B78B259">
      <w:pPr>
        <w:rPr>
          <w:rFonts w:ascii="宋体" w:hAnsi="宋体" w:cs="宋体"/>
          <w:b/>
          <w:bCs/>
          <w:color w:val="auto"/>
          <w:sz w:val="32"/>
          <w:szCs w:val="32"/>
          <w:highlight w:val="none"/>
        </w:rPr>
      </w:pPr>
    </w:p>
    <w:p w14:paraId="0E2A9D2E">
      <w:pPr>
        <w:rPr>
          <w:rFonts w:ascii="宋体" w:hAnsi="宋体" w:cs="宋体"/>
          <w:b/>
          <w:bCs/>
          <w:color w:val="auto"/>
          <w:sz w:val="32"/>
          <w:szCs w:val="32"/>
          <w:highlight w:val="none"/>
        </w:rPr>
      </w:pPr>
    </w:p>
    <w:p w14:paraId="14EBD520">
      <w:pPr>
        <w:rPr>
          <w:rFonts w:ascii="宋体" w:hAnsi="宋体" w:cs="宋体"/>
          <w:b/>
          <w:bCs/>
          <w:color w:val="auto"/>
          <w:sz w:val="32"/>
          <w:szCs w:val="32"/>
          <w:highlight w:val="none"/>
        </w:rPr>
      </w:pPr>
    </w:p>
    <w:p w14:paraId="3C69F2AE">
      <w:pPr>
        <w:rPr>
          <w:rFonts w:ascii="宋体" w:hAnsi="宋体" w:cs="宋体"/>
          <w:b/>
          <w:bCs/>
          <w:color w:val="auto"/>
          <w:sz w:val="32"/>
          <w:szCs w:val="32"/>
          <w:highlight w:val="none"/>
        </w:rPr>
      </w:pPr>
      <w:r>
        <w:rPr>
          <w:rFonts w:hint="eastAsia" w:ascii="宋体" w:hAnsi="宋体" w:cs="宋体"/>
          <w:b/>
          <w:bCs/>
          <w:color w:val="auto"/>
          <w:sz w:val="32"/>
          <w:szCs w:val="32"/>
          <w:highlight w:val="none"/>
        </w:rPr>
        <w:t>9.环境标志方面的证书扫描件（如有，请提供）</w:t>
      </w:r>
    </w:p>
    <w:p w14:paraId="6B4021DD">
      <w:pPr>
        <w:rPr>
          <w:rFonts w:ascii="宋体" w:hAnsi="宋体" w:cs="宋体"/>
          <w:b/>
          <w:bCs/>
          <w:color w:val="auto"/>
          <w:sz w:val="32"/>
          <w:szCs w:val="32"/>
          <w:highlight w:val="none"/>
        </w:rPr>
      </w:pPr>
    </w:p>
    <w:p w14:paraId="471C6FD3">
      <w:pPr>
        <w:pStyle w:val="2"/>
        <w:rPr>
          <w:rFonts w:ascii="宋体" w:hAnsi="宋体" w:cs="宋体"/>
          <w:b/>
          <w:bCs/>
          <w:color w:val="auto"/>
          <w:sz w:val="32"/>
          <w:szCs w:val="32"/>
          <w:highlight w:val="none"/>
        </w:rPr>
      </w:pPr>
    </w:p>
    <w:p w14:paraId="60303CEE">
      <w:pPr>
        <w:rPr>
          <w:color w:val="auto"/>
          <w:highlight w:val="none"/>
        </w:rPr>
      </w:pPr>
    </w:p>
    <w:p w14:paraId="40A4D94A">
      <w:pPr>
        <w:rPr>
          <w:rFonts w:ascii="宋体" w:hAnsi="宋体" w:cs="宋体"/>
          <w:b/>
          <w:bCs/>
          <w:color w:val="auto"/>
          <w:sz w:val="32"/>
          <w:szCs w:val="32"/>
          <w:highlight w:val="none"/>
        </w:rPr>
      </w:pPr>
      <w:r>
        <w:rPr>
          <w:rFonts w:hint="eastAsia" w:ascii="宋体" w:hAnsi="宋体" w:cs="宋体"/>
          <w:b/>
          <w:bCs/>
          <w:color w:val="auto"/>
          <w:sz w:val="32"/>
          <w:szCs w:val="32"/>
          <w:highlight w:val="none"/>
        </w:rPr>
        <w:t>10.投标人自2023年1月1日以来具有同类产品的销售业绩 [以中标（成交）通知书或采购合同扫描件为准（能清晰反映所销售的货物名称、种类、金额)，否则将不予计分；同一个编号的项目有两个或两个以上的分标中标的只算一次]（如有，请提供）。</w:t>
      </w:r>
    </w:p>
    <w:p w14:paraId="09A900E5">
      <w:pPr>
        <w:ind w:left="-31" w:leftChars="-15"/>
        <w:rPr>
          <w:rFonts w:ascii="宋体" w:hAnsi="宋体" w:cs="宋体"/>
          <w:b/>
          <w:bCs/>
          <w:color w:val="auto"/>
          <w:sz w:val="32"/>
          <w:szCs w:val="32"/>
          <w:highlight w:val="none"/>
        </w:rPr>
      </w:pPr>
    </w:p>
    <w:p w14:paraId="60936168">
      <w:pPr>
        <w:rPr>
          <w:color w:val="auto"/>
          <w:highlight w:val="none"/>
        </w:rPr>
      </w:pPr>
    </w:p>
    <w:p w14:paraId="3C22D180">
      <w:pPr>
        <w:pStyle w:val="2"/>
        <w:rPr>
          <w:color w:val="auto"/>
          <w:highlight w:val="none"/>
        </w:rPr>
      </w:pPr>
    </w:p>
    <w:p w14:paraId="1D3B2BB8">
      <w:pPr>
        <w:ind w:left="-31" w:leftChars="-15"/>
        <w:rPr>
          <w:rFonts w:ascii="宋体" w:hAnsi="宋体" w:cs="宋体"/>
          <w:b/>
          <w:bCs/>
          <w:color w:val="auto"/>
          <w:sz w:val="32"/>
          <w:szCs w:val="32"/>
          <w:highlight w:val="none"/>
        </w:rPr>
      </w:pPr>
      <w:r>
        <w:rPr>
          <w:rFonts w:hint="eastAsia" w:ascii="宋体" w:hAnsi="宋体" w:cs="宋体"/>
          <w:b/>
          <w:bCs/>
          <w:color w:val="auto"/>
          <w:sz w:val="32"/>
          <w:szCs w:val="32"/>
          <w:highlight w:val="none"/>
        </w:rPr>
        <w:t>11.《中小企业声明函》（见附件）（如有，请提供）；</w:t>
      </w:r>
    </w:p>
    <w:p w14:paraId="271FDB20">
      <w:pPr>
        <w:rPr>
          <w:color w:val="auto"/>
          <w:highlight w:val="none"/>
        </w:rPr>
      </w:pPr>
    </w:p>
    <w:p w14:paraId="6AD9FD2A">
      <w:pPr>
        <w:rPr>
          <w:color w:val="auto"/>
          <w:highlight w:val="none"/>
        </w:rPr>
      </w:pPr>
    </w:p>
    <w:p w14:paraId="7E9F2BDE">
      <w:pPr>
        <w:ind w:left="-31" w:leftChars="-15"/>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6C6E0676">
      <w:pPr>
        <w:pStyle w:val="16"/>
        <w:spacing w:line="440" w:lineRule="exact"/>
        <w:jc w:val="center"/>
        <w:rPr>
          <w:rFonts w:hAnsi="宋体"/>
          <w:b/>
          <w:bCs/>
          <w:color w:val="auto"/>
          <w:sz w:val="28"/>
          <w:szCs w:val="28"/>
          <w:highlight w:val="none"/>
        </w:rPr>
      </w:pPr>
      <w:r>
        <w:rPr>
          <w:rFonts w:hint="eastAsia" w:hAnsi="宋体"/>
          <w:b/>
          <w:bCs/>
          <w:color w:val="auto"/>
          <w:sz w:val="28"/>
          <w:szCs w:val="28"/>
          <w:highlight w:val="none"/>
        </w:rPr>
        <w:t>中小企业声明函（货物）</w:t>
      </w:r>
    </w:p>
    <w:p w14:paraId="527FF99B">
      <w:pPr>
        <w:pStyle w:val="16"/>
        <w:spacing w:line="440" w:lineRule="exact"/>
        <w:ind w:firstLine="504" w:firstLineChars="200"/>
        <w:rPr>
          <w:rFonts w:hAnsi="宋体" w:cs="宋体"/>
          <w:color w:val="auto"/>
          <w:spacing w:val="6"/>
          <w:sz w:val="24"/>
          <w:szCs w:val="24"/>
          <w:highlight w:val="none"/>
        </w:rPr>
      </w:pPr>
      <w:r>
        <w:rPr>
          <w:rFonts w:hint="eastAsia" w:hAnsi="宋体" w:cs="宋体"/>
          <w:color w:val="auto"/>
          <w:spacing w:val="6"/>
          <w:sz w:val="24"/>
          <w:szCs w:val="24"/>
          <w:highlight w:val="none"/>
        </w:rPr>
        <w:t>本公司（联合体）郑重声明，根据《政府采购促进中小企业发展管理办法》（财库﹝2020﹞46 号）的规定，本公司（联合体）参加（</w:t>
      </w:r>
      <w:r>
        <w:rPr>
          <w:rFonts w:hint="eastAsia" w:hAnsi="宋体" w:cs="宋体"/>
          <w:color w:val="auto"/>
          <w:spacing w:val="6"/>
          <w:sz w:val="24"/>
          <w:szCs w:val="24"/>
          <w:highlight w:val="none"/>
          <w:u w:val="single"/>
        </w:rPr>
        <w:t>单位名称</w:t>
      </w:r>
      <w:r>
        <w:rPr>
          <w:rFonts w:hint="eastAsia" w:hAnsi="宋体" w:cs="宋体"/>
          <w:color w:val="auto"/>
          <w:spacing w:val="6"/>
          <w:sz w:val="24"/>
          <w:szCs w:val="24"/>
          <w:highlight w:val="none"/>
        </w:rPr>
        <w:t>）的（</w:t>
      </w:r>
      <w:r>
        <w:rPr>
          <w:rFonts w:hint="eastAsia" w:hAnsi="宋体" w:cs="宋体"/>
          <w:color w:val="auto"/>
          <w:spacing w:val="6"/>
          <w:sz w:val="24"/>
          <w:szCs w:val="24"/>
          <w:highlight w:val="none"/>
          <w:u w:val="single"/>
        </w:rPr>
        <w:t>项目名称</w:t>
      </w:r>
      <w:r>
        <w:rPr>
          <w:rFonts w:hint="eastAsia" w:hAnsi="宋体" w:cs="宋体"/>
          <w:color w:val="auto"/>
          <w:spacing w:val="6"/>
          <w:sz w:val="24"/>
          <w:szCs w:val="24"/>
          <w:highlight w:val="none"/>
        </w:rPr>
        <w:t>）采购活动，提供的货物全部符合政策要求的中小企业制造。相关企业（含联合体中的中小企业、签订分包意向协议的中小企业）的具体情况如下：</w:t>
      </w:r>
    </w:p>
    <w:p w14:paraId="2FE497C2">
      <w:pPr>
        <w:pStyle w:val="16"/>
        <w:spacing w:line="440" w:lineRule="exact"/>
        <w:ind w:firstLine="504" w:firstLineChars="200"/>
        <w:rPr>
          <w:rFonts w:hAnsi="宋体" w:cs="宋体"/>
          <w:color w:val="auto"/>
          <w:sz w:val="24"/>
          <w:szCs w:val="24"/>
          <w:highlight w:val="none"/>
        </w:rPr>
      </w:pPr>
      <w:r>
        <w:rPr>
          <w:rFonts w:hint="eastAsia" w:hAnsi="宋体" w:cs="宋体"/>
          <w:color w:val="auto"/>
          <w:spacing w:val="6"/>
          <w:sz w:val="24"/>
          <w:szCs w:val="24"/>
          <w:highlight w:val="none"/>
        </w:rPr>
        <w:t>1.</w:t>
      </w:r>
      <w:r>
        <w:rPr>
          <w:rFonts w:hint="eastAsia" w:hAnsi="宋体" w:cs="宋体"/>
          <w:color w:val="auto"/>
          <w:spacing w:val="6"/>
          <w:sz w:val="24"/>
          <w:szCs w:val="24"/>
          <w:highlight w:val="none"/>
          <w:u w:val="single"/>
        </w:rPr>
        <w:t>（标的名称）</w:t>
      </w:r>
      <w:r>
        <w:rPr>
          <w:rFonts w:hint="eastAsia" w:hAnsi="宋体" w:cs="宋体"/>
          <w:color w:val="auto"/>
          <w:spacing w:val="6"/>
          <w:sz w:val="24"/>
          <w:szCs w:val="24"/>
          <w:highlight w:val="none"/>
        </w:rPr>
        <w:t>，属于</w:t>
      </w:r>
      <w:r>
        <w:rPr>
          <w:rFonts w:hint="eastAsia" w:hAnsi="宋体" w:cs="宋体"/>
          <w:color w:val="auto"/>
          <w:spacing w:val="6"/>
          <w:sz w:val="24"/>
          <w:szCs w:val="24"/>
          <w:highlight w:val="none"/>
          <w:u w:val="single"/>
        </w:rPr>
        <w:t>（采购文件中明确的所属行业）行业</w:t>
      </w:r>
      <w:r>
        <w:rPr>
          <w:rFonts w:hint="eastAsia" w:hAnsi="宋体" w:cs="宋体"/>
          <w:color w:val="auto"/>
          <w:spacing w:val="6"/>
          <w:sz w:val="24"/>
          <w:szCs w:val="24"/>
          <w:highlight w:val="none"/>
        </w:rPr>
        <w:t>；制造商为（</w:t>
      </w:r>
      <w:r>
        <w:rPr>
          <w:rFonts w:hint="eastAsia" w:hAnsi="宋体" w:cs="宋体"/>
          <w:color w:val="auto"/>
          <w:spacing w:val="6"/>
          <w:sz w:val="24"/>
          <w:szCs w:val="24"/>
          <w:highlight w:val="none"/>
          <w:u w:val="single"/>
        </w:rPr>
        <w:t>企业名称</w:t>
      </w:r>
      <w:r>
        <w:rPr>
          <w:rFonts w:hint="eastAsia" w:hAnsi="宋体" w:cs="宋体"/>
          <w:color w:val="auto"/>
          <w:spacing w:val="6"/>
          <w:sz w:val="24"/>
          <w:szCs w:val="24"/>
          <w:highlight w:val="none"/>
        </w:rPr>
        <w:t>），从业人员人，营业收入为万元，资产总额为万元</w:t>
      </w:r>
      <w:r>
        <w:rPr>
          <w:rFonts w:hint="eastAsia" w:hAnsi="宋体" w:cs="宋体"/>
          <w:color w:val="auto"/>
          <w:spacing w:val="6"/>
          <w:sz w:val="24"/>
          <w:szCs w:val="24"/>
          <w:highlight w:val="none"/>
          <w:vertAlign w:val="superscript"/>
        </w:rPr>
        <w:t>1</w:t>
      </w:r>
      <w:r>
        <w:rPr>
          <w:rFonts w:hint="eastAsia" w:hAnsi="宋体" w:cs="宋体"/>
          <w:color w:val="auto"/>
          <w:spacing w:val="6"/>
          <w:sz w:val="24"/>
          <w:szCs w:val="24"/>
          <w:highlight w:val="none"/>
        </w:rPr>
        <w:t>，属于（</w:t>
      </w:r>
      <w:r>
        <w:rPr>
          <w:rFonts w:hint="eastAsia" w:hAnsi="宋体" w:cs="宋体"/>
          <w:color w:val="auto"/>
          <w:spacing w:val="6"/>
          <w:sz w:val="24"/>
          <w:szCs w:val="24"/>
          <w:highlight w:val="none"/>
          <w:u w:val="single"/>
        </w:rPr>
        <w:t>中型企业、 小型企业、微型企业</w:t>
      </w:r>
      <w:r>
        <w:rPr>
          <w:rFonts w:hint="eastAsia" w:hAnsi="宋体" w:cs="宋体"/>
          <w:color w:val="auto"/>
          <w:spacing w:val="6"/>
          <w:sz w:val="24"/>
          <w:szCs w:val="24"/>
          <w:highlight w:val="none"/>
        </w:rPr>
        <w:t>）</w:t>
      </w:r>
    </w:p>
    <w:p w14:paraId="0DAA26BE">
      <w:pPr>
        <w:widowControl/>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（采购文件中明确的所属行业）行业</w:t>
      </w:r>
      <w:r>
        <w:rPr>
          <w:rFonts w:hint="eastAsia" w:ascii="宋体" w:hAnsi="宋体" w:cs="宋体"/>
          <w:color w:val="auto"/>
          <w:spacing w:val="6"/>
          <w:sz w:val="24"/>
          <w:highlight w:val="none"/>
        </w:rPr>
        <w:t>；制造商为（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），从业人员人，营业收入为万元，资产总额为万元</w:t>
      </w:r>
      <w:r>
        <w:rPr>
          <w:rFonts w:hint="eastAsia" w:ascii="宋体" w:hAnsi="宋体" w:cs="宋体"/>
          <w:color w:val="auto"/>
          <w:spacing w:val="6"/>
          <w:sz w:val="24"/>
          <w:highlight w:val="none"/>
          <w:vertAlign w:val="superscript"/>
        </w:rPr>
        <w:t>1</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中型企业、 小型企业、微型企业</w:t>
      </w:r>
      <w:r>
        <w:rPr>
          <w:rFonts w:hint="eastAsia" w:ascii="宋体" w:hAnsi="宋体" w:cs="宋体"/>
          <w:color w:val="auto"/>
          <w:spacing w:val="6"/>
          <w:sz w:val="24"/>
          <w:highlight w:val="none"/>
        </w:rPr>
        <w:t>）</w:t>
      </w:r>
    </w:p>
    <w:p w14:paraId="76009E23">
      <w:pPr>
        <w:pStyle w:val="8"/>
        <w:ind w:left="0"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07416544">
      <w:pPr>
        <w:widowControl/>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58EF2C25">
      <w:pPr>
        <w:widowControl/>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本企业对上述声明内容的真实性负责。如有虚假，将依法承担相应责任。 </w:t>
      </w:r>
    </w:p>
    <w:p w14:paraId="774A973F">
      <w:pPr>
        <w:pStyle w:val="2"/>
        <w:rPr>
          <w:color w:val="auto"/>
          <w:highlight w:val="none"/>
        </w:rPr>
      </w:pPr>
    </w:p>
    <w:p w14:paraId="17E766A4">
      <w:pPr>
        <w:widowControl/>
        <w:ind w:firstLine="5796" w:firstLineChars="2300"/>
        <w:rPr>
          <w:color w:val="auto"/>
          <w:spacing w:val="6"/>
          <w:sz w:val="24"/>
          <w:highlight w:val="none"/>
        </w:rPr>
      </w:pPr>
      <w:r>
        <w:rPr>
          <w:rFonts w:hint="eastAsia"/>
          <w:color w:val="auto"/>
          <w:spacing w:val="6"/>
          <w:sz w:val="24"/>
          <w:highlight w:val="none"/>
        </w:rPr>
        <w:t>企业名称</w:t>
      </w:r>
      <w:r>
        <w:rPr>
          <w:rFonts w:hint="eastAsia"/>
          <w:color w:val="auto"/>
          <w:sz w:val="24"/>
          <w:highlight w:val="none"/>
        </w:rPr>
        <w:t>[盖公章]</w:t>
      </w:r>
      <w:r>
        <w:rPr>
          <w:rFonts w:hint="eastAsia"/>
          <w:color w:val="auto"/>
          <w:spacing w:val="6"/>
          <w:sz w:val="24"/>
          <w:highlight w:val="none"/>
        </w:rPr>
        <w:t xml:space="preserve">： </w:t>
      </w:r>
    </w:p>
    <w:p w14:paraId="70C809D6">
      <w:pPr>
        <w:widowControl/>
        <w:ind w:firstLine="5796" w:firstLineChars="2300"/>
        <w:rPr>
          <w:color w:val="auto"/>
          <w:spacing w:val="6"/>
          <w:sz w:val="24"/>
          <w:highlight w:val="none"/>
        </w:rPr>
      </w:pPr>
      <w:r>
        <w:rPr>
          <w:rFonts w:hint="eastAsia"/>
          <w:color w:val="auto"/>
          <w:spacing w:val="6"/>
          <w:sz w:val="24"/>
          <w:highlight w:val="none"/>
        </w:rPr>
        <w:t>日 期：</w:t>
      </w:r>
    </w:p>
    <w:p w14:paraId="3616C787">
      <w:pPr>
        <w:pStyle w:val="8"/>
        <w:ind w:left="0"/>
        <w:rPr>
          <w:color w:val="auto"/>
          <w:highlight w:val="none"/>
        </w:rPr>
      </w:pPr>
    </w:p>
    <w:p w14:paraId="48CF22B8">
      <w:pPr>
        <w:widowControl/>
        <w:rPr>
          <w:color w:val="auto"/>
          <w:highlight w:val="none"/>
        </w:rPr>
      </w:pPr>
    </w:p>
    <w:p w14:paraId="67EA7CB7">
      <w:pPr>
        <w:pStyle w:val="2"/>
        <w:rPr>
          <w:color w:val="auto"/>
          <w:highlight w:val="none"/>
        </w:rPr>
      </w:pPr>
    </w:p>
    <w:p w14:paraId="0AA2B203">
      <w:pPr>
        <w:ind w:left="-31" w:leftChars="-15"/>
        <w:rPr>
          <w:rFonts w:ascii="宋体" w:hAnsi="宋体" w:cs="宋体"/>
          <w:b/>
          <w:bCs/>
          <w:color w:val="auto"/>
          <w:sz w:val="32"/>
          <w:szCs w:val="32"/>
          <w:highlight w:val="none"/>
        </w:rPr>
      </w:pPr>
      <w:r>
        <w:rPr>
          <w:rFonts w:hint="eastAsia"/>
          <w:color w:val="auto"/>
          <w:sz w:val="18"/>
          <w:szCs w:val="18"/>
          <w:highlight w:val="none"/>
          <w:vertAlign w:val="superscript"/>
        </w:rPr>
        <w:t>1</w:t>
      </w:r>
      <w:r>
        <w:rPr>
          <w:rFonts w:hint="eastAsia"/>
          <w:color w:val="auto"/>
          <w:sz w:val="18"/>
          <w:szCs w:val="18"/>
          <w:highlight w:val="none"/>
        </w:rPr>
        <w:t>从业人员、营业收入、资产总额填报上一年度数据，无上一年度数据的新成立企业可不填报。</w:t>
      </w:r>
    </w:p>
    <w:p w14:paraId="47A8BFF8">
      <w:pPr>
        <w:rPr>
          <w:rFonts w:ascii="宋体" w:hAnsi="宋体" w:cs="宋体"/>
          <w:b/>
          <w:bCs/>
          <w:color w:val="auto"/>
          <w:sz w:val="32"/>
          <w:szCs w:val="32"/>
          <w:highlight w:val="none"/>
        </w:rPr>
      </w:pPr>
      <w:r>
        <w:rPr>
          <w:rFonts w:hint="eastAsia" w:ascii="宋体" w:hAnsi="宋体" w:cs="宋体"/>
          <w:b/>
          <w:bCs/>
          <w:color w:val="auto"/>
          <w:sz w:val="32"/>
          <w:szCs w:val="32"/>
          <w:highlight w:val="none"/>
        </w:rPr>
        <w:t>12.如货物生产企业属于监狱企业的，应当提供由省级以上监狱管理局、戒毒管理局等（含新疆生产建设兵团）出具的属于监狱企业的证明文件, 否则不予享受优惠政策（如有，请提供）；</w:t>
      </w:r>
    </w:p>
    <w:p w14:paraId="25D71CA3">
      <w:pPr>
        <w:pStyle w:val="2"/>
        <w:rPr>
          <w:color w:val="auto"/>
          <w:highlight w:val="none"/>
        </w:rPr>
      </w:pPr>
    </w:p>
    <w:p w14:paraId="16AF8F6A">
      <w:pPr>
        <w:rPr>
          <w:color w:val="auto"/>
          <w:highlight w:val="none"/>
        </w:rPr>
      </w:pPr>
    </w:p>
    <w:p w14:paraId="06676B05">
      <w:pPr>
        <w:rPr>
          <w:rFonts w:ascii="宋体" w:hAnsi="宋体" w:cs="宋体"/>
          <w:b/>
          <w:bCs/>
          <w:color w:val="auto"/>
          <w:sz w:val="32"/>
          <w:szCs w:val="32"/>
          <w:highlight w:val="none"/>
        </w:rPr>
      </w:pPr>
      <w:r>
        <w:rPr>
          <w:rFonts w:hint="eastAsia" w:ascii="宋体" w:hAnsi="宋体" w:cs="宋体"/>
          <w:b/>
          <w:bCs/>
          <w:color w:val="auto"/>
          <w:sz w:val="32"/>
          <w:szCs w:val="32"/>
          <w:highlight w:val="none"/>
        </w:rPr>
        <w:t>13.符合条件的残疾人福利性单位在参加政府采购活动时，应当提供《残疾人福利性单位声明函》（见附件），并对声明的真实性负责；（如有，请提供）；</w:t>
      </w:r>
    </w:p>
    <w:p w14:paraId="436E06FE">
      <w:pPr>
        <w:jc w:val="center"/>
        <w:rPr>
          <w:color w:val="auto"/>
          <w:highlight w:val="none"/>
        </w:rPr>
      </w:pPr>
      <w:r>
        <w:rPr>
          <w:rFonts w:hint="eastAsia" w:ascii="宋体" w:hAnsi="宋体" w:cs="宋体"/>
          <w:b/>
          <w:color w:val="auto"/>
          <w:spacing w:val="6"/>
          <w:sz w:val="32"/>
          <w:szCs w:val="32"/>
          <w:highlight w:val="none"/>
        </w:rPr>
        <w:t>残疾人福利性单位声明函</w:t>
      </w:r>
    </w:p>
    <w:p w14:paraId="6C69003E">
      <w:pPr>
        <w:spacing w:line="588" w:lineRule="exact"/>
        <w:ind w:firstLine="624" w:firstLineChars="200"/>
        <w:rPr>
          <w:rFonts w:ascii="宋体" w:hAnsi="宋体" w:cs="宋体"/>
          <w:color w:val="auto"/>
          <w:spacing w:val="6"/>
          <w:sz w:val="30"/>
          <w:szCs w:val="30"/>
          <w:highlight w:val="none"/>
        </w:rPr>
      </w:pPr>
      <w:r>
        <w:rPr>
          <w:rFonts w:hint="eastAsia" w:ascii="宋体" w:hAnsi="宋体" w:cs="宋体"/>
          <w:color w:val="auto"/>
          <w:spacing w:val="6"/>
          <w:sz w:val="30"/>
          <w:szCs w:val="3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87FAD4">
      <w:pPr>
        <w:spacing w:line="588" w:lineRule="exact"/>
        <w:ind w:firstLine="624" w:firstLineChars="200"/>
        <w:rPr>
          <w:rFonts w:ascii="宋体" w:hAnsi="宋体" w:cs="宋体"/>
          <w:color w:val="auto"/>
          <w:spacing w:val="6"/>
          <w:sz w:val="30"/>
          <w:szCs w:val="30"/>
          <w:highlight w:val="none"/>
        </w:rPr>
      </w:pPr>
      <w:r>
        <w:rPr>
          <w:rFonts w:hint="eastAsia" w:ascii="宋体" w:hAnsi="宋体" w:cs="宋体"/>
          <w:color w:val="auto"/>
          <w:spacing w:val="6"/>
          <w:sz w:val="30"/>
          <w:szCs w:val="30"/>
          <w:highlight w:val="none"/>
        </w:rPr>
        <w:t>本单位对上述声明的真实性负责。如有虚假，将依法承担相应责任。</w:t>
      </w:r>
    </w:p>
    <w:p w14:paraId="0CAB37BB">
      <w:pPr>
        <w:rPr>
          <w:color w:val="auto"/>
          <w:highlight w:val="none"/>
        </w:rPr>
      </w:pPr>
    </w:p>
    <w:p w14:paraId="2FE1B813">
      <w:pPr>
        <w:rPr>
          <w:color w:val="auto"/>
          <w:highlight w:val="none"/>
        </w:rPr>
      </w:pPr>
    </w:p>
    <w:p w14:paraId="76289FB9">
      <w:pPr>
        <w:rPr>
          <w:color w:val="auto"/>
          <w:highlight w:val="none"/>
        </w:rPr>
      </w:pPr>
    </w:p>
    <w:p w14:paraId="51BF32E5">
      <w:pPr>
        <w:tabs>
          <w:tab w:val="left" w:pos="4860"/>
        </w:tabs>
        <w:spacing w:line="588" w:lineRule="exact"/>
        <w:ind w:right="1560" w:firstLine="624" w:firstLineChars="200"/>
        <w:jc w:val="center"/>
        <w:rPr>
          <w:rFonts w:ascii="宋体" w:hAnsi="宋体" w:cs="宋体"/>
          <w:color w:val="auto"/>
          <w:spacing w:val="6"/>
          <w:sz w:val="30"/>
          <w:szCs w:val="30"/>
          <w:highlight w:val="none"/>
        </w:rPr>
      </w:pPr>
      <w:r>
        <w:rPr>
          <w:rFonts w:hint="eastAsia" w:ascii="宋体" w:hAnsi="宋体" w:cs="宋体"/>
          <w:color w:val="auto"/>
          <w:spacing w:val="6"/>
          <w:sz w:val="30"/>
          <w:szCs w:val="30"/>
          <w:highlight w:val="none"/>
        </w:rPr>
        <w:t>单位名称[盖公章（CA签章）]：</w:t>
      </w:r>
    </w:p>
    <w:p w14:paraId="531BA58D">
      <w:pPr>
        <w:tabs>
          <w:tab w:val="left" w:pos="4860"/>
        </w:tabs>
        <w:spacing w:line="588" w:lineRule="exact"/>
        <w:ind w:right="1560" w:firstLine="624" w:firstLineChars="200"/>
        <w:jc w:val="center"/>
        <w:rPr>
          <w:rFonts w:ascii="宋体" w:hAnsi="宋体" w:cs="宋体"/>
          <w:color w:val="auto"/>
          <w:spacing w:val="6"/>
          <w:sz w:val="30"/>
          <w:szCs w:val="30"/>
          <w:highlight w:val="none"/>
        </w:rPr>
      </w:pPr>
      <w:r>
        <w:rPr>
          <w:rFonts w:hint="eastAsia" w:ascii="宋体" w:hAnsi="宋体" w:cs="宋体"/>
          <w:color w:val="auto"/>
          <w:spacing w:val="6"/>
          <w:sz w:val="30"/>
          <w:szCs w:val="30"/>
          <w:highlight w:val="none"/>
        </w:rPr>
        <w:t xml:space="preserve">    日  期：</w:t>
      </w:r>
    </w:p>
    <w:p w14:paraId="420A135A">
      <w:pPr>
        <w:rPr>
          <w:color w:val="auto"/>
          <w:highlight w:val="none"/>
        </w:rPr>
      </w:pPr>
    </w:p>
    <w:p w14:paraId="1608C676">
      <w:pPr>
        <w:pStyle w:val="2"/>
        <w:rPr>
          <w:color w:val="auto"/>
          <w:highlight w:val="none"/>
        </w:rPr>
      </w:pPr>
    </w:p>
    <w:p w14:paraId="28D91A7F">
      <w:pPr>
        <w:rPr>
          <w:rFonts w:hint="eastAsia" w:ascii="宋体" w:hAnsi="宋体" w:cs="宋体"/>
          <w:b/>
          <w:bCs/>
          <w:color w:val="auto"/>
          <w:sz w:val="32"/>
          <w:szCs w:val="32"/>
          <w:highlight w:val="none"/>
        </w:rPr>
      </w:pPr>
    </w:p>
    <w:p w14:paraId="6631FCE1">
      <w:pPr>
        <w:rPr>
          <w:color w:val="auto"/>
          <w:highlight w:val="none"/>
        </w:rPr>
      </w:pPr>
      <w:r>
        <w:rPr>
          <w:rFonts w:hint="eastAsia" w:ascii="宋体" w:hAnsi="宋体" w:cs="宋体"/>
          <w:b/>
          <w:bCs/>
          <w:color w:val="auto"/>
          <w:sz w:val="32"/>
          <w:szCs w:val="32"/>
          <w:highlight w:val="none"/>
        </w:rPr>
        <w:t>14.投标人可结合本项目的评标办法视自身情况自行提交相关证明材料（如有，请提供）。</w:t>
      </w:r>
    </w:p>
    <w:bookmarkEnd w:id="408"/>
    <w:sectPr>
      <w:footerReference r:id="rId5" w:type="default"/>
      <w:pgSz w:w="11906" w:h="16838"/>
      <w:pgMar w:top="1440" w:right="1080" w:bottom="1440" w:left="108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onospace">
    <w:altName w:val="Noto Sans SC"/>
    <w:panose1 w:val="00000000000000000000"/>
    <w:charset w:val="00"/>
    <w:family w:val="auto"/>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Ђˎ̥">
    <w:altName w:val="Noto Sans SC"/>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Sim Sun">
    <w:altName w:val="宋体"/>
    <w:panose1 w:val="00000000000000000000"/>
    <w:charset w:val="86"/>
    <w:family w:val="decorative"/>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E4C4C">
    <w:pPr>
      <w:pStyle w:val="20"/>
      <w:pBdr>
        <w:bottom w:val="single" w:color="auto" w:sz="4" w:space="0"/>
      </w:pBdr>
    </w:pPr>
  </w:p>
  <w:p w14:paraId="0FC310B6">
    <w:pPr>
      <w:pStyle w:val="20"/>
    </w:pPr>
    <w:r>
      <w:rPr>
        <w:rFonts w:hint="eastAsia"/>
      </w:rPr>
      <w:t>桂林市政府集中采购中心                                                                              公开招标</w:t>
    </w:r>
  </w:p>
  <w:p w14:paraId="3B567B9E">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1F631">
    <w:pPr>
      <w:pStyle w:val="20"/>
      <w:pBdr>
        <w:bottom w:val="single" w:color="auto" w:sz="4"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D93B67">
                          <w:pPr>
                            <w:pStyle w:val="20"/>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mQ1rudABAACrAwAADgAAAAAAAAABACAAAAAeAQAAZHJz&#10;L2Uyb0RvYy54bWxQSwUGAAAAAAYABgBZAQAAYAUAAAAA&#10;">
              <v:fill on="f" focussize="0,0"/>
              <v:stroke on="f"/>
              <v:imagedata o:title=""/>
              <o:lock v:ext="edit" aspectratio="f"/>
              <v:textbox inset="0mm,0mm,0mm,0mm" style="mso-fit-shape-to-text:t;">
                <w:txbxContent>
                  <w:p w14:paraId="51D93B67">
                    <w:pPr>
                      <w:pStyle w:val="20"/>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v:textbox>
            </v:shape>
          </w:pict>
        </mc:Fallback>
      </mc:AlternateContent>
    </w:r>
  </w:p>
  <w:p w14:paraId="679604D5">
    <w:pPr>
      <w:pStyle w:val="20"/>
    </w:pPr>
    <w:r>
      <w:rPr>
        <w:rFonts w:hint="eastAsia"/>
      </w:rPr>
      <w:t>桂林市政府集中采购中心                                                                              公开招标</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D6A7C">
    <w:pPr>
      <w:pStyle w:val="21"/>
      <w:ind w:left="180" w:hanging="180" w:hangingChars="100"/>
      <w:jc w:val="left"/>
      <w:rPr>
        <w:rFonts w:ascii="宋体" w:hAnsi="宋体" w:cs="宋体"/>
        <w:sz w:val="21"/>
        <w:szCs w:val="21"/>
      </w:rPr>
    </w:pPr>
    <w:r>
      <w:rPr>
        <w:rFonts w:hint="eastAsia" w:ascii="宋体" w:hAnsi="宋体" w:cs="宋体"/>
        <w:lang w:val="en-US" w:eastAsia="zh-CN"/>
      </w:rPr>
      <w:t>荔浦市教育局荔浦市学校扩班及更换教学设备设施采购项目（重1）                         GLZC2025-G1-310035-GLSZ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F0521"/>
    <w:multiLevelType w:val="singleLevel"/>
    <w:tmpl w:val="0F3F0521"/>
    <w:lvl w:ilvl="0" w:tentative="0">
      <w:start w:val="1"/>
      <w:numFmt w:val="decimal"/>
      <w:lvlText w:val="%1)"/>
      <w:lvlJc w:val="left"/>
      <w:pPr>
        <w:ind w:left="425" w:hanging="425"/>
      </w:pPr>
      <w:rPr>
        <w:rFonts w:hint="default"/>
      </w:rPr>
    </w:lvl>
  </w:abstractNum>
  <w:abstractNum w:abstractNumId="1">
    <w:nsid w:val="262694A4"/>
    <w:multiLevelType w:val="singleLevel"/>
    <w:tmpl w:val="262694A4"/>
    <w:lvl w:ilvl="0" w:tentative="0">
      <w:start w:val="1"/>
      <w:numFmt w:val="chineseCounting"/>
      <w:suff w:val="space"/>
      <w:lvlText w:val="第%1章"/>
      <w:lvlJc w:val="left"/>
      <w:rPr>
        <w:rFonts w:hint="eastAsia"/>
      </w:rPr>
    </w:lvl>
  </w:abstractNum>
  <w:abstractNum w:abstractNumId="2">
    <w:nsid w:val="4603DC6E"/>
    <w:multiLevelType w:val="singleLevel"/>
    <w:tmpl w:val="4603DC6E"/>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zY5MjFhNjIwZjQyMDY1N2M3MGE5MDQwMTZjOTcifQ=="/>
  </w:docVars>
  <w:rsids>
    <w:rsidRoot w:val="00172A27"/>
    <w:rsid w:val="0000012A"/>
    <w:rsid w:val="000004C3"/>
    <w:rsid w:val="000007B3"/>
    <w:rsid w:val="000012F4"/>
    <w:rsid w:val="000013C5"/>
    <w:rsid w:val="0000245C"/>
    <w:rsid w:val="00002511"/>
    <w:rsid w:val="00002604"/>
    <w:rsid w:val="00002682"/>
    <w:rsid w:val="00002789"/>
    <w:rsid w:val="00003EA2"/>
    <w:rsid w:val="00004D43"/>
    <w:rsid w:val="00004D70"/>
    <w:rsid w:val="000064D3"/>
    <w:rsid w:val="000066AE"/>
    <w:rsid w:val="0000694B"/>
    <w:rsid w:val="00007562"/>
    <w:rsid w:val="00007A12"/>
    <w:rsid w:val="00007F96"/>
    <w:rsid w:val="00010484"/>
    <w:rsid w:val="00010630"/>
    <w:rsid w:val="0001073E"/>
    <w:rsid w:val="00010A38"/>
    <w:rsid w:val="00010C20"/>
    <w:rsid w:val="00010EAD"/>
    <w:rsid w:val="00011006"/>
    <w:rsid w:val="00011968"/>
    <w:rsid w:val="00012CDC"/>
    <w:rsid w:val="0001389F"/>
    <w:rsid w:val="000139C8"/>
    <w:rsid w:val="000139E0"/>
    <w:rsid w:val="00013C53"/>
    <w:rsid w:val="000147E9"/>
    <w:rsid w:val="00014897"/>
    <w:rsid w:val="000154C2"/>
    <w:rsid w:val="00015616"/>
    <w:rsid w:val="00016164"/>
    <w:rsid w:val="000161E6"/>
    <w:rsid w:val="000168D8"/>
    <w:rsid w:val="00016CCE"/>
    <w:rsid w:val="00016DFC"/>
    <w:rsid w:val="00016E25"/>
    <w:rsid w:val="00016F9A"/>
    <w:rsid w:val="000171D6"/>
    <w:rsid w:val="00020282"/>
    <w:rsid w:val="000204F7"/>
    <w:rsid w:val="00020654"/>
    <w:rsid w:val="000206E4"/>
    <w:rsid w:val="00020A3D"/>
    <w:rsid w:val="00020C2E"/>
    <w:rsid w:val="00020C93"/>
    <w:rsid w:val="00020DFC"/>
    <w:rsid w:val="00021802"/>
    <w:rsid w:val="00021DAE"/>
    <w:rsid w:val="000226EF"/>
    <w:rsid w:val="00022A04"/>
    <w:rsid w:val="00022F6B"/>
    <w:rsid w:val="0002300B"/>
    <w:rsid w:val="00023496"/>
    <w:rsid w:val="00023CCC"/>
    <w:rsid w:val="000247DD"/>
    <w:rsid w:val="00024D1C"/>
    <w:rsid w:val="000250DF"/>
    <w:rsid w:val="000253B5"/>
    <w:rsid w:val="000255CC"/>
    <w:rsid w:val="00025BFA"/>
    <w:rsid w:val="00026487"/>
    <w:rsid w:val="00026761"/>
    <w:rsid w:val="00026815"/>
    <w:rsid w:val="00026A9C"/>
    <w:rsid w:val="00026BD0"/>
    <w:rsid w:val="00026E89"/>
    <w:rsid w:val="00026FAA"/>
    <w:rsid w:val="00027726"/>
    <w:rsid w:val="00027F50"/>
    <w:rsid w:val="00030259"/>
    <w:rsid w:val="00031CD3"/>
    <w:rsid w:val="00031D23"/>
    <w:rsid w:val="000320DB"/>
    <w:rsid w:val="00032419"/>
    <w:rsid w:val="0003258D"/>
    <w:rsid w:val="00033233"/>
    <w:rsid w:val="00033A28"/>
    <w:rsid w:val="00033C3A"/>
    <w:rsid w:val="00033C62"/>
    <w:rsid w:val="00034267"/>
    <w:rsid w:val="00034581"/>
    <w:rsid w:val="00034D30"/>
    <w:rsid w:val="00034E5F"/>
    <w:rsid w:val="000353B8"/>
    <w:rsid w:val="000357BE"/>
    <w:rsid w:val="00035820"/>
    <w:rsid w:val="00035C6F"/>
    <w:rsid w:val="00036348"/>
    <w:rsid w:val="00036425"/>
    <w:rsid w:val="00036594"/>
    <w:rsid w:val="00037242"/>
    <w:rsid w:val="000373A3"/>
    <w:rsid w:val="00037991"/>
    <w:rsid w:val="000404A8"/>
    <w:rsid w:val="00040678"/>
    <w:rsid w:val="00040706"/>
    <w:rsid w:val="00040C08"/>
    <w:rsid w:val="000425C4"/>
    <w:rsid w:val="00042F69"/>
    <w:rsid w:val="000433E9"/>
    <w:rsid w:val="00043717"/>
    <w:rsid w:val="00043BC9"/>
    <w:rsid w:val="00044162"/>
    <w:rsid w:val="00044210"/>
    <w:rsid w:val="0004422A"/>
    <w:rsid w:val="00044409"/>
    <w:rsid w:val="000447E7"/>
    <w:rsid w:val="00044C3F"/>
    <w:rsid w:val="00044E0C"/>
    <w:rsid w:val="00044E5F"/>
    <w:rsid w:val="000457ED"/>
    <w:rsid w:val="00045A4C"/>
    <w:rsid w:val="00045FA3"/>
    <w:rsid w:val="0004657B"/>
    <w:rsid w:val="00047190"/>
    <w:rsid w:val="000473C1"/>
    <w:rsid w:val="00047877"/>
    <w:rsid w:val="000479BB"/>
    <w:rsid w:val="000479E2"/>
    <w:rsid w:val="000500EE"/>
    <w:rsid w:val="0005043F"/>
    <w:rsid w:val="000517CE"/>
    <w:rsid w:val="00052295"/>
    <w:rsid w:val="00052409"/>
    <w:rsid w:val="00053E02"/>
    <w:rsid w:val="0005424F"/>
    <w:rsid w:val="00054CFF"/>
    <w:rsid w:val="00055A2B"/>
    <w:rsid w:val="000561BD"/>
    <w:rsid w:val="00056276"/>
    <w:rsid w:val="0005641F"/>
    <w:rsid w:val="0005650A"/>
    <w:rsid w:val="00056832"/>
    <w:rsid w:val="00057D96"/>
    <w:rsid w:val="00057FA8"/>
    <w:rsid w:val="000606D6"/>
    <w:rsid w:val="0006095D"/>
    <w:rsid w:val="00061342"/>
    <w:rsid w:val="000617D3"/>
    <w:rsid w:val="00061A7B"/>
    <w:rsid w:val="0006269C"/>
    <w:rsid w:val="000629C0"/>
    <w:rsid w:val="00062EB9"/>
    <w:rsid w:val="0006313B"/>
    <w:rsid w:val="00063580"/>
    <w:rsid w:val="00063621"/>
    <w:rsid w:val="0006377B"/>
    <w:rsid w:val="00063C67"/>
    <w:rsid w:val="000645BF"/>
    <w:rsid w:val="00064792"/>
    <w:rsid w:val="00064E88"/>
    <w:rsid w:val="00064E8B"/>
    <w:rsid w:val="00065C6C"/>
    <w:rsid w:val="0006602F"/>
    <w:rsid w:val="00066231"/>
    <w:rsid w:val="00066254"/>
    <w:rsid w:val="0006630F"/>
    <w:rsid w:val="000663F2"/>
    <w:rsid w:val="00066927"/>
    <w:rsid w:val="000675B5"/>
    <w:rsid w:val="00070648"/>
    <w:rsid w:val="0007072F"/>
    <w:rsid w:val="000707BA"/>
    <w:rsid w:val="00070B84"/>
    <w:rsid w:val="000712BA"/>
    <w:rsid w:val="00072AF3"/>
    <w:rsid w:val="000731E0"/>
    <w:rsid w:val="0007321D"/>
    <w:rsid w:val="00073EB9"/>
    <w:rsid w:val="00074060"/>
    <w:rsid w:val="000740EE"/>
    <w:rsid w:val="00074441"/>
    <w:rsid w:val="000746A6"/>
    <w:rsid w:val="000746D3"/>
    <w:rsid w:val="00074890"/>
    <w:rsid w:val="00074AAC"/>
    <w:rsid w:val="00075405"/>
    <w:rsid w:val="000759B4"/>
    <w:rsid w:val="00075AC6"/>
    <w:rsid w:val="000763B8"/>
    <w:rsid w:val="00080266"/>
    <w:rsid w:val="00080A97"/>
    <w:rsid w:val="00080C72"/>
    <w:rsid w:val="00080FD4"/>
    <w:rsid w:val="00081197"/>
    <w:rsid w:val="000815D9"/>
    <w:rsid w:val="0008283C"/>
    <w:rsid w:val="00082B33"/>
    <w:rsid w:val="00082F26"/>
    <w:rsid w:val="000834F3"/>
    <w:rsid w:val="00083AFC"/>
    <w:rsid w:val="000840AE"/>
    <w:rsid w:val="00084236"/>
    <w:rsid w:val="000844B3"/>
    <w:rsid w:val="00085194"/>
    <w:rsid w:val="000858A2"/>
    <w:rsid w:val="00085993"/>
    <w:rsid w:val="00085EE0"/>
    <w:rsid w:val="00086806"/>
    <w:rsid w:val="000870A4"/>
    <w:rsid w:val="00087492"/>
    <w:rsid w:val="00087C2E"/>
    <w:rsid w:val="00087C30"/>
    <w:rsid w:val="00087D46"/>
    <w:rsid w:val="000900BE"/>
    <w:rsid w:val="00090988"/>
    <w:rsid w:val="0009120F"/>
    <w:rsid w:val="0009192D"/>
    <w:rsid w:val="00091A92"/>
    <w:rsid w:val="00091ADC"/>
    <w:rsid w:val="00091F7B"/>
    <w:rsid w:val="000921D6"/>
    <w:rsid w:val="00093502"/>
    <w:rsid w:val="0009423E"/>
    <w:rsid w:val="0009439C"/>
    <w:rsid w:val="0009450E"/>
    <w:rsid w:val="0009583E"/>
    <w:rsid w:val="00095D3B"/>
    <w:rsid w:val="0009609B"/>
    <w:rsid w:val="00096254"/>
    <w:rsid w:val="0009629E"/>
    <w:rsid w:val="0009657E"/>
    <w:rsid w:val="00096B3D"/>
    <w:rsid w:val="0009733E"/>
    <w:rsid w:val="00097B00"/>
    <w:rsid w:val="000A1985"/>
    <w:rsid w:val="000A1B2D"/>
    <w:rsid w:val="000A1C5C"/>
    <w:rsid w:val="000A227B"/>
    <w:rsid w:val="000A22E4"/>
    <w:rsid w:val="000A2348"/>
    <w:rsid w:val="000A482E"/>
    <w:rsid w:val="000A507F"/>
    <w:rsid w:val="000A5F1C"/>
    <w:rsid w:val="000A6BCA"/>
    <w:rsid w:val="000A6E55"/>
    <w:rsid w:val="000A7020"/>
    <w:rsid w:val="000A715A"/>
    <w:rsid w:val="000A7BC1"/>
    <w:rsid w:val="000B005F"/>
    <w:rsid w:val="000B0082"/>
    <w:rsid w:val="000B0948"/>
    <w:rsid w:val="000B147E"/>
    <w:rsid w:val="000B14E2"/>
    <w:rsid w:val="000B1865"/>
    <w:rsid w:val="000B25AB"/>
    <w:rsid w:val="000B27B0"/>
    <w:rsid w:val="000B2E07"/>
    <w:rsid w:val="000B3350"/>
    <w:rsid w:val="000B3403"/>
    <w:rsid w:val="000B3F43"/>
    <w:rsid w:val="000B414E"/>
    <w:rsid w:val="000B420E"/>
    <w:rsid w:val="000B517B"/>
    <w:rsid w:val="000B599B"/>
    <w:rsid w:val="000B6149"/>
    <w:rsid w:val="000B6464"/>
    <w:rsid w:val="000B6616"/>
    <w:rsid w:val="000B67FF"/>
    <w:rsid w:val="000B6D4B"/>
    <w:rsid w:val="000B7280"/>
    <w:rsid w:val="000B775D"/>
    <w:rsid w:val="000B7B41"/>
    <w:rsid w:val="000B7B6B"/>
    <w:rsid w:val="000C042D"/>
    <w:rsid w:val="000C16C7"/>
    <w:rsid w:val="000C17B3"/>
    <w:rsid w:val="000C18B9"/>
    <w:rsid w:val="000C1C14"/>
    <w:rsid w:val="000C1C47"/>
    <w:rsid w:val="000C1E87"/>
    <w:rsid w:val="000C1FFE"/>
    <w:rsid w:val="000C278F"/>
    <w:rsid w:val="000C3182"/>
    <w:rsid w:val="000C3627"/>
    <w:rsid w:val="000C3D7C"/>
    <w:rsid w:val="000C3EBF"/>
    <w:rsid w:val="000C3EF9"/>
    <w:rsid w:val="000C4226"/>
    <w:rsid w:val="000C46A7"/>
    <w:rsid w:val="000C4B4A"/>
    <w:rsid w:val="000C577C"/>
    <w:rsid w:val="000C5EBC"/>
    <w:rsid w:val="000C6007"/>
    <w:rsid w:val="000C62B4"/>
    <w:rsid w:val="000C63C1"/>
    <w:rsid w:val="000C6487"/>
    <w:rsid w:val="000C66D5"/>
    <w:rsid w:val="000C671D"/>
    <w:rsid w:val="000C6905"/>
    <w:rsid w:val="000C726B"/>
    <w:rsid w:val="000C79D7"/>
    <w:rsid w:val="000C7DC0"/>
    <w:rsid w:val="000C7E03"/>
    <w:rsid w:val="000D04B5"/>
    <w:rsid w:val="000D07D7"/>
    <w:rsid w:val="000D0A2A"/>
    <w:rsid w:val="000D197F"/>
    <w:rsid w:val="000D1F8E"/>
    <w:rsid w:val="000D2C99"/>
    <w:rsid w:val="000D3131"/>
    <w:rsid w:val="000D317E"/>
    <w:rsid w:val="000D3499"/>
    <w:rsid w:val="000D35D0"/>
    <w:rsid w:val="000D3ADD"/>
    <w:rsid w:val="000D416D"/>
    <w:rsid w:val="000D4271"/>
    <w:rsid w:val="000D565B"/>
    <w:rsid w:val="000D5A69"/>
    <w:rsid w:val="000D5C45"/>
    <w:rsid w:val="000D6183"/>
    <w:rsid w:val="000D6249"/>
    <w:rsid w:val="000D663D"/>
    <w:rsid w:val="000D713C"/>
    <w:rsid w:val="000D7241"/>
    <w:rsid w:val="000D7491"/>
    <w:rsid w:val="000D761D"/>
    <w:rsid w:val="000D7811"/>
    <w:rsid w:val="000E0233"/>
    <w:rsid w:val="000E07EE"/>
    <w:rsid w:val="000E1051"/>
    <w:rsid w:val="000E125D"/>
    <w:rsid w:val="000E17A5"/>
    <w:rsid w:val="000E1EA9"/>
    <w:rsid w:val="000E20CC"/>
    <w:rsid w:val="000E221C"/>
    <w:rsid w:val="000E2C59"/>
    <w:rsid w:val="000E2D2A"/>
    <w:rsid w:val="000E2D3C"/>
    <w:rsid w:val="000E3086"/>
    <w:rsid w:val="000E3A00"/>
    <w:rsid w:val="000E4218"/>
    <w:rsid w:val="000E4714"/>
    <w:rsid w:val="000E477C"/>
    <w:rsid w:val="000E4A2E"/>
    <w:rsid w:val="000E4AA0"/>
    <w:rsid w:val="000E5032"/>
    <w:rsid w:val="000E551D"/>
    <w:rsid w:val="000E6BBF"/>
    <w:rsid w:val="000E7078"/>
    <w:rsid w:val="000E75B1"/>
    <w:rsid w:val="000F07E0"/>
    <w:rsid w:val="000F0927"/>
    <w:rsid w:val="000F09EA"/>
    <w:rsid w:val="000F0AEC"/>
    <w:rsid w:val="000F0DF2"/>
    <w:rsid w:val="000F1BF2"/>
    <w:rsid w:val="000F1C7B"/>
    <w:rsid w:val="000F2448"/>
    <w:rsid w:val="000F25B0"/>
    <w:rsid w:val="000F2B3A"/>
    <w:rsid w:val="000F3291"/>
    <w:rsid w:val="000F33D3"/>
    <w:rsid w:val="000F3E81"/>
    <w:rsid w:val="000F4D92"/>
    <w:rsid w:val="000F512C"/>
    <w:rsid w:val="000F5A14"/>
    <w:rsid w:val="000F6137"/>
    <w:rsid w:val="000F6477"/>
    <w:rsid w:val="000F660D"/>
    <w:rsid w:val="000F72C5"/>
    <w:rsid w:val="000F7404"/>
    <w:rsid w:val="000F7D5B"/>
    <w:rsid w:val="001002A5"/>
    <w:rsid w:val="0010101A"/>
    <w:rsid w:val="0010113E"/>
    <w:rsid w:val="00101C2F"/>
    <w:rsid w:val="0010220C"/>
    <w:rsid w:val="001023DA"/>
    <w:rsid w:val="00103B1E"/>
    <w:rsid w:val="00103D34"/>
    <w:rsid w:val="001043E8"/>
    <w:rsid w:val="001051FB"/>
    <w:rsid w:val="00105E7C"/>
    <w:rsid w:val="00106635"/>
    <w:rsid w:val="0010772D"/>
    <w:rsid w:val="00107AAB"/>
    <w:rsid w:val="00107DBE"/>
    <w:rsid w:val="001100AC"/>
    <w:rsid w:val="00110BD9"/>
    <w:rsid w:val="0011171E"/>
    <w:rsid w:val="00111A1E"/>
    <w:rsid w:val="00111A2D"/>
    <w:rsid w:val="00111CA9"/>
    <w:rsid w:val="00112548"/>
    <w:rsid w:val="00112720"/>
    <w:rsid w:val="00112F5B"/>
    <w:rsid w:val="00113A0E"/>
    <w:rsid w:val="00113A99"/>
    <w:rsid w:val="00113AF4"/>
    <w:rsid w:val="00114B86"/>
    <w:rsid w:val="00115442"/>
    <w:rsid w:val="00115FBC"/>
    <w:rsid w:val="0011635D"/>
    <w:rsid w:val="00116CBB"/>
    <w:rsid w:val="0011747F"/>
    <w:rsid w:val="001174AE"/>
    <w:rsid w:val="00117D20"/>
    <w:rsid w:val="00117DC0"/>
    <w:rsid w:val="00117E74"/>
    <w:rsid w:val="00120547"/>
    <w:rsid w:val="00120802"/>
    <w:rsid w:val="0012191A"/>
    <w:rsid w:val="001231A6"/>
    <w:rsid w:val="001234BD"/>
    <w:rsid w:val="001235F0"/>
    <w:rsid w:val="001236EF"/>
    <w:rsid w:val="001239B2"/>
    <w:rsid w:val="00123B65"/>
    <w:rsid w:val="001240C4"/>
    <w:rsid w:val="00124323"/>
    <w:rsid w:val="00124ACB"/>
    <w:rsid w:val="001255C6"/>
    <w:rsid w:val="001259C0"/>
    <w:rsid w:val="0012638B"/>
    <w:rsid w:val="00130193"/>
    <w:rsid w:val="0013024C"/>
    <w:rsid w:val="001303EA"/>
    <w:rsid w:val="0013041D"/>
    <w:rsid w:val="00130436"/>
    <w:rsid w:val="00130EFA"/>
    <w:rsid w:val="00131BB7"/>
    <w:rsid w:val="00131C08"/>
    <w:rsid w:val="00131D21"/>
    <w:rsid w:val="0013248D"/>
    <w:rsid w:val="00132F97"/>
    <w:rsid w:val="00133180"/>
    <w:rsid w:val="00133205"/>
    <w:rsid w:val="001333DB"/>
    <w:rsid w:val="00133450"/>
    <w:rsid w:val="001335B1"/>
    <w:rsid w:val="00133C3B"/>
    <w:rsid w:val="00133F22"/>
    <w:rsid w:val="0013449B"/>
    <w:rsid w:val="001344C7"/>
    <w:rsid w:val="001346D2"/>
    <w:rsid w:val="00134862"/>
    <w:rsid w:val="00134BD1"/>
    <w:rsid w:val="00134CC0"/>
    <w:rsid w:val="00135E46"/>
    <w:rsid w:val="00136517"/>
    <w:rsid w:val="00140213"/>
    <w:rsid w:val="0014047C"/>
    <w:rsid w:val="0014115B"/>
    <w:rsid w:val="00141AE7"/>
    <w:rsid w:val="00141E3C"/>
    <w:rsid w:val="00142784"/>
    <w:rsid w:val="00142C09"/>
    <w:rsid w:val="00143102"/>
    <w:rsid w:val="0014329A"/>
    <w:rsid w:val="001433F1"/>
    <w:rsid w:val="00143861"/>
    <w:rsid w:val="001440A4"/>
    <w:rsid w:val="00144815"/>
    <w:rsid w:val="00144F89"/>
    <w:rsid w:val="00145537"/>
    <w:rsid w:val="00145D1C"/>
    <w:rsid w:val="00146021"/>
    <w:rsid w:val="00150049"/>
    <w:rsid w:val="00150055"/>
    <w:rsid w:val="001502A2"/>
    <w:rsid w:val="00150373"/>
    <w:rsid w:val="00150AE6"/>
    <w:rsid w:val="00150C40"/>
    <w:rsid w:val="00150D03"/>
    <w:rsid w:val="00151F58"/>
    <w:rsid w:val="00151F67"/>
    <w:rsid w:val="0015285A"/>
    <w:rsid w:val="0015299C"/>
    <w:rsid w:val="0015313E"/>
    <w:rsid w:val="001531B4"/>
    <w:rsid w:val="001533BA"/>
    <w:rsid w:val="00153787"/>
    <w:rsid w:val="0015396D"/>
    <w:rsid w:val="00153BBF"/>
    <w:rsid w:val="001543DB"/>
    <w:rsid w:val="0015440E"/>
    <w:rsid w:val="001552FB"/>
    <w:rsid w:val="00155B83"/>
    <w:rsid w:val="00155E4D"/>
    <w:rsid w:val="00156262"/>
    <w:rsid w:val="001563CA"/>
    <w:rsid w:val="00156979"/>
    <w:rsid w:val="00156A19"/>
    <w:rsid w:val="00156D43"/>
    <w:rsid w:val="00157103"/>
    <w:rsid w:val="00157320"/>
    <w:rsid w:val="00157C06"/>
    <w:rsid w:val="00157CF4"/>
    <w:rsid w:val="001600D7"/>
    <w:rsid w:val="0016036D"/>
    <w:rsid w:val="001608AE"/>
    <w:rsid w:val="00160D3E"/>
    <w:rsid w:val="001610F5"/>
    <w:rsid w:val="00161375"/>
    <w:rsid w:val="001613B7"/>
    <w:rsid w:val="00162D4C"/>
    <w:rsid w:val="00163584"/>
    <w:rsid w:val="001635A4"/>
    <w:rsid w:val="001638BE"/>
    <w:rsid w:val="00163AF5"/>
    <w:rsid w:val="00163FCD"/>
    <w:rsid w:val="00164003"/>
    <w:rsid w:val="00164249"/>
    <w:rsid w:val="00164902"/>
    <w:rsid w:val="00164B0A"/>
    <w:rsid w:val="00164B7B"/>
    <w:rsid w:val="00165240"/>
    <w:rsid w:val="00165735"/>
    <w:rsid w:val="00166390"/>
    <w:rsid w:val="001666A4"/>
    <w:rsid w:val="00166AF1"/>
    <w:rsid w:val="00166B91"/>
    <w:rsid w:val="00166CED"/>
    <w:rsid w:val="00167F1C"/>
    <w:rsid w:val="00170706"/>
    <w:rsid w:val="00170B25"/>
    <w:rsid w:val="00170BD1"/>
    <w:rsid w:val="001718C5"/>
    <w:rsid w:val="00171A3B"/>
    <w:rsid w:val="00171CE9"/>
    <w:rsid w:val="00171F84"/>
    <w:rsid w:val="0017246C"/>
    <w:rsid w:val="00172A27"/>
    <w:rsid w:val="00173282"/>
    <w:rsid w:val="001734B9"/>
    <w:rsid w:val="00173F97"/>
    <w:rsid w:val="00173FCF"/>
    <w:rsid w:val="00174754"/>
    <w:rsid w:val="00175739"/>
    <w:rsid w:val="00175FAB"/>
    <w:rsid w:val="001760DA"/>
    <w:rsid w:val="001769B1"/>
    <w:rsid w:val="00177096"/>
    <w:rsid w:val="001771F7"/>
    <w:rsid w:val="00180926"/>
    <w:rsid w:val="0018107F"/>
    <w:rsid w:val="00181CCB"/>
    <w:rsid w:val="00181D44"/>
    <w:rsid w:val="00181DE6"/>
    <w:rsid w:val="00181F65"/>
    <w:rsid w:val="001821F4"/>
    <w:rsid w:val="0018274C"/>
    <w:rsid w:val="00183599"/>
    <w:rsid w:val="00183DF4"/>
    <w:rsid w:val="001841FA"/>
    <w:rsid w:val="00185480"/>
    <w:rsid w:val="001857E0"/>
    <w:rsid w:val="0018632C"/>
    <w:rsid w:val="001863AB"/>
    <w:rsid w:val="00186697"/>
    <w:rsid w:val="001866AB"/>
    <w:rsid w:val="001867C4"/>
    <w:rsid w:val="00186855"/>
    <w:rsid w:val="00186A0B"/>
    <w:rsid w:val="00186B2C"/>
    <w:rsid w:val="00186DB1"/>
    <w:rsid w:val="001870BC"/>
    <w:rsid w:val="001872B9"/>
    <w:rsid w:val="0018738A"/>
    <w:rsid w:val="00187BD2"/>
    <w:rsid w:val="00187CB1"/>
    <w:rsid w:val="00187CDD"/>
    <w:rsid w:val="00190215"/>
    <w:rsid w:val="001902E5"/>
    <w:rsid w:val="001904B0"/>
    <w:rsid w:val="00190ED8"/>
    <w:rsid w:val="001914DA"/>
    <w:rsid w:val="00191864"/>
    <w:rsid w:val="001919E8"/>
    <w:rsid w:val="00191DC4"/>
    <w:rsid w:val="0019308B"/>
    <w:rsid w:val="001934E3"/>
    <w:rsid w:val="001938D1"/>
    <w:rsid w:val="00194200"/>
    <w:rsid w:val="001942EB"/>
    <w:rsid w:val="00194589"/>
    <w:rsid w:val="00194761"/>
    <w:rsid w:val="001948C3"/>
    <w:rsid w:val="00194924"/>
    <w:rsid w:val="0019500A"/>
    <w:rsid w:val="0019565F"/>
    <w:rsid w:val="001958CA"/>
    <w:rsid w:val="00195D31"/>
    <w:rsid w:val="00195E63"/>
    <w:rsid w:val="00196835"/>
    <w:rsid w:val="00196FFE"/>
    <w:rsid w:val="00197957"/>
    <w:rsid w:val="00197DF4"/>
    <w:rsid w:val="001A0E8A"/>
    <w:rsid w:val="001A16A9"/>
    <w:rsid w:val="001A1A33"/>
    <w:rsid w:val="001A1AEE"/>
    <w:rsid w:val="001A1C41"/>
    <w:rsid w:val="001A2E4E"/>
    <w:rsid w:val="001A301F"/>
    <w:rsid w:val="001A3D9F"/>
    <w:rsid w:val="001A415B"/>
    <w:rsid w:val="001A43DB"/>
    <w:rsid w:val="001A4BAE"/>
    <w:rsid w:val="001A5377"/>
    <w:rsid w:val="001A5641"/>
    <w:rsid w:val="001A58E7"/>
    <w:rsid w:val="001A5C92"/>
    <w:rsid w:val="001A5EEF"/>
    <w:rsid w:val="001A612C"/>
    <w:rsid w:val="001A62A0"/>
    <w:rsid w:val="001A62BA"/>
    <w:rsid w:val="001A68C1"/>
    <w:rsid w:val="001A6B02"/>
    <w:rsid w:val="001A6F5F"/>
    <w:rsid w:val="001A714B"/>
    <w:rsid w:val="001A71C3"/>
    <w:rsid w:val="001A74B6"/>
    <w:rsid w:val="001A7601"/>
    <w:rsid w:val="001A7D50"/>
    <w:rsid w:val="001B02BF"/>
    <w:rsid w:val="001B0531"/>
    <w:rsid w:val="001B0DD6"/>
    <w:rsid w:val="001B0E49"/>
    <w:rsid w:val="001B16EB"/>
    <w:rsid w:val="001B1A2F"/>
    <w:rsid w:val="001B1ACB"/>
    <w:rsid w:val="001B213D"/>
    <w:rsid w:val="001B2294"/>
    <w:rsid w:val="001B3238"/>
    <w:rsid w:val="001B3D61"/>
    <w:rsid w:val="001B4946"/>
    <w:rsid w:val="001B4A8B"/>
    <w:rsid w:val="001B5976"/>
    <w:rsid w:val="001B5ACC"/>
    <w:rsid w:val="001B5C67"/>
    <w:rsid w:val="001B7730"/>
    <w:rsid w:val="001C0110"/>
    <w:rsid w:val="001C0AF7"/>
    <w:rsid w:val="001C0C1A"/>
    <w:rsid w:val="001C0C6B"/>
    <w:rsid w:val="001C0E3E"/>
    <w:rsid w:val="001C0E71"/>
    <w:rsid w:val="001C1D54"/>
    <w:rsid w:val="001C256D"/>
    <w:rsid w:val="001C27CF"/>
    <w:rsid w:val="001C27DF"/>
    <w:rsid w:val="001C34BA"/>
    <w:rsid w:val="001C3AF1"/>
    <w:rsid w:val="001C4E4F"/>
    <w:rsid w:val="001C51B8"/>
    <w:rsid w:val="001C58F2"/>
    <w:rsid w:val="001C6458"/>
    <w:rsid w:val="001C6B56"/>
    <w:rsid w:val="001C701F"/>
    <w:rsid w:val="001C71B5"/>
    <w:rsid w:val="001D0D38"/>
    <w:rsid w:val="001D0F2A"/>
    <w:rsid w:val="001D120F"/>
    <w:rsid w:val="001D1E46"/>
    <w:rsid w:val="001D20A4"/>
    <w:rsid w:val="001D23BC"/>
    <w:rsid w:val="001D23F2"/>
    <w:rsid w:val="001D2E28"/>
    <w:rsid w:val="001D355E"/>
    <w:rsid w:val="001D3AB6"/>
    <w:rsid w:val="001D3AC0"/>
    <w:rsid w:val="001D3CDE"/>
    <w:rsid w:val="001D3F44"/>
    <w:rsid w:val="001D4377"/>
    <w:rsid w:val="001D465D"/>
    <w:rsid w:val="001D4C8D"/>
    <w:rsid w:val="001D55BB"/>
    <w:rsid w:val="001D5D94"/>
    <w:rsid w:val="001D5E08"/>
    <w:rsid w:val="001D5E18"/>
    <w:rsid w:val="001D5FED"/>
    <w:rsid w:val="001D6030"/>
    <w:rsid w:val="001D60FE"/>
    <w:rsid w:val="001D684F"/>
    <w:rsid w:val="001D6BA3"/>
    <w:rsid w:val="001E02D1"/>
    <w:rsid w:val="001E0C63"/>
    <w:rsid w:val="001E10B5"/>
    <w:rsid w:val="001E12CD"/>
    <w:rsid w:val="001E148F"/>
    <w:rsid w:val="001E1CC1"/>
    <w:rsid w:val="001E2128"/>
    <w:rsid w:val="001E267B"/>
    <w:rsid w:val="001E2BF6"/>
    <w:rsid w:val="001E3014"/>
    <w:rsid w:val="001E355A"/>
    <w:rsid w:val="001E3645"/>
    <w:rsid w:val="001E3AEC"/>
    <w:rsid w:val="001E40F0"/>
    <w:rsid w:val="001E4584"/>
    <w:rsid w:val="001E49BB"/>
    <w:rsid w:val="001E539D"/>
    <w:rsid w:val="001E59FB"/>
    <w:rsid w:val="001E5A19"/>
    <w:rsid w:val="001E696A"/>
    <w:rsid w:val="001E6A68"/>
    <w:rsid w:val="001E6C10"/>
    <w:rsid w:val="001E6C70"/>
    <w:rsid w:val="001E75C5"/>
    <w:rsid w:val="001E784D"/>
    <w:rsid w:val="001F02D9"/>
    <w:rsid w:val="001F0617"/>
    <w:rsid w:val="001F0875"/>
    <w:rsid w:val="001F0D48"/>
    <w:rsid w:val="001F0D4F"/>
    <w:rsid w:val="001F0DB7"/>
    <w:rsid w:val="001F10E4"/>
    <w:rsid w:val="001F14D8"/>
    <w:rsid w:val="001F1853"/>
    <w:rsid w:val="001F1982"/>
    <w:rsid w:val="001F1B4F"/>
    <w:rsid w:val="001F22E7"/>
    <w:rsid w:val="001F2B87"/>
    <w:rsid w:val="001F2FC9"/>
    <w:rsid w:val="001F32A9"/>
    <w:rsid w:val="001F352D"/>
    <w:rsid w:val="001F3734"/>
    <w:rsid w:val="001F388F"/>
    <w:rsid w:val="001F50A7"/>
    <w:rsid w:val="001F50E9"/>
    <w:rsid w:val="001F542B"/>
    <w:rsid w:val="001F562A"/>
    <w:rsid w:val="001F565A"/>
    <w:rsid w:val="001F56EE"/>
    <w:rsid w:val="001F5959"/>
    <w:rsid w:val="001F5CA6"/>
    <w:rsid w:val="001F606B"/>
    <w:rsid w:val="001F662E"/>
    <w:rsid w:val="001F6B44"/>
    <w:rsid w:val="001F732C"/>
    <w:rsid w:val="001F75C1"/>
    <w:rsid w:val="001F7977"/>
    <w:rsid w:val="001F7A84"/>
    <w:rsid w:val="001F7EC3"/>
    <w:rsid w:val="0020050E"/>
    <w:rsid w:val="00200830"/>
    <w:rsid w:val="0020115A"/>
    <w:rsid w:val="00201F52"/>
    <w:rsid w:val="0020234A"/>
    <w:rsid w:val="00202DFC"/>
    <w:rsid w:val="00204142"/>
    <w:rsid w:val="00205FBE"/>
    <w:rsid w:val="00206225"/>
    <w:rsid w:val="00206463"/>
    <w:rsid w:val="00206878"/>
    <w:rsid w:val="00206D6A"/>
    <w:rsid w:val="00206DF4"/>
    <w:rsid w:val="002103F2"/>
    <w:rsid w:val="002106DB"/>
    <w:rsid w:val="002109BF"/>
    <w:rsid w:val="00210B4E"/>
    <w:rsid w:val="00210F83"/>
    <w:rsid w:val="00210FA9"/>
    <w:rsid w:val="0021128A"/>
    <w:rsid w:val="00211891"/>
    <w:rsid w:val="00211CED"/>
    <w:rsid w:val="00212153"/>
    <w:rsid w:val="00212499"/>
    <w:rsid w:val="002125D6"/>
    <w:rsid w:val="00212626"/>
    <w:rsid w:val="0021325E"/>
    <w:rsid w:val="002133B5"/>
    <w:rsid w:val="002135A1"/>
    <w:rsid w:val="00214CC2"/>
    <w:rsid w:val="00216381"/>
    <w:rsid w:val="00216D6C"/>
    <w:rsid w:val="0021787D"/>
    <w:rsid w:val="00217EDD"/>
    <w:rsid w:val="002201F5"/>
    <w:rsid w:val="00220601"/>
    <w:rsid w:val="0022092C"/>
    <w:rsid w:val="00220BB9"/>
    <w:rsid w:val="002210A3"/>
    <w:rsid w:val="00221704"/>
    <w:rsid w:val="00221C61"/>
    <w:rsid w:val="0022348B"/>
    <w:rsid w:val="002239A4"/>
    <w:rsid w:val="00223DBA"/>
    <w:rsid w:val="002248DF"/>
    <w:rsid w:val="00224E71"/>
    <w:rsid w:val="002253D1"/>
    <w:rsid w:val="00225858"/>
    <w:rsid w:val="00225AE7"/>
    <w:rsid w:val="00225E92"/>
    <w:rsid w:val="00226073"/>
    <w:rsid w:val="0022635C"/>
    <w:rsid w:val="00226B69"/>
    <w:rsid w:val="00226F25"/>
    <w:rsid w:val="002277F1"/>
    <w:rsid w:val="0023032D"/>
    <w:rsid w:val="00230D05"/>
    <w:rsid w:val="00230DF5"/>
    <w:rsid w:val="00230EDB"/>
    <w:rsid w:val="002312B3"/>
    <w:rsid w:val="00231C91"/>
    <w:rsid w:val="002323B1"/>
    <w:rsid w:val="00233414"/>
    <w:rsid w:val="002336EB"/>
    <w:rsid w:val="002339C1"/>
    <w:rsid w:val="00233BD9"/>
    <w:rsid w:val="0023410C"/>
    <w:rsid w:val="002346BF"/>
    <w:rsid w:val="00234B7A"/>
    <w:rsid w:val="00234C7A"/>
    <w:rsid w:val="00234DC8"/>
    <w:rsid w:val="00235085"/>
    <w:rsid w:val="0023591C"/>
    <w:rsid w:val="00235AD7"/>
    <w:rsid w:val="00235C84"/>
    <w:rsid w:val="00236898"/>
    <w:rsid w:val="00236F5D"/>
    <w:rsid w:val="00237617"/>
    <w:rsid w:val="00237D7B"/>
    <w:rsid w:val="00237DD4"/>
    <w:rsid w:val="002402FB"/>
    <w:rsid w:val="002403AB"/>
    <w:rsid w:val="0024086C"/>
    <w:rsid w:val="00240CCC"/>
    <w:rsid w:val="00241A5C"/>
    <w:rsid w:val="00241F12"/>
    <w:rsid w:val="00242092"/>
    <w:rsid w:val="00242709"/>
    <w:rsid w:val="0024302E"/>
    <w:rsid w:val="002433E8"/>
    <w:rsid w:val="0024369D"/>
    <w:rsid w:val="00243C1C"/>
    <w:rsid w:val="00243F0E"/>
    <w:rsid w:val="002441BE"/>
    <w:rsid w:val="002447C1"/>
    <w:rsid w:val="002451AA"/>
    <w:rsid w:val="002453BE"/>
    <w:rsid w:val="002458F3"/>
    <w:rsid w:val="00245F50"/>
    <w:rsid w:val="0024622C"/>
    <w:rsid w:val="00246238"/>
    <w:rsid w:val="0024656D"/>
    <w:rsid w:val="00246836"/>
    <w:rsid w:val="002468E5"/>
    <w:rsid w:val="00246B28"/>
    <w:rsid w:val="00246BC2"/>
    <w:rsid w:val="00246CF3"/>
    <w:rsid w:val="0024723E"/>
    <w:rsid w:val="002501A4"/>
    <w:rsid w:val="002502A8"/>
    <w:rsid w:val="0025120C"/>
    <w:rsid w:val="00251283"/>
    <w:rsid w:val="002513DE"/>
    <w:rsid w:val="00251C4A"/>
    <w:rsid w:val="00251E7B"/>
    <w:rsid w:val="002522E4"/>
    <w:rsid w:val="002527AC"/>
    <w:rsid w:val="002528CC"/>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A19"/>
    <w:rsid w:val="00256D6E"/>
    <w:rsid w:val="00257100"/>
    <w:rsid w:val="00257272"/>
    <w:rsid w:val="00257557"/>
    <w:rsid w:val="00257747"/>
    <w:rsid w:val="002600ED"/>
    <w:rsid w:val="0026041B"/>
    <w:rsid w:val="00260586"/>
    <w:rsid w:val="00260593"/>
    <w:rsid w:val="002609CA"/>
    <w:rsid w:val="002616F3"/>
    <w:rsid w:val="00261726"/>
    <w:rsid w:val="00261A24"/>
    <w:rsid w:val="00262050"/>
    <w:rsid w:val="00262145"/>
    <w:rsid w:val="00262313"/>
    <w:rsid w:val="00262804"/>
    <w:rsid w:val="00262F55"/>
    <w:rsid w:val="002630F3"/>
    <w:rsid w:val="0026318C"/>
    <w:rsid w:val="002634B7"/>
    <w:rsid w:val="002637C6"/>
    <w:rsid w:val="00263CDC"/>
    <w:rsid w:val="00263D17"/>
    <w:rsid w:val="002645AA"/>
    <w:rsid w:val="002647D1"/>
    <w:rsid w:val="00264E2B"/>
    <w:rsid w:val="00264FFE"/>
    <w:rsid w:val="0026598F"/>
    <w:rsid w:val="0026658D"/>
    <w:rsid w:val="002674B7"/>
    <w:rsid w:val="0026774F"/>
    <w:rsid w:val="0026776F"/>
    <w:rsid w:val="00267B04"/>
    <w:rsid w:val="00270115"/>
    <w:rsid w:val="002704A0"/>
    <w:rsid w:val="0027076D"/>
    <w:rsid w:val="002709A1"/>
    <w:rsid w:val="00270AFF"/>
    <w:rsid w:val="00270EEB"/>
    <w:rsid w:val="00271456"/>
    <w:rsid w:val="00272CD9"/>
    <w:rsid w:val="00273516"/>
    <w:rsid w:val="00273FCE"/>
    <w:rsid w:val="00274B4D"/>
    <w:rsid w:val="00275110"/>
    <w:rsid w:val="002755BC"/>
    <w:rsid w:val="002756B3"/>
    <w:rsid w:val="00275B61"/>
    <w:rsid w:val="0027652D"/>
    <w:rsid w:val="00276D77"/>
    <w:rsid w:val="00276EBC"/>
    <w:rsid w:val="0027768C"/>
    <w:rsid w:val="002778E6"/>
    <w:rsid w:val="00277CA8"/>
    <w:rsid w:val="00277EC2"/>
    <w:rsid w:val="002804B6"/>
    <w:rsid w:val="0028059E"/>
    <w:rsid w:val="002808EF"/>
    <w:rsid w:val="00280E4B"/>
    <w:rsid w:val="00280E9D"/>
    <w:rsid w:val="00280EB0"/>
    <w:rsid w:val="00281541"/>
    <w:rsid w:val="00281F87"/>
    <w:rsid w:val="002820E1"/>
    <w:rsid w:val="002824CA"/>
    <w:rsid w:val="00282762"/>
    <w:rsid w:val="0028343A"/>
    <w:rsid w:val="00283845"/>
    <w:rsid w:val="002839D5"/>
    <w:rsid w:val="00283A86"/>
    <w:rsid w:val="002846FC"/>
    <w:rsid w:val="00284FD0"/>
    <w:rsid w:val="0028552C"/>
    <w:rsid w:val="002874EA"/>
    <w:rsid w:val="00287CD3"/>
    <w:rsid w:val="00287E74"/>
    <w:rsid w:val="00290204"/>
    <w:rsid w:val="002903D6"/>
    <w:rsid w:val="002906A6"/>
    <w:rsid w:val="00290D12"/>
    <w:rsid w:val="00291510"/>
    <w:rsid w:val="00291DB8"/>
    <w:rsid w:val="002922EE"/>
    <w:rsid w:val="002923E8"/>
    <w:rsid w:val="002926ED"/>
    <w:rsid w:val="00292897"/>
    <w:rsid w:val="002928D7"/>
    <w:rsid w:val="00293034"/>
    <w:rsid w:val="002938C6"/>
    <w:rsid w:val="00293F65"/>
    <w:rsid w:val="00293FD7"/>
    <w:rsid w:val="002940BC"/>
    <w:rsid w:val="00295200"/>
    <w:rsid w:val="00295925"/>
    <w:rsid w:val="00295B4E"/>
    <w:rsid w:val="00296A2C"/>
    <w:rsid w:val="00296A4D"/>
    <w:rsid w:val="00296F7D"/>
    <w:rsid w:val="002973ED"/>
    <w:rsid w:val="002A1849"/>
    <w:rsid w:val="002A1EF2"/>
    <w:rsid w:val="002A22AA"/>
    <w:rsid w:val="002A2715"/>
    <w:rsid w:val="002A3296"/>
    <w:rsid w:val="002A39A3"/>
    <w:rsid w:val="002A3A57"/>
    <w:rsid w:val="002A3BA3"/>
    <w:rsid w:val="002A3CB1"/>
    <w:rsid w:val="002A3FF4"/>
    <w:rsid w:val="002A425F"/>
    <w:rsid w:val="002A44C2"/>
    <w:rsid w:val="002A46B7"/>
    <w:rsid w:val="002A4A83"/>
    <w:rsid w:val="002A4ADF"/>
    <w:rsid w:val="002A503D"/>
    <w:rsid w:val="002A541A"/>
    <w:rsid w:val="002A6A6B"/>
    <w:rsid w:val="002A6EBA"/>
    <w:rsid w:val="002A72EE"/>
    <w:rsid w:val="002A79A9"/>
    <w:rsid w:val="002A7A32"/>
    <w:rsid w:val="002B0292"/>
    <w:rsid w:val="002B02BA"/>
    <w:rsid w:val="002B055D"/>
    <w:rsid w:val="002B0D7C"/>
    <w:rsid w:val="002B1057"/>
    <w:rsid w:val="002B1200"/>
    <w:rsid w:val="002B1B23"/>
    <w:rsid w:val="002B1B61"/>
    <w:rsid w:val="002B1C8D"/>
    <w:rsid w:val="002B1F6E"/>
    <w:rsid w:val="002B2466"/>
    <w:rsid w:val="002B270F"/>
    <w:rsid w:val="002B27BC"/>
    <w:rsid w:val="002B330D"/>
    <w:rsid w:val="002B3F99"/>
    <w:rsid w:val="002B40BA"/>
    <w:rsid w:val="002B41E2"/>
    <w:rsid w:val="002B42FF"/>
    <w:rsid w:val="002B45E2"/>
    <w:rsid w:val="002B4AD8"/>
    <w:rsid w:val="002B4AF1"/>
    <w:rsid w:val="002B4FA8"/>
    <w:rsid w:val="002B519B"/>
    <w:rsid w:val="002B59CC"/>
    <w:rsid w:val="002B5F9F"/>
    <w:rsid w:val="002B673E"/>
    <w:rsid w:val="002B6870"/>
    <w:rsid w:val="002B6B4B"/>
    <w:rsid w:val="002B7E97"/>
    <w:rsid w:val="002C0149"/>
    <w:rsid w:val="002C0295"/>
    <w:rsid w:val="002C0B4C"/>
    <w:rsid w:val="002C1004"/>
    <w:rsid w:val="002C1375"/>
    <w:rsid w:val="002C15D0"/>
    <w:rsid w:val="002C1E19"/>
    <w:rsid w:val="002C209E"/>
    <w:rsid w:val="002C2153"/>
    <w:rsid w:val="002C2224"/>
    <w:rsid w:val="002C2536"/>
    <w:rsid w:val="002C2B29"/>
    <w:rsid w:val="002C2B67"/>
    <w:rsid w:val="002C4099"/>
    <w:rsid w:val="002C424A"/>
    <w:rsid w:val="002C4580"/>
    <w:rsid w:val="002C4D0A"/>
    <w:rsid w:val="002C5383"/>
    <w:rsid w:val="002C555C"/>
    <w:rsid w:val="002C612B"/>
    <w:rsid w:val="002C6B47"/>
    <w:rsid w:val="002C6D53"/>
    <w:rsid w:val="002C6E0E"/>
    <w:rsid w:val="002C6E3A"/>
    <w:rsid w:val="002C6F79"/>
    <w:rsid w:val="002C73F6"/>
    <w:rsid w:val="002C7C68"/>
    <w:rsid w:val="002D0323"/>
    <w:rsid w:val="002D063F"/>
    <w:rsid w:val="002D0CC4"/>
    <w:rsid w:val="002D12C2"/>
    <w:rsid w:val="002D15A4"/>
    <w:rsid w:val="002D1988"/>
    <w:rsid w:val="002D19C1"/>
    <w:rsid w:val="002D232A"/>
    <w:rsid w:val="002D27C9"/>
    <w:rsid w:val="002D2C47"/>
    <w:rsid w:val="002D2CAE"/>
    <w:rsid w:val="002D2E7E"/>
    <w:rsid w:val="002D35BD"/>
    <w:rsid w:val="002D36C7"/>
    <w:rsid w:val="002D370A"/>
    <w:rsid w:val="002D3821"/>
    <w:rsid w:val="002D3DCC"/>
    <w:rsid w:val="002D3F19"/>
    <w:rsid w:val="002D42A0"/>
    <w:rsid w:val="002D52F6"/>
    <w:rsid w:val="002D55DE"/>
    <w:rsid w:val="002D5F03"/>
    <w:rsid w:val="002D624B"/>
    <w:rsid w:val="002D695F"/>
    <w:rsid w:val="002D6981"/>
    <w:rsid w:val="002D6CAE"/>
    <w:rsid w:val="002D713F"/>
    <w:rsid w:val="002D73C9"/>
    <w:rsid w:val="002D78F5"/>
    <w:rsid w:val="002E0209"/>
    <w:rsid w:val="002E045E"/>
    <w:rsid w:val="002E0470"/>
    <w:rsid w:val="002E04F8"/>
    <w:rsid w:val="002E051A"/>
    <w:rsid w:val="002E0AA5"/>
    <w:rsid w:val="002E0DE0"/>
    <w:rsid w:val="002E120D"/>
    <w:rsid w:val="002E1416"/>
    <w:rsid w:val="002E1DDD"/>
    <w:rsid w:val="002E2C4C"/>
    <w:rsid w:val="002E32B8"/>
    <w:rsid w:val="002E3507"/>
    <w:rsid w:val="002E39C5"/>
    <w:rsid w:val="002E3FE4"/>
    <w:rsid w:val="002E430C"/>
    <w:rsid w:val="002E46BB"/>
    <w:rsid w:val="002E4723"/>
    <w:rsid w:val="002E4DFF"/>
    <w:rsid w:val="002E5870"/>
    <w:rsid w:val="002E5AC1"/>
    <w:rsid w:val="002E5B4C"/>
    <w:rsid w:val="002E5BA0"/>
    <w:rsid w:val="002E5DE0"/>
    <w:rsid w:val="002E77B5"/>
    <w:rsid w:val="002E7F0A"/>
    <w:rsid w:val="002F066C"/>
    <w:rsid w:val="002F096F"/>
    <w:rsid w:val="002F0B8A"/>
    <w:rsid w:val="002F0E87"/>
    <w:rsid w:val="002F111C"/>
    <w:rsid w:val="002F1331"/>
    <w:rsid w:val="002F13E6"/>
    <w:rsid w:val="002F148C"/>
    <w:rsid w:val="002F1590"/>
    <w:rsid w:val="002F1BB3"/>
    <w:rsid w:val="002F1E2E"/>
    <w:rsid w:val="002F1FB4"/>
    <w:rsid w:val="002F2042"/>
    <w:rsid w:val="002F25EC"/>
    <w:rsid w:val="002F2C27"/>
    <w:rsid w:val="002F375C"/>
    <w:rsid w:val="002F3C9C"/>
    <w:rsid w:val="002F3E7D"/>
    <w:rsid w:val="002F43A6"/>
    <w:rsid w:val="002F4F60"/>
    <w:rsid w:val="002F51D4"/>
    <w:rsid w:val="002F5420"/>
    <w:rsid w:val="002F5A67"/>
    <w:rsid w:val="002F5FBD"/>
    <w:rsid w:val="002F6488"/>
    <w:rsid w:val="002F6D0E"/>
    <w:rsid w:val="002F73A0"/>
    <w:rsid w:val="003000B4"/>
    <w:rsid w:val="0030097B"/>
    <w:rsid w:val="00300A97"/>
    <w:rsid w:val="00300F4A"/>
    <w:rsid w:val="00301C9A"/>
    <w:rsid w:val="00301F57"/>
    <w:rsid w:val="003026B8"/>
    <w:rsid w:val="003026EB"/>
    <w:rsid w:val="00302969"/>
    <w:rsid w:val="003039DF"/>
    <w:rsid w:val="0030413D"/>
    <w:rsid w:val="003049C0"/>
    <w:rsid w:val="00304DAD"/>
    <w:rsid w:val="00304DF1"/>
    <w:rsid w:val="0030566A"/>
    <w:rsid w:val="003056F9"/>
    <w:rsid w:val="00305979"/>
    <w:rsid w:val="00305B81"/>
    <w:rsid w:val="00305BC9"/>
    <w:rsid w:val="00305DE0"/>
    <w:rsid w:val="00305FAC"/>
    <w:rsid w:val="0030646F"/>
    <w:rsid w:val="00306CE9"/>
    <w:rsid w:val="00306FE1"/>
    <w:rsid w:val="003071FE"/>
    <w:rsid w:val="00307420"/>
    <w:rsid w:val="003074F7"/>
    <w:rsid w:val="003103CE"/>
    <w:rsid w:val="0031074F"/>
    <w:rsid w:val="00310792"/>
    <w:rsid w:val="00310AB1"/>
    <w:rsid w:val="00310F5E"/>
    <w:rsid w:val="00310FED"/>
    <w:rsid w:val="0031115B"/>
    <w:rsid w:val="00311566"/>
    <w:rsid w:val="00311611"/>
    <w:rsid w:val="00311690"/>
    <w:rsid w:val="00313FF8"/>
    <w:rsid w:val="003146F7"/>
    <w:rsid w:val="0031474F"/>
    <w:rsid w:val="00314B45"/>
    <w:rsid w:val="00315142"/>
    <w:rsid w:val="0031603C"/>
    <w:rsid w:val="0031651E"/>
    <w:rsid w:val="00316F1B"/>
    <w:rsid w:val="00317092"/>
    <w:rsid w:val="003177C2"/>
    <w:rsid w:val="00317C22"/>
    <w:rsid w:val="00320A25"/>
    <w:rsid w:val="00321001"/>
    <w:rsid w:val="00321248"/>
    <w:rsid w:val="00321946"/>
    <w:rsid w:val="00321A1F"/>
    <w:rsid w:val="00321D92"/>
    <w:rsid w:val="00321EF8"/>
    <w:rsid w:val="003224C5"/>
    <w:rsid w:val="00322660"/>
    <w:rsid w:val="003226FF"/>
    <w:rsid w:val="003233C4"/>
    <w:rsid w:val="00323436"/>
    <w:rsid w:val="00323A96"/>
    <w:rsid w:val="003241F6"/>
    <w:rsid w:val="003248ED"/>
    <w:rsid w:val="00325256"/>
    <w:rsid w:val="00325C7F"/>
    <w:rsid w:val="0032622F"/>
    <w:rsid w:val="0032654A"/>
    <w:rsid w:val="00326855"/>
    <w:rsid w:val="00326936"/>
    <w:rsid w:val="00326FA8"/>
    <w:rsid w:val="003301C6"/>
    <w:rsid w:val="00330263"/>
    <w:rsid w:val="00330618"/>
    <w:rsid w:val="00330821"/>
    <w:rsid w:val="00331A3D"/>
    <w:rsid w:val="0033238F"/>
    <w:rsid w:val="00333A93"/>
    <w:rsid w:val="00334507"/>
    <w:rsid w:val="00335404"/>
    <w:rsid w:val="00335C87"/>
    <w:rsid w:val="003360CD"/>
    <w:rsid w:val="0033692A"/>
    <w:rsid w:val="00336D41"/>
    <w:rsid w:val="0033701B"/>
    <w:rsid w:val="0033794F"/>
    <w:rsid w:val="00337F00"/>
    <w:rsid w:val="003405CA"/>
    <w:rsid w:val="003408D2"/>
    <w:rsid w:val="00340A08"/>
    <w:rsid w:val="00340B21"/>
    <w:rsid w:val="00340DAB"/>
    <w:rsid w:val="00341BF9"/>
    <w:rsid w:val="003421BD"/>
    <w:rsid w:val="00342429"/>
    <w:rsid w:val="00342823"/>
    <w:rsid w:val="00342F51"/>
    <w:rsid w:val="00343144"/>
    <w:rsid w:val="00343C25"/>
    <w:rsid w:val="00343D34"/>
    <w:rsid w:val="00344781"/>
    <w:rsid w:val="00344D1A"/>
    <w:rsid w:val="00344DD0"/>
    <w:rsid w:val="00344F5E"/>
    <w:rsid w:val="00344FAF"/>
    <w:rsid w:val="003452DA"/>
    <w:rsid w:val="00345F66"/>
    <w:rsid w:val="003467A1"/>
    <w:rsid w:val="00347096"/>
    <w:rsid w:val="0034752B"/>
    <w:rsid w:val="003476A1"/>
    <w:rsid w:val="003501E5"/>
    <w:rsid w:val="0035045F"/>
    <w:rsid w:val="00350EBD"/>
    <w:rsid w:val="00350FA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F78"/>
    <w:rsid w:val="003557B7"/>
    <w:rsid w:val="0035744C"/>
    <w:rsid w:val="00360EC2"/>
    <w:rsid w:val="00361164"/>
    <w:rsid w:val="00362045"/>
    <w:rsid w:val="003621AD"/>
    <w:rsid w:val="00362353"/>
    <w:rsid w:val="0036262E"/>
    <w:rsid w:val="00362EF5"/>
    <w:rsid w:val="0036300A"/>
    <w:rsid w:val="003633B0"/>
    <w:rsid w:val="00363A57"/>
    <w:rsid w:val="00363E53"/>
    <w:rsid w:val="00363F68"/>
    <w:rsid w:val="003649E9"/>
    <w:rsid w:val="00364F4C"/>
    <w:rsid w:val="00365079"/>
    <w:rsid w:val="00365530"/>
    <w:rsid w:val="00366A02"/>
    <w:rsid w:val="00366B46"/>
    <w:rsid w:val="0036768B"/>
    <w:rsid w:val="00367B1F"/>
    <w:rsid w:val="003705F2"/>
    <w:rsid w:val="0037078C"/>
    <w:rsid w:val="00370E22"/>
    <w:rsid w:val="0037132A"/>
    <w:rsid w:val="00371991"/>
    <w:rsid w:val="00371BB4"/>
    <w:rsid w:val="00372AE6"/>
    <w:rsid w:val="00373063"/>
    <w:rsid w:val="00373080"/>
    <w:rsid w:val="003736CA"/>
    <w:rsid w:val="00373911"/>
    <w:rsid w:val="00373A66"/>
    <w:rsid w:val="00373ABC"/>
    <w:rsid w:val="00373E25"/>
    <w:rsid w:val="00373FCA"/>
    <w:rsid w:val="0037418D"/>
    <w:rsid w:val="003746AC"/>
    <w:rsid w:val="003747C9"/>
    <w:rsid w:val="00375873"/>
    <w:rsid w:val="0037610F"/>
    <w:rsid w:val="00376A71"/>
    <w:rsid w:val="003770CE"/>
    <w:rsid w:val="00380D09"/>
    <w:rsid w:val="00380F4E"/>
    <w:rsid w:val="00380F81"/>
    <w:rsid w:val="0038170D"/>
    <w:rsid w:val="00381D7C"/>
    <w:rsid w:val="0038203B"/>
    <w:rsid w:val="0038255D"/>
    <w:rsid w:val="003828BA"/>
    <w:rsid w:val="00384555"/>
    <w:rsid w:val="003845EF"/>
    <w:rsid w:val="00384BF3"/>
    <w:rsid w:val="00384D6A"/>
    <w:rsid w:val="0038519E"/>
    <w:rsid w:val="003853FB"/>
    <w:rsid w:val="0038615B"/>
    <w:rsid w:val="00386BDE"/>
    <w:rsid w:val="00386CBF"/>
    <w:rsid w:val="003870D7"/>
    <w:rsid w:val="00387253"/>
    <w:rsid w:val="003873DE"/>
    <w:rsid w:val="003906D3"/>
    <w:rsid w:val="00391BBA"/>
    <w:rsid w:val="0039272A"/>
    <w:rsid w:val="00392D7B"/>
    <w:rsid w:val="00392F64"/>
    <w:rsid w:val="00392FAA"/>
    <w:rsid w:val="003934E6"/>
    <w:rsid w:val="003936FE"/>
    <w:rsid w:val="0039391E"/>
    <w:rsid w:val="00393A8D"/>
    <w:rsid w:val="00393D55"/>
    <w:rsid w:val="00393EA4"/>
    <w:rsid w:val="00394061"/>
    <w:rsid w:val="003940DF"/>
    <w:rsid w:val="0039450B"/>
    <w:rsid w:val="0039469E"/>
    <w:rsid w:val="00394CA6"/>
    <w:rsid w:val="00394F18"/>
    <w:rsid w:val="003956A2"/>
    <w:rsid w:val="00395754"/>
    <w:rsid w:val="00395C8D"/>
    <w:rsid w:val="00396890"/>
    <w:rsid w:val="00397264"/>
    <w:rsid w:val="0039736F"/>
    <w:rsid w:val="00397F46"/>
    <w:rsid w:val="003A0AA5"/>
    <w:rsid w:val="003A0D83"/>
    <w:rsid w:val="003A1464"/>
    <w:rsid w:val="003A1A07"/>
    <w:rsid w:val="003A1E87"/>
    <w:rsid w:val="003A20AA"/>
    <w:rsid w:val="003A2173"/>
    <w:rsid w:val="003A2EF8"/>
    <w:rsid w:val="003A3447"/>
    <w:rsid w:val="003A3513"/>
    <w:rsid w:val="003A3C7F"/>
    <w:rsid w:val="003A3D3F"/>
    <w:rsid w:val="003A3D9F"/>
    <w:rsid w:val="003A3DC3"/>
    <w:rsid w:val="003A440C"/>
    <w:rsid w:val="003A44F5"/>
    <w:rsid w:val="003A4B57"/>
    <w:rsid w:val="003A51C6"/>
    <w:rsid w:val="003A587E"/>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2494"/>
    <w:rsid w:val="003B39F0"/>
    <w:rsid w:val="003B3A2A"/>
    <w:rsid w:val="003B3E70"/>
    <w:rsid w:val="003B4980"/>
    <w:rsid w:val="003B4F2D"/>
    <w:rsid w:val="003B558E"/>
    <w:rsid w:val="003B5799"/>
    <w:rsid w:val="003B7721"/>
    <w:rsid w:val="003B773D"/>
    <w:rsid w:val="003B77DA"/>
    <w:rsid w:val="003B7840"/>
    <w:rsid w:val="003B78E1"/>
    <w:rsid w:val="003C09A2"/>
    <w:rsid w:val="003C1032"/>
    <w:rsid w:val="003C1C19"/>
    <w:rsid w:val="003C1CFC"/>
    <w:rsid w:val="003C234A"/>
    <w:rsid w:val="003C23CA"/>
    <w:rsid w:val="003C27A2"/>
    <w:rsid w:val="003C2C05"/>
    <w:rsid w:val="003C35B8"/>
    <w:rsid w:val="003C380A"/>
    <w:rsid w:val="003C3850"/>
    <w:rsid w:val="003C3963"/>
    <w:rsid w:val="003C3B73"/>
    <w:rsid w:val="003C3E20"/>
    <w:rsid w:val="003C4323"/>
    <w:rsid w:val="003C4683"/>
    <w:rsid w:val="003C554A"/>
    <w:rsid w:val="003C5635"/>
    <w:rsid w:val="003C57F6"/>
    <w:rsid w:val="003C5C5B"/>
    <w:rsid w:val="003C6664"/>
    <w:rsid w:val="003C66C2"/>
    <w:rsid w:val="003C681E"/>
    <w:rsid w:val="003C7323"/>
    <w:rsid w:val="003C76A1"/>
    <w:rsid w:val="003C7BBC"/>
    <w:rsid w:val="003C7E0E"/>
    <w:rsid w:val="003D06F5"/>
    <w:rsid w:val="003D0EDD"/>
    <w:rsid w:val="003D173E"/>
    <w:rsid w:val="003D1882"/>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43E0"/>
    <w:rsid w:val="003D47CC"/>
    <w:rsid w:val="003D5083"/>
    <w:rsid w:val="003D5264"/>
    <w:rsid w:val="003D6201"/>
    <w:rsid w:val="003D6DFF"/>
    <w:rsid w:val="003D7979"/>
    <w:rsid w:val="003D7BB8"/>
    <w:rsid w:val="003D7E78"/>
    <w:rsid w:val="003E03FF"/>
    <w:rsid w:val="003E0B58"/>
    <w:rsid w:val="003E15FC"/>
    <w:rsid w:val="003E1B37"/>
    <w:rsid w:val="003E1E28"/>
    <w:rsid w:val="003E2189"/>
    <w:rsid w:val="003E2231"/>
    <w:rsid w:val="003E2D16"/>
    <w:rsid w:val="003E3495"/>
    <w:rsid w:val="003E37ED"/>
    <w:rsid w:val="003E37F4"/>
    <w:rsid w:val="003E386F"/>
    <w:rsid w:val="003E4245"/>
    <w:rsid w:val="003E465D"/>
    <w:rsid w:val="003E4D0E"/>
    <w:rsid w:val="003E4F71"/>
    <w:rsid w:val="003E522B"/>
    <w:rsid w:val="003E5530"/>
    <w:rsid w:val="003E55A9"/>
    <w:rsid w:val="003E5938"/>
    <w:rsid w:val="003E61DA"/>
    <w:rsid w:val="003E6558"/>
    <w:rsid w:val="003E6756"/>
    <w:rsid w:val="003E6F05"/>
    <w:rsid w:val="003E6F32"/>
    <w:rsid w:val="003E7809"/>
    <w:rsid w:val="003E7A46"/>
    <w:rsid w:val="003E7C5C"/>
    <w:rsid w:val="003E7ECA"/>
    <w:rsid w:val="003F0C9D"/>
    <w:rsid w:val="003F0D84"/>
    <w:rsid w:val="003F18E5"/>
    <w:rsid w:val="003F1A29"/>
    <w:rsid w:val="003F2356"/>
    <w:rsid w:val="003F2424"/>
    <w:rsid w:val="003F2A5C"/>
    <w:rsid w:val="003F33C6"/>
    <w:rsid w:val="003F3855"/>
    <w:rsid w:val="003F3900"/>
    <w:rsid w:val="003F3BD0"/>
    <w:rsid w:val="003F3C25"/>
    <w:rsid w:val="003F3DE2"/>
    <w:rsid w:val="003F4366"/>
    <w:rsid w:val="003F4884"/>
    <w:rsid w:val="003F4D86"/>
    <w:rsid w:val="003F4D9D"/>
    <w:rsid w:val="003F4DBF"/>
    <w:rsid w:val="003F52AD"/>
    <w:rsid w:val="003F62E3"/>
    <w:rsid w:val="003F6983"/>
    <w:rsid w:val="003F6DFE"/>
    <w:rsid w:val="003F7ABB"/>
    <w:rsid w:val="003F7AE7"/>
    <w:rsid w:val="003F7B0B"/>
    <w:rsid w:val="003F7D3A"/>
    <w:rsid w:val="0040015F"/>
    <w:rsid w:val="00400725"/>
    <w:rsid w:val="0040077A"/>
    <w:rsid w:val="00401210"/>
    <w:rsid w:val="00401ABB"/>
    <w:rsid w:val="00401EFC"/>
    <w:rsid w:val="004024B0"/>
    <w:rsid w:val="0040258E"/>
    <w:rsid w:val="00402723"/>
    <w:rsid w:val="00402DE3"/>
    <w:rsid w:val="00403474"/>
    <w:rsid w:val="004037D1"/>
    <w:rsid w:val="0040385D"/>
    <w:rsid w:val="00403F22"/>
    <w:rsid w:val="0040446F"/>
    <w:rsid w:val="004050A6"/>
    <w:rsid w:val="004050CC"/>
    <w:rsid w:val="00405529"/>
    <w:rsid w:val="00405958"/>
    <w:rsid w:val="004059E8"/>
    <w:rsid w:val="00405E9A"/>
    <w:rsid w:val="004062C0"/>
    <w:rsid w:val="004067A3"/>
    <w:rsid w:val="0040696A"/>
    <w:rsid w:val="00406EB0"/>
    <w:rsid w:val="0040790E"/>
    <w:rsid w:val="004103DB"/>
    <w:rsid w:val="00410F1F"/>
    <w:rsid w:val="00410F7D"/>
    <w:rsid w:val="00411200"/>
    <w:rsid w:val="004112AA"/>
    <w:rsid w:val="0041155F"/>
    <w:rsid w:val="0041191B"/>
    <w:rsid w:val="00411B47"/>
    <w:rsid w:val="00411B8A"/>
    <w:rsid w:val="00411C4A"/>
    <w:rsid w:val="0041220C"/>
    <w:rsid w:val="004124FE"/>
    <w:rsid w:val="00412D71"/>
    <w:rsid w:val="0041354D"/>
    <w:rsid w:val="00414152"/>
    <w:rsid w:val="004143A8"/>
    <w:rsid w:val="00414990"/>
    <w:rsid w:val="00414E56"/>
    <w:rsid w:val="004155C6"/>
    <w:rsid w:val="00415A30"/>
    <w:rsid w:val="00416B07"/>
    <w:rsid w:val="00416C5B"/>
    <w:rsid w:val="00416E6C"/>
    <w:rsid w:val="00416F0A"/>
    <w:rsid w:val="004175EE"/>
    <w:rsid w:val="00417AFB"/>
    <w:rsid w:val="00417DA3"/>
    <w:rsid w:val="00417FF2"/>
    <w:rsid w:val="00420294"/>
    <w:rsid w:val="004205B3"/>
    <w:rsid w:val="004212E8"/>
    <w:rsid w:val="00421A4C"/>
    <w:rsid w:val="00421C9C"/>
    <w:rsid w:val="00421CEE"/>
    <w:rsid w:val="00422A2D"/>
    <w:rsid w:val="00422E10"/>
    <w:rsid w:val="00423387"/>
    <w:rsid w:val="004233B7"/>
    <w:rsid w:val="00423497"/>
    <w:rsid w:val="00423650"/>
    <w:rsid w:val="00423A79"/>
    <w:rsid w:val="0042472C"/>
    <w:rsid w:val="00424A37"/>
    <w:rsid w:val="00424FD0"/>
    <w:rsid w:val="00425056"/>
    <w:rsid w:val="0042506C"/>
    <w:rsid w:val="00425533"/>
    <w:rsid w:val="00425B44"/>
    <w:rsid w:val="00425B55"/>
    <w:rsid w:val="00425E95"/>
    <w:rsid w:val="00425F38"/>
    <w:rsid w:val="00425FCD"/>
    <w:rsid w:val="00426D48"/>
    <w:rsid w:val="004272E1"/>
    <w:rsid w:val="00427443"/>
    <w:rsid w:val="00427A97"/>
    <w:rsid w:val="00427B53"/>
    <w:rsid w:val="004302B8"/>
    <w:rsid w:val="0043080A"/>
    <w:rsid w:val="00431B0D"/>
    <w:rsid w:val="00431CEB"/>
    <w:rsid w:val="00432C69"/>
    <w:rsid w:val="00432DD6"/>
    <w:rsid w:val="0043340C"/>
    <w:rsid w:val="00433727"/>
    <w:rsid w:val="0043374C"/>
    <w:rsid w:val="00433D2C"/>
    <w:rsid w:val="00433ECD"/>
    <w:rsid w:val="0043411B"/>
    <w:rsid w:val="00434D61"/>
    <w:rsid w:val="00434F6A"/>
    <w:rsid w:val="00435054"/>
    <w:rsid w:val="004354D5"/>
    <w:rsid w:val="00435E77"/>
    <w:rsid w:val="00436E4B"/>
    <w:rsid w:val="004374CD"/>
    <w:rsid w:val="004376E7"/>
    <w:rsid w:val="00437E34"/>
    <w:rsid w:val="00441527"/>
    <w:rsid w:val="004417ED"/>
    <w:rsid w:val="00442FC0"/>
    <w:rsid w:val="0044391B"/>
    <w:rsid w:val="00443C2C"/>
    <w:rsid w:val="00443F66"/>
    <w:rsid w:val="0044435C"/>
    <w:rsid w:val="004443F4"/>
    <w:rsid w:val="004448C6"/>
    <w:rsid w:val="00444917"/>
    <w:rsid w:val="0044491E"/>
    <w:rsid w:val="00444D0E"/>
    <w:rsid w:val="00445DFA"/>
    <w:rsid w:val="004466E0"/>
    <w:rsid w:val="00447F91"/>
    <w:rsid w:val="0045013F"/>
    <w:rsid w:val="00450651"/>
    <w:rsid w:val="0045158A"/>
    <w:rsid w:val="00452259"/>
    <w:rsid w:val="00452DCC"/>
    <w:rsid w:val="00453477"/>
    <w:rsid w:val="00453B89"/>
    <w:rsid w:val="00454507"/>
    <w:rsid w:val="00454640"/>
    <w:rsid w:val="00454F85"/>
    <w:rsid w:val="0045554E"/>
    <w:rsid w:val="004563B7"/>
    <w:rsid w:val="004575E6"/>
    <w:rsid w:val="004575F0"/>
    <w:rsid w:val="00457A30"/>
    <w:rsid w:val="00457E27"/>
    <w:rsid w:val="004601EB"/>
    <w:rsid w:val="00461079"/>
    <w:rsid w:val="004611DD"/>
    <w:rsid w:val="00462981"/>
    <w:rsid w:val="0046298E"/>
    <w:rsid w:val="004629AB"/>
    <w:rsid w:val="0046326D"/>
    <w:rsid w:val="004634A3"/>
    <w:rsid w:val="00463DD3"/>
    <w:rsid w:val="0046410B"/>
    <w:rsid w:val="00464D5E"/>
    <w:rsid w:val="00465395"/>
    <w:rsid w:val="004657C4"/>
    <w:rsid w:val="0046650C"/>
    <w:rsid w:val="00467115"/>
    <w:rsid w:val="00467468"/>
    <w:rsid w:val="0046760E"/>
    <w:rsid w:val="00467E36"/>
    <w:rsid w:val="0047031F"/>
    <w:rsid w:val="00470AB7"/>
    <w:rsid w:val="004710B8"/>
    <w:rsid w:val="0047123D"/>
    <w:rsid w:val="004719E8"/>
    <w:rsid w:val="00472B8D"/>
    <w:rsid w:val="00473868"/>
    <w:rsid w:val="004740B1"/>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E0"/>
    <w:rsid w:val="004819DB"/>
    <w:rsid w:val="00481A39"/>
    <w:rsid w:val="00481B41"/>
    <w:rsid w:val="00481D3F"/>
    <w:rsid w:val="00481E5B"/>
    <w:rsid w:val="00482561"/>
    <w:rsid w:val="00483199"/>
    <w:rsid w:val="004847DC"/>
    <w:rsid w:val="00484FB0"/>
    <w:rsid w:val="004855BF"/>
    <w:rsid w:val="00486272"/>
    <w:rsid w:val="00486433"/>
    <w:rsid w:val="00486DC2"/>
    <w:rsid w:val="004873D3"/>
    <w:rsid w:val="004876F8"/>
    <w:rsid w:val="0048793E"/>
    <w:rsid w:val="00487B07"/>
    <w:rsid w:val="00490807"/>
    <w:rsid w:val="004917DE"/>
    <w:rsid w:val="00491835"/>
    <w:rsid w:val="00491AD2"/>
    <w:rsid w:val="004928B0"/>
    <w:rsid w:val="00492F33"/>
    <w:rsid w:val="004930CC"/>
    <w:rsid w:val="00493C82"/>
    <w:rsid w:val="00493EEF"/>
    <w:rsid w:val="00493F3B"/>
    <w:rsid w:val="00494185"/>
    <w:rsid w:val="00494A95"/>
    <w:rsid w:val="00495870"/>
    <w:rsid w:val="00495A89"/>
    <w:rsid w:val="00496795"/>
    <w:rsid w:val="00496ACA"/>
    <w:rsid w:val="004970AD"/>
    <w:rsid w:val="004974CF"/>
    <w:rsid w:val="004974FF"/>
    <w:rsid w:val="004978C1"/>
    <w:rsid w:val="004A01CF"/>
    <w:rsid w:val="004A03AD"/>
    <w:rsid w:val="004A06D9"/>
    <w:rsid w:val="004A0BFD"/>
    <w:rsid w:val="004A146A"/>
    <w:rsid w:val="004A14E9"/>
    <w:rsid w:val="004A2B6E"/>
    <w:rsid w:val="004A312D"/>
    <w:rsid w:val="004A3329"/>
    <w:rsid w:val="004A3E75"/>
    <w:rsid w:val="004A4188"/>
    <w:rsid w:val="004A4D99"/>
    <w:rsid w:val="004A4E60"/>
    <w:rsid w:val="004A4EC7"/>
    <w:rsid w:val="004A51D4"/>
    <w:rsid w:val="004A5483"/>
    <w:rsid w:val="004A5C74"/>
    <w:rsid w:val="004A6327"/>
    <w:rsid w:val="004A681E"/>
    <w:rsid w:val="004A7053"/>
    <w:rsid w:val="004A73E3"/>
    <w:rsid w:val="004A7602"/>
    <w:rsid w:val="004A76DC"/>
    <w:rsid w:val="004B058F"/>
    <w:rsid w:val="004B08B2"/>
    <w:rsid w:val="004B1166"/>
    <w:rsid w:val="004B1267"/>
    <w:rsid w:val="004B19B1"/>
    <w:rsid w:val="004B1E9E"/>
    <w:rsid w:val="004B2029"/>
    <w:rsid w:val="004B20D1"/>
    <w:rsid w:val="004B2145"/>
    <w:rsid w:val="004B2642"/>
    <w:rsid w:val="004B2CFD"/>
    <w:rsid w:val="004B3181"/>
    <w:rsid w:val="004B382E"/>
    <w:rsid w:val="004B459B"/>
    <w:rsid w:val="004B4DBB"/>
    <w:rsid w:val="004B56F9"/>
    <w:rsid w:val="004B5D69"/>
    <w:rsid w:val="004B5E42"/>
    <w:rsid w:val="004B5ED6"/>
    <w:rsid w:val="004B5F11"/>
    <w:rsid w:val="004B605A"/>
    <w:rsid w:val="004B6742"/>
    <w:rsid w:val="004B67EA"/>
    <w:rsid w:val="004B69B2"/>
    <w:rsid w:val="004B7476"/>
    <w:rsid w:val="004B7849"/>
    <w:rsid w:val="004B7AD8"/>
    <w:rsid w:val="004B7BDF"/>
    <w:rsid w:val="004B7DDC"/>
    <w:rsid w:val="004C0BFB"/>
    <w:rsid w:val="004C1309"/>
    <w:rsid w:val="004C15DC"/>
    <w:rsid w:val="004C1985"/>
    <w:rsid w:val="004C287D"/>
    <w:rsid w:val="004C30F0"/>
    <w:rsid w:val="004C39E7"/>
    <w:rsid w:val="004C3F22"/>
    <w:rsid w:val="004C3FDD"/>
    <w:rsid w:val="004C42C7"/>
    <w:rsid w:val="004C4C13"/>
    <w:rsid w:val="004C50AB"/>
    <w:rsid w:val="004C518F"/>
    <w:rsid w:val="004C5C54"/>
    <w:rsid w:val="004C615B"/>
    <w:rsid w:val="004C6341"/>
    <w:rsid w:val="004C6857"/>
    <w:rsid w:val="004C6BA0"/>
    <w:rsid w:val="004C7106"/>
    <w:rsid w:val="004C7810"/>
    <w:rsid w:val="004C7AD9"/>
    <w:rsid w:val="004D0354"/>
    <w:rsid w:val="004D08AF"/>
    <w:rsid w:val="004D0E53"/>
    <w:rsid w:val="004D12E8"/>
    <w:rsid w:val="004D1770"/>
    <w:rsid w:val="004D1965"/>
    <w:rsid w:val="004D1A88"/>
    <w:rsid w:val="004D26B2"/>
    <w:rsid w:val="004D2DED"/>
    <w:rsid w:val="004D2E45"/>
    <w:rsid w:val="004D37A1"/>
    <w:rsid w:val="004D3A05"/>
    <w:rsid w:val="004D4166"/>
    <w:rsid w:val="004D439C"/>
    <w:rsid w:val="004D497D"/>
    <w:rsid w:val="004D4C48"/>
    <w:rsid w:val="004D53AC"/>
    <w:rsid w:val="004D5C94"/>
    <w:rsid w:val="004D640C"/>
    <w:rsid w:val="004D67F9"/>
    <w:rsid w:val="004D699D"/>
    <w:rsid w:val="004D69B4"/>
    <w:rsid w:val="004D7989"/>
    <w:rsid w:val="004D7B8D"/>
    <w:rsid w:val="004D7C30"/>
    <w:rsid w:val="004D7CD2"/>
    <w:rsid w:val="004E00A3"/>
    <w:rsid w:val="004E04BE"/>
    <w:rsid w:val="004E0623"/>
    <w:rsid w:val="004E0896"/>
    <w:rsid w:val="004E08DC"/>
    <w:rsid w:val="004E1230"/>
    <w:rsid w:val="004E12FF"/>
    <w:rsid w:val="004E1DA8"/>
    <w:rsid w:val="004E2CF7"/>
    <w:rsid w:val="004E2F97"/>
    <w:rsid w:val="004E3A1A"/>
    <w:rsid w:val="004E4111"/>
    <w:rsid w:val="004E4285"/>
    <w:rsid w:val="004E43BF"/>
    <w:rsid w:val="004E4AFF"/>
    <w:rsid w:val="004E5069"/>
    <w:rsid w:val="004E5213"/>
    <w:rsid w:val="004E5735"/>
    <w:rsid w:val="004E57B0"/>
    <w:rsid w:val="004E5816"/>
    <w:rsid w:val="004E6542"/>
    <w:rsid w:val="004E66DE"/>
    <w:rsid w:val="004E678D"/>
    <w:rsid w:val="004E7556"/>
    <w:rsid w:val="004E7913"/>
    <w:rsid w:val="004E7F54"/>
    <w:rsid w:val="004F01B1"/>
    <w:rsid w:val="004F075B"/>
    <w:rsid w:val="004F0C0D"/>
    <w:rsid w:val="004F1BD4"/>
    <w:rsid w:val="004F1FA2"/>
    <w:rsid w:val="004F2886"/>
    <w:rsid w:val="004F31EC"/>
    <w:rsid w:val="004F3AFA"/>
    <w:rsid w:val="004F3EA0"/>
    <w:rsid w:val="004F419B"/>
    <w:rsid w:val="004F4518"/>
    <w:rsid w:val="004F4D91"/>
    <w:rsid w:val="004F4EA1"/>
    <w:rsid w:val="004F5297"/>
    <w:rsid w:val="004F5CA2"/>
    <w:rsid w:val="004F6397"/>
    <w:rsid w:val="004F69B7"/>
    <w:rsid w:val="004F6AD0"/>
    <w:rsid w:val="004F6B45"/>
    <w:rsid w:val="004F6E93"/>
    <w:rsid w:val="004F760C"/>
    <w:rsid w:val="004F79BB"/>
    <w:rsid w:val="004F7D9D"/>
    <w:rsid w:val="00500568"/>
    <w:rsid w:val="00501300"/>
    <w:rsid w:val="0050135C"/>
    <w:rsid w:val="00501383"/>
    <w:rsid w:val="00501897"/>
    <w:rsid w:val="00501DCF"/>
    <w:rsid w:val="00501E7B"/>
    <w:rsid w:val="00502228"/>
    <w:rsid w:val="005023DC"/>
    <w:rsid w:val="00502560"/>
    <w:rsid w:val="0050276C"/>
    <w:rsid w:val="00502D82"/>
    <w:rsid w:val="005040F2"/>
    <w:rsid w:val="0050467C"/>
    <w:rsid w:val="005046F6"/>
    <w:rsid w:val="00504E44"/>
    <w:rsid w:val="00504F8D"/>
    <w:rsid w:val="0050585D"/>
    <w:rsid w:val="00505880"/>
    <w:rsid w:val="00505AED"/>
    <w:rsid w:val="005069FB"/>
    <w:rsid w:val="005070CD"/>
    <w:rsid w:val="0050727D"/>
    <w:rsid w:val="00507462"/>
    <w:rsid w:val="00507530"/>
    <w:rsid w:val="00507D4E"/>
    <w:rsid w:val="005107EB"/>
    <w:rsid w:val="00510ACD"/>
    <w:rsid w:val="00511852"/>
    <w:rsid w:val="005118AF"/>
    <w:rsid w:val="00511C78"/>
    <w:rsid w:val="00512227"/>
    <w:rsid w:val="00512435"/>
    <w:rsid w:val="00512C8A"/>
    <w:rsid w:val="005130AB"/>
    <w:rsid w:val="005137F0"/>
    <w:rsid w:val="00513B89"/>
    <w:rsid w:val="00513D09"/>
    <w:rsid w:val="005140F2"/>
    <w:rsid w:val="00514815"/>
    <w:rsid w:val="0051481C"/>
    <w:rsid w:val="00514C92"/>
    <w:rsid w:val="0051574E"/>
    <w:rsid w:val="0051588A"/>
    <w:rsid w:val="00516056"/>
    <w:rsid w:val="00516680"/>
    <w:rsid w:val="0051694B"/>
    <w:rsid w:val="00517089"/>
    <w:rsid w:val="005178D5"/>
    <w:rsid w:val="00517A1E"/>
    <w:rsid w:val="00517AAB"/>
    <w:rsid w:val="005204F3"/>
    <w:rsid w:val="00520692"/>
    <w:rsid w:val="00520E32"/>
    <w:rsid w:val="00521117"/>
    <w:rsid w:val="00521419"/>
    <w:rsid w:val="005217C0"/>
    <w:rsid w:val="00521861"/>
    <w:rsid w:val="00521AC1"/>
    <w:rsid w:val="0052273E"/>
    <w:rsid w:val="005230C3"/>
    <w:rsid w:val="0052331B"/>
    <w:rsid w:val="0052340C"/>
    <w:rsid w:val="00523956"/>
    <w:rsid w:val="00523CAB"/>
    <w:rsid w:val="00523FAC"/>
    <w:rsid w:val="0052423E"/>
    <w:rsid w:val="005245A2"/>
    <w:rsid w:val="005246D4"/>
    <w:rsid w:val="005252CC"/>
    <w:rsid w:val="0052555D"/>
    <w:rsid w:val="005255F2"/>
    <w:rsid w:val="00525636"/>
    <w:rsid w:val="005256DD"/>
    <w:rsid w:val="00526021"/>
    <w:rsid w:val="00527A07"/>
    <w:rsid w:val="00527E60"/>
    <w:rsid w:val="0053000B"/>
    <w:rsid w:val="00530AC7"/>
    <w:rsid w:val="00530CE0"/>
    <w:rsid w:val="00530DE8"/>
    <w:rsid w:val="00530F9F"/>
    <w:rsid w:val="00531101"/>
    <w:rsid w:val="00531919"/>
    <w:rsid w:val="00532187"/>
    <w:rsid w:val="005331A5"/>
    <w:rsid w:val="005339B1"/>
    <w:rsid w:val="00533D16"/>
    <w:rsid w:val="0053435F"/>
    <w:rsid w:val="0053477E"/>
    <w:rsid w:val="0053509C"/>
    <w:rsid w:val="00535170"/>
    <w:rsid w:val="00535513"/>
    <w:rsid w:val="005358B2"/>
    <w:rsid w:val="00535A8C"/>
    <w:rsid w:val="00536365"/>
    <w:rsid w:val="0053649C"/>
    <w:rsid w:val="005369C1"/>
    <w:rsid w:val="00537015"/>
    <w:rsid w:val="00537138"/>
    <w:rsid w:val="005372C9"/>
    <w:rsid w:val="00537577"/>
    <w:rsid w:val="00537934"/>
    <w:rsid w:val="0053796A"/>
    <w:rsid w:val="00537FFB"/>
    <w:rsid w:val="0054046A"/>
    <w:rsid w:val="00540509"/>
    <w:rsid w:val="0054053A"/>
    <w:rsid w:val="00541674"/>
    <w:rsid w:val="00541894"/>
    <w:rsid w:val="005418EE"/>
    <w:rsid w:val="00541C50"/>
    <w:rsid w:val="00541E39"/>
    <w:rsid w:val="0054236F"/>
    <w:rsid w:val="00542C2C"/>
    <w:rsid w:val="00542E32"/>
    <w:rsid w:val="00542ECA"/>
    <w:rsid w:val="00542F5F"/>
    <w:rsid w:val="0054322B"/>
    <w:rsid w:val="00543651"/>
    <w:rsid w:val="00543A3F"/>
    <w:rsid w:val="00543BDB"/>
    <w:rsid w:val="0054450E"/>
    <w:rsid w:val="00544685"/>
    <w:rsid w:val="005447B3"/>
    <w:rsid w:val="0054495C"/>
    <w:rsid w:val="00544AC1"/>
    <w:rsid w:val="00544D90"/>
    <w:rsid w:val="00544F17"/>
    <w:rsid w:val="00544F86"/>
    <w:rsid w:val="00545A48"/>
    <w:rsid w:val="00546369"/>
    <w:rsid w:val="0054659E"/>
    <w:rsid w:val="005465F1"/>
    <w:rsid w:val="00546751"/>
    <w:rsid w:val="005467ED"/>
    <w:rsid w:val="00546813"/>
    <w:rsid w:val="005468BC"/>
    <w:rsid w:val="0054690F"/>
    <w:rsid w:val="00547B3C"/>
    <w:rsid w:val="00550E1C"/>
    <w:rsid w:val="00551CC8"/>
    <w:rsid w:val="00552075"/>
    <w:rsid w:val="00552F88"/>
    <w:rsid w:val="00553377"/>
    <w:rsid w:val="00553943"/>
    <w:rsid w:val="00553A9A"/>
    <w:rsid w:val="0055406E"/>
    <w:rsid w:val="00554341"/>
    <w:rsid w:val="00554617"/>
    <w:rsid w:val="00554C0C"/>
    <w:rsid w:val="00554C29"/>
    <w:rsid w:val="0055516F"/>
    <w:rsid w:val="00555A02"/>
    <w:rsid w:val="00555C37"/>
    <w:rsid w:val="00556140"/>
    <w:rsid w:val="00556555"/>
    <w:rsid w:val="0055672C"/>
    <w:rsid w:val="00556B24"/>
    <w:rsid w:val="005571C1"/>
    <w:rsid w:val="005571DC"/>
    <w:rsid w:val="0055733F"/>
    <w:rsid w:val="0055749F"/>
    <w:rsid w:val="005574F9"/>
    <w:rsid w:val="00557553"/>
    <w:rsid w:val="005575C1"/>
    <w:rsid w:val="00557718"/>
    <w:rsid w:val="005578A4"/>
    <w:rsid w:val="00557C91"/>
    <w:rsid w:val="00557EB5"/>
    <w:rsid w:val="00557FD7"/>
    <w:rsid w:val="00561067"/>
    <w:rsid w:val="00561140"/>
    <w:rsid w:val="00562131"/>
    <w:rsid w:val="005625D1"/>
    <w:rsid w:val="00562DAB"/>
    <w:rsid w:val="00562E2C"/>
    <w:rsid w:val="0056425D"/>
    <w:rsid w:val="0056478C"/>
    <w:rsid w:val="00564E7A"/>
    <w:rsid w:val="00565215"/>
    <w:rsid w:val="00565970"/>
    <w:rsid w:val="00565D2A"/>
    <w:rsid w:val="00566020"/>
    <w:rsid w:val="00566713"/>
    <w:rsid w:val="00566852"/>
    <w:rsid w:val="00566DE1"/>
    <w:rsid w:val="0056766B"/>
    <w:rsid w:val="00567C8C"/>
    <w:rsid w:val="00570365"/>
    <w:rsid w:val="0057112A"/>
    <w:rsid w:val="005712CD"/>
    <w:rsid w:val="00571ED7"/>
    <w:rsid w:val="005725D7"/>
    <w:rsid w:val="0057268E"/>
    <w:rsid w:val="005728A9"/>
    <w:rsid w:val="005733B0"/>
    <w:rsid w:val="005735F4"/>
    <w:rsid w:val="0057372A"/>
    <w:rsid w:val="00573EE5"/>
    <w:rsid w:val="00574139"/>
    <w:rsid w:val="005743DE"/>
    <w:rsid w:val="00574524"/>
    <w:rsid w:val="00574930"/>
    <w:rsid w:val="0057566E"/>
    <w:rsid w:val="005758EA"/>
    <w:rsid w:val="00575F6E"/>
    <w:rsid w:val="005760F0"/>
    <w:rsid w:val="005761F8"/>
    <w:rsid w:val="005765F3"/>
    <w:rsid w:val="00576B47"/>
    <w:rsid w:val="00577202"/>
    <w:rsid w:val="005773A7"/>
    <w:rsid w:val="00577497"/>
    <w:rsid w:val="00577D54"/>
    <w:rsid w:val="00580971"/>
    <w:rsid w:val="0058099B"/>
    <w:rsid w:val="005809BA"/>
    <w:rsid w:val="00580E49"/>
    <w:rsid w:val="0058108C"/>
    <w:rsid w:val="005813A0"/>
    <w:rsid w:val="00581798"/>
    <w:rsid w:val="00581A18"/>
    <w:rsid w:val="0058236B"/>
    <w:rsid w:val="00582E32"/>
    <w:rsid w:val="005837C9"/>
    <w:rsid w:val="005837D7"/>
    <w:rsid w:val="0058404F"/>
    <w:rsid w:val="005844F5"/>
    <w:rsid w:val="00584D94"/>
    <w:rsid w:val="00584F6E"/>
    <w:rsid w:val="00585EFC"/>
    <w:rsid w:val="005861F5"/>
    <w:rsid w:val="00586448"/>
    <w:rsid w:val="00586936"/>
    <w:rsid w:val="00587590"/>
    <w:rsid w:val="0058760A"/>
    <w:rsid w:val="00587971"/>
    <w:rsid w:val="00587DB7"/>
    <w:rsid w:val="00590C13"/>
    <w:rsid w:val="00591771"/>
    <w:rsid w:val="005918CE"/>
    <w:rsid w:val="0059190C"/>
    <w:rsid w:val="00591C40"/>
    <w:rsid w:val="00591C8D"/>
    <w:rsid w:val="0059259D"/>
    <w:rsid w:val="0059296C"/>
    <w:rsid w:val="00593A00"/>
    <w:rsid w:val="005940EB"/>
    <w:rsid w:val="00595308"/>
    <w:rsid w:val="005954A7"/>
    <w:rsid w:val="00595902"/>
    <w:rsid w:val="005959AF"/>
    <w:rsid w:val="00595B9C"/>
    <w:rsid w:val="00596858"/>
    <w:rsid w:val="00596D1C"/>
    <w:rsid w:val="00596D54"/>
    <w:rsid w:val="00597674"/>
    <w:rsid w:val="00597884"/>
    <w:rsid w:val="00597EC7"/>
    <w:rsid w:val="005A0212"/>
    <w:rsid w:val="005A0479"/>
    <w:rsid w:val="005A098A"/>
    <w:rsid w:val="005A0F7E"/>
    <w:rsid w:val="005A128F"/>
    <w:rsid w:val="005A229B"/>
    <w:rsid w:val="005A24D7"/>
    <w:rsid w:val="005A25DE"/>
    <w:rsid w:val="005A2B76"/>
    <w:rsid w:val="005A32DD"/>
    <w:rsid w:val="005A33CD"/>
    <w:rsid w:val="005A392A"/>
    <w:rsid w:val="005A3A50"/>
    <w:rsid w:val="005A3C44"/>
    <w:rsid w:val="005A3C83"/>
    <w:rsid w:val="005A3E4B"/>
    <w:rsid w:val="005A3FF5"/>
    <w:rsid w:val="005A45AB"/>
    <w:rsid w:val="005A4BEE"/>
    <w:rsid w:val="005A4DC0"/>
    <w:rsid w:val="005A5D6E"/>
    <w:rsid w:val="005A6226"/>
    <w:rsid w:val="005A6407"/>
    <w:rsid w:val="005A641F"/>
    <w:rsid w:val="005A6DA4"/>
    <w:rsid w:val="005A794E"/>
    <w:rsid w:val="005B04AD"/>
    <w:rsid w:val="005B0652"/>
    <w:rsid w:val="005B0A14"/>
    <w:rsid w:val="005B0FEE"/>
    <w:rsid w:val="005B1134"/>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808"/>
    <w:rsid w:val="005B5B6C"/>
    <w:rsid w:val="005B5E35"/>
    <w:rsid w:val="005B668C"/>
    <w:rsid w:val="005B68BA"/>
    <w:rsid w:val="005B6E9D"/>
    <w:rsid w:val="005B70C6"/>
    <w:rsid w:val="005B7314"/>
    <w:rsid w:val="005C01B7"/>
    <w:rsid w:val="005C123A"/>
    <w:rsid w:val="005C2CC2"/>
    <w:rsid w:val="005C33E6"/>
    <w:rsid w:val="005C4558"/>
    <w:rsid w:val="005C46DF"/>
    <w:rsid w:val="005C4A36"/>
    <w:rsid w:val="005C4C15"/>
    <w:rsid w:val="005C4C84"/>
    <w:rsid w:val="005C5D23"/>
    <w:rsid w:val="005C5E4E"/>
    <w:rsid w:val="005C6579"/>
    <w:rsid w:val="005C6741"/>
    <w:rsid w:val="005C76DF"/>
    <w:rsid w:val="005C7843"/>
    <w:rsid w:val="005C7A51"/>
    <w:rsid w:val="005C7A73"/>
    <w:rsid w:val="005C7F8F"/>
    <w:rsid w:val="005D0F72"/>
    <w:rsid w:val="005D14EA"/>
    <w:rsid w:val="005D15CD"/>
    <w:rsid w:val="005D1830"/>
    <w:rsid w:val="005D1876"/>
    <w:rsid w:val="005D1B12"/>
    <w:rsid w:val="005D2653"/>
    <w:rsid w:val="005D29BD"/>
    <w:rsid w:val="005D2C7C"/>
    <w:rsid w:val="005D2E4B"/>
    <w:rsid w:val="005D2FFB"/>
    <w:rsid w:val="005D3056"/>
    <w:rsid w:val="005D32ED"/>
    <w:rsid w:val="005D3AC8"/>
    <w:rsid w:val="005D41D6"/>
    <w:rsid w:val="005D435C"/>
    <w:rsid w:val="005D4A70"/>
    <w:rsid w:val="005D4FBC"/>
    <w:rsid w:val="005D508A"/>
    <w:rsid w:val="005D551F"/>
    <w:rsid w:val="005D583D"/>
    <w:rsid w:val="005D589F"/>
    <w:rsid w:val="005D5E97"/>
    <w:rsid w:val="005D6D72"/>
    <w:rsid w:val="005D6EC0"/>
    <w:rsid w:val="005E00BF"/>
    <w:rsid w:val="005E04E8"/>
    <w:rsid w:val="005E0538"/>
    <w:rsid w:val="005E079D"/>
    <w:rsid w:val="005E0E84"/>
    <w:rsid w:val="005E13A7"/>
    <w:rsid w:val="005E17D9"/>
    <w:rsid w:val="005E1BD3"/>
    <w:rsid w:val="005E250F"/>
    <w:rsid w:val="005E3604"/>
    <w:rsid w:val="005E3AF0"/>
    <w:rsid w:val="005E43F2"/>
    <w:rsid w:val="005E4FBB"/>
    <w:rsid w:val="005E5412"/>
    <w:rsid w:val="005E595D"/>
    <w:rsid w:val="005E5A3A"/>
    <w:rsid w:val="005E5C20"/>
    <w:rsid w:val="005E5CC2"/>
    <w:rsid w:val="005E62B7"/>
    <w:rsid w:val="005E6630"/>
    <w:rsid w:val="005E6B1F"/>
    <w:rsid w:val="005E7BD0"/>
    <w:rsid w:val="005E7F3F"/>
    <w:rsid w:val="005F2018"/>
    <w:rsid w:val="005F2164"/>
    <w:rsid w:val="005F22FA"/>
    <w:rsid w:val="005F3150"/>
    <w:rsid w:val="005F4069"/>
    <w:rsid w:val="005F44A2"/>
    <w:rsid w:val="005F46FC"/>
    <w:rsid w:val="005F489D"/>
    <w:rsid w:val="005F49EC"/>
    <w:rsid w:val="005F4AD7"/>
    <w:rsid w:val="005F4C7B"/>
    <w:rsid w:val="005F504A"/>
    <w:rsid w:val="005F5AFE"/>
    <w:rsid w:val="005F5D65"/>
    <w:rsid w:val="005F5F8C"/>
    <w:rsid w:val="005F62EB"/>
    <w:rsid w:val="005F697D"/>
    <w:rsid w:val="005F6ED6"/>
    <w:rsid w:val="005F7102"/>
    <w:rsid w:val="005F757C"/>
    <w:rsid w:val="005F7952"/>
    <w:rsid w:val="005F7A25"/>
    <w:rsid w:val="005F7B74"/>
    <w:rsid w:val="006002E9"/>
    <w:rsid w:val="00600D04"/>
    <w:rsid w:val="006023B9"/>
    <w:rsid w:val="006023E9"/>
    <w:rsid w:val="00602441"/>
    <w:rsid w:val="00602864"/>
    <w:rsid w:val="00603BE1"/>
    <w:rsid w:val="00603CD7"/>
    <w:rsid w:val="00603CEE"/>
    <w:rsid w:val="006044D5"/>
    <w:rsid w:val="00604532"/>
    <w:rsid w:val="00604756"/>
    <w:rsid w:val="00604AA1"/>
    <w:rsid w:val="00605D73"/>
    <w:rsid w:val="006063F1"/>
    <w:rsid w:val="00606724"/>
    <w:rsid w:val="00606896"/>
    <w:rsid w:val="00607018"/>
    <w:rsid w:val="006074A5"/>
    <w:rsid w:val="00607E6C"/>
    <w:rsid w:val="0061022E"/>
    <w:rsid w:val="0061027F"/>
    <w:rsid w:val="00610D73"/>
    <w:rsid w:val="0061134F"/>
    <w:rsid w:val="0061187E"/>
    <w:rsid w:val="00611E3B"/>
    <w:rsid w:val="006121FC"/>
    <w:rsid w:val="006122A8"/>
    <w:rsid w:val="0061230C"/>
    <w:rsid w:val="006125B8"/>
    <w:rsid w:val="006144AF"/>
    <w:rsid w:val="006145E8"/>
    <w:rsid w:val="006151A2"/>
    <w:rsid w:val="00615839"/>
    <w:rsid w:val="006159D1"/>
    <w:rsid w:val="00615D51"/>
    <w:rsid w:val="0061740D"/>
    <w:rsid w:val="00617C09"/>
    <w:rsid w:val="00620181"/>
    <w:rsid w:val="006203C0"/>
    <w:rsid w:val="00620E0D"/>
    <w:rsid w:val="0062148A"/>
    <w:rsid w:val="00621628"/>
    <w:rsid w:val="00621AB5"/>
    <w:rsid w:val="00622769"/>
    <w:rsid w:val="00622AFF"/>
    <w:rsid w:val="00622D94"/>
    <w:rsid w:val="00622E50"/>
    <w:rsid w:val="006235AB"/>
    <w:rsid w:val="00623683"/>
    <w:rsid w:val="00623D92"/>
    <w:rsid w:val="0062461B"/>
    <w:rsid w:val="00624E95"/>
    <w:rsid w:val="0062516A"/>
    <w:rsid w:val="006255FD"/>
    <w:rsid w:val="00625F5B"/>
    <w:rsid w:val="006262FF"/>
    <w:rsid w:val="006263A1"/>
    <w:rsid w:val="0062658D"/>
    <w:rsid w:val="00626B4D"/>
    <w:rsid w:val="00626EF5"/>
    <w:rsid w:val="00627084"/>
    <w:rsid w:val="00627838"/>
    <w:rsid w:val="00627A52"/>
    <w:rsid w:val="00627F99"/>
    <w:rsid w:val="006308E3"/>
    <w:rsid w:val="006309FC"/>
    <w:rsid w:val="00631859"/>
    <w:rsid w:val="00631864"/>
    <w:rsid w:val="00631BC3"/>
    <w:rsid w:val="00632639"/>
    <w:rsid w:val="00632D60"/>
    <w:rsid w:val="00633057"/>
    <w:rsid w:val="0063374D"/>
    <w:rsid w:val="006339EB"/>
    <w:rsid w:val="00635063"/>
    <w:rsid w:val="006356A1"/>
    <w:rsid w:val="006359FD"/>
    <w:rsid w:val="00635A8A"/>
    <w:rsid w:val="006362B8"/>
    <w:rsid w:val="00636579"/>
    <w:rsid w:val="006370CE"/>
    <w:rsid w:val="0063760A"/>
    <w:rsid w:val="006379B2"/>
    <w:rsid w:val="00637ED1"/>
    <w:rsid w:val="00637F05"/>
    <w:rsid w:val="00640460"/>
    <w:rsid w:val="0064060A"/>
    <w:rsid w:val="006409AE"/>
    <w:rsid w:val="00641228"/>
    <w:rsid w:val="00641694"/>
    <w:rsid w:val="00641999"/>
    <w:rsid w:val="00641C8B"/>
    <w:rsid w:val="00642817"/>
    <w:rsid w:val="00642F2D"/>
    <w:rsid w:val="0064311E"/>
    <w:rsid w:val="00643D31"/>
    <w:rsid w:val="00643DFF"/>
    <w:rsid w:val="00643E73"/>
    <w:rsid w:val="00644870"/>
    <w:rsid w:val="00644B86"/>
    <w:rsid w:val="00645087"/>
    <w:rsid w:val="0064534A"/>
    <w:rsid w:val="00645869"/>
    <w:rsid w:val="00646166"/>
    <w:rsid w:val="0064683D"/>
    <w:rsid w:val="00646AD0"/>
    <w:rsid w:val="00647317"/>
    <w:rsid w:val="00647539"/>
    <w:rsid w:val="00647A91"/>
    <w:rsid w:val="00650154"/>
    <w:rsid w:val="006502F5"/>
    <w:rsid w:val="006504BE"/>
    <w:rsid w:val="006508C5"/>
    <w:rsid w:val="00650AFF"/>
    <w:rsid w:val="00651095"/>
    <w:rsid w:val="006511B5"/>
    <w:rsid w:val="006513F2"/>
    <w:rsid w:val="006523D5"/>
    <w:rsid w:val="00652470"/>
    <w:rsid w:val="00652B04"/>
    <w:rsid w:val="00652E0D"/>
    <w:rsid w:val="006530DA"/>
    <w:rsid w:val="00654B7B"/>
    <w:rsid w:val="0065539D"/>
    <w:rsid w:val="00655818"/>
    <w:rsid w:val="006558B6"/>
    <w:rsid w:val="00655DE1"/>
    <w:rsid w:val="00655E5D"/>
    <w:rsid w:val="006562E6"/>
    <w:rsid w:val="00656BFC"/>
    <w:rsid w:val="00656DFD"/>
    <w:rsid w:val="00656FD7"/>
    <w:rsid w:val="00656FD9"/>
    <w:rsid w:val="006572D9"/>
    <w:rsid w:val="006576CE"/>
    <w:rsid w:val="00657FBA"/>
    <w:rsid w:val="00661087"/>
    <w:rsid w:val="00661CD8"/>
    <w:rsid w:val="00663203"/>
    <w:rsid w:val="00663220"/>
    <w:rsid w:val="0066327F"/>
    <w:rsid w:val="006635F1"/>
    <w:rsid w:val="0066402C"/>
    <w:rsid w:val="0066410F"/>
    <w:rsid w:val="006641AF"/>
    <w:rsid w:val="006644DD"/>
    <w:rsid w:val="00664998"/>
    <w:rsid w:val="00664C26"/>
    <w:rsid w:val="00664C37"/>
    <w:rsid w:val="00665802"/>
    <w:rsid w:val="00665C41"/>
    <w:rsid w:val="00665CFD"/>
    <w:rsid w:val="00665DEB"/>
    <w:rsid w:val="00665E30"/>
    <w:rsid w:val="00666C39"/>
    <w:rsid w:val="00667A4B"/>
    <w:rsid w:val="006705BF"/>
    <w:rsid w:val="00670987"/>
    <w:rsid w:val="00670ACB"/>
    <w:rsid w:val="00671190"/>
    <w:rsid w:val="006716A2"/>
    <w:rsid w:val="0067176F"/>
    <w:rsid w:val="00671A3F"/>
    <w:rsid w:val="00671D00"/>
    <w:rsid w:val="006720F0"/>
    <w:rsid w:val="006722E8"/>
    <w:rsid w:val="00672918"/>
    <w:rsid w:val="00672A6F"/>
    <w:rsid w:val="00673030"/>
    <w:rsid w:val="0067394F"/>
    <w:rsid w:val="00673F46"/>
    <w:rsid w:val="006748B7"/>
    <w:rsid w:val="00674944"/>
    <w:rsid w:val="00674A91"/>
    <w:rsid w:val="00674F17"/>
    <w:rsid w:val="006753B7"/>
    <w:rsid w:val="006753C7"/>
    <w:rsid w:val="0067560C"/>
    <w:rsid w:val="00675964"/>
    <w:rsid w:val="00675EC1"/>
    <w:rsid w:val="00675FAE"/>
    <w:rsid w:val="00676862"/>
    <w:rsid w:val="00676ABE"/>
    <w:rsid w:val="006778DF"/>
    <w:rsid w:val="00677BD3"/>
    <w:rsid w:val="00680435"/>
    <w:rsid w:val="006804B0"/>
    <w:rsid w:val="006807EF"/>
    <w:rsid w:val="00680B69"/>
    <w:rsid w:val="00680C9D"/>
    <w:rsid w:val="006810DF"/>
    <w:rsid w:val="00681407"/>
    <w:rsid w:val="006818FD"/>
    <w:rsid w:val="00681DF3"/>
    <w:rsid w:val="0068211F"/>
    <w:rsid w:val="006822B4"/>
    <w:rsid w:val="006824F3"/>
    <w:rsid w:val="00682C98"/>
    <w:rsid w:val="00683A0A"/>
    <w:rsid w:val="00683BEE"/>
    <w:rsid w:val="00683C1B"/>
    <w:rsid w:val="00684689"/>
    <w:rsid w:val="006846C9"/>
    <w:rsid w:val="00684829"/>
    <w:rsid w:val="00684F89"/>
    <w:rsid w:val="00685218"/>
    <w:rsid w:val="00686142"/>
    <w:rsid w:val="00686573"/>
    <w:rsid w:val="006872CE"/>
    <w:rsid w:val="00687C63"/>
    <w:rsid w:val="00687FDD"/>
    <w:rsid w:val="0069015E"/>
    <w:rsid w:val="0069096E"/>
    <w:rsid w:val="00691709"/>
    <w:rsid w:val="00692AD5"/>
    <w:rsid w:val="00692D80"/>
    <w:rsid w:val="006931DF"/>
    <w:rsid w:val="006933AA"/>
    <w:rsid w:val="006936F8"/>
    <w:rsid w:val="0069393C"/>
    <w:rsid w:val="00693BD8"/>
    <w:rsid w:val="00693F24"/>
    <w:rsid w:val="006940BF"/>
    <w:rsid w:val="00694A83"/>
    <w:rsid w:val="00694AA9"/>
    <w:rsid w:val="00694BF3"/>
    <w:rsid w:val="00694F10"/>
    <w:rsid w:val="00694FFD"/>
    <w:rsid w:val="00695177"/>
    <w:rsid w:val="00695563"/>
    <w:rsid w:val="006956E6"/>
    <w:rsid w:val="00695FF9"/>
    <w:rsid w:val="00696977"/>
    <w:rsid w:val="00696B9B"/>
    <w:rsid w:val="00696C44"/>
    <w:rsid w:val="00696F55"/>
    <w:rsid w:val="00697721"/>
    <w:rsid w:val="00697754"/>
    <w:rsid w:val="00697832"/>
    <w:rsid w:val="006A09DF"/>
    <w:rsid w:val="006A0B64"/>
    <w:rsid w:val="006A10BB"/>
    <w:rsid w:val="006A11CB"/>
    <w:rsid w:val="006A1C6C"/>
    <w:rsid w:val="006A1DF3"/>
    <w:rsid w:val="006A1EC1"/>
    <w:rsid w:val="006A20A8"/>
    <w:rsid w:val="006A22A5"/>
    <w:rsid w:val="006A242B"/>
    <w:rsid w:val="006A260F"/>
    <w:rsid w:val="006A30F5"/>
    <w:rsid w:val="006A3C70"/>
    <w:rsid w:val="006A3FF8"/>
    <w:rsid w:val="006A50D7"/>
    <w:rsid w:val="006A538A"/>
    <w:rsid w:val="006A5597"/>
    <w:rsid w:val="006A5B14"/>
    <w:rsid w:val="006A6C81"/>
    <w:rsid w:val="006A736C"/>
    <w:rsid w:val="006A7BB0"/>
    <w:rsid w:val="006B1255"/>
    <w:rsid w:val="006B3007"/>
    <w:rsid w:val="006B346D"/>
    <w:rsid w:val="006B37D0"/>
    <w:rsid w:val="006B3B7F"/>
    <w:rsid w:val="006B4328"/>
    <w:rsid w:val="006B4612"/>
    <w:rsid w:val="006B483E"/>
    <w:rsid w:val="006B4898"/>
    <w:rsid w:val="006B4E0D"/>
    <w:rsid w:val="006B4E91"/>
    <w:rsid w:val="006B5041"/>
    <w:rsid w:val="006B5720"/>
    <w:rsid w:val="006B5C3C"/>
    <w:rsid w:val="006B6027"/>
    <w:rsid w:val="006B6119"/>
    <w:rsid w:val="006B656A"/>
    <w:rsid w:val="006B7203"/>
    <w:rsid w:val="006B73AB"/>
    <w:rsid w:val="006B773E"/>
    <w:rsid w:val="006B7F1F"/>
    <w:rsid w:val="006C069D"/>
    <w:rsid w:val="006C06BB"/>
    <w:rsid w:val="006C098D"/>
    <w:rsid w:val="006C09B1"/>
    <w:rsid w:val="006C0BB6"/>
    <w:rsid w:val="006C0D1B"/>
    <w:rsid w:val="006C1A3C"/>
    <w:rsid w:val="006C1A99"/>
    <w:rsid w:val="006C2CA0"/>
    <w:rsid w:val="006C2D85"/>
    <w:rsid w:val="006C30F8"/>
    <w:rsid w:val="006C33AA"/>
    <w:rsid w:val="006C3563"/>
    <w:rsid w:val="006C3813"/>
    <w:rsid w:val="006C3862"/>
    <w:rsid w:val="006C3B01"/>
    <w:rsid w:val="006C3D0F"/>
    <w:rsid w:val="006C3F83"/>
    <w:rsid w:val="006C4893"/>
    <w:rsid w:val="006C4D46"/>
    <w:rsid w:val="006C5312"/>
    <w:rsid w:val="006C5E76"/>
    <w:rsid w:val="006C6D52"/>
    <w:rsid w:val="006C7184"/>
    <w:rsid w:val="006C7D8E"/>
    <w:rsid w:val="006D07D0"/>
    <w:rsid w:val="006D07FB"/>
    <w:rsid w:val="006D0EE7"/>
    <w:rsid w:val="006D1073"/>
    <w:rsid w:val="006D10F8"/>
    <w:rsid w:val="006D128B"/>
    <w:rsid w:val="006D14E7"/>
    <w:rsid w:val="006D150B"/>
    <w:rsid w:val="006D1641"/>
    <w:rsid w:val="006D18B7"/>
    <w:rsid w:val="006D1A62"/>
    <w:rsid w:val="006D2287"/>
    <w:rsid w:val="006D292A"/>
    <w:rsid w:val="006D29F5"/>
    <w:rsid w:val="006D3520"/>
    <w:rsid w:val="006D37BB"/>
    <w:rsid w:val="006D43AB"/>
    <w:rsid w:val="006D443F"/>
    <w:rsid w:val="006D52CB"/>
    <w:rsid w:val="006D614C"/>
    <w:rsid w:val="006D67EE"/>
    <w:rsid w:val="006D714F"/>
    <w:rsid w:val="006D71A1"/>
    <w:rsid w:val="006D7B45"/>
    <w:rsid w:val="006D7F2D"/>
    <w:rsid w:val="006D7F93"/>
    <w:rsid w:val="006E0298"/>
    <w:rsid w:val="006E15CD"/>
    <w:rsid w:val="006E1754"/>
    <w:rsid w:val="006E1767"/>
    <w:rsid w:val="006E1BE1"/>
    <w:rsid w:val="006E1E53"/>
    <w:rsid w:val="006E25B1"/>
    <w:rsid w:val="006E263E"/>
    <w:rsid w:val="006E284A"/>
    <w:rsid w:val="006E2BA8"/>
    <w:rsid w:val="006E30B7"/>
    <w:rsid w:val="006E36A7"/>
    <w:rsid w:val="006E36FB"/>
    <w:rsid w:val="006E37ED"/>
    <w:rsid w:val="006E3923"/>
    <w:rsid w:val="006E3C10"/>
    <w:rsid w:val="006E41F3"/>
    <w:rsid w:val="006E439C"/>
    <w:rsid w:val="006E45E5"/>
    <w:rsid w:val="006E4977"/>
    <w:rsid w:val="006E4C6A"/>
    <w:rsid w:val="006E4CA6"/>
    <w:rsid w:val="006E4EDC"/>
    <w:rsid w:val="006E50AB"/>
    <w:rsid w:val="006E5AC1"/>
    <w:rsid w:val="006E5EAB"/>
    <w:rsid w:val="006E66EE"/>
    <w:rsid w:val="006E6C62"/>
    <w:rsid w:val="006E72E4"/>
    <w:rsid w:val="006E738A"/>
    <w:rsid w:val="006E757B"/>
    <w:rsid w:val="006E790F"/>
    <w:rsid w:val="006F0153"/>
    <w:rsid w:val="006F039F"/>
    <w:rsid w:val="006F08F4"/>
    <w:rsid w:val="006F1804"/>
    <w:rsid w:val="006F1F90"/>
    <w:rsid w:val="006F2453"/>
    <w:rsid w:val="006F25F1"/>
    <w:rsid w:val="006F2891"/>
    <w:rsid w:val="006F2E8D"/>
    <w:rsid w:val="006F31EC"/>
    <w:rsid w:val="006F3B36"/>
    <w:rsid w:val="006F3D82"/>
    <w:rsid w:val="006F3E78"/>
    <w:rsid w:val="006F454C"/>
    <w:rsid w:val="006F49D8"/>
    <w:rsid w:val="006F4ED1"/>
    <w:rsid w:val="006F57A3"/>
    <w:rsid w:val="006F5A64"/>
    <w:rsid w:val="006F5E90"/>
    <w:rsid w:val="006F6209"/>
    <w:rsid w:val="006F646B"/>
    <w:rsid w:val="006F6472"/>
    <w:rsid w:val="006F69EC"/>
    <w:rsid w:val="006F705E"/>
    <w:rsid w:val="006F7301"/>
    <w:rsid w:val="006F7597"/>
    <w:rsid w:val="006F7F39"/>
    <w:rsid w:val="00700997"/>
    <w:rsid w:val="00700D85"/>
    <w:rsid w:val="007010EB"/>
    <w:rsid w:val="0070139F"/>
    <w:rsid w:val="00701A21"/>
    <w:rsid w:val="00701AFE"/>
    <w:rsid w:val="00701C5B"/>
    <w:rsid w:val="0070223D"/>
    <w:rsid w:val="0070260F"/>
    <w:rsid w:val="00702B67"/>
    <w:rsid w:val="00702C36"/>
    <w:rsid w:val="00702E9A"/>
    <w:rsid w:val="00703448"/>
    <w:rsid w:val="007036D4"/>
    <w:rsid w:val="00704603"/>
    <w:rsid w:val="00704BC1"/>
    <w:rsid w:val="00704E93"/>
    <w:rsid w:val="00705B67"/>
    <w:rsid w:val="00705DE6"/>
    <w:rsid w:val="00706119"/>
    <w:rsid w:val="00706623"/>
    <w:rsid w:val="00706C7B"/>
    <w:rsid w:val="007072DE"/>
    <w:rsid w:val="00707ADB"/>
    <w:rsid w:val="00707EB4"/>
    <w:rsid w:val="00710566"/>
    <w:rsid w:val="00710933"/>
    <w:rsid w:val="00710E5A"/>
    <w:rsid w:val="00710F4D"/>
    <w:rsid w:val="00711521"/>
    <w:rsid w:val="00711A3A"/>
    <w:rsid w:val="00711C7A"/>
    <w:rsid w:val="00711DB8"/>
    <w:rsid w:val="00711F37"/>
    <w:rsid w:val="0071272D"/>
    <w:rsid w:val="007130FC"/>
    <w:rsid w:val="0071325D"/>
    <w:rsid w:val="007135FD"/>
    <w:rsid w:val="00713E89"/>
    <w:rsid w:val="00714590"/>
    <w:rsid w:val="007147C3"/>
    <w:rsid w:val="0071540A"/>
    <w:rsid w:val="00715EDF"/>
    <w:rsid w:val="00716AA3"/>
    <w:rsid w:val="00716FE1"/>
    <w:rsid w:val="00717676"/>
    <w:rsid w:val="007177CC"/>
    <w:rsid w:val="00717F73"/>
    <w:rsid w:val="00720143"/>
    <w:rsid w:val="00720751"/>
    <w:rsid w:val="00720BDD"/>
    <w:rsid w:val="00720CB5"/>
    <w:rsid w:val="00720E00"/>
    <w:rsid w:val="00720E47"/>
    <w:rsid w:val="007214AD"/>
    <w:rsid w:val="007219A3"/>
    <w:rsid w:val="007219A6"/>
    <w:rsid w:val="00721DE0"/>
    <w:rsid w:val="00721E46"/>
    <w:rsid w:val="00722130"/>
    <w:rsid w:val="0072247E"/>
    <w:rsid w:val="0072278A"/>
    <w:rsid w:val="00722CA2"/>
    <w:rsid w:val="00722CE1"/>
    <w:rsid w:val="00723A2C"/>
    <w:rsid w:val="007241BB"/>
    <w:rsid w:val="00724A2F"/>
    <w:rsid w:val="00725001"/>
    <w:rsid w:val="00725B83"/>
    <w:rsid w:val="00725E63"/>
    <w:rsid w:val="007267B8"/>
    <w:rsid w:val="00726B61"/>
    <w:rsid w:val="00726C1B"/>
    <w:rsid w:val="007270C9"/>
    <w:rsid w:val="007276E6"/>
    <w:rsid w:val="0073018B"/>
    <w:rsid w:val="0073055A"/>
    <w:rsid w:val="00730FC2"/>
    <w:rsid w:val="0073104F"/>
    <w:rsid w:val="007314DA"/>
    <w:rsid w:val="0073176A"/>
    <w:rsid w:val="00731D2F"/>
    <w:rsid w:val="0073220A"/>
    <w:rsid w:val="00732F5E"/>
    <w:rsid w:val="007332CA"/>
    <w:rsid w:val="007336B7"/>
    <w:rsid w:val="00733CC2"/>
    <w:rsid w:val="00733F5A"/>
    <w:rsid w:val="00734ACE"/>
    <w:rsid w:val="00734D59"/>
    <w:rsid w:val="007352D8"/>
    <w:rsid w:val="00735CBF"/>
    <w:rsid w:val="00736281"/>
    <w:rsid w:val="0073679E"/>
    <w:rsid w:val="007367B2"/>
    <w:rsid w:val="007368C6"/>
    <w:rsid w:val="007368FB"/>
    <w:rsid w:val="00736BD8"/>
    <w:rsid w:val="00736CC4"/>
    <w:rsid w:val="007379C2"/>
    <w:rsid w:val="007379C4"/>
    <w:rsid w:val="00741112"/>
    <w:rsid w:val="0074146D"/>
    <w:rsid w:val="00741887"/>
    <w:rsid w:val="00742098"/>
    <w:rsid w:val="0074296C"/>
    <w:rsid w:val="00742974"/>
    <w:rsid w:val="00742CA6"/>
    <w:rsid w:val="007431DC"/>
    <w:rsid w:val="007434B9"/>
    <w:rsid w:val="00743846"/>
    <w:rsid w:val="00743966"/>
    <w:rsid w:val="00743B89"/>
    <w:rsid w:val="00744423"/>
    <w:rsid w:val="0074457E"/>
    <w:rsid w:val="00744E8D"/>
    <w:rsid w:val="00745422"/>
    <w:rsid w:val="00745A50"/>
    <w:rsid w:val="00745E97"/>
    <w:rsid w:val="00746595"/>
    <w:rsid w:val="00746D08"/>
    <w:rsid w:val="00746E8E"/>
    <w:rsid w:val="0074711F"/>
    <w:rsid w:val="0074741C"/>
    <w:rsid w:val="00747531"/>
    <w:rsid w:val="00747705"/>
    <w:rsid w:val="0074799E"/>
    <w:rsid w:val="00747DBC"/>
    <w:rsid w:val="00747E05"/>
    <w:rsid w:val="00747F0C"/>
    <w:rsid w:val="00750C86"/>
    <w:rsid w:val="00750F87"/>
    <w:rsid w:val="007510CA"/>
    <w:rsid w:val="00751111"/>
    <w:rsid w:val="007511CE"/>
    <w:rsid w:val="00751E3B"/>
    <w:rsid w:val="007521A1"/>
    <w:rsid w:val="00752361"/>
    <w:rsid w:val="007525CC"/>
    <w:rsid w:val="00752702"/>
    <w:rsid w:val="0075283F"/>
    <w:rsid w:val="0075291C"/>
    <w:rsid w:val="0075301F"/>
    <w:rsid w:val="0075362B"/>
    <w:rsid w:val="00753D75"/>
    <w:rsid w:val="00754354"/>
    <w:rsid w:val="00754F9B"/>
    <w:rsid w:val="007551C6"/>
    <w:rsid w:val="00755CA9"/>
    <w:rsid w:val="00756225"/>
    <w:rsid w:val="00756549"/>
    <w:rsid w:val="00756560"/>
    <w:rsid w:val="00756B64"/>
    <w:rsid w:val="00756CC6"/>
    <w:rsid w:val="00756F61"/>
    <w:rsid w:val="00756FDD"/>
    <w:rsid w:val="0075700F"/>
    <w:rsid w:val="007571FA"/>
    <w:rsid w:val="0075794B"/>
    <w:rsid w:val="00757CED"/>
    <w:rsid w:val="00757D41"/>
    <w:rsid w:val="0076060F"/>
    <w:rsid w:val="00760761"/>
    <w:rsid w:val="007609D0"/>
    <w:rsid w:val="00760F0D"/>
    <w:rsid w:val="00761651"/>
    <w:rsid w:val="0076186C"/>
    <w:rsid w:val="00761CF1"/>
    <w:rsid w:val="00762511"/>
    <w:rsid w:val="00762842"/>
    <w:rsid w:val="00762A25"/>
    <w:rsid w:val="00762C7F"/>
    <w:rsid w:val="00762F9F"/>
    <w:rsid w:val="0076325C"/>
    <w:rsid w:val="00763D08"/>
    <w:rsid w:val="00763DCB"/>
    <w:rsid w:val="0076469B"/>
    <w:rsid w:val="00764ADF"/>
    <w:rsid w:val="00764F42"/>
    <w:rsid w:val="00765074"/>
    <w:rsid w:val="00765A63"/>
    <w:rsid w:val="00765CCC"/>
    <w:rsid w:val="00765E44"/>
    <w:rsid w:val="00766737"/>
    <w:rsid w:val="0076691D"/>
    <w:rsid w:val="00766DA3"/>
    <w:rsid w:val="00767507"/>
    <w:rsid w:val="00767BF9"/>
    <w:rsid w:val="00770A5D"/>
    <w:rsid w:val="00770C3B"/>
    <w:rsid w:val="00770DFE"/>
    <w:rsid w:val="00770F75"/>
    <w:rsid w:val="0077130F"/>
    <w:rsid w:val="00771B30"/>
    <w:rsid w:val="00771F9B"/>
    <w:rsid w:val="00772248"/>
    <w:rsid w:val="0077260A"/>
    <w:rsid w:val="00772D3F"/>
    <w:rsid w:val="00772D64"/>
    <w:rsid w:val="00772D6D"/>
    <w:rsid w:val="007742FA"/>
    <w:rsid w:val="0077490F"/>
    <w:rsid w:val="0077502F"/>
    <w:rsid w:val="0077504B"/>
    <w:rsid w:val="00775546"/>
    <w:rsid w:val="00775620"/>
    <w:rsid w:val="00775F70"/>
    <w:rsid w:val="00776048"/>
    <w:rsid w:val="0077770F"/>
    <w:rsid w:val="00777B93"/>
    <w:rsid w:val="00777C40"/>
    <w:rsid w:val="007800DA"/>
    <w:rsid w:val="007801DD"/>
    <w:rsid w:val="00780437"/>
    <w:rsid w:val="007808B1"/>
    <w:rsid w:val="00780DBF"/>
    <w:rsid w:val="00780E46"/>
    <w:rsid w:val="00781095"/>
    <w:rsid w:val="00781CCB"/>
    <w:rsid w:val="00781FA8"/>
    <w:rsid w:val="007822BA"/>
    <w:rsid w:val="0078284E"/>
    <w:rsid w:val="00782EC7"/>
    <w:rsid w:val="0078334B"/>
    <w:rsid w:val="00783818"/>
    <w:rsid w:val="00783A40"/>
    <w:rsid w:val="0078418B"/>
    <w:rsid w:val="007846AF"/>
    <w:rsid w:val="00784C1F"/>
    <w:rsid w:val="00784C39"/>
    <w:rsid w:val="00785A21"/>
    <w:rsid w:val="00785FBD"/>
    <w:rsid w:val="00786515"/>
    <w:rsid w:val="0078660B"/>
    <w:rsid w:val="0078684F"/>
    <w:rsid w:val="00786F5E"/>
    <w:rsid w:val="007874B0"/>
    <w:rsid w:val="007876AF"/>
    <w:rsid w:val="00787AC1"/>
    <w:rsid w:val="00787F9E"/>
    <w:rsid w:val="007910A5"/>
    <w:rsid w:val="00791CBB"/>
    <w:rsid w:val="00792046"/>
    <w:rsid w:val="00792302"/>
    <w:rsid w:val="007927D6"/>
    <w:rsid w:val="00792AEC"/>
    <w:rsid w:val="00792B27"/>
    <w:rsid w:val="00792FFC"/>
    <w:rsid w:val="007933F3"/>
    <w:rsid w:val="0079343F"/>
    <w:rsid w:val="00793E86"/>
    <w:rsid w:val="00794031"/>
    <w:rsid w:val="007941C7"/>
    <w:rsid w:val="0079515A"/>
    <w:rsid w:val="007953DE"/>
    <w:rsid w:val="007957A3"/>
    <w:rsid w:val="0079588F"/>
    <w:rsid w:val="00795AD0"/>
    <w:rsid w:val="00795D31"/>
    <w:rsid w:val="00795DC9"/>
    <w:rsid w:val="00795EA6"/>
    <w:rsid w:val="007963AE"/>
    <w:rsid w:val="00797013"/>
    <w:rsid w:val="0079718C"/>
    <w:rsid w:val="00797A00"/>
    <w:rsid w:val="007A0EAE"/>
    <w:rsid w:val="007A17C0"/>
    <w:rsid w:val="007A1AA8"/>
    <w:rsid w:val="007A25CB"/>
    <w:rsid w:val="007A28EA"/>
    <w:rsid w:val="007A2D0F"/>
    <w:rsid w:val="007A31A4"/>
    <w:rsid w:val="007A3529"/>
    <w:rsid w:val="007A3E11"/>
    <w:rsid w:val="007A4779"/>
    <w:rsid w:val="007A4BB4"/>
    <w:rsid w:val="007A5016"/>
    <w:rsid w:val="007A606B"/>
    <w:rsid w:val="007A61D7"/>
    <w:rsid w:val="007A66AA"/>
    <w:rsid w:val="007A6897"/>
    <w:rsid w:val="007A6B2B"/>
    <w:rsid w:val="007A6B6C"/>
    <w:rsid w:val="007A7262"/>
    <w:rsid w:val="007A7395"/>
    <w:rsid w:val="007A7AA0"/>
    <w:rsid w:val="007A7ACE"/>
    <w:rsid w:val="007A7FA7"/>
    <w:rsid w:val="007B0593"/>
    <w:rsid w:val="007B0B2F"/>
    <w:rsid w:val="007B0B46"/>
    <w:rsid w:val="007B0BF1"/>
    <w:rsid w:val="007B14F1"/>
    <w:rsid w:val="007B1F92"/>
    <w:rsid w:val="007B1FAC"/>
    <w:rsid w:val="007B1FAD"/>
    <w:rsid w:val="007B20F2"/>
    <w:rsid w:val="007B20FF"/>
    <w:rsid w:val="007B2321"/>
    <w:rsid w:val="007B2492"/>
    <w:rsid w:val="007B2B95"/>
    <w:rsid w:val="007B2CC5"/>
    <w:rsid w:val="007B31BE"/>
    <w:rsid w:val="007B516F"/>
    <w:rsid w:val="007B5B51"/>
    <w:rsid w:val="007B62BF"/>
    <w:rsid w:val="007B745D"/>
    <w:rsid w:val="007B7664"/>
    <w:rsid w:val="007B79EF"/>
    <w:rsid w:val="007B7CCC"/>
    <w:rsid w:val="007B7CE2"/>
    <w:rsid w:val="007B7F9C"/>
    <w:rsid w:val="007C00F9"/>
    <w:rsid w:val="007C0AA1"/>
    <w:rsid w:val="007C20C2"/>
    <w:rsid w:val="007C2288"/>
    <w:rsid w:val="007C2432"/>
    <w:rsid w:val="007C2A61"/>
    <w:rsid w:val="007C371C"/>
    <w:rsid w:val="007C3C43"/>
    <w:rsid w:val="007C3F58"/>
    <w:rsid w:val="007C440F"/>
    <w:rsid w:val="007C4577"/>
    <w:rsid w:val="007C4A58"/>
    <w:rsid w:val="007C541C"/>
    <w:rsid w:val="007C55E0"/>
    <w:rsid w:val="007C5635"/>
    <w:rsid w:val="007C5697"/>
    <w:rsid w:val="007C608B"/>
    <w:rsid w:val="007C6335"/>
    <w:rsid w:val="007C671A"/>
    <w:rsid w:val="007C6D8E"/>
    <w:rsid w:val="007C6E8A"/>
    <w:rsid w:val="007C6F8E"/>
    <w:rsid w:val="007C72CB"/>
    <w:rsid w:val="007C7787"/>
    <w:rsid w:val="007C785C"/>
    <w:rsid w:val="007C79A6"/>
    <w:rsid w:val="007C7F63"/>
    <w:rsid w:val="007C7FF9"/>
    <w:rsid w:val="007D0295"/>
    <w:rsid w:val="007D053C"/>
    <w:rsid w:val="007D0BB1"/>
    <w:rsid w:val="007D0EBF"/>
    <w:rsid w:val="007D0F0E"/>
    <w:rsid w:val="007D129C"/>
    <w:rsid w:val="007D1728"/>
    <w:rsid w:val="007D228F"/>
    <w:rsid w:val="007D34EB"/>
    <w:rsid w:val="007D380E"/>
    <w:rsid w:val="007D3AC7"/>
    <w:rsid w:val="007D4FF3"/>
    <w:rsid w:val="007D50AD"/>
    <w:rsid w:val="007D5254"/>
    <w:rsid w:val="007D54C4"/>
    <w:rsid w:val="007D5772"/>
    <w:rsid w:val="007D6579"/>
    <w:rsid w:val="007D682F"/>
    <w:rsid w:val="007D688E"/>
    <w:rsid w:val="007D68E9"/>
    <w:rsid w:val="007D6E20"/>
    <w:rsid w:val="007D7557"/>
    <w:rsid w:val="007D77FD"/>
    <w:rsid w:val="007D79ED"/>
    <w:rsid w:val="007E17F4"/>
    <w:rsid w:val="007E1F10"/>
    <w:rsid w:val="007E24C5"/>
    <w:rsid w:val="007E2859"/>
    <w:rsid w:val="007E2AFC"/>
    <w:rsid w:val="007E3E65"/>
    <w:rsid w:val="007E46E8"/>
    <w:rsid w:val="007E4A5B"/>
    <w:rsid w:val="007E4B91"/>
    <w:rsid w:val="007E4BDB"/>
    <w:rsid w:val="007E5796"/>
    <w:rsid w:val="007E5B71"/>
    <w:rsid w:val="007E621F"/>
    <w:rsid w:val="007E6444"/>
    <w:rsid w:val="007E676C"/>
    <w:rsid w:val="007E6FA4"/>
    <w:rsid w:val="007E7C24"/>
    <w:rsid w:val="007F0004"/>
    <w:rsid w:val="007F097E"/>
    <w:rsid w:val="007F107C"/>
    <w:rsid w:val="007F1363"/>
    <w:rsid w:val="007F1A76"/>
    <w:rsid w:val="007F275D"/>
    <w:rsid w:val="007F2A76"/>
    <w:rsid w:val="007F330E"/>
    <w:rsid w:val="007F34D4"/>
    <w:rsid w:val="007F355F"/>
    <w:rsid w:val="007F35EC"/>
    <w:rsid w:val="007F39FD"/>
    <w:rsid w:val="007F496A"/>
    <w:rsid w:val="007F49D8"/>
    <w:rsid w:val="007F5CE9"/>
    <w:rsid w:val="007F67E1"/>
    <w:rsid w:val="007F6A45"/>
    <w:rsid w:val="007F6A50"/>
    <w:rsid w:val="007F6F21"/>
    <w:rsid w:val="007F7655"/>
    <w:rsid w:val="007F7ED5"/>
    <w:rsid w:val="0080033E"/>
    <w:rsid w:val="0080072A"/>
    <w:rsid w:val="008009D0"/>
    <w:rsid w:val="00800AA6"/>
    <w:rsid w:val="008012A6"/>
    <w:rsid w:val="008014A8"/>
    <w:rsid w:val="00802352"/>
    <w:rsid w:val="008023E1"/>
    <w:rsid w:val="00802513"/>
    <w:rsid w:val="008029E0"/>
    <w:rsid w:val="00802AEF"/>
    <w:rsid w:val="0080335D"/>
    <w:rsid w:val="0080381C"/>
    <w:rsid w:val="00803C64"/>
    <w:rsid w:val="008044BE"/>
    <w:rsid w:val="008048D4"/>
    <w:rsid w:val="008049CB"/>
    <w:rsid w:val="008049D5"/>
    <w:rsid w:val="00804B01"/>
    <w:rsid w:val="0080507A"/>
    <w:rsid w:val="00805E7E"/>
    <w:rsid w:val="0080624F"/>
    <w:rsid w:val="00806805"/>
    <w:rsid w:val="00806953"/>
    <w:rsid w:val="00806B2A"/>
    <w:rsid w:val="00806B77"/>
    <w:rsid w:val="0080742F"/>
    <w:rsid w:val="0080769F"/>
    <w:rsid w:val="00810012"/>
    <w:rsid w:val="00810E2C"/>
    <w:rsid w:val="008115A1"/>
    <w:rsid w:val="00811B37"/>
    <w:rsid w:val="00811C59"/>
    <w:rsid w:val="008137A7"/>
    <w:rsid w:val="0081411A"/>
    <w:rsid w:val="00814305"/>
    <w:rsid w:val="00814D15"/>
    <w:rsid w:val="0081510C"/>
    <w:rsid w:val="008159D3"/>
    <w:rsid w:val="00815F70"/>
    <w:rsid w:val="00816013"/>
    <w:rsid w:val="008167E6"/>
    <w:rsid w:val="00816A4E"/>
    <w:rsid w:val="008173A8"/>
    <w:rsid w:val="0081747E"/>
    <w:rsid w:val="0081769E"/>
    <w:rsid w:val="00817816"/>
    <w:rsid w:val="00817870"/>
    <w:rsid w:val="00817A97"/>
    <w:rsid w:val="00817CB6"/>
    <w:rsid w:val="00817FA3"/>
    <w:rsid w:val="00820138"/>
    <w:rsid w:val="00820522"/>
    <w:rsid w:val="008208E5"/>
    <w:rsid w:val="008208F6"/>
    <w:rsid w:val="0082095E"/>
    <w:rsid w:val="008209E6"/>
    <w:rsid w:val="00821402"/>
    <w:rsid w:val="00822A24"/>
    <w:rsid w:val="008233CE"/>
    <w:rsid w:val="00823635"/>
    <w:rsid w:val="008237A2"/>
    <w:rsid w:val="00824497"/>
    <w:rsid w:val="00825A65"/>
    <w:rsid w:val="00825CAA"/>
    <w:rsid w:val="0082644D"/>
    <w:rsid w:val="00827148"/>
    <w:rsid w:val="0082728A"/>
    <w:rsid w:val="0082745B"/>
    <w:rsid w:val="00827A5F"/>
    <w:rsid w:val="00830495"/>
    <w:rsid w:val="00830FAC"/>
    <w:rsid w:val="008314FE"/>
    <w:rsid w:val="00831695"/>
    <w:rsid w:val="0083201D"/>
    <w:rsid w:val="00832403"/>
    <w:rsid w:val="00832546"/>
    <w:rsid w:val="00832F24"/>
    <w:rsid w:val="00833083"/>
    <w:rsid w:val="00833CFD"/>
    <w:rsid w:val="00833DB2"/>
    <w:rsid w:val="008343B2"/>
    <w:rsid w:val="00836130"/>
    <w:rsid w:val="00836316"/>
    <w:rsid w:val="0083700E"/>
    <w:rsid w:val="0083711E"/>
    <w:rsid w:val="008371B9"/>
    <w:rsid w:val="00837442"/>
    <w:rsid w:val="008374EB"/>
    <w:rsid w:val="00837E15"/>
    <w:rsid w:val="008400F6"/>
    <w:rsid w:val="00840315"/>
    <w:rsid w:val="00840ED6"/>
    <w:rsid w:val="0084143F"/>
    <w:rsid w:val="00841DD8"/>
    <w:rsid w:val="00842317"/>
    <w:rsid w:val="00842FBE"/>
    <w:rsid w:val="00844B7E"/>
    <w:rsid w:val="00845035"/>
    <w:rsid w:val="00845221"/>
    <w:rsid w:val="008455D8"/>
    <w:rsid w:val="0084597C"/>
    <w:rsid w:val="008462BD"/>
    <w:rsid w:val="0084663B"/>
    <w:rsid w:val="00846B66"/>
    <w:rsid w:val="00846C07"/>
    <w:rsid w:val="00846C7F"/>
    <w:rsid w:val="008470ED"/>
    <w:rsid w:val="00847D1D"/>
    <w:rsid w:val="008500CB"/>
    <w:rsid w:val="00850154"/>
    <w:rsid w:val="00850155"/>
    <w:rsid w:val="00850A55"/>
    <w:rsid w:val="00851A9A"/>
    <w:rsid w:val="00852604"/>
    <w:rsid w:val="00852DC6"/>
    <w:rsid w:val="00853210"/>
    <w:rsid w:val="00854212"/>
    <w:rsid w:val="00854CFA"/>
    <w:rsid w:val="00854DE5"/>
    <w:rsid w:val="00854EBF"/>
    <w:rsid w:val="00855433"/>
    <w:rsid w:val="008558A5"/>
    <w:rsid w:val="008572B6"/>
    <w:rsid w:val="00860414"/>
    <w:rsid w:val="00860490"/>
    <w:rsid w:val="008606E5"/>
    <w:rsid w:val="00861575"/>
    <w:rsid w:val="008623ED"/>
    <w:rsid w:val="00862F26"/>
    <w:rsid w:val="008632DB"/>
    <w:rsid w:val="008634FC"/>
    <w:rsid w:val="008635AF"/>
    <w:rsid w:val="008638F1"/>
    <w:rsid w:val="008643DE"/>
    <w:rsid w:val="00864FF9"/>
    <w:rsid w:val="00865653"/>
    <w:rsid w:val="00865735"/>
    <w:rsid w:val="0086595F"/>
    <w:rsid w:val="00865F1B"/>
    <w:rsid w:val="00865FEB"/>
    <w:rsid w:val="008667DC"/>
    <w:rsid w:val="00866A88"/>
    <w:rsid w:val="0086702A"/>
    <w:rsid w:val="0086726B"/>
    <w:rsid w:val="008673E0"/>
    <w:rsid w:val="00867D97"/>
    <w:rsid w:val="008703FE"/>
    <w:rsid w:val="008706EE"/>
    <w:rsid w:val="008708A7"/>
    <w:rsid w:val="00871000"/>
    <w:rsid w:val="0087221D"/>
    <w:rsid w:val="008724DA"/>
    <w:rsid w:val="00872AD4"/>
    <w:rsid w:val="00872E7E"/>
    <w:rsid w:val="008742DD"/>
    <w:rsid w:val="008750C2"/>
    <w:rsid w:val="00876168"/>
    <w:rsid w:val="00876451"/>
    <w:rsid w:val="00876B2A"/>
    <w:rsid w:val="00877020"/>
    <w:rsid w:val="0087761B"/>
    <w:rsid w:val="00877AF4"/>
    <w:rsid w:val="00877D2D"/>
    <w:rsid w:val="00880B87"/>
    <w:rsid w:val="008816BA"/>
    <w:rsid w:val="00881D51"/>
    <w:rsid w:val="00882301"/>
    <w:rsid w:val="008827C0"/>
    <w:rsid w:val="00883328"/>
    <w:rsid w:val="00883AD3"/>
    <w:rsid w:val="00884A55"/>
    <w:rsid w:val="00884E7C"/>
    <w:rsid w:val="0088559D"/>
    <w:rsid w:val="0088562B"/>
    <w:rsid w:val="008856DB"/>
    <w:rsid w:val="008857EF"/>
    <w:rsid w:val="00885BA3"/>
    <w:rsid w:val="00885D8F"/>
    <w:rsid w:val="008861E0"/>
    <w:rsid w:val="00886762"/>
    <w:rsid w:val="00886CCF"/>
    <w:rsid w:val="00886E72"/>
    <w:rsid w:val="00886F2D"/>
    <w:rsid w:val="0088758A"/>
    <w:rsid w:val="00887B34"/>
    <w:rsid w:val="00887D59"/>
    <w:rsid w:val="008906EC"/>
    <w:rsid w:val="0089088B"/>
    <w:rsid w:val="00890F9F"/>
    <w:rsid w:val="008910B1"/>
    <w:rsid w:val="00891FBC"/>
    <w:rsid w:val="008922EE"/>
    <w:rsid w:val="00892561"/>
    <w:rsid w:val="00892A88"/>
    <w:rsid w:val="00893086"/>
    <w:rsid w:val="008937F2"/>
    <w:rsid w:val="008941B1"/>
    <w:rsid w:val="008941FD"/>
    <w:rsid w:val="0089472A"/>
    <w:rsid w:val="008947EA"/>
    <w:rsid w:val="00894DE7"/>
    <w:rsid w:val="00895C54"/>
    <w:rsid w:val="00895C99"/>
    <w:rsid w:val="0089606C"/>
    <w:rsid w:val="00896323"/>
    <w:rsid w:val="008963EB"/>
    <w:rsid w:val="00896590"/>
    <w:rsid w:val="0089665B"/>
    <w:rsid w:val="00896B83"/>
    <w:rsid w:val="00896C23"/>
    <w:rsid w:val="00896DC6"/>
    <w:rsid w:val="008975DD"/>
    <w:rsid w:val="008976DB"/>
    <w:rsid w:val="00897F88"/>
    <w:rsid w:val="00897FEF"/>
    <w:rsid w:val="008A019A"/>
    <w:rsid w:val="008A0267"/>
    <w:rsid w:val="008A05F3"/>
    <w:rsid w:val="008A0C86"/>
    <w:rsid w:val="008A125F"/>
    <w:rsid w:val="008A12C9"/>
    <w:rsid w:val="008A209D"/>
    <w:rsid w:val="008A29D2"/>
    <w:rsid w:val="008A2AA7"/>
    <w:rsid w:val="008A33A0"/>
    <w:rsid w:val="008A3710"/>
    <w:rsid w:val="008A3C73"/>
    <w:rsid w:val="008A4368"/>
    <w:rsid w:val="008A4668"/>
    <w:rsid w:val="008A4759"/>
    <w:rsid w:val="008A5BE5"/>
    <w:rsid w:val="008A6085"/>
    <w:rsid w:val="008A60BE"/>
    <w:rsid w:val="008A6542"/>
    <w:rsid w:val="008A66C1"/>
    <w:rsid w:val="008A756A"/>
    <w:rsid w:val="008B07EB"/>
    <w:rsid w:val="008B0EC5"/>
    <w:rsid w:val="008B1176"/>
    <w:rsid w:val="008B12E9"/>
    <w:rsid w:val="008B17C8"/>
    <w:rsid w:val="008B22B5"/>
    <w:rsid w:val="008B2400"/>
    <w:rsid w:val="008B304B"/>
    <w:rsid w:val="008B3317"/>
    <w:rsid w:val="008B3678"/>
    <w:rsid w:val="008B3A3C"/>
    <w:rsid w:val="008B453B"/>
    <w:rsid w:val="008B51D8"/>
    <w:rsid w:val="008B5674"/>
    <w:rsid w:val="008B621A"/>
    <w:rsid w:val="008B6568"/>
    <w:rsid w:val="008B6D1A"/>
    <w:rsid w:val="008B7023"/>
    <w:rsid w:val="008B713C"/>
    <w:rsid w:val="008B7890"/>
    <w:rsid w:val="008B7C67"/>
    <w:rsid w:val="008C0784"/>
    <w:rsid w:val="008C0BF8"/>
    <w:rsid w:val="008C0DAE"/>
    <w:rsid w:val="008C1B85"/>
    <w:rsid w:val="008C22D6"/>
    <w:rsid w:val="008C22E8"/>
    <w:rsid w:val="008C26CE"/>
    <w:rsid w:val="008C2827"/>
    <w:rsid w:val="008C31B1"/>
    <w:rsid w:val="008C37BB"/>
    <w:rsid w:val="008C3AC2"/>
    <w:rsid w:val="008C4217"/>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19F"/>
    <w:rsid w:val="008D266F"/>
    <w:rsid w:val="008D26D7"/>
    <w:rsid w:val="008D275B"/>
    <w:rsid w:val="008D2BE3"/>
    <w:rsid w:val="008D2E4D"/>
    <w:rsid w:val="008D497C"/>
    <w:rsid w:val="008D555A"/>
    <w:rsid w:val="008D5D70"/>
    <w:rsid w:val="008D6298"/>
    <w:rsid w:val="008D6DFA"/>
    <w:rsid w:val="008D70EE"/>
    <w:rsid w:val="008D71A2"/>
    <w:rsid w:val="008D7350"/>
    <w:rsid w:val="008E10AA"/>
    <w:rsid w:val="008E1388"/>
    <w:rsid w:val="008E1648"/>
    <w:rsid w:val="008E1704"/>
    <w:rsid w:val="008E1C76"/>
    <w:rsid w:val="008E1D39"/>
    <w:rsid w:val="008E1DAC"/>
    <w:rsid w:val="008E233E"/>
    <w:rsid w:val="008E233F"/>
    <w:rsid w:val="008E236F"/>
    <w:rsid w:val="008E23BD"/>
    <w:rsid w:val="008E26F5"/>
    <w:rsid w:val="008E28E3"/>
    <w:rsid w:val="008E3055"/>
    <w:rsid w:val="008E3210"/>
    <w:rsid w:val="008E392A"/>
    <w:rsid w:val="008E3F13"/>
    <w:rsid w:val="008E4176"/>
    <w:rsid w:val="008E4489"/>
    <w:rsid w:val="008E454D"/>
    <w:rsid w:val="008E4FE5"/>
    <w:rsid w:val="008E5728"/>
    <w:rsid w:val="008E6291"/>
    <w:rsid w:val="008E75E0"/>
    <w:rsid w:val="008F0BBF"/>
    <w:rsid w:val="008F0C29"/>
    <w:rsid w:val="008F0EC9"/>
    <w:rsid w:val="008F12C2"/>
    <w:rsid w:val="008F14F2"/>
    <w:rsid w:val="008F1870"/>
    <w:rsid w:val="008F1BB4"/>
    <w:rsid w:val="008F2409"/>
    <w:rsid w:val="008F2426"/>
    <w:rsid w:val="008F2754"/>
    <w:rsid w:val="008F30A8"/>
    <w:rsid w:val="008F38BC"/>
    <w:rsid w:val="008F3988"/>
    <w:rsid w:val="008F3E0D"/>
    <w:rsid w:val="008F3F8D"/>
    <w:rsid w:val="008F4222"/>
    <w:rsid w:val="008F4406"/>
    <w:rsid w:val="008F4BC0"/>
    <w:rsid w:val="008F4EB9"/>
    <w:rsid w:val="008F4FEC"/>
    <w:rsid w:val="008F5A86"/>
    <w:rsid w:val="008F5B8C"/>
    <w:rsid w:val="008F6BA0"/>
    <w:rsid w:val="008F6CED"/>
    <w:rsid w:val="008F7027"/>
    <w:rsid w:val="008F762E"/>
    <w:rsid w:val="008F770B"/>
    <w:rsid w:val="008F7C1D"/>
    <w:rsid w:val="009007F0"/>
    <w:rsid w:val="00900CD8"/>
    <w:rsid w:val="0090102C"/>
    <w:rsid w:val="00901433"/>
    <w:rsid w:val="0090224A"/>
    <w:rsid w:val="009023F8"/>
    <w:rsid w:val="00902655"/>
    <w:rsid w:val="00903036"/>
    <w:rsid w:val="009030CD"/>
    <w:rsid w:val="00903798"/>
    <w:rsid w:val="00903CF7"/>
    <w:rsid w:val="00903DFE"/>
    <w:rsid w:val="009040F1"/>
    <w:rsid w:val="00904C10"/>
    <w:rsid w:val="00904EE1"/>
    <w:rsid w:val="00905012"/>
    <w:rsid w:val="009052E3"/>
    <w:rsid w:val="009067DE"/>
    <w:rsid w:val="009068F7"/>
    <w:rsid w:val="009075C4"/>
    <w:rsid w:val="009079DE"/>
    <w:rsid w:val="00907BA0"/>
    <w:rsid w:val="009104A4"/>
    <w:rsid w:val="00910B09"/>
    <w:rsid w:val="00912AC1"/>
    <w:rsid w:val="0091300F"/>
    <w:rsid w:val="009130C6"/>
    <w:rsid w:val="0091355F"/>
    <w:rsid w:val="009142DA"/>
    <w:rsid w:val="00914F85"/>
    <w:rsid w:val="009150AC"/>
    <w:rsid w:val="009158CE"/>
    <w:rsid w:val="00915B45"/>
    <w:rsid w:val="009160D0"/>
    <w:rsid w:val="00916130"/>
    <w:rsid w:val="00916911"/>
    <w:rsid w:val="009170D0"/>
    <w:rsid w:val="00917371"/>
    <w:rsid w:val="009174F5"/>
    <w:rsid w:val="00920D3B"/>
    <w:rsid w:val="00921137"/>
    <w:rsid w:val="0092128E"/>
    <w:rsid w:val="0092133D"/>
    <w:rsid w:val="00921696"/>
    <w:rsid w:val="00921A86"/>
    <w:rsid w:val="00921DEE"/>
    <w:rsid w:val="00921F51"/>
    <w:rsid w:val="009226B3"/>
    <w:rsid w:val="00923B82"/>
    <w:rsid w:val="00923CFC"/>
    <w:rsid w:val="0092425A"/>
    <w:rsid w:val="009244E6"/>
    <w:rsid w:val="009249EA"/>
    <w:rsid w:val="00925422"/>
    <w:rsid w:val="00925711"/>
    <w:rsid w:val="00925918"/>
    <w:rsid w:val="00925C18"/>
    <w:rsid w:val="0092603B"/>
    <w:rsid w:val="009260F8"/>
    <w:rsid w:val="0092659B"/>
    <w:rsid w:val="00927BAC"/>
    <w:rsid w:val="0093032D"/>
    <w:rsid w:val="00930CB7"/>
    <w:rsid w:val="009312C6"/>
    <w:rsid w:val="009313A1"/>
    <w:rsid w:val="00931AA4"/>
    <w:rsid w:val="00931CA4"/>
    <w:rsid w:val="00931DCA"/>
    <w:rsid w:val="00931F56"/>
    <w:rsid w:val="00932649"/>
    <w:rsid w:val="0093285E"/>
    <w:rsid w:val="0093286F"/>
    <w:rsid w:val="00932CB0"/>
    <w:rsid w:val="009330F9"/>
    <w:rsid w:val="009336FA"/>
    <w:rsid w:val="00933A6F"/>
    <w:rsid w:val="00933BE3"/>
    <w:rsid w:val="009348D7"/>
    <w:rsid w:val="00934E07"/>
    <w:rsid w:val="00935912"/>
    <w:rsid w:val="0093660E"/>
    <w:rsid w:val="009366BF"/>
    <w:rsid w:val="00936838"/>
    <w:rsid w:val="00936A8A"/>
    <w:rsid w:val="00937482"/>
    <w:rsid w:val="009402DA"/>
    <w:rsid w:val="009411B9"/>
    <w:rsid w:val="0094122F"/>
    <w:rsid w:val="0094129C"/>
    <w:rsid w:val="00941B71"/>
    <w:rsid w:val="00941C8B"/>
    <w:rsid w:val="0094264B"/>
    <w:rsid w:val="009427E5"/>
    <w:rsid w:val="009432DD"/>
    <w:rsid w:val="009434F1"/>
    <w:rsid w:val="009439A2"/>
    <w:rsid w:val="009445BB"/>
    <w:rsid w:val="00944900"/>
    <w:rsid w:val="009449ED"/>
    <w:rsid w:val="00944F6F"/>
    <w:rsid w:val="00945418"/>
    <w:rsid w:val="009456D4"/>
    <w:rsid w:val="009461DC"/>
    <w:rsid w:val="0094686C"/>
    <w:rsid w:val="009473FE"/>
    <w:rsid w:val="00947B90"/>
    <w:rsid w:val="00947EBC"/>
    <w:rsid w:val="00950063"/>
    <w:rsid w:val="00950379"/>
    <w:rsid w:val="00950551"/>
    <w:rsid w:val="00950A77"/>
    <w:rsid w:val="00951B39"/>
    <w:rsid w:val="0095374C"/>
    <w:rsid w:val="0095387D"/>
    <w:rsid w:val="00953B1D"/>
    <w:rsid w:val="009544BE"/>
    <w:rsid w:val="0095469E"/>
    <w:rsid w:val="009548CA"/>
    <w:rsid w:val="0095515C"/>
    <w:rsid w:val="009551A9"/>
    <w:rsid w:val="00955C70"/>
    <w:rsid w:val="009566C7"/>
    <w:rsid w:val="00956D6E"/>
    <w:rsid w:val="00957999"/>
    <w:rsid w:val="00957AAC"/>
    <w:rsid w:val="00957E9B"/>
    <w:rsid w:val="00957FF7"/>
    <w:rsid w:val="00960165"/>
    <w:rsid w:val="009603AE"/>
    <w:rsid w:val="00961E59"/>
    <w:rsid w:val="00961FCA"/>
    <w:rsid w:val="0096274F"/>
    <w:rsid w:val="009627E1"/>
    <w:rsid w:val="0096283B"/>
    <w:rsid w:val="00962F22"/>
    <w:rsid w:val="0096308D"/>
    <w:rsid w:val="009644DE"/>
    <w:rsid w:val="009645C6"/>
    <w:rsid w:val="009645D8"/>
    <w:rsid w:val="00964802"/>
    <w:rsid w:val="00964BFE"/>
    <w:rsid w:val="0096584B"/>
    <w:rsid w:val="00965C63"/>
    <w:rsid w:val="00965CED"/>
    <w:rsid w:val="0096610A"/>
    <w:rsid w:val="0096644E"/>
    <w:rsid w:val="00966645"/>
    <w:rsid w:val="009666D7"/>
    <w:rsid w:val="009668EB"/>
    <w:rsid w:val="00966F47"/>
    <w:rsid w:val="0096754D"/>
    <w:rsid w:val="00970195"/>
    <w:rsid w:val="009702B3"/>
    <w:rsid w:val="009704BB"/>
    <w:rsid w:val="00970997"/>
    <w:rsid w:val="00970A2A"/>
    <w:rsid w:val="00970ADE"/>
    <w:rsid w:val="00970E76"/>
    <w:rsid w:val="00971024"/>
    <w:rsid w:val="00971A53"/>
    <w:rsid w:val="00971B5C"/>
    <w:rsid w:val="00971E4A"/>
    <w:rsid w:val="0097223A"/>
    <w:rsid w:val="00972395"/>
    <w:rsid w:val="0097268F"/>
    <w:rsid w:val="0097287C"/>
    <w:rsid w:val="00973164"/>
    <w:rsid w:val="0097378B"/>
    <w:rsid w:val="009745AE"/>
    <w:rsid w:val="009746ED"/>
    <w:rsid w:val="00974B1E"/>
    <w:rsid w:val="00974C73"/>
    <w:rsid w:val="00975926"/>
    <w:rsid w:val="00976376"/>
    <w:rsid w:val="009764A0"/>
    <w:rsid w:val="0097664A"/>
    <w:rsid w:val="00976669"/>
    <w:rsid w:val="00977579"/>
    <w:rsid w:val="00977875"/>
    <w:rsid w:val="00977C30"/>
    <w:rsid w:val="00977D01"/>
    <w:rsid w:val="00977DEB"/>
    <w:rsid w:val="0098002B"/>
    <w:rsid w:val="00980CC9"/>
    <w:rsid w:val="00980E62"/>
    <w:rsid w:val="00981897"/>
    <w:rsid w:val="009818B5"/>
    <w:rsid w:val="00982BDE"/>
    <w:rsid w:val="00982EBB"/>
    <w:rsid w:val="00982F44"/>
    <w:rsid w:val="00983903"/>
    <w:rsid w:val="00983956"/>
    <w:rsid w:val="00983E2E"/>
    <w:rsid w:val="009843C9"/>
    <w:rsid w:val="0098505F"/>
    <w:rsid w:val="00985485"/>
    <w:rsid w:val="00985511"/>
    <w:rsid w:val="00985554"/>
    <w:rsid w:val="009857EB"/>
    <w:rsid w:val="00985F9B"/>
    <w:rsid w:val="00986192"/>
    <w:rsid w:val="00986319"/>
    <w:rsid w:val="009867A3"/>
    <w:rsid w:val="0098698A"/>
    <w:rsid w:val="00986AAA"/>
    <w:rsid w:val="0098752F"/>
    <w:rsid w:val="00987933"/>
    <w:rsid w:val="00987987"/>
    <w:rsid w:val="00987995"/>
    <w:rsid w:val="009879D2"/>
    <w:rsid w:val="00987F1A"/>
    <w:rsid w:val="00987FDE"/>
    <w:rsid w:val="00990577"/>
    <w:rsid w:val="009905BC"/>
    <w:rsid w:val="00990B19"/>
    <w:rsid w:val="00990B38"/>
    <w:rsid w:val="00990B6B"/>
    <w:rsid w:val="00990FE4"/>
    <w:rsid w:val="00991777"/>
    <w:rsid w:val="009925C9"/>
    <w:rsid w:val="009928DB"/>
    <w:rsid w:val="00992A29"/>
    <w:rsid w:val="0099375D"/>
    <w:rsid w:val="009941F6"/>
    <w:rsid w:val="009942E0"/>
    <w:rsid w:val="00994832"/>
    <w:rsid w:val="0099496D"/>
    <w:rsid w:val="00994AB3"/>
    <w:rsid w:val="009951FC"/>
    <w:rsid w:val="009958CF"/>
    <w:rsid w:val="00995C7F"/>
    <w:rsid w:val="009961EC"/>
    <w:rsid w:val="0099625A"/>
    <w:rsid w:val="00996D1D"/>
    <w:rsid w:val="00996D6A"/>
    <w:rsid w:val="00996E07"/>
    <w:rsid w:val="009972B9"/>
    <w:rsid w:val="00997475"/>
    <w:rsid w:val="00997DB7"/>
    <w:rsid w:val="00997F99"/>
    <w:rsid w:val="009A01B9"/>
    <w:rsid w:val="009A0233"/>
    <w:rsid w:val="009A063D"/>
    <w:rsid w:val="009A0920"/>
    <w:rsid w:val="009A0BA4"/>
    <w:rsid w:val="009A1054"/>
    <w:rsid w:val="009A17EA"/>
    <w:rsid w:val="009A1821"/>
    <w:rsid w:val="009A25F5"/>
    <w:rsid w:val="009A2ADB"/>
    <w:rsid w:val="009A3D7C"/>
    <w:rsid w:val="009A3F33"/>
    <w:rsid w:val="009A3FE1"/>
    <w:rsid w:val="009A4923"/>
    <w:rsid w:val="009A4DDF"/>
    <w:rsid w:val="009A4EC6"/>
    <w:rsid w:val="009A54AB"/>
    <w:rsid w:val="009A5917"/>
    <w:rsid w:val="009A60AD"/>
    <w:rsid w:val="009A65CE"/>
    <w:rsid w:val="009A6958"/>
    <w:rsid w:val="009A6EDA"/>
    <w:rsid w:val="009A6F73"/>
    <w:rsid w:val="009A72B7"/>
    <w:rsid w:val="009A75DD"/>
    <w:rsid w:val="009A76F8"/>
    <w:rsid w:val="009A7FA3"/>
    <w:rsid w:val="009B0433"/>
    <w:rsid w:val="009B0665"/>
    <w:rsid w:val="009B0A5A"/>
    <w:rsid w:val="009B17E1"/>
    <w:rsid w:val="009B1CAB"/>
    <w:rsid w:val="009B1CCC"/>
    <w:rsid w:val="009B1E92"/>
    <w:rsid w:val="009B286D"/>
    <w:rsid w:val="009B2C2A"/>
    <w:rsid w:val="009B352A"/>
    <w:rsid w:val="009B35F1"/>
    <w:rsid w:val="009B3691"/>
    <w:rsid w:val="009B3917"/>
    <w:rsid w:val="009B3A05"/>
    <w:rsid w:val="009B46DE"/>
    <w:rsid w:val="009B49A9"/>
    <w:rsid w:val="009B5047"/>
    <w:rsid w:val="009B50C1"/>
    <w:rsid w:val="009B578F"/>
    <w:rsid w:val="009B6287"/>
    <w:rsid w:val="009B6333"/>
    <w:rsid w:val="009B793A"/>
    <w:rsid w:val="009B7B18"/>
    <w:rsid w:val="009C1004"/>
    <w:rsid w:val="009C23D5"/>
    <w:rsid w:val="009C279E"/>
    <w:rsid w:val="009C3F0D"/>
    <w:rsid w:val="009C4015"/>
    <w:rsid w:val="009C4048"/>
    <w:rsid w:val="009C43FF"/>
    <w:rsid w:val="009C4AD0"/>
    <w:rsid w:val="009C5017"/>
    <w:rsid w:val="009C51B3"/>
    <w:rsid w:val="009C566D"/>
    <w:rsid w:val="009C59E6"/>
    <w:rsid w:val="009C5D62"/>
    <w:rsid w:val="009C652D"/>
    <w:rsid w:val="009C67AC"/>
    <w:rsid w:val="009C6C69"/>
    <w:rsid w:val="009C7B74"/>
    <w:rsid w:val="009C7DB9"/>
    <w:rsid w:val="009C7E15"/>
    <w:rsid w:val="009D0308"/>
    <w:rsid w:val="009D03C3"/>
    <w:rsid w:val="009D0414"/>
    <w:rsid w:val="009D079B"/>
    <w:rsid w:val="009D0A37"/>
    <w:rsid w:val="009D0C9C"/>
    <w:rsid w:val="009D0D14"/>
    <w:rsid w:val="009D10B0"/>
    <w:rsid w:val="009D2493"/>
    <w:rsid w:val="009D338F"/>
    <w:rsid w:val="009D33E7"/>
    <w:rsid w:val="009D44D1"/>
    <w:rsid w:val="009D4DD5"/>
    <w:rsid w:val="009D506C"/>
    <w:rsid w:val="009D6FA9"/>
    <w:rsid w:val="009E0024"/>
    <w:rsid w:val="009E037D"/>
    <w:rsid w:val="009E050C"/>
    <w:rsid w:val="009E1C60"/>
    <w:rsid w:val="009E2590"/>
    <w:rsid w:val="009E2D94"/>
    <w:rsid w:val="009E31DC"/>
    <w:rsid w:val="009E364A"/>
    <w:rsid w:val="009E3745"/>
    <w:rsid w:val="009E4360"/>
    <w:rsid w:val="009E493F"/>
    <w:rsid w:val="009E5184"/>
    <w:rsid w:val="009E547B"/>
    <w:rsid w:val="009E5F69"/>
    <w:rsid w:val="009E6070"/>
    <w:rsid w:val="009E6A4B"/>
    <w:rsid w:val="009E6D16"/>
    <w:rsid w:val="009E71E1"/>
    <w:rsid w:val="009F02B3"/>
    <w:rsid w:val="009F03DF"/>
    <w:rsid w:val="009F0967"/>
    <w:rsid w:val="009F0A2E"/>
    <w:rsid w:val="009F0BD2"/>
    <w:rsid w:val="009F1176"/>
    <w:rsid w:val="009F2EB3"/>
    <w:rsid w:val="009F2FDF"/>
    <w:rsid w:val="009F3440"/>
    <w:rsid w:val="009F3474"/>
    <w:rsid w:val="009F4BBA"/>
    <w:rsid w:val="009F4D49"/>
    <w:rsid w:val="009F4D6C"/>
    <w:rsid w:val="009F4D71"/>
    <w:rsid w:val="009F6027"/>
    <w:rsid w:val="009F6B6B"/>
    <w:rsid w:val="009F6EBE"/>
    <w:rsid w:val="00A0011C"/>
    <w:rsid w:val="00A0083D"/>
    <w:rsid w:val="00A00988"/>
    <w:rsid w:val="00A00E35"/>
    <w:rsid w:val="00A01528"/>
    <w:rsid w:val="00A01BBC"/>
    <w:rsid w:val="00A01C31"/>
    <w:rsid w:val="00A01F61"/>
    <w:rsid w:val="00A021F7"/>
    <w:rsid w:val="00A0243C"/>
    <w:rsid w:val="00A0248E"/>
    <w:rsid w:val="00A0269F"/>
    <w:rsid w:val="00A02837"/>
    <w:rsid w:val="00A049DB"/>
    <w:rsid w:val="00A04B65"/>
    <w:rsid w:val="00A04FAB"/>
    <w:rsid w:val="00A0503F"/>
    <w:rsid w:val="00A05089"/>
    <w:rsid w:val="00A05141"/>
    <w:rsid w:val="00A0542F"/>
    <w:rsid w:val="00A055B2"/>
    <w:rsid w:val="00A05E90"/>
    <w:rsid w:val="00A0631C"/>
    <w:rsid w:val="00A0635C"/>
    <w:rsid w:val="00A0637F"/>
    <w:rsid w:val="00A06509"/>
    <w:rsid w:val="00A06848"/>
    <w:rsid w:val="00A068CE"/>
    <w:rsid w:val="00A069B4"/>
    <w:rsid w:val="00A06BB8"/>
    <w:rsid w:val="00A07221"/>
    <w:rsid w:val="00A07A4E"/>
    <w:rsid w:val="00A07D41"/>
    <w:rsid w:val="00A07FBD"/>
    <w:rsid w:val="00A1040F"/>
    <w:rsid w:val="00A104AC"/>
    <w:rsid w:val="00A10AE0"/>
    <w:rsid w:val="00A114E3"/>
    <w:rsid w:val="00A114F1"/>
    <w:rsid w:val="00A11B60"/>
    <w:rsid w:val="00A11D0D"/>
    <w:rsid w:val="00A124EC"/>
    <w:rsid w:val="00A12694"/>
    <w:rsid w:val="00A128B0"/>
    <w:rsid w:val="00A12B60"/>
    <w:rsid w:val="00A12ED5"/>
    <w:rsid w:val="00A13083"/>
    <w:rsid w:val="00A136F6"/>
    <w:rsid w:val="00A13A77"/>
    <w:rsid w:val="00A13F04"/>
    <w:rsid w:val="00A14E6F"/>
    <w:rsid w:val="00A14F11"/>
    <w:rsid w:val="00A15543"/>
    <w:rsid w:val="00A16A5F"/>
    <w:rsid w:val="00A16C3E"/>
    <w:rsid w:val="00A17558"/>
    <w:rsid w:val="00A2000D"/>
    <w:rsid w:val="00A20926"/>
    <w:rsid w:val="00A21C0B"/>
    <w:rsid w:val="00A21CDB"/>
    <w:rsid w:val="00A21D9F"/>
    <w:rsid w:val="00A223A5"/>
    <w:rsid w:val="00A230C4"/>
    <w:rsid w:val="00A231CC"/>
    <w:rsid w:val="00A23698"/>
    <w:rsid w:val="00A238ED"/>
    <w:rsid w:val="00A244EE"/>
    <w:rsid w:val="00A24799"/>
    <w:rsid w:val="00A252B8"/>
    <w:rsid w:val="00A25C70"/>
    <w:rsid w:val="00A26556"/>
    <w:rsid w:val="00A275FA"/>
    <w:rsid w:val="00A30415"/>
    <w:rsid w:val="00A30FAE"/>
    <w:rsid w:val="00A31748"/>
    <w:rsid w:val="00A3206C"/>
    <w:rsid w:val="00A3257A"/>
    <w:rsid w:val="00A328B9"/>
    <w:rsid w:val="00A328CA"/>
    <w:rsid w:val="00A32AD3"/>
    <w:rsid w:val="00A32C54"/>
    <w:rsid w:val="00A32D66"/>
    <w:rsid w:val="00A32F32"/>
    <w:rsid w:val="00A33102"/>
    <w:rsid w:val="00A33D95"/>
    <w:rsid w:val="00A34013"/>
    <w:rsid w:val="00A340AF"/>
    <w:rsid w:val="00A340EB"/>
    <w:rsid w:val="00A34B8F"/>
    <w:rsid w:val="00A35133"/>
    <w:rsid w:val="00A3528E"/>
    <w:rsid w:val="00A353B0"/>
    <w:rsid w:val="00A354DA"/>
    <w:rsid w:val="00A35738"/>
    <w:rsid w:val="00A3575C"/>
    <w:rsid w:val="00A35824"/>
    <w:rsid w:val="00A366AA"/>
    <w:rsid w:val="00A37078"/>
    <w:rsid w:val="00A37375"/>
    <w:rsid w:val="00A37B2B"/>
    <w:rsid w:val="00A40098"/>
    <w:rsid w:val="00A4012C"/>
    <w:rsid w:val="00A422C0"/>
    <w:rsid w:val="00A42716"/>
    <w:rsid w:val="00A42A30"/>
    <w:rsid w:val="00A42CEC"/>
    <w:rsid w:val="00A42E1E"/>
    <w:rsid w:val="00A44042"/>
    <w:rsid w:val="00A4416D"/>
    <w:rsid w:val="00A4448F"/>
    <w:rsid w:val="00A4455F"/>
    <w:rsid w:val="00A44841"/>
    <w:rsid w:val="00A44F21"/>
    <w:rsid w:val="00A45399"/>
    <w:rsid w:val="00A4565F"/>
    <w:rsid w:val="00A45C55"/>
    <w:rsid w:val="00A45FB0"/>
    <w:rsid w:val="00A4632A"/>
    <w:rsid w:val="00A46611"/>
    <w:rsid w:val="00A46810"/>
    <w:rsid w:val="00A46E8F"/>
    <w:rsid w:val="00A4714A"/>
    <w:rsid w:val="00A474A1"/>
    <w:rsid w:val="00A50081"/>
    <w:rsid w:val="00A503A0"/>
    <w:rsid w:val="00A503F7"/>
    <w:rsid w:val="00A50CD3"/>
    <w:rsid w:val="00A5201D"/>
    <w:rsid w:val="00A52525"/>
    <w:rsid w:val="00A525B8"/>
    <w:rsid w:val="00A5293B"/>
    <w:rsid w:val="00A52C3C"/>
    <w:rsid w:val="00A5391C"/>
    <w:rsid w:val="00A54237"/>
    <w:rsid w:val="00A543B5"/>
    <w:rsid w:val="00A543D9"/>
    <w:rsid w:val="00A54912"/>
    <w:rsid w:val="00A5582F"/>
    <w:rsid w:val="00A559B9"/>
    <w:rsid w:val="00A55A71"/>
    <w:rsid w:val="00A55BE8"/>
    <w:rsid w:val="00A560AF"/>
    <w:rsid w:val="00A5696A"/>
    <w:rsid w:val="00A56C25"/>
    <w:rsid w:val="00A57157"/>
    <w:rsid w:val="00A573BA"/>
    <w:rsid w:val="00A57B80"/>
    <w:rsid w:val="00A60244"/>
    <w:rsid w:val="00A60CD0"/>
    <w:rsid w:val="00A60EED"/>
    <w:rsid w:val="00A610C5"/>
    <w:rsid w:val="00A61885"/>
    <w:rsid w:val="00A62724"/>
    <w:rsid w:val="00A62BA8"/>
    <w:rsid w:val="00A62CEB"/>
    <w:rsid w:val="00A63CDA"/>
    <w:rsid w:val="00A63EB2"/>
    <w:rsid w:val="00A641E3"/>
    <w:rsid w:val="00A64E3A"/>
    <w:rsid w:val="00A6515A"/>
    <w:rsid w:val="00A652E5"/>
    <w:rsid w:val="00A658AD"/>
    <w:rsid w:val="00A659EF"/>
    <w:rsid w:val="00A65DB0"/>
    <w:rsid w:val="00A66483"/>
    <w:rsid w:val="00A66721"/>
    <w:rsid w:val="00A7043A"/>
    <w:rsid w:val="00A70CAB"/>
    <w:rsid w:val="00A710F5"/>
    <w:rsid w:val="00A71199"/>
    <w:rsid w:val="00A714B2"/>
    <w:rsid w:val="00A71C01"/>
    <w:rsid w:val="00A72324"/>
    <w:rsid w:val="00A7254A"/>
    <w:rsid w:val="00A726ED"/>
    <w:rsid w:val="00A738B1"/>
    <w:rsid w:val="00A7435B"/>
    <w:rsid w:val="00A749FD"/>
    <w:rsid w:val="00A74B13"/>
    <w:rsid w:val="00A74B5C"/>
    <w:rsid w:val="00A74EB0"/>
    <w:rsid w:val="00A755AD"/>
    <w:rsid w:val="00A76292"/>
    <w:rsid w:val="00A7666B"/>
    <w:rsid w:val="00A766F2"/>
    <w:rsid w:val="00A770BB"/>
    <w:rsid w:val="00A778D7"/>
    <w:rsid w:val="00A801C4"/>
    <w:rsid w:val="00A80710"/>
    <w:rsid w:val="00A809C0"/>
    <w:rsid w:val="00A80F86"/>
    <w:rsid w:val="00A812E7"/>
    <w:rsid w:val="00A82378"/>
    <w:rsid w:val="00A825EE"/>
    <w:rsid w:val="00A829FF"/>
    <w:rsid w:val="00A83C4D"/>
    <w:rsid w:val="00A83F31"/>
    <w:rsid w:val="00A8422D"/>
    <w:rsid w:val="00A84644"/>
    <w:rsid w:val="00A846BB"/>
    <w:rsid w:val="00A84B77"/>
    <w:rsid w:val="00A854BF"/>
    <w:rsid w:val="00A85935"/>
    <w:rsid w:val="00A859CD"/>
    <w:rsid w:val="00A85D67"/>
    <w:rsid w:val="00A866BC"/>
    <w:rsid w:val="00A8739B"/>
    <w:rsid w:val="00A87895"/>
    <w:rsid w:val="00A87B27"/>
    <w:rsid w:val="00A87FFA"/>
    <w:rsid w:val="00A90249"/>
    <w:rsid w:val="00A90409"/>
    <w:rsid w:val="00A9045D"/>
    <w:rsid w:val="00A904AD"/>
    <w:rsid w:val="00A90972"/>
    <w:rsid w:val="00A90F1E"/>
    <w:rsid w:val="00A90FE2"/>
    <w:rsid w:val="00A91038"/>
    <w:rsid w:val="00A91BAD"/>
    <w:rsid w:val="00A91D2D"/>
    <w:rsid w:val="00A9290F"/>
    <w:rsid w:val="00A9310F"/>
    <w:rsid w:val="00A93B61"/>
    <w:rsid w:val="00A93F15"/>
    <w:rsid w:val="00A941EF"/>
    <w:rsid w:val="00A94905"/>
    <w:rsid w:val="00A9492E"/>
    <w:rsid w:val="00A94E7A"/>
    <w:rsid w:val="00A94EBE"/>
    <w:rsid w:val="00A95A66"/>
    <w:rsid w:val="00A95BA1"/>
    <w:rsid w:val="00A95E4B"/>
    <w:rsid w:val="00A9616C"/>
    <w:rsid w:val="00A96508"/>
    <w:rsid w:val="00A96DF1"/>
    <w:rsid w:val="00A9748A"/>
    <w:rsid w:val="00A977AC"/>
    <w:rsid w:val="00AA0AF7"/>
    <w:rsid w:val="00AA0FBC"/>
    <w:rsid w:val="00AA1174"/>
    <w:rsid w:val="00AA124B"/>
    <w:rsid w:val="00AA17F8"/>
    <w:rsid w:val="00AA1D3E"/>
    <w:rsid w:val="00AA1F6B"/>
    <w:rsid w:val="00AA262C"/>
    <w:rsid w:val="00AA2D5A"/>
    <w:rsid w:val="00AA31C5"/>
    <w:rsid w:val="00AA397B"/>
    <w:rsid w:val="00AA39C8"/>
    <w:rsid w:val="00AA51B8"/>
    <w:rsid w:val="00AA58B8"/>
    <w:rsid w:val="00AA5D08"/>
    <w:rsid w:val="00AA6922"/>
    <w:rsid w:val="00AA78B5"/>
    <w:rsid w:val="00AB05BD"/>
    <w:rsid w:val="00AB0724"/>
    <w:rsid w:val="00AB19C8"/>
    <w:rsid w:val="00AB1B6F"/>
    <w:rsid w:val="00AB22E6"/>
    <w:rsid w:val="00AB23D7"/>
    <w:rsid w:val="00AB2843"/>
    <w:rsid w:val="00AB351B"/>
    <w:rsid w:val="00AB39DA"/>
    <w:rsid w:val="00AB3AF5"/>
    <w:rsid w:val="00AB41D3"/>
    <w:rsid w:val="00AB467E"/>
    <w:rsid w:val="00AB4B6C"/>
    <w:rsid w:val="00AB50D0"/>
    <w:rsid w:val="00AB536C"/>
    <w:rsid w:val="00AB5D62"/>
    <w:rsid w:val="00AB5E5D"/>
    <w:rsid w:val="00AB6A3B"/>
    <w:rsid w:val="00AB6E33"/>
    <w:rsid w:val="00AB7587"/>
    <w:rsid w:val="00AC14A0"/>
    <w:rsid w:val="00AC1508"/>
    <w:rsid w:val="00AC165D"/>
    <w:rsid w:val="00AC23A8"/>
    <w:rsid w:val="00AC2440"/>
    <w:rsid w:val="00AC25F2"/>
    <w:rsid w:val="00AC28F2"/>
    <w:rsid w:val="00AC2D98"/>
    <w:rsid w:val="00AC2DFC"/>
    <w:rsid w:val="00AC3009"/>
    <w:rsid w:val="00AC3035"/>
    <w:rsid w:val="00AC3401"/>
    <w:rsid w:val="00AC36A0"/>
    <w:rsid w:val="00AC3E40"/>
    <w:rsid w:val="00AC45DA"/>
    <w:rsid w:val="00AC53B7"/>
    <w:rsid w:val="00AC5CE9"/>
    <w:rsid w:val="00AC5D93"/>
    <w:rsid w:val="00AC61A2"/>
    <w:rsid w:val="00AC61AD"/>
    <w:rsid w:val="00AC6554"/>
    <w:rsid w:val="00AC65C3"/>
    <w:rsid w:val="00AC6BAB"/>
    <w:rsid w:val="00AC7190"/>
    <w:rsid w:val="00AC76A0"/>
    <w:rsid w:val="00AC784C"/>
    <w:rsid w:val="00AC7BB3"/>
    <w:rsid w:val="00AC7D5B"/>
    <w:rsid w:val="00AD0800"/>
    <w:rsid w:val="00AD12F8"/>
    <w:rsid w:val="00AD1BF6"/>
    <w:rsid w:val="00AD269E"/>
    <w:rsid w:val="00AD2DB6"/>
    <w:rsid w:val="00AD35EE"/>
    <w:rsid w:val="00AD5329"/>
    <w:rsid w:val="00AD632C"/>
    <w:rsid w:val="00AD632F"/>
    <w:rsid w:val="00AD6477"/>
    <w:rsid w:val="00AD6B94"/>
    <w:rsid w:val="00AD6D99"/>
    <w:rsid w:val="00AD6F66"/>
    <w:rsid w:val="00AD7438"/>
    <w:rsid w:val="00AE004A"/>
    <w:rsid w:val="00AE086E"/>
    <w:rsid w:val="00AE096D"/>
    <w:rsid w:val="00AE18FB"/>
    <w:rsid w:val="00AE1D6D"/>
    <w:rsid w:val="00AE1F65"/>
    <w:rsid w:val="00AE2812"/>
    <w:rsid w:val="00AE2DE0"/>
    <w:rsid w:val="00AE329C"/>
    <w:rsid w:val="00AE3E59"/>
    <w:rsid w:val="00AE3F8C"/>
    <w:rsid w:val="00AE46BC"/>
    <w:rsid w:val="00AE4838"/>
    <w:rsid w:val="00AE5179"/>
    <w:rsid w:val="00AE5CD8"/>
    <w:rsid w:val="00AE6F6A"/>
    <w:rsid w:val="00AE73B8"/>
    <w:rsid w:val="00AE73D2"/>
    <w:rsid w:val="00AE7455"/>
    <w:rsid w:val="00AE7CA1"/>
    <w:rsid w:val="00AF0EAA"/>
    <w:rsid w:val="00AF1113"/>
    <w:rsid w:val="00AF1303"/>
    <w:rsid w:val="00AF1733"/>
    <w:rsid w:val="00AF190F"/>
    <w:rsid w:val="00AF26FA"/>
    <w:rsid w:val="00AF2927"/>
    <w:rsid w:val="00AF2C5B"/>
    <w:rsid w:val="00AF316C"/>
    <w:rsid w:val="00AF3BE2"/>
    <w:rsid w:val="00AF41DA"/>
    <w:rsid w:val="00AF47BC"/>
    <w:rsid w:val="00AF4D8D"/>
    <w:rsid w:val="00AF52A9"/>
    <w:rsid w:val="00AF5599"/>
    <w:rsid w:val="00AF59AE"/>
    <w:rsid w:val="00AF5C3B"/>
    <w:rsid w:val="00AF625A"/>
    <w:rsid w:val="00AF6BE0"/>
    <w:rsid w:val="00B00AD6"/>
    <w:rsid w:val="00B019F6"/>
    <w:rsid w:val="00B01C4B"/>
    <w:rsid w:val="00B01CE3"/>
    <w:rsid w:val="00B020A8"/>
    <w:rsid w:val="00B02525"/>
    <w:rsid w:val="00B02F24"/>
    <w:rsid w:val="00B02FD2"/>
    <w:rsid w:val="00B030E2"/>
    <w:rsid w:val="00B032A5"/>
    <w:rsid w:val="00B03341"/>
    <w:rsid w:val="00B03C17"/>
    <w:rsid w:val="00B03F8F"/>
    <w:rsid w:val="00B03FAC"/>
    <w:rsid w:val="00B046D0"/>
    <w:rsid w:val="00B047DC"/>
    <w:rsid w:val="00B04ABA"/>
    <w:rsid w:val="00B04B6B"/>
    <w:rsid w:val="00B04BAF"/>
    <w:rsid w:val="00B04F1E"/>
    <w:rsid w:val="00B0506C"/>
    <w:rsid w:val="00B05994"/>
    <w:rsid w:val="00B062F6"/>
    <w:rsid w:val="00B0652F"/>
    <w:rsid w:val="00B067F5"/>
    <w:rsid w:val="00B06BFE"/>
    <w:rsid w:val="00B07326"/>
    <w:rsid w:val="00B07556"/>
    <w:rsid w:val="00B076BD"/>
    <w:rsid w:val="00B104B0"/>
    <w:rsid w:val="00B106EB"/>
    <w:rsid w:val="00B10B2B"/>
    <w:rsid w:val="00B10B32"/>
    <w:rsid w:val="00B11221"/>
    <w:rsid w:val="00B12688"/>
    <w:rsid w:val="00B1277A"/>
    <w:rsid w:val="00B12B7F"/>
    <w:rsid w:val="00B12C4F"/>
    <w:rsid w:val="00B12F70"/>
    <w:rsid w:val="00B1399D"/>
    <w:rsid w:val="00B13CA3"/>
    <w:rsid w:val="00B13DCC"/>
    <w:rsid w:val="00B14402"/>
    <w:rsid w:val="00B15C30"/>
    <w:rsid w:val="00B16A34"/>
    <w:rsid w:val="00B16AAD"/>
    <w:rsid w:val="00B1736C"/>
    <w:rsid w:val="00B1778B"/>
    <w:rsid w:val="00B178F1"/>
    <w:rsid w:val="00B17BD2"/>
    <w:rsid w:val="00B20536"/>
    <w:rsid w:val="00B20A46"/>
    <w:rsid w:val="00B20A6E"/>
    <w:rsid w:val="00B218FC"/>
    <w:rsid w:val="00B21976"/>
    <w:rsid w:val="00B221E0"/>
    <w:rsid w:val="00B22473"/>
    <w:rsid w:val="00B22EBE"/>
    <w:rsid w:val="00B23062"/>
    <w:rsid w:val="00B238F8"/>
    <w:rsid w:val="00B23A13"/>
    <w:rsid w:val="00B23EB4"/>
    <w:rsid w:val="00B241D3"/>
    <w:rsid w:val="00B2494E"/>
    <w:rsid w:val="00B24F7B"/>
    <w:rsid w:val="00B254DE"/>
    <w:rsid w:val="00B2578A"/>
    <w:rsid w:val="00B25813"/>
    <w:rsid w:val="00B265CF"/>
    <w:rsid w:val="00B272C7"/>
    <w:rsid w:val="00B27711"/>
    <w:rsid w:val="00B30327"/>
    <w:rsid w:val="00B304BA"/>
    <w:rsid w:val="00B31932"/>
    <w:rsid w:val="00B31DAC"/>
    <w:rsid w:val="00B325BE"/>
    <w:rsid w:val="00B32E33"/>
    <w:rsid w:val="00B33018"/>
    <w:rsid w:val="00B34257"/>
    <w:rsid w:val="00B34925"/>
    <w:rsid w:val="00B34A76"/>
    <w:rsid w:val="00B34ADB"/>
    <w:rsid w:val="00B34B9B"/>
    <w:rsid w:val="00B34BA7"/>
    <w:rsid w:val="00B3544D"/>
    <w:rsid w:val="00B35A03"/>
    <w:rsid w:val="00B360F8"/>
    <w:rsid w:val="00B3680A"/>
    <w:rsid w:val="00B3683C"/>
    <w:rsid w:val="00B371B9"/>
    <w:rsid w:val="00B4024C"/>
    <w:rsid w:val="00B40E65"/>
    <w:rsid w:val="00B414A9"/>
    <w:rsid w:val="00B41C17"/>
    <w:rsid w:val="00B41D60"/>
    <w:rsid w:val="00B42585"/>
    <w:rsid w:val="00B431C7"/>
    <w:rsid w:val="00B4343C"/>
    <w:rsid w:val="00B44181"/>
    <w:rsid w:val="00B44DF0"/>
    <w:rsid w:val="00B461F3"/>
    <w:rsid w:val="00B46331"/>
    <w:rsid w:val="00B47005"/>
    <w:rsid w:val="00B4714D"/>
    <w:rsid w:val="00B47475"/>
    <w:rsid w:val="00B47A93"/>
    <w:rsid w:val="00B47D65"/>
    <w:rsid w:val="00B5024A"/>
    <w:rsid w:val="00B50397"/>
    <w:rsid w:val="00B50762"/>
    <w:rsid w:val="00B50FA7"/>
    <w:rsid w:val="00B510B0"/>
    <w:rsid w:val="00B517CC"/>
    <w:rsid w:val="00B51DAE"/>
    <w:rsid w:val="00B52561"/>
    <w:rsid w:val="00B5290D"/>
    <w:rsid w:val="00B530FD"/>
    <w:rsid w:val="00B5330C"/>
    <w:rsid w:val="00B53423"/>
    <w:rsid w:val="00B535F3"/>
    <w:rsid w:val="00B53927"/>
    <w:rsid w:val="00B539C5"/>
    <w:rsid w:val="00B55108"/>
    <w:rsid w:val="00B55C77"/>
    <w:rsid w:val="00B560A8"/>
    <w:rsid w:val="00B5643A"/>
    <w:rsid w:val="00B56515"/>
    <w:rsid w:val="00B5714C"/>
    <w:rsid w:val="00B5759C"/>
    <w:rsid w:val="00B60309"/>
    <w:rsid w:val="00B606AA"/>
    <w:rsid w:val="00B616B9"/>
    <w:rsid w:val="00B618F6"/>
    <w:rsid w:val="00B61DC7"/>
    <w:rsid w:val="00B62106"/>
    <w:rsid w:val="00B62177"/>
    <w:rsid w:val="00B6323C"/>
    <w:rsid w:val="00B639DE"/>
    <w:rsid w:val="00B63DB3"/>
    <w:rsid w:val="00B641ED"/>
    <w:rsid w:val="00B6497C"/>
    <w:rsid w:val="00B64BD1"/>
    <w:rsid w:val="00B64D76"/>
    <w:rsid w:val="00B65517"/>
    <w:rsid w:val="00B65D15"/>
    <w:rsid w:val="00B65E18"/>
    <w:rsid w:val="00B6641D"/>
    <w:rsid w:val="00B6685A"/>
    <w:rsid w:val="00B66B54"/>
    <w:rsid w:val="00B66F0C"/>
    <w:rsid w:val="00B678B1"/>
    <w:rsid w:val="00B71039"/>
    <w:rsid w:val="00B71860"/>
    <w:rsid w:val="00B71892"/>
    <w:rsid w:val="00B71936"/>
    <w:rsid w:val="00B71B2B"/>
    <w:rsid w:val="00B722A4"/>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5DF"/>
    <w:rsid w:val="00B80705"/>
    <w:rsid w:val="00B80803"/>
    <w:rsid w:val="00B80B25"/>
    <w:rsid w:val="00B80C80"/>
    <w:rsid w:val="00B80E32"/>
    <w:rsid w:val="00B80F19"/>
    <w:rsid w:val="00B81004"/>
    <w:rsid w:val="00B815F5"/>
    <w:rsid w:val="00B81D66"/>
    <w:rsid w:val="00B825FC"/>
    <w:rsid w:val="00B82BE7"/>
    <w:rsid w:val="00B82D6C"/>
    <w:rsid w:val="00B83011"/>
    <w:rsid w:val="00B8301C"/>
    <w:rsid w:val="00B840DC"/>
    <w:rsid w:val="00B84667"/>
    <w:rsid w:val="00B84980"/>
    <w:rsid w:val="00B8533F"/>
    <w:rsid w:val="00B853B4"/>
    <w:rsid w:val="00B877B3"/>
    <w:rsid w:val="00B878EA"/>
    <w:rsid w:val="00B900BD"/>
    <w:rsid w:val="00B90146"/>
    <w:rsid w:val="00B901F8"/>
    <w:rsid w:val="00B90998"/>
    <w:rsid w:val="00B911D4"/>
    <w:rsid w:val="00B9172E"/>
    <w:rsid w:val="00B91E87"/>
    <w:rsid w:val="00B920BE"/>
    <w:rsid w:val="00B923F2"/>
    <w:rsid w:val="00B92F3E"/>
    <w:rsid w:val="00B932E4"/>
    <w:rsid w:val="00B93F9A"/>
    <w:rsid w:val="00B95175"/>
    <w:rsid w:val="00B957D6"/>
    <w:rsid w:val="00B95BA7"/>
    <w:rsid w:val="00B95E3A"/>
    <w:rsid w:val="00B960DB"/>
    <w:rsid w:val="00B96381"/>
    <w:rsid w:val="00B96586"/>
    <w:rsid w:val="00B96744"/>
    <w:rsid w:val="00B97492"/>
    <w:rsid w:val="00B97693"/>
    <w:rsid w:val="00B97864"/>
    <w:rsid w:val="00B9786A"/>
    <w:rsid w:val="00B9790D"/>
    <w:rsid w:val="00B97B23"/>
    <w:rsid w:val="00BA0C41"/>
    <w:rsid w:val="00BA0FA6"/>
    <w:rsid w:val="00BA13CD"/>
    <w:rsid w:val="00BA1440"/>
    <w:rsid w:val="00BA1A55"/>
    <w:rsid w:val="00BA2B8A"/>
    <w:rsid w:val="00BA3053"/>
    <w:rsid w:val="00BA3295"/>
    <w:rsid w:val="00BA3B53"/>
    <w:rsid w:val="00BA40BB"/>
    <w:rsid w:val="00BA4C9F"/>
    <w:rsid w:val="00BA4F82"/>
    <w:rsid w:val="00BA505D"/>
    <w:rsid w:val="00BA52FA"/>
    <w:rsid w:val="00BA5573"/>
    <w:rsid w:val="00BA5C2D"/>
    <w:rsid w:val="00BA61ED"/>
    <w:rsid w:val="00BA6556"/>
    <w:rsid w:val="00BA754A"/>
    <w:rsid w:val="00BA7790"/>
    <w:rsid w:val="00BA7A07"/>
    <w:rsid w:val="00BA7E73"/>
    <w:rsid w:val="00BA7F13"/>
    <w:rsid w:val="00BB00F5"/>
    <w:rsid w:val="00BB0126"/>
    <w:rsid w:val="00BB037C"/>
    <w:rsid w:val="00BB0523"/>
    <w:rsid w:val="00BB1D25"/>
    <w:rsid w:val="00BB1E8D"/>
    <w:rsid w:val="00BB1F86"/>
    <w:rsid w:val="00BB2257"/>
    <w:rsid w:val="00BB2C9B"/>
    <w:rsid w:val="00BB2CCA"/>
    <w:rsid w:val="00BB2E0D"/>
    <w:rsid w:val="00BB331E"/>
    <w:rsid w:val="00BB3706"/>
    <w:rsid w:val="00BB3723"/>
    <w:rsid w:val="00BB37BB"/>
    <w:rsid w:val="00BB38DF"/>
    <w:rsid w:val="00BB3A53"/>
    <w:rsid w:val="00BB3F38"/>
    <w:rsid w:val="00BB43F1"/>
    <w:rsid w:val="00BB4441"/>
    <w:rsid w:val="00BB4534"/>
    <w:rsid w:val="00BB4634"/>
    <w:rsid w:val="00BB4680"/>
    <w:rsid w:val="00BB490D"/>
    <w:rsid w:val="00BB4EB8"/>
    <w:rsid w:val="00BB4EC4"/>
    <w:rsid w:val="00BB527B"/>
    <w:rsid w:val="00BB5486"/>
    <w:rsid w:val="00BB551F"/>
    <w:rsid w:val="00BB5DB8"/>
    <w:rsid w:val="00BB61C8"/>
    <w:rsid w:val="00BB647C"/>
    <w:rsid w:val="00BB6BA3"/>
    <w:rsid w:val="00BB6EA6"/>
    <w:rsid w:val="00BB739E"/>
    <w:rsid w:val="00BB7FB9"/>
    <w:rsid w:val="00BC006C"/>
    <w:rsid w:val="00BC08F9"/>
    <w:rsid w:val="00BC097D"/>
    <w:rsid w:val="00BC0B4E"/>
    <w:rsid w:val="00BC0BDE"/>
    <w:rsid w:val="00BC103B"/>
    <w:rsid w:val="00BC154D"/>
    <w:rsid w:val="00BC1FB9"/>
    <w:rsid w:val="00BC210E"/>
    <w:rsid w:val="00BC23D1"/>
    <w:rsid w:val="00BC3107"/>
    <w:rsid w:val="00BC3948"/>
    <w:rsid w:val="00BC45AD"/>
    <w:rsid w:val="00BC4744"/>
    <w:rsid w:val="00BC549D"/>
    <w:rsid w:val="00BC567F"/>
    <w:rsid w:val="00BC570E"/>
    <w:rsid w:val="00BC64AB"/>
    <w:rsid w:val="00BC66CE"/>
    <w:rsid w:val="00BC6ADD"/>
    <w:rsid w:val="00BC6E15"/>
    <w:rsid w:val="00BC71F8"/>
    <w:rsid w:val="00BC796E"/>
    <w:rsid w:val="00BC7DF5"/>
    <w:rsid w:val="00BC7E41"/>
    <w:rsid w:val="00BC7FED"/>
    <w:rsid w:val="00BD061B"/>
    <w:rsid w:val="00BD07D4"/>
    <w:rsid w:val="00BD0F61"/>
    <w:rsid w:val="00BD1B03"/>
    <w:rsid w:val="00BD1E78"/>
    <w:rsid w:val="00BD23DF"/>
    <w:rsid w:val="00BD291B"/>
    <w:rsid w:val="00BD2CBE"/>
    <w:rsid w:val="00BD4748"/>
    <w:rsid w:val="00BD4CCA"/>
    <w:rsid w:val="00BD4E00"/>
    <w:rsid w:val="00BD5A38"/>
    <w:rsid w:val="00BD5FA9"/>
    <w:rsid w:val="00BD6406"/>
    <w:rsid w:val="00BD7538"/>
    <w:rsid w:val="00BD76F4"/>
    <w:rsid w:val="00BD7C01"/>
    <w:rsid w:val="00BD7EAC"/>
    <w:rsid w:val="00BE0648"/>
    <w:rsid w:val="00BE0E42"/>
    <w:rsid w:val="00BE1275"/>
    <w:rsid w:val="00BE1513"/>
    <w:rsid w:val="00BE226A"/>
    <w:rsid w:val="00BE2BA6"/>
    <w:rsid w:val="00BE2FF6"/>
    <w:rsid w:val="00BE32BD"/>
    <w:rsid w:val="00BE3671"/>
    <w:rsid w:val="00BE56F4"/>
    <w:rsid w:val="00BE57A8"/>
    <w:rsid w:val="00BE5AF8"/>
    <w:rsid w:val="00BE5CFA"/>
    <w:rsid w:val="00BE60DF"/>
    <w:rsid w:val="00BE6123"/>
    <w:rsid w:val="00BE6202"/>
    <w:rsid w:val="00BE6F4C"/>
    <w:rsid w:val="00BE7A5E"/>
    <w:rsid w:val="00BF0756"/>
    <w:rsid w:val="00BF0E89"/>
    <w:rsid w:val="00BF1352"/>
    <w:rsid w:val="00BF18D0"/>
    <w:rsid w:val="00BF1B6D"/>
    <w:rsid w:val="00BF2731"/>
    <w:rsid w:val="00BF28F4"/>
    <w:rsid w:val="00BF3340"/>
    <w:rsid w:val="00BF359E"/>
    <w:rsid w:val="00BF3C66"/>
    <w:rsid w:val="00BF3FB4"/>
    <w:rsid w:val="00BF4E05"/>
    <w:rsid w:val="00BF63BF"/>
    <w:rsid w:val="00BF6705"/>
    <w:rsid w:val="00BF7186"/>
    <w:rsid w:val="00BF72E6"/>
    <w:rsid w:val="00BF74F9"/>
    <w:rsid w:val="00BF765A"/>
    <w:rsid w:val="00C005D3"/>
    <w:rsid w:val="00C00BEC"/>
    <w:rsid w:val="00C00FF7"/>
    <w:rsid w:val="00C0127C"/>
    <w:rsid w:val="00C01B4F"/>
    <w:rsid w:val="00C01F12"/>
    <w:rsid w:val="00C01F75"/>
    <w:rsid w:val="00C02BE6"/>
    <w:rsid w:val="00C02FC6"/>
    <w:rsid w:val="00C03733"/>
    <w:rsid w:val="00C03753"/>
    <w:rsid w:val="00C03869"/>
    <w:rsid w:val="00C04A1F"/>
    <w:rsid w:val="00C05032"/>
    <w:rsid w:val="00C0549D"/>
    <w:rsid w:val="00C06197"/>
    <w:rsid w:val="00C06738"/>
    <w:rsid w:val="00C07F97"/>
    <w:rsid w:val="00C101FB"/>
    <w:rsid w:val="00C1036A"/>
    <w:rsid w:val="00C103A4"/>
    <w:rsid w:val="00C1054F"/>
    <w:rsid w:val="00C1079D"/>
    <w:rsid w:val="00C10B9A"/>
    <w:rsid w:val="00C10DAC"/>
    <w:rsid w:val="00C10DE1"/>
    <w:rsid w:val="00C10F67"/>
    <w:rsid w:val="00C11712"/>
    <w:rsid w:val="00C11F21"/>
    <w:rsid w:val="00C1230B"/>
    <w:rsid w:val="00C12322"/>
    <w:rsid w:val="00C12391"/>
    <w:rsid w:val="00C12F25"/>
    <w:rsid w:val="00C1339D"/>
    <w:rsid w:val="00C1371A"/>
    <w:rsid w:val="00C14007"/>
    <w:rsid w:val="00C151D3"/>
    <w:rsid w:val="00C1550F"/>
    <w:rsid w:val="00C158E4"/>
    <w:rsid w:val="00C15CF2"/>
    <w:rsid w:val="00C15FEB"/>
    <w:rsid w:val="00C16358"/>
    <w:rsid w:val="00C16550"/>
    <w:rsid w:val="00C174D3"/>
    <w:rsid w:val="00C179F5"/>
    <w:rsid w:val="00C17C0F"/>
    <w:rsid w:val="00C2024C"/>
    <w:rsid w:val="00C20E42"/>
    <w:rsid w:val="00C2121B"/>
    <w:rsid w:val="00C21605"/>
    <w:rsid w:val="00C223B7"/>
    <w:rsid w:val="00C23542"/>
    <w:rsid w:val="00C23A48"/>
    <w:rsid w:val="00C23A66"/>
    <w:rsid w:val="00C23B11"/>
    <w:rsid w:val="00C23B2F"/>
    <w:rsid w:val="00C23CAC"/>
    <w:rsid w:val="00C23FE5"/>
    <w:rsid w:val="00C2448C"/>
    <w:rsid w:val="00C248E1"/>
    <w:rsid w:val="00C24904"/>
    <w:rsid w:val="00C252FE"/>
    <w:rsid w:val="00C25DC2"/>
    <w:rsid w:val="00C25FB5"/>
    <w:rsid w:val="00C26206"/>
    <w:rsid w:val="00C2754F"/>
    <w:rsid w:val="00C27556"/>
    <w:rsid w:val="00C27D76"/>
    <w:rsid w:val="00C301C1"/>
    <w:rsid w:val="00C30D91"/>
    <w:rsid w:val="00C30FA2"/>
    <w:rsid w:val="00C318A9"/>
    <w:rsid w:val="00C31C89"/>
    <w:rsid w:val="00C3278E"/>
    <w:rsid w:val="00C32B32"/>
    <w:rsid w:val="00C32FFE"/>
    <w:rsid w:val="00C33167"/>
    <w:rsid w:val="00C33E2C"/>
    <w:rsid w:val="00C33E9F"/>
    <w:rsid w:val="00C33FF6"/>
    <w:rsid w:val="00C34119"/>
    <w:rsid w:val="00C342C7"/>
    <w:rsid w:val="00C345B2"/>
    <w:rsid w:val="00C34739"/>
    <w:rsid w:val="00C3473E"/>
    <w:rsid w:val="00C347B3"/>
    <w:rsid w:val="00C355B0"/>
    <w:rsid w:val="00C355DD"/>
    <w:rsid w:val="00C35659"/>
    <w:rsid w:val="00C3628B"/>
    <w:rsid w:val="00C3693D"/>
    <w:rsid w:val="00C36B14"/>
    <w:rsid w:val="00C3766B"/>
    <w:rsid w:val="00C37A29"/>
    <w:rsid w:val="00C37CDE"/>
    <w:rsid w:val="00C37CF7"/>
    <w:rsid w:val="00C37D28"/>
    <w:rsid w:val="00C37D9E"/>
    <w:rsid w:val="00C40331"/>
    <w:rsid w:val="00C406E6"/>
    <w:rsid w:val="00C409FD"/>
    <w:rsid w:val="00C4220B"/>
    <w:rsid w:val="00C427A9"/>
    <w:rsid w:val="00C42B40"/>
    <w:rsid w:val="00C432AE"/>
    <w:rsid w:val="00C4379F"/>
    <w:rsid w:val="00C444F6"/>
    <w:rsid w:val="00C4478A"/>
    <w:rsid w:val="00C4485B"/>
    <w:rsid w:val="00C44C33"/>
    <w:rsid w:val="00C452CB"/>
    <w:rsid w:val="00C456AC"/>
    <w:rsid w:val="00C456C5"/>
    <w:rsid w:val="00C45B61"/>
    <w:rsid w:val="00C45BF3"/>
    <w:rsid w:val="00C45D76"/>
    <w:rsid w:val="00C466C6"/>
    <w:rsid w:val="00C46879"/>
    <w:rsid w:val="00C47726"/>
    <w:rsid w:val="00C47C39"/>
    <w:rsid w:val="00C50570"/>
    <w:rsid w:val="00C50574"/>
    <w:rsid w:val="00C50D7F"/>
    <w:rsid w:val="00C51471"/>
    <w:rsid w:val="00C51610"/>
    <w:rsid w:val="00C51BD2"/>
    <w:rsid w:val="00C52026"/>
    <w:rsid w:val="00C528CD"/>
    <w:rsid w:val="00C52C49"/>
    <w:rsid w:val="00C52F66"/>
    <w:rsid w:val="00C538F3"/>
    <w:rsid w:val="00C54366"/>
    <w:rsid w:val="00C547CA"/>
    <w:rsid w:val="00C549CE"/>
    <w:rsid w:val="00C54F38"/>
    <w:rsid w:val="00C55DD1"/>
    <w:rsid w:val="00C56736"/>
    <w:rsid w:val="00C56D72"/>
    <w:rsid w:val="00C57214"/>
    <w:rsid w:val="00C57B78"/>
    <w:rsid w:val="00C57E44"/>
    <w:rsid w:val="00C606E8"/>
    <w:rsid w:val="00C60709"/>
    <w:rsid w:val="00C613B6"/>
    <w:rsid w:val="00C614A2"/>
    <w:rsid w:val="00C61B18"/>
    <w:rsid w:val="00C61B67"/>
    <w:rsid w:val="00C61EEC"/>
    <w:rsid w:val="00C620A4"/>
    <w:rsid w:val="00C62287"/>
    <w:rsid w:val="00C626E5"/>
    <w:rsid w:val="00C627E0"/>
    <w:rsid w:val="00C633E3"/>
    <w:rsid w:val="00C63443"/>
    <w:rsid w:val="00C634FE"/>
    <w:rsid w:val="00C63803"/>
    <w:rsid w:val="00C63E68"/>
    <w:rsid w:val="00C64240"/>
    <w:rsid w:val="00C64D3A"/>
    <w:rsid w:val="00C655C3"/>
    <w:rsid w:val="00C65C59"/>
    <w:rsid w:val="00C65CCB"/>
    <w:rsid w:val="00C65DFC"/>
    <w:rsid w:val="00C66763"/>
    <w:rsid w:val="00C66822"/>
    <w:rsid w:val="00C66C99"/>
    <w:rsid w:val="00C66EBF"/>
    <w:rsid w:val="00C6718D"/>
    <w:rsid w:val="00C677F5"/>
    <w:rsid w:val="00C70450"/>
    <w:rsid w:val="00C70A6A"/>
    <w:rsid w:val="00C70C4D"/>
    <w:rsid w:val="00C71239"/>
    <w:rsid w:val="00C712FD"/>
    <w:rsid w:val="00C71566"/>
    <w:rsid w:val="00C71EF4"/>
    <w:rsid w:val="00C73057"/>
    <w:rsid w:val="00C732ED"/>
    <w:rsid w:val="00C73370"/>
    <w:rsid w:val="00C7357C"/>
    <w:rsid w:val="00C73A49"/>
    <w:rsid w:val="00C7464F"/>
    <w:rsid w:val="00C748E3"/>
    <w:rsid w:val="00C74BA5"/>
    <w:rsid w:val="00C74BED"/>
    <w:rsid w:val="00C74C61"/>
    <w:rsid w:val="00C7554E"/>
    <w:rsid w:val="00C75683"/>
    <w:rsid w:val="00C75B36"/>
    <w:rsid w:val="00C7651D"/>
    <w:rsid w:val="00C767F8"/>
    <w:rsid w:val="00C76CA8"/>
    <w:rsid w:val="00C76E8D"/>
    <w:rsid w:val="00C771B0"/>
    <w:rsid w:val="00C772AE"/>
    <w:rsid w:val="00C77F3F"/>
    <w:rsid w:val="00C800B3"/>
    <w:rsid w:val="00C80165"/>
    <w:rsid w:val="00C80C46"/>
    <w:rsid w:val="00C813AC"/>
    <w:rsid w:val="00C81709"/>
    <w:rsid w:val="00C81730"/>
    <w:rsid w:val="00C81A8D"/>
    <w:rsid w:val="00C823E3"/>
    <w:rsid w:val="00C825B3"/>
    <w:rsid w:val="00C82A06"/>
    <w:rsid w:val="00C82DF4"/>
    <w:rsid w:val="00C8329C"/>
    <w:rsid w:val="00C84359"/>
    <w:rsid w:val="00C8453A"/>
    <w:rsid w:val="00C84716"/>
    <w:rsid w:val="00C85355"/>
    <w:rsid w:val="00C8558C"/>
    <w:rsid w:val="00C8592A"/>
    <w:rsid w:val="00C8603F"/>
    <w:rsid w:val="00C86281"/>
    <w:rsid w:val="00C866B2"/>
    <w:rsid w:val="00C869FA"/>
    <w:rsid w:val="00C90416"/>
    <w:rsid w:val="00C90CEA"/>
    <w:rsid w:val="00C9123D"/>
    <w:rsid w:val="00C9134C"/>
    <w:rsid w:val="00C9184E"/>
    <w:rsid w:val="00C91926"/>
    <w:rsid w:val="00C91A26"/>
    <w:rsid w:val="00C92125"/>
    <w:rsid w:val="00C9310F"/>
    <w:rsid w:val="00C93141"/>
    <w:rsid w:val="00C931BE"/>
    <w:rsid w:val="00C93A41"/>
    <w:rsid w:val="00C93C1A"/>
    <w:rsid w:val="00C93D32"/>
    <w:rsid w:val="00C95136"/>
    <w:rsid w:val="00C95324"/>
    <w:rsid w:val="00C95519"/>
    <w:rsid w:val="00C95610"/>
    <w:rsid w:val="00C9570A"/>
    <w:rsid w:val="00C95E23"/>
    <w:rsid w:val="00C96715"/>
    <w:rsid w:val="00C969E9"/>
    <w:rsid w:val="00C96FC2"/>
    <w:rsid w:val="00C97882"/>
    <w:rsid w:val="00C97A31"/>
    <w:rsid w:val="00CA059D"/>
    <w:rsid w:val="00CA07CE"/>
    <w:rsid w:val="00CA0CB0"/>
    <w:rsid w:val="00CA0DC5"/>
    <w:rsid w:val="00CA0EC8"/>
    <w:rsid w:val="00CA26D6"/>
    <w:rsid w:val="00CA28C7"/>
    <w:rsid w:val="00CA2E66"/>
    <w:rsid w:val="00CA363E"/>
    <w:rsid w:val="00CA3BAE"/>
    <w:rsid w:val="00CA49E1"/>
    <w:rsid w:val="00CA4CF1"/>
    <w:rsid w:val="00CA4CF2"/>
    <w:rsid w:val="00CA5043"/>
    <w:rsid w:val="00CA59BB"/>
    <w:rsid w:val="00CA6FE6"/>
    <w:rsid w:val="00CA745D"/>
    <w:rsid w:val="00CB054B"/>
    <w:rsid w:val="00CB0AEB"/>
    <w:rsid w:val="00CB0C30"/>
    <w:rsid w:val="00CB0D8F"/>
    <w:rsid w:val="00CB1571"/>
    <w:rsid w:val="00CB1A9F"/>
    <w:rsid w:val="00CB1DE9"/>
    <w:rsid w:val="00CB26DA"/>
    <w:rsid w:val="00CB3AF4"/>
    <w:rsid w:val="00CB42C0"/>
    <w:rsid w:val="00CB45B7"/>
    <w:rsid w:val="00CB49C5"/>
    <w:rsid w:val="00CB4B70"/>
    <w:rsid w:val="00CB5217"/>
    <w:rsid w:val="00CB56B7"/>
    <w:rsid w:val="00CB5DF7"/>
    <w:rsid w:val="00CB5F5D"/>
    <w:rsid w:val="00CB6122"/>
    <w:rsid w:val="00CB6385"/>
    <w:rsid w:val="00CB6DD8"/>
    <w:rsid w:val="00CB76B9"/>
    <w:rsid w:val="00CB77D0"/>
    <w:rsid w:val="00CB7B09"/>
    <w:rsid w:val="00CB7CCB"/>
    <w:rsid w:val="00CC008A"/>
    <w:rsid w:val="00CC12CD"/>
    <w:rsid w:val="00CC13A6"/>
    <w:rsid w:val="00CC1C10"/>
    <w:rsid w:val="00CC1D26"/>
    <w:rsid w:val="00CC22AD"/>
    <w:rsid w:val="00CC2598"/>
    <w:rsid w:val="00CC2CF3"/>
    <w:rsid w:val="00CC2D3A"/>
    <w:rsid w:val="00CC3001"/>
    <w:rsid w:val="00CC3032"/>
    <w:rsid w:val="00CC308F"/>
    <w:rsid w:val="00CC40AD"/>
    <w:rsid w:val="00CC47DD"/>
    <w:rsid w:val="00CC66C1"/>
    <w:rsid w:val="00CC73A7"/>
    <w:rsid w:val="00CC7972"/>
    <w:rsid w:val="00CC79A2"/>
    <w:rsid w:val="00CC7B22"/>
    <w:rsid w:val="00CC7D01"/>
    <w:rsid w:val="00CC7E01"/>
    <w:rsid w:val="00CD0029"/>
    <w:rsid w:val="00CD05F4"/>
    <w:rsid w:val="00CD0974"/>
    <w:rsid w:val="00CD0B23"/>
    <w:rsid w:val="00CD0E2B"/>
    <w:rsid w:val="00CD0ECA"/>
    <w:rsid w:val="00CD0F66"/>
    <w:rsid w:val="00CD1280"/>
    <w:rsid w:val="00CD18D6"/>
    <w:rsid w:val="00CD1B16"/>
    <w:rsid w:val="00CD2506"/>
    <w:rsid w:val="00CD2698"/>
    <w:rsid w:val="00CD3850"/>
    <w:rsid w:val="00CD3C96"/>
    <w:rsid w:val="00CD5136"/>
    <w:rsid w:val="00CD5CA5"/>
    <w:rsid w:val="00CD5D68"/>
    <w:rsid w:val="00CD5F97"/>
    <w:rsid w:val="00CD6579"/>
    <w:rsid w:val="00CD6666"/>
    <w:rsid w:val="00CD6B62"/>
    <w:rsid w:val="00CD6BBB"/>
    <w:rsid w:val="00CD73B5"/>
    <w:rsid w:val="00CD7D7A"/>
    <w:rsid w:val="00CE0291"/>
    <w:rsid w:val="00CE0BE2"/>
    <w:rsid w:val="00CE151A"/>
    <w:rsid w:val="00CE1533"/>
    <w:rsid w:val="00CE1ECF"/>
    <w:rsid w:val="00CE1F19"/>
    <w:rsid w:val="00CE23A4"/>
    <w:rsid w:val="00CE3421"/>
    <w:rsid w:val="00CE3659"/>
    <w:rsid w:val="00CE3B93"/>
    <w:rsid w:val="00CE452F"/>
    <w:rsid w:val="00CE4BB8"/>
    <w:rsid w:val="00CE4D9A"/>
    <w:rsid w:val="00CE5171"/>
    <w:rsid w:val="00CE543D"/>
    <w:rsid w:val="00CE54FD"/>
    <w:rsid w:val="00CE6269"/>
    <w:rsid w:val="00CE640A"/>
    <w:rsid w:val="00CE7277"/>
    <w:rsid w:val="00CE7AF8"/>
    <w:rsid w:val="00CF0032"/>
    <w:rsid w:val="00CF00F1"/>
    <w:rsid w:val="00CF0141"/>
    <w:rsid w:val="00CF014F"/>
    <w:rsid w:val="00CF087E"/>
    <w:rsid w:val="00CF0AE4"/>
    <w:rsid w:val="00CF0C13"/>
    <w:rsid w:val="00CF14F3"/>
    <w:rsid w:val="00CF19F7"/>
    <w:rsid w:val="00CF2511"/>
    <w:rsid w:val="00CF2692"/>
    <w:rsid w:val="00CF31A5"/>
    <w:rsid w:val="00CF3CB2"/>
    <w:rsid w:val="00CF425A"/>
    <w:rsid w:val="00CF42DD"/>
    <w:rsid w:val="00CF43F4"/>
    <w:rsid w:val="00CF4FB5"/>
    <w:rsid w:val="00CF5B34"/>
    <w:rsid w:val="00CF6749"/>
    <w:rsid w:val="00CF739E"/>
    <w:rsid w:val="00CF7D8A"/>
    <w:rsid w:val="00CF7D94"/>
    <w:rsid w:val="00CF7EA2"/>
    <w:rsid w:val="00CF7F79"/>
    <w:rsid w:val="00D00C88"/>
    <w:rsid w:val="00D00F33"/>
    <w:rsid w:val="00D01159"/>
    <w:rsid w:val="00D01248"/>
    <w:rsid w:val="00D01942"/>
    <w:rsid w:val="00D021F0"/>
    <w:rsid w:val="00D02686"/>
    <w:rsid w:val="00D027D9"/>
    <w:rsid w:val="00D02EA1"/>
    <w:rsid w:val="00D03332"/>
    <w:rsid w:val="00D034FE"/>
    <w:rsid w:val="00D0498A"/>
    <w:rsid w:val="00D05257"/>
    <w:rsid w:val="00D053F9"/>
    <w:rsid w:val="00D0561D"/>
    <w:rsid w:val="00D05AC6"/>
    <w:rsid w:val="00D06351"/>
    <w:rsid w:val="00D06C0D"/>
    <w:rsid w:val="00D0755B"/>
    <w:rsid w:val="00D07573"/>
    <w:rsid w:val="00D10113"/>
    <w:rsid w:val="00D101E9"/>
    <w:rsid w:val="00D1054C"/>
    <w:rsid w:val="00D122ED"/>
    <w:rsid w:val="00D127F2"/>
    <w:rsid w:val="00D1286E"/>
    <w:rsid w:val="00D12A92"/>
    <w:rsid w:val="00D12AA5"/>
    <w:rsid w:val="00D134CA"/>
    <w:rsid w:val="00D136B6"/>
    <w:rsid w:val="00D1406E"/>
    <w:rsid w:val="00D14759"/>
    <w:rsid w:val="00D14762"/>
    <w:rsid w:val="00D1550E"/>
    <w:rsid w:val="00D1563C"/>
    <w:rsid w:val="00D158D0"/>
    <w:rsid w:val="00D15B33"/>
    <w:rsid w:val="00D15C89"/>
    <w:rsid w:val="00D16B8F"/>
    <w:rsid w:val="00D17429"/>
    <w:rsid w:val="00D1796B"/>
    <w:rsid w:val="00D17C4D"/>
    <w:rsid w:val="00D20001"/>
    <w:rsid w:val="00D200F7"/>
    <w:rsid w:val="00D202BD"/>
    <w:rsid w:val="00D20342"/>
    <w:rsid w:val="00D20A32"/>
    <w:rsid w:val="00D212B6"/>
    <w:rsid w:val="00D219B6"/>
    <w:rsid w:val="00D22CFF"/>
    <w:rsid w:val="00D23921"/>
    <w:rsid w:val="00D23CA0"/>
    <w:rsid w:val="00D24065"/>
    <w:rsid w:val="00D24372"/>
    <w:rsid w:val="00D244F0"/>
    <w:rsid w:val="00D24911"/>
    <w:rsid w:val="00D25BAA"/>
    <w:rsid w:val="00D26897"/>
    <w:rsid w:val="00D26C86"/>
    <w:rsid w:val="00D2725E"/>
    <w:rsid w:val="00D27CDB"/>
    <w:rsid w:val="00D27D7E"/>
    <w:rsid w:val="00D30678"/>
    <w:rsid w:val="00D30B00"/>
    <w:rsid w:val="00D315F4"/>
    <w:rsid w:val="00D316A3"/>
    <w:rsid w:val="00D31705"/>
    <w:rsid w:val="00D3183C"/>
    <w:rsid w:val="00D31AA0"/>
    <w:rsid w:val="00D32F92"/>
    <w:rsid w:val="00D33490"/>
    <w:rsid w:val="00D33916"/>
    <w:rsid w:val="00D33DFA"/>
    <w:rsid w:val="00D33EC3"/>
    <w:rsid w:val="00D33ED3"/>
    <w:rsid w:val="00D34675"/>
    <w:rsid w:val="00D356BE"/>
    <w:rsid w:val="00D356DE"/>
    <w:rsid w:val="00D3617B"/>
    <w:rsid w:val="00D3628C"/>
    <w:rsid w:val="00D362C9"/>
    <w:rsid w:val="00D36364"/>
    <w:rsid w:val="00D36410"/>
    <w:rsid w:val="00D36518"/>
    <w:rsid w:val="00D3683E"/>
    <w:rsid w:val="00D369CB"/>
    <w:rsid w:val="00D374CA"/>
    <w:rsid w:val="00D407F3"/>
    <w:rsid w:val="00D408A3"/>
    <w:rsid w:val="00D40FB7"/>
    <w:rsid w:val="00D41086"/>
    <w:rsid w:val="00D41636"/>
    <w:rsid w:val="00D41BE7"/>
    <w:rsid w:val="00D420F1"/>
    <w:rsid w:val="00D429D7"/>
    <w:rsid w:val="00D42F55"/>
    <w:rsid w:val="00D42FCA"/>
    <w:rsid w:val="00D4353F"/>
    <w:rsid w:val="00D435E4"/>
    <w:rsid w:val="00D4372B"/>
    <w:rsid w:val="00D437AF"/>
    <w:rsid w:val="00D43B4D"/>
    <w:rsid w:val="00D43D58"/>
    <w:rsid w:val="00D441BC"/>
    <w:rsid w:val="00D441D8"/>
    <w:rsid w:val="00D44582"/>
    <w:rsid w:val="00D45715"/>
    <w:rsid w:val="00D45C81"/>
    <w:rsid w:val="00D46080"/>
    <w:rsid w:val="00D4622E"/>
    <w:rsid w:val="00D466B5"/>
    <w:rsid w:val="00D4731E"/>
    <w:rsid w:val="00D501AE"/>
    <w:rsid w:val="00D50AEC"/>
    <w:rsid w:val="00D50B7A"/>
    <w:rsid w:val="00D50BAB"/>
    <w:rsid w:val="00D5224A"/>
    <w:rsid w:val="00D524B0"/>
    <w:rsid w:val="00D527F0"/>
    <w:rsid w:val="00D52CC7"/>
    <w:rsid w:val="00D52D40"/>
    <w:rsid w:val="00D53571"/>
    <w:rsid w:val="00D5385E"/>
    <w:rsid w:val="00D53CC7"/>
    <w:rsid w:val="00D548EA"/>
    <w:rsid w:val="00D54928"/>
    <w:rsid w:val="00D556FE"/>
    <w:rsid w:val="00D5576D"/>
    <w:rsid w:val="00D56385"/>
    <w:rsid w:val="00D563E5"/>
    <w:rsid w:val="00D56529"/>
    <w:rsid w:val="00D56E50"/>
    <w:rsid w:val="00D571DB"/>
    <w:rsid w:val="00D603A4"/>
    <w:rsid w:val="00D60D6F"/>
    <w:rsid w:val="00D610E2"/>
    <w:rsid w:val="00D61240"/>
    <w:rsid w:val="00D617A6"/>
    <w:rsid w:val="00D61D52"/>
    <w:rsid w:val="00D625E7"/>
    <w:rsid w:val="00D62762"/>
    <w:rsid w:val="00D62D8D"/>
    <w:rsid w:val="00D631A3"/>
    <w:rsid w:val="00D63323"/>
    <w:rsid w:val="00D63848"/>
    <w:rsid w:val="00D63D21"/>
    <w:rsid w:val="00D64451"/>
    <w:rsid w:val="00D644A3"/>
    <w:rsid w:val="00D6461B"/>
    <w:rsid w:val="00D65C1A"/>
    <w:rsid w:val="00D65C61"/>
    <w:rsid w:val="00D65EF7"/>
    <w:rsid w:val="00D66088"/>
    <w:rsid w:val="00D676F4"/>
    <w:rsid w:val="00D679CC"/>
    <w:rsid w:val="00D703C1"/>
    <w:rsid w:val="00D70FAD"/>
    <w:rsid w:val="00D716E2"/>
    <w:rsid w:val="00D7266D"/>
    <w:rsid w:val="00D72FA1"/>
    <w:rsid w:val="00D7335C"/>
    <w:rsid w:val="00D73C43"/>
    <w:rsid w:val="00D740D8"/>
    <w:rsid w:val="00D742DB"/>
    <w:rsid w:val="00D748B7"/>
    <w:rsid w:val="00D77325"/>
    <w:rsid w:val="00D809FF"/>
    <w:rsid w:val="00D81E37"/>
    <w:rsid w:val="00D821A2"/>
    <w:rsid w:val="00D8261B"/>
    <w:rsid w:val="00D8272B"/>
    <w:rsid w:val="00D83B96"/>
    <w:rsid w:val="00D844D4"/>
    <w:rsid w:val="00D848A7"/>
    <w:rsid w:val="00D85511"/>
    <w:rsid w:val="00D86726"/>
    <w:rsid w:val="00D875B3"/>
    <w:rsid w:val="00D901A3"/>
    <w:rsid w:val="00D915A4"/>
    <w:rsid w:val="00D92701"/>
    <w:rsid w:val="00D92FE1"/>
    <w:rsid w:val="00D9316E"/>
    <w:rsid w:val="00D932BC"/>
    <w:rsid w:val="00D93BF5"/>
    <w:rsid w:val="00D9450C"/>
    <w:rsid w:val="00D94C7A"/>
    <w:rsid w:val="00D952F9"/>
    <w:rsid w:val="00D95424"/>
    <w:rsid w:val="00D9556A"/>
    <w:rsid w:val="00D95A34"/>
    <w:rsid w:val="00D95D96"/>
    <w:rsid w:val="00D96951"/>
    <w:rsid w:val="00D96A2F"/>
    <w:rsid w:val="00D974DC"/>
    <w:rsid w:val="00D97FB7"/>
    <w:rsid w:val="00DA0113"/>
    <w:rsid w:val="00DA063D"/>
    <w:rsid w:val="00DA1180"/>
    <w:rsid w:val="00DA1B28"/>
    <w:rsid w:val="00DA1B5C"/>
    <w:rsid w:val="00DA1E9E"/>
    <w:rsid w:val="00DA24C0"/>
    <w:rsid w:val="00DA25F0"/>
    <w:rsid w:val="00DA28AB"/>
    <w:rsid w:val="00DA2CC4"/>
    <w:rsid w:val="00DA2E4A"/>
    <w:rsid w:val="00DA305F"/>
    <w:rsid w:val="00DA32FE"/>
    <w:rsid w:val="00DA3D47"/>
    <w:rsid w:val="00DA3EA5"/>
    <w:rsid w:val="00DA46D3"/>
    <w:rsid w:val="00DA4BDA"/>
    <w:rsid w:val="00DA4CAC"/>
    <w:rsid w:val="00DA4EE4"/>
    <w:rsid w:val="00DA530D"/>
    <w:rsid w:val="00DA5588"/>
    <w:rsid w:val="00DA5BDE"/>
    <w:rsid w:val="00DA6275"/>
    <w:rsid w:val="00DA68D2"/>
    <w:rsid w:val="00DA79A5"/>
    <w:rsid w:val="00DA7FB0"/>
    <w:rsid w:val="00DB078E"/>
    <w:rsid w:val="00DB13D7"/>
    <w:rsid w:val="00DB14FC"/>
    <w:rsid w:val="00DB30B8"/>
    <w:rsid w:val="00DB3102"/>
    <w:rsid w:val="00DB33F0"/>
    <w:rsid w:val="00DB3585"/>
    <w:rsid w:val="00DB3A58"/>
    <w:rsid w:val="00DB3A7F"/>
    <w:rsid w:val="00DB3F63"/>
    <w:rsid w:val="00DB4B0D"/>
    <w:rsid w:val="00DB4DA1"/>
    <w:rsid w:val="00DB5F07"/>
    <w:rsid w:val="00DB6ABE"/>
    <w:rsid w:val="00DB6E8F"/>
    <w:rsid w:val="00DB6F52"/>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960"/>
    <w:rsid w:val="00DD07C1"/>
    <w:rsid w:val="00DD087F"/>
    <w:rsid w:val="00DD0914"/>
    <w:rsid w:val="00DD0B9F"/>
    <w:rsid w:val="00DD0D93"/>
    <w:rsid w:val="00DD15AE"/>
    <w:rsid w:val="00DD1CC2"/>
    <w:rsid w:val="00DD2245"/>
    <w:rsid w:val="00DD26C8"/>
    <w:rsid w:val="00DD2918"/>
    <w:rsid w:val="00DD2985"/>
    <w:rsid w:val="00DD3139"/>
    <w:rsid w:val="00DD31C8"/>
    <w:rsid w:val="00DD3410"/>
    <w:rsid w:val="00DD3428"/>
    <w:rsid w:val="00DD4828"/>
    <w:rsid w:val="00DD4FBE"/>
    <w:rsid w:val="00DD536C"/>
    <w:rsid w:val="00DD555F"/>
    <w:rsid w:val="00DD5A67"/>
    <w:rsid w:val="00DD5BE3"/>
    <w:rsid w:val="00DD5E5E"/>
    <w:rsid w:val="00DD5ED0"/>
    <w:rsid w:val="00DD6254"/>
    <w:rsid w:val="00DD6782"/>
    <w:rsid w:val="00DD7573"/>
    <w:rsid w:val="00DD7EF8"/>
    <w:rsid w:val="00DE0113"/>
    <w:rsid w:val="00DE026E"/>
    <w:rsid w:val="00DE0475"/>
    <w:rsid w:val="00DE05AF"/>
    <w:rsid w:val="00DE0731"/>
    <w:rsid w:val="00DE0870"/>
    <w:rsid w:val="00DE09E2"/>
    <w:rsid w:val="00DE17FB"/>
    <w:rsid w:val="00DE1B72"/>
    <w:rsid w:val="00DE1C86"/>
    <w:rsid w:val="00DE1E75"/>
    <w:rsid w:val="00DE2849"/>
    <w:rsid w:val="00DE2C5A"/>
    <w:rsid w:val="00DE3B6C"/>
    <w:rsid w:val="00DE4A5C"/>
    <w:rsid w:val="00DE520E"/>
    <w:rsid w:val="00DE5872"/>
    <w:rsid w:val="00DE625D"/>
    <w:rsid w:val="00DE6D39"/>
    <w:rsid w:val="00DE6E8F"/>
    <w:rsid w:val="00DE77E9"/>
    <w:rsid w:val="00DF112A"/>
    <w:rsid w:val="00DF1167"/>
    <w:rsid w:val="00DF1B65"/>
    <w:rsid w:val="00DF1DF0"/>
    <w:rsid w:val="00DF248A"/>
    <w:rsid w:val="00DF2A17"/>
    <w:rsid w:val="00DF2C91"/>
    <w:rsid w:val="00DF3230"/>
    <w:rsid w:val="00DF37C8"/>
    <w:rsid w:val="00DF3871"/>
    <w:rsid w:val="00DF39D1"/>
    <w:rsid w:val="00DF3C7A"/>
    <w:rsid w:val="00DF402C"/>
    <w:rsid w:val="00DF412D"/>
    <w:rsid w:val="00DF4693"/>
    <w:rsid w:val="00DF4CAE"/>
    <w:rsid w:val="00DF5AB2"/>
    <w:rsid w:val="00DF65EC"/>
    <w:rsid w:val="00DF69EE"/>
    <w:rsid w:val="00DF6B7D"/>
    <w:rsid w:val="00DF73F3"/>
    <w:rsid w:val="00DF76BA"/>
    <w:rsid w:val="00DF77F0"/>
    <w:rsid w:val="00DF7E4E"/>
    <w:rsid w:val="00E007D4"/>
    <w:rsid w:val="00E00ADB"/>
    <w:rsid w:val="00E01050"/>
    <w:rsid w:val="00E016DC"/>
    <w:rsid w:val="00E01A54"/>
    <w:rsid w:val="00E022ED"/>
    <w:rsid w:val="00E024DB"/>
    <w:rsid w:val="00E026D1"/>
    <w:rsid w:val="00E03430"/>
    <w:rsid w:val="00E03497"/>
    <w:rsid w:val="00E03B77"/>
    <w:rsid w:val="00E048E7"/>
    <w:rsid w:val="00E050AB"/>
    <w:rsid w:val="00E05DAC"/>
    <w:rsid w:val="00E05E4E"/>
    <w:rsid w:val="00E05F7B"/>
    <w:rsid w:val="00E06B08"/>
    <w:rsid w:val="00E06B09"/>
    <w:rsid w:val="00E06C0A"/>
    <w:rsid w:val="00E07650"/>
    <w:rsid w:val="00E07664"/>
    <w:rsid w:val="00E0774C"/>
    <w:rsid w:val="00E07AB7"/>
    <w:rsid w:val="00E07BC0"/>
    <w:rsid w:val="00E07DB6"/>
    <w:rsid w:val="00E10508"/>
    <w:rsid w:val="00E10B32"/>
    <w:rsid w:val="00E10C16"/>
    <w:rsid w:val="00E11103"/>
    <w:rsid w:val="00E112E4"/>
    <w:rsid w:val="00E116DF"/>
    <w:rsid w:val="00E11F47"/>
    <w:rsid w:val="00E12B81"/>
    <w:rsid w:val="00E13163"/>
    <w:rsid w:val="00E13BE2"/>
    <w:rsid w:val="00E13F7B"/>
    <w:rsid w:val="00E143D4"/>
    <w:rsid w:val="00E1463E"/>
    <w:rsid w:val="00E14991"/>
    <w:rsid w:val="00E14F73"/>
    <w:rsid w:val="00E1577A"/>
    <w:rsid w:val="00E15F21"/>
    <w:rsid w:val="00E168B3"/>
    <w:rsid w:val="00E16CEE"/>
    <w:rsid w:val="00E17666"/>
    <w:rsid w:val="00E17AF9"/>
    <w:rsid w:val="00E20986"/>
    <w:rsid w:val="00E20A8C"/>
    <w:rsid w:val="00E20C6A"/>
    <w:rsid w:val="00E20E4C"/>
    <w:rsid w:val="00E2133D"/>
    <w:rsid w:val="00E21489"/>
    <w:rsid w:val="00E214F0"/>
    <w:rsid w:val="00E2167E"/>
    <w:rsid w:val="00E21890"/>
    <w:rsid w:val="00E2196D"/>
    <w:rsid w:val="00E21E89"/>
    <w:rsid w:val="00E226D8"/>
    <w:rsid w:val="00E22A2E"/>
    <w:rsid w:val="00E22ADF"/>
    <w:rsid w:val="00E22C8F"/>
    <w:rsid w:val="00E23072"/>
    <w:rsid w:val="00E23ACD"/>
    <w:rsid w:val="00E24740"/>
    <w:rsid w:val="00E24D18"/>
    <w:rsid w:val="00E25040"/>
    <w:rsid w:val="00E2542A"/>
    <w:rsid w:val="00E2549B"/>
    <w:rsid w:val="00E25973"/>
    <w:rsid w:val="00E26C3D"/>
    <w:rsid w:val="00E26E59"/>
    <w:rsid w:val="00E27241"/>
    <w:rsid w:val="00E27B7D"/>
    <w:rsid w:val="00E27C1A"/>
    <w:rsid w:val="00E27FE8"/>
    <w:rsid w:val="00E303A6"/>
    <w:rsid w:val="00E304F4"/>
    <w:rsid w:val="00E3052E"/>
    <w:rsid w:val="00E30B0D"/>
    <w:rsid w:val="00E3141B"/>
    <w:rsid w:val="00E31A80"/>
    <w:rsid w:val="00E31AF5"/>
    <w:rsid w:val="00E31D6D"/>
    <w:rsid w:val="00E31DA0"/>
    <w:rsid w:val="00E32394"/>
    <w:rsid w:val="00E33795"/>
    <w:rsid w:val="00E345C9"/>
    <w:rsid w:val="00E3495F"/>
    <w:rsid w:val="00E35F62"/>
    <w:rsid w:val="00E35FC5"/>
    <w:rsid w:val="00E36269"/>
    <w:rsid w:val="00E3642D"/>
    <w:rsid w:val="00E364BE"/>
    <w:rsid w:val="00E37370"/>
    <w:rsid w:val="00E373B3"/>
    <w:rsid w:val="00E37632"/>
    <w:rsid w:val="00E416E8"/>
    <w:rsid w:val="00E41BDA"/>
    <w:rsid w:val="00E42698"/>
    <w:rsid w:val="00E429B1"/>
    <w:rsid w:val="00E436FC"/>
    <w:rsid w:val="00E43CE9"/>
    <w:rsid w:val="00E43F39"/>
    <w:rsid w:val="00E43F76"/>
    <w:rsid w:val="00E45451"/>
    <w:rsid w:val="00E45472"/>
    <w:rsid w:val="00E4564F"/>
    <w:rsid w:val="00E4566E"/>
    <w:rsid w:val="00E45931"/>
    <w:rsid w:val="00E465C1"/>
    <w:rsid w:val="00E46B44"/>
    <w:rsid w:val="00E46E51"/>
    <w:rsid w:val="00E472E5"/>
    <w:rsid w:val="00E47D0A"/>
    <w:rsid w:val="00E50507"/>
    <w:rsid w:val="00E50DF7"/>
    <w:rsid w:val="00E51243"/>
    <w:rsid w:val="00E51263"/>
    <w:rsid w:val="00E51F16"/>
    <w:rsid w:val="00E521A6"/>
    <w:rsid w:val="00E52BBC"/>
    <w:rsid w:val="00E52D47"/>
    <w:rsid w:val="00E5383C"/>
    <w:rsid w:val="00E54178"/>
    <w:rsid w:val="00E54E09"/>
    <w:rsid w:val="00E55638"/>
    <w:rsid w:val="00E55B6B"/>
    <w:rsid w:val="00E55F2A"/>
    <w:rsid w:val="00E56792"/>
    <w:rsid w:val="00E57167"/>
    <w:rsid w:val="00E57602"/>
    <w:rsid w:val="00E5763F"/>
    <w:rsid w:val="00E60ECB"/>
    <w:rsid w:val="00E6138D"/>
    <w:rsid w:val="00E61A30"/>
    <w:rsid w:val="00E62436"/>
    <w:rsid w:val="00E63402"/>
    <w:rsid w:val="00E63684"/>
    <w:rsid w:val="00E63915"/>
    <w:rsid w:val="00E639FB"/>
    <w:rsid w:val="00E63BED"/>
    <w:rsid w:val="00E63CEF"/>
    <w:rsid w:val="00E63F50"/>
    <w:rsid w:val="00E647C9"/>
    <w:rsid w:val="00E64896"/>
    <w:rsid w:val="00E6585D"/>
    <w:rsid w:val="00E65BB8"/>
    <w:rsid w:val="00E660C9"/>
    <w:rsid w:val="00E66581"/>
    <w:rsid w:val="00E66908"/>
    <w:rsid w:val="00E673E1"/>
    <w:rsid w:val="00E67972"/>
    <w:rsid w:val="00E70499"/>
    <w:rsid w:val="00E704C4"/>
    <w:rsid w:val="00E70719"/>
    <w:rsid w:val="00E70914"/>
    <w:rsid w:val="00E713F5"/>
    <w:rsid w:val="00E71546"/>
    <w:rsid w:val="00E719C1"/>
    <w:rsid w:val="00E71A82"/>
    <w:rsid w:val="00E71AE1"/>
    <w:rsid w:val="00E72E67"/>
    <w:rsid w:val="00E7314C"/>
    <w:rsid w:val="00E73377"/>
    <w:rsid w:val="00E73448"/>
    <w:rsid w:val="00E7358D"/>
    <w:rsid w:val="00E73A82"/>
    <w:rsid w:val="00E7443F"/>
    <w:rsid w:val="00E74541"/>
    <w:rsid w:val="00E749B6"/>
    <w:rsid w:val="00E74A01"/>
    <w:rsid w:val="00E753E2"/>
    <w:rsid w:val="00E75895"/>
    <w:rsid w:val="00E76A62"/>
    <w:rsid w:val="00E7710B"/>
    <w:rsid w:val="00E7739B"/>
    <w:rsid w:val="00E776BF"/>
    <w:rsid w:val="00E80201"/>
    <w:rsid w:val="00E80EA6"/>
    <w:rsid w:val="00E8105B"/>
    <w:rsid w:val="00E81206"/>
    <w:rsid w:val="00E81649"/>
    <w:rsid w:val="00E816F3"/>
    <w:rsid w:val="00E8180A"/>
    <w:rsid w:val="00E81AA8"/>
    <w:rsid w:val="00E81CC0"/>
    <w:rsid w:val="00E82B13"/>
    <w:rsid w:val="00E8402D"/>
    <w:rsid w:val="00E84BDF"/>
    <w:rsid w:val="00E85E95"/>
    <w:rsid w:val="00E86927"/>
    <w:rsid w:val="00E86D38"/>
    <w:rsid w:val="00E876D3"/>
    <w:rsid w:val="00E87970"/>
    <w:rsid w:val="00E87E45"/>
    <w:rsid w:val="00E87EAF"/>
    <w:rsid w:val="00E901AC"/>
    <w:rsid w:val="00E90B62"/>
    <w:rsid w:val="00E90C0C"/>
    <w:rsid w:val="00E90CEA"/>
    <w:rsid w:val="00E914AB"/>
    <w:rsid w:val="00E9186A"/>
    <w:rsid w:val="00E919AB"/>
    <w:rsid w:val="00E91B0F"/>
    <w:rsid w:val="00E9291F"/>
    <w:rsid w:val="00E931EC"/>
    <w:rsid w:val="00E9367A"/>
    <w:rsid w:val="00E93A18"/>
    <w:rsid w:val="00E93C2B"/>
    <w:rsid w:val="00E944F1"/>
    <w:rsid w:val="00E94B0C"/>
    <w:rsid w:val="00E94F86"/>
    <w:rsid w:val="00E9517F"/>
    <w:rsid w:val="00E9599D"/>
    <w:rsid w:val="00E95A50"/>
    <w:rsid w:val="00E961A5"/>
    <w:rsid w:val="00E9628D"/>
    <w:rsid w:val="00E96567"/>
    <w:rsid w:val="00E969A7"/>
    <w:rsid w:val="00E97339"/>
    <w:rsid w:val="00EA01F5"/>
    <w:rsid w:val="00EA0324"/>
    <w:rsid w:val="00EA0BCB"/>
    <w:rsid w:val="00EA1152"/>
    <w:rsid w:val="00EA1173"/>
    <w:rsid w:val="00EA1829"/>
    <w:rsid w:val="00EA1A5B"/>
    <w:rsid w:val="00EA1C32"/>
    <w:rsid w:val="00EA1D34"/>
    <w:rsid w:val="00EA38FF"/>
    <w:rsid w:val="00EA3916"/>
    <w:rsid w:val="00EA3966"/>
    <w:rsid w:val="00EA3B34"/>
    <w:rsid w:val="00EA3C14"/>
    <w:rsid w:val="00EA44CA"/>
    <w:rsid w:val="00EA5B4A"/>
    <w:rsid w:val="00EA6074"/>
    <w:rsid w:val="00EA6AFD"/>
    <w:rsid w:val="00EA72C0"/>
    <w:rsid w:val="00EA790F"/>
    <w:rsid w:val="00EA7A36"/>
    <w:rsid w:val="00EA7C47"/>
    <w:rsid w:val="00EB0D83"/>
    <w:rsid w:val="00EB12C0"/>
    <w:rsid w:val="00EB141A"/>
    <w:rsid w:val="00EB15BE"/>
    <w:rsid w:val="00EB1CCE"/>
    <w:rsid w:val="00EB1E2E"/>
    <w:rsid w:val="00EB289E"/>
    <w:rsid w:val="00EB2A50"/>
    <w:rsid w:val="00EB323E"/>
    <w:rsid w:val="00EB35F9"/>
    <w:rsid w:val="00EB3693"/>
    <w:rsid w:val="00EB3A37"/>
    <w:rsid w:val="00EB3CFE"/>
    <w:rsid w:val="00EB4C35"/>
    <w:rsid w:val="00EB50B3"/>
    <w:rsid w:val="00EB5A35"/>
    <w:rsid w:val="00EB5FAD"/>
    <w:rsid w:val="00EB5FFF"/>
    <w:rsid w:val="00EB619F"/>
    <w:rsid w:val="00EB6340"/>
    <w:rsid w:val="00EB64C1"/>
    <w:rsid w:val="00EB6708"/>
    <w:rsid w:val="00EB739B"/>
    <w:rsid w:val="00EB7C5C"/>
    <w:rsid w:val="00EC04F2"/>
    <w:rsid w:val="00EC0BDE"/>
    <w:rsid w:val="00EC0F40"/>
    <w:rsid w:val="00EC1845"/>
    <w:rsid w:val="00EC190A"/>
    <w:rsid w:val="00EC218C"/>
    <w:rsid w:val="00EC2415"/>
    <w:rsid w:val="00EC2D36"/>
    <w:rsid w:val="00EC3A04"/>
    <w:rsid w:val="00EC3A56"/>
    <w:rsid w:val="00EC3A98"/>
    <w:rsid w:val="00EC3DAB"/>
    <w:rsid w:val="00EC3DCE"/>
    <w:rsid w:val="00EC3EB2"/>
    <w:rsid w:val="00EC3FA4"/>
    <w:rsid w:val="00EC4B6E"/>
    <w:rsid w:val="00EC53C8"/>
    <w:rsid w:val="00EC5404"/>
    <w:rsid w:val="00EC545B"/>
    <w:rsid w:val="00EC5CC3"/>
    <w:rsid w:val="00EC6228"/>
    <w:rsid w:val="00EC6BED"/>
    <w:rsid w:val="00EC6DB9"/>
    <w:rsid w:val="00EC6EFB"/>
    <w:rsid w:val="00EC71F1"/>
    <w:rsid w:val="00ED07FB"/>
    <w:rsid w:val="00ED08F7"/>
    <w:rsid w:val="00ED0E56"/>
    <w:rsid w:val="00ED1761"/>
    <w:rsid w:val="00ED18FE"/>
    <w:rsid w:val="00ED1946"/>
    <w:rsid w:val="00ED1C26"/>
    <w:rsid w:val="00ED1C96"/>
    <w:rsid w:val="00ED1E9C"/>
    <w:rsid w:val="00ED1FB0"/>
    <w:rsid w:val="00ED2874"/>
    <w:rsid w:val="00ED29C7"/>
    <w:rsid w:val="00ED2B36"/>
    <w:rsid w:val="00ED405A"/>
    <w:rsid w:val="00ED4146"/>
    <w:rsid w:val="00ED4A08"/>
    <w:rsid w:val="00ED5222"/>
    <w:rsid w:val="00ED5961"/>
    <w:rsid w:val="00ED631C"/>
    <w:rsid w:val="00ED6F48"/>
    <w:rsid w:val="00ED70D4"/>
    <w:rsid w:val="00ED758E"/>
    <w:rsid w:val="00ED7B17"/>
    <w:rsid w:val="00EE01C5"/>
    <w:rsid w:val="00EE0266"/>
    <w:rsid w:val="00EE0747"/>
    <w:rsid w:val="00EE11F6"/>
    <w:rsid w:val="00EE13E9"/>
    <w:rsid w:val="00EE1421"/>
    <w:rsid w:val="00EE15F8"/>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1"/>
    <w:rsid w:val="00EE3EBF"/>
    <w:rsid w:val="00EE3FE7"/>
    <w:rsid w:val="00EE400D"/>
    <w:rsid w:val="00EE4162"/>
    <w:rsid w:val="00EE43CE"/>
    <w:rsid w:val="00EE440A"/>
    <w:rsid w:val="00EE464B"/>
    <w:rsid w:val="00EE480A"/>
    <w:rsid w:val="00EE4EA1"/>
    <w:rsid w:val="00EE6139"/>
    <w:rsid w:val="00EE62D9"/>
    <w:rsid w:val="00EE732F"/>
    <w:rsid w:val="00EE772E"/>
    <w:rsid w:val="00EF03EB"/>
    <w:rsid w:val="00EF08DB"/>
    <w:rsid w:val="00EF0F65"/>
    <w:rsid w:val="00EF10FF"/>
    <w:rsid w:val="00EF11D3"/>
    <w:rsid w:val="00EF29BE"/>
    <w:rsid w:val="00EF340A"/>
    <w:rsid w:val="00EF3558"/>
    <w:rsid w:val="00EF35EE"/>
    <w:rsid w:val="00EF40D1"/>
    <w:rsid w:val="00EF491D"/>
    <w:rsid w:val="00EF4C12"/>
    <w:rsid w:val="00EF52BD"/>
    <w:rsid w:val="00EF5D9B"/>
    <w:rsid w:val="00EF69EC"/>
    <w:rsid w:val="00EF6B7C"/>
    <w:rsid w:val="00EF6E6E"/>
    <w:rsid w:val="00EF6FF1"/>
    <w:rsid w:val="00EF7CC3"/>
    <w:rsid w:val="00EF7F66"/>
    <w:rsid w:val="00F00103"/>
    <w:rsid w:val="00F007BD"/>
    <w:rsid w:val="00F00A48"/>
    <w:rsid w:val="00F012A1"/>
    <w:rsid w:val="00F015E1"/>
    <w:rsid w:val="00F019B0"/>
    <w:rsid w:val="00F01F9C"/>
    <w:rsid w:val="00F02542"/>
    <w:rsid w:val="00F02CCE"/>
    <w:rsid w:val="00F02CFD"/>
    <w:rsid w:val="00F03056"/>
    <w:rsid w:val="00F037F5"/>
    <w:rsid w:val="00F03982"/>
    <w:rsid w:val="00F039AD"/>
    <w:rsid w:val="00F03A95"/>
    <w:rsid w:val="00F03DBE"/>
    <w:rsid w:val="00F0447D"/>
    <w:rsid w:val="00F04589"/>
    <w:rsid w:val="00F0463A"/>
    <w:rsid w:val="00F048E0"/>
    <w:rsid w:val="00F05311"/>
    <w:rsid w:val="00F053D5"/>
    <w:rsid w:val="00F05513"/>
    <w:rsid w:val="00F059C5"/>
    <w:rsid w:val="00F05BA6"/>
    <w:rsid w:val="00F065BF"/>
    <w:rsid w:val="00F06733"/>
    <w:rsid w:val="00F06826"/>
    <w:rsid w:val="00F07965"/>
    <w:rsid w:val="00F10989"/>
    <w:rsid w:val="00F10F9F"/>
    <w:rsid w:val="00F114D8"/>
    <w:rsid w:val="00F11B0D"/>
    <w:rsid w:val="00F11C22"/>
    <w:rsid w:val="00F120F3"/>
    <w:rsid w:val="00F12435"/>
    <w:rsid w:val="00F1284E"/>
    <w:rsid w:val="00F12DC1"/>
    <w:rsid w:val="00F13112"/>
    <w:rsid w:val="00F13145"/>
    <w:rsid w:val="00F13300"/>
    <w:rsid w:val="00F1332E"/>
    <w:rsid w:val="00F13523"/>
    <w:rsid w:val="00F138B2"/>
    <w:rsid w:val="00F14335"/>
    <w:rsid w:val="00F144C3"/>
    <w:rsid w:val="00F14F06"/>
    <w:rsid w:val="00F15412"/>
    <w:rsid w:val="00F159C6"/>
    <w:rsid w:val="00F15CA8"/>
    <w:rsid w:val="00F15DBF"/>
    <w:rsid w:val="00F16431"/>
    <w:rsid w:val="00F16A94"/>
    <w:rsid w:val="00F17013"/>
    <w:rsid w:val="00F173EB"/>
    <w:rsid w:val="00F17595"/>
    <w:rsid w:val="00F17A85"/>
    <w:rsid w:val="00F20170"/>
    <w:rsid w:val="00F2096F"/>
    <w:rsid w:val="00F20D18"/>
    <w:rsid w:val="00F20F44"/>
    <w:rsid w:val="00F218DF"/>
    <w:rsid w:val="00F21A33"/>
    <w:rsid w:val="00F21A85"/>
    <w:rsid w:val="00F22577"/>
    <w:rsid w:val="00F2293D"/>
    <w:rsid w:val="00F22D00"/>
    <w:rsid w:val="00F23316"/>
    <w:rsid w:val="00F23700"/>
    <w:rsid w:val="00F23AB2"/>
    <w:rsid w:val="00F24121"/>
    <w:rsid w:val="00F24BC8"/>
    <w:rsid w:val="00F25718"/>
    <w:rsid w:val="00F25885"/>
    <w:rsid w:val="00F25E9D"/>
    <w:rsid w:val="00F26266"/>
    <w:rsid w:val="00F264DD"/>
    <w:rsid w:val="00F265DA"/>
    <w:rsid w:val="00F2669E"/>
    <w:rsid w:val="00F266AB"/>
    <w:rsid w:val="00F268C7"/>
    <w:rsid w:val="00F271BD"/>
    <w:rsid w:val="00F27410"/>
    <w:rsid w:val="00F2776B"/>
    <w:rsid w:val="00F27E27"/>
    <w:rsid w:val="00F30535"/>
    <w:rsid w:val="00F30EB3"/>
    <w:rsid w:val="00F31A0D"/>
    <w:rsid w:val="00F32148"/>
    <w:rsid w:val="00F324FD"/>
    <w:rsid w:val="00F33218"/>
    <w:rsid w:val="00F33F2F"/>
    <w:rsid w:val="00F3507D"/>
    <w:rsid w:val="00F35498"/>
    <w:rsid w:val="00F35E9E"/>
    <w:rsid w:val="00F35FD8"/>
    <w:rsid w:val="00F36145"/>
    <w:rsid w:val="00F3624D"/>
    <w:rsid w:val="00F366AD"/>
    <w:rsid w:val="00F36914"/>
    <w:rsid w:val="00F36BBA"/>
    <w:rsid w:val="00F37902"/>
    <w:rsid w:val="00F37905"/>
    <w:rsid w:val="00F37947"/>
    <w:rsid w:val="00F37997"/>
    <w:rsid w:val="00F40989"/>
    <w:rsid w:val="00F40C39"/>
    <w:rsid w:val="00F4129D"/>
    <w:rsid w:val="00F414C5"/>
    <w:rsid w:val="00F41F40"/>
    <w:rsid w:val="00F420E5"/>
    <w:rsid w:val="00F42730"/>
    <w:rsid w:val="00F42A4E"/>
    <w:rsid w:val="00F43445"/>
    <w:rsid w:val="00F43DA5"/>
    <w:rsid w:val="00F43E5E"/>
    <w:rsid w:val="00F448D2"/>
    <w:rsid w:val="00F44BB6"/>
    <w:rsid w:val="00F45073"/>
    <w:rsid w:val="00F45DD1"/>
    <w:rsid w:val="00F46513"/>
    <w:rsid w:val="00F46662"/>
    <w:rsid w:val="00F47044"/>
    <w:rsid w:val="00F4720D"/>
    <w:rsid w:val="00F47216"/>
    <w:rsid w:val="00F47376"/>
    <w:rsid w:val="00F474E9"/>
    <w:rsid w:val="00F479DD"/>
    <w:rsid w:val="00F47CE3"/>
    <w:rsid w:val="00F5024E"/>
    <w:rsid w:val="00F50E6F"/>
    <w:rsid w:val="00F519DC"/>
    <w:rsid w:val="00F52232"/>
    <w:rsid w:val="00F527B4"/>
    <w:rsid w:val="00F52990"/>
    <w:rsid w:val="00F52A7D"/>
    <w:rsid w:val="00F52C56"/>
    <w:rsid w:val="00F53E5C"/>
    <w:rsid w:val="00F548D3"/>
    <w:rsid w:val="00F54A53"/>
    <w:rsid w:val="00F5518C"/>
    <w:rsid w:val="00F552FA"/>
    <w:rsid w:val="00F55F24"/>
    <w:rsid w:val="00F56196"/>
    <w:rsid w:val="00F56606"/>
    <w:rsid w:val="00F568F1"/>
    <w:rsid w:val="00F572A9"/>
    <w:rsid w:val="00F57615"/>
    <w:rsid w:val="00F57650"/>
    <w:rsid w:val="00F5791F"/>
    <w:rsid w:val="00F57CB4"/>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4F7B"/>
    <w:rsid w:val="00F6564B"/>
    <w:rsid w:val="00F6564D"/>
    <w:rsid w:val="00F66367"/>
    <w:rsid w:val="00F670C0"/>
    <w:rsid w:val="00F70252"/>
    <w:rsid w:val="00F709BA"/>
    <w:rsid w:val="00F70D8C"/>
    <w:rsid w:val="00F70DF1"/>
    <w:rsid w:val="00F71183"/>
    <w:rsid w:val="00F71B86"/>
    <w:rsid w:val="00F725F3"/>
    <w:rsid w:val="00F72F2A"/>
    <w:rsid w:val="00F73829"/>
    <w:rsid w:val="00F73A12"/>
    <w:rsid w:val="00F73F99"/>
    <w:rsid w:val="00F73FC6"/>
    <w:rsid w:val="00F74DE1"/>
    <w:rsid w:val="00F74DEB"/>
    <w:rsid w:val="00F75405"/>
    <w:rsid w:val="00F7548A"/>
    <w:rsid w:val="00F75B48"/>
    <w:rsid w:val="00F75E70"/>
    <w:rsid w:val="00F76012"/>
    <w:rsid w:val="00F76A13"/>
    <w:rsid w:val="00F76AD3"/>
    <w:rsid w:val="00F76D7C"/>
    <w:rsid w:val="00F7716E"/>
    <w:rsid w:val="00F7766C"/>
    <w:rsid w:val="00F77900"/>
    <w:rsid w:val="00F7795E"/>
    <w:rsid w:val="00F80532"/>
    <w:rsid w:val="00F806DA"/>
    <w:rsid w:val="00F80BCA"/>
    <w:rsid w:val="00F80ED3"/>
    <w:rsid w:val="00F80FB8"/>
    <w:rsid w:val="00F818FE"/>
    <w:rsid w:val="00F819D1"/>
    <w:rsid w:val="00F82508"/>
    <w:rsid w:val="00F82A6B"/>
    <w:rsid w:val="00F835D4"/>
    <w:rsid w:val="00F83943"/>
    <w:rsid w:val="00F83EB2"/>
    <w:rsid w:val="00F84D0B"/>
    <w:rsid w:val="00F84DAD"/>
    <w:rsid w:val="00F84DFF"/>
    <w:rsid w:val="00F84FED"/>
    <w:rsid w:val="00F85AC2"/>
    <w:rsid w:val="00F86173"/>
    <w:rsid w:val="00F866B4"/>
    <w:rsid w:val="00F86726"/>
    <w:rsid w:val="00F86B22"/>
    <w:rsid w:val="00F87247"/>
    <w:rsid w:val="00F87AF6"/>
    <w:rsid w:val="00F9072C"/>
    <w:rsid w:val="00F907A1"/>
    <w:rsid w:val="00F90B14"/>
    <w:rsid w:val="00F92138"/>
    <w:rsid w:val="00F92596"/>
    <w:rsid w:val="00F92D8E"/>
    <w:rsid w:val="00F92F1D"/>
    <w:rsid w:val="00F935D9"/>
    <w:rsid w:val="00F935DA"/>
    <w:rsid w:val="00F93A6A"/>
    <w:rsid w:val="00F93B95"/>
    <w:rsid w:val="00F9439F"/>
    <w:rsid w:val="00F94805"/>
    <w:rsid w:val="00F9516F"/>
    <w:rsid w:val="00F9559D"/>
    <w:rsid w:val="00F95C4E"/>
    <w:rsid w:val="00F960B0"/>
    <w:rsid w:val="00F96871"/>
    <w:rsid w:val="00F96D5B"/>
    <w:rsid w:val="00F97278"/>
    <w:rsid w:val="00F975D7"/>
    <w:rsid w:val="00FA1458"/>
    <w:rsid w:val="00FA1A3E"/>
    <w:rsid w:val="00FA1B66"/>
    <w:rsid w:val="00FA1BCE"/>
    <w:rsid w:val="00FA2150"/>
    <w:rsid w:val="00FA21D2"/>
    <w:rsid w:val="00FA22B7"/>
    <w:rsid w:val="00FA2C2F"/>
    <w:rsid w:val="00FA2E13"/>
    <w:rsid w:val="00FA2E68"/>
    <w:rsid w:val="00FA3669"/>
    <w:rsid w:val="00FA3742"/>
    <w:rsid w:val="00FA3746"/>
    <w:rsid w:val="00FA37B7"/>
    <w:rsid w:val="00FA3C37"/>
    <w:rsid w:val="00FA3C6C"/>
    <w:rsid w:val="00FA485F"/>
    <w:rsid w:val="00FA4999"/>
    <w:rsid w:val="00FA49A7"/>
    <w:rsid w:val="00FA4AA0"/>
    <w:rsid w:val="00FA54DE"/>
    <w:rsid w:val="00FA587B"/>
    <w:rsid w:val="00FA6579"/>
    <w:rsid w:val="00FA6892"/>
    <w:rsid w:val="00FA7AB6"/>
    <w:rsid w:val="00FA7B69"/>
    <w:rsid w:val="00FA7C9B"/>
    <w:rsid w:val="00FA7DF2"/>
    <w:rsid w:val="00FB0199"/>
    <w:rsid w:val="00FB0708"/>
    <w:rsid w:val="00FB0731"/>
    <w:rsid w:val="00FB1624"/>
    <w:rsid w:val="00FB169D"/>
    <w:rsid w:val="00FB1B9F"/>
    <w:rsid w:val="00FB1E2C"/>
    <w:rsid w:val="00FB20E0"/>
    <w:rsid w:val="00FB2890"/>
    <w:rsid w:val="00FB2BA0"/>
    <w:rsid w:val="00FB2D3D"/>
    <w:rsid w:val="00FB3624"/>
    <w:rsid w:val="00FB36D8"/>
    <w:rsid w:val="00FB36FE"/>
    <w:rsid w:val="00FB37BE"/>
    <w:rsid w:val="00FB3B0C"/>
    <w:rsid w:val="00FB4443"/>
    <w:rsid w:val="00FB44AB"/>
    <w:rsid w:val="00FB4B5C"/>
    <w:rsid w:val="00FB503C"/>
    <w:rsid w:val="00FB5662"/>
    <w:rsid w:val="00FB5B54"/>
    <w:rsid w:val="00FB5E4B"/>
    <w:rsid w:val="00FB63CF"/>
    <w:rsid w:val="00FC093A"/>
    <w:rsid w:val="00FC17B1"/>
    <w:rsid w:val="00FC20DF"/>
    <w:rsid w:val="00FC21BC"/>
    <w:rsid w:val="00FC2469"/>
    <w:rsid w:val="00FC3079"/>
    <w:rsid w:val="00FC343C"/>
    <w:rsid w:val="00FC37D5"/>
    <w:rsid w:val="00FC3B70"/>
    <w:rsid w:val="00FC42A3"/>
    <w:rsid w:val="00FC5489"/>
    <w:rsid w:val="00FC66DA"/>
    <w:rsid w:val="00FC70D5"/>
    <w:rsid w:val="00FD0237"/>
    <w:rsid w:val="00FD0577"/>
    <w:rsid w:val="00FD0DDD"/>
    <w:rsid w:val="00FD0FE8"/>
    <w:rsid w:val="00FD14EA"/>
    <w:rsid w:val="00FD169E"/>
    <w:rsid w:val="00FD1828"/>
    <w:rsid w:val="00FD1B05"/>
    <w:rsid w:val="00FD1D93"/>
    <w:rsid w:val="00FD234E"/>
    <w:rsid w:val="00FD2D65"/>
    <w:rsid w:val="00FD3038"/>
    <w:rsid w:val="00FD3587"/>
    <w:rsid w:val="00FD415E"/>
    <w:rsid w:val="00FD432F"/>
    <w:rsid w:val="00FD44EA"/>
    <w:rsid w:val="00FD4775"/>
    <w:rsid w:val="00FD477B"/>
    <w:rsid w:val="00FD4872"/>
    <w:rsid w:val="00FD496D"/>
    <w:rsid w:val="00FD4D32"/>
    <w:rsid w:val="00FD5128"/>
    <w:rsid w:val="00FD57D0"/>
    <w:rsid w:val="00FD5974"/>
    <w:rsid w:val="00FD5D0B"/>
    <w:rsid w:val="00FD5F79"/>
    <w:rsid w:val="00FD63F3"/>
    <w:rsid w:val="00FD675A"/>
    <w:rsid w:val="00FD694D"/>
    <w:rsid w:val="00FD719E"/>
    <w:rsid w:val="00FD71F9"/>
    <w:rsid w:val="00FD78B1"/>
    <w:rsid w:val="00FD7C18"/>
    <w:rsid w:val="00FD7E9C"/>
    <w:rsid w:val="00FD7F39"/>
    <w:rsid w:val="00FE0530"/>
    <w:rsid w:val="00FE054D"/>
    <w:rsid w:val="00FE0B8F"/>
    <w:rsid w:val="00FE0DB1"/>
    <w:rsid w:val="00FE123B"/>
    <w:rsid w:val="00FE1E66"/>
    <w:rsid w:val="00FE224C"/>
    <w:rsid w:val="00FE2D21"/>
    <w:rsid w:val="00FE3263"/>
    <w:rsid w:val="00FE406D"/>
    <w:rsid w:val="00FE465D"/>
    <w:rsid w:val="00FE48DE"/>
    <w:rsid w:val="00FE4F50"/>
    <w:rsid w:val="00FE533E"/>
    <w:rsid w:val="00FE5516"/>
    <w:rsid w:val="00FE5C3D"/>
    <w:rsid w:val="00FE625F"/>
    <w:rsid w:val="00FE6566"/>
    <w:rsid w:val="00FE7163"/>
    <w:rsid w:val="00FE72BE"/>
    <w:rsid w:val="00FE7A44"/>
    <w:rsid w:val="00FE7DB4"/>
    <w:rsid w:val="00FF004B"/>
    <w:rsid w:val="00FF052D"/>
    <w:rsid w:val="00FF0A4D"/>
    <w:rsid w:val="00FF0B8D"/>
    <w:rsid w:val="00FF1B56"/>
    <w:rsid w:val="00FF2133"/>
    <w:rsid w:val="00FF25A4"/>
    <w:rsid w:val="00FF2625"/>
    <w:rsid w:val="00FF26FF"/>
    <w:rsid w:val="00FF2960"/>
    <w:rsid w:val="00FF2DE3"/>
    <w:rsid w:val="00FF358A"/>
    <w:rsid w:val="00FF40F5"/>
    <w:rsid w:val="00FF43D8"/>
    <w:rsid w:val="00FF47CC"/>
    <w:rsid w:val="00FF4EEB"/>
    <w:rsid w:val="00FF546B"/>
    <w:rsid w:val="00FF54A0"/>
    <w:rsid w:val="00FF5B6A"/>
    <w:rsid w:val="00FF5F39"/>
    <w:rsid w:val="00FF5FEF"/>
    <w:rsid w:val="00FF6162"/>
    <w:rsid w:val="00FF6AD6"/>
    <w:rsid w:val="00FF6ADB"/>
    <w:rsid w:val="00FF6D13"/>
    <w:rsid w:val="00FF6F4B"/>
    <w:rsid w:val="00FF7F16"/>
    <w:rsid w:val="01027A76"/>
    <w:rsid w:val="01087D92"/>
    <w:rsid w:val="010B76B4"/>
    <w:rsid w:val="011E66F0"/>
    <w:rsid w:val="011F6A70"/>
    <w:rsid w:val="0125681A"/>
    <w:rsid w:val="012A4E2C"/>
    <w:rsid w:val="01351DB7"/>
    <w:rsid w:val="013F3D86"/>
    <w:rsid w:val="01407649"/>
    <w:rsid w:val="0150059B"/>
    <w:rsid w:val="015C0EBB"/>
    <w:rsid w:val="017658EE"/>
    <w:rsid w:val="018241E3"/>
    <w:rsid w:val="0187172A"/>
    <w:rsid w:val="0188380D"/>
    <w:rsid w:val="018A1439"/>
    <w:rsid w:val="018C7211"/>
    <w:rsid w:val="018E2A9B"/>
    <w:rsid w:val="01944054"/>
    <w:rsid w:val="0196032D"/>
    <w:rsid w:val="019C09DA"/>
    <w:rsid w:val="01A050EF"/>
    <w:rsid w:val="01AC6FF2"/>
    <w:rsid w:val="01AD5B88"/>
    <w:rsid w:val="01AF354D"/>
    <w:rsid w:val="01B12F55"/>
    <w:rsid w:val="01B41481"/>
    <w:rsid w:val="01B84694"/>
    <w:rsid w:val="01B8481B"/>
    <w:rsid w:val="01BD0E60"/>
    <w:rsid w:val="01C26E13"/>
    <w:rsid w:val="01CD5676"/>
    <w:rsid w:val="01E53944"/>
    <w:rsid w:val="01E62D72"/>
    <w:rsid w:val="01EA312A"/>
    <w:rsid w:val="01F068F2"/>
    <w:rsid w:val="01FF4992"/>
    <w:rsid w:val="02015B47"/>
    <w:rsid w:val="020F1719"/>
    <w:rsid w:val="02111504"/>
    <w:rsid w:val="02131A4F"/>
    <w:rsid w:val="02235224"/>
    <w:rsid w:val="02282146"/>
    <w:rsid w:val="0231074F"/>
    <w:rsid w:val="02345E8B"/>
    <w:rsid w:val="02354F69"/>
    <w:rsid w:val="023845F3"/>
    <w:rsid w:val="02492F92"/>
    <w:rsid w:val="02500809"/>
    <w:rsid w:val="02505DFE"/>
    <w:rsid w:val="025A19AF"/>
    <w:rsid w:val="025B2DC4"/>
    <w:rsid w:val="02621EB2"/>
    <w:rsid w:val="02651E6D"/>
    <w:rsid w:val="026B4332"/>
    <w:rsid w:val="02753D93"/>
    <w:rsid w:val="02775D19"/>
    <w:rsid w:val="02850BB3"/>
    <w:rsid w:val="028D239F"/>
    <w:rsid w:val="02934CEF"/>
    <w:rsid w:val="02985EFC"/>
    <w:rsid w:val="02A75F90"/>
    <w:rsid w:val="02AA616C"/>
    <w:rsid w:val="02B53CBE"/>
    <w:rsid w:val="02B75C34"/>
    <w:rsid w:val="02BC4DEB"/>
    <w:rsid w:val="02C11642"/>
    <w:rsid w:val="02C519A4"/>
    <w:rsid w:val="02C70C22"/>
    <w:rsid w:val="02C766DC"/>
    <w:rsid w:val="02CD15A9"/>
    <w:rsid w:val="02D012D4"/>
    <w:rsid w:val="02D21482"/>
    <w:rsid w:val="02E42A9C"/>
    <w:rsid w:val="02E64D83"/>
    <w:rsid w:val="02F62A6C"/>
    <w:rsid w:val="02FC2C26"/>
    <w:rsid w:val="030A1C11"/>
    <w:rsid w:val="030B0178"/>
    <w:rsid w:val="030C1913"/>
    <w:rsid w:val="0316617E"/>
    <w:rsid w:val="03195C6F"/>
    <w:rsid w:val="031C7D02"/>
    <w:rsid w:val="03200295"/>
    <w:rsid w:val="032B6C3A"/>
    <w:rsid w:val="032D2E34"/>
    <w:rsid w:val="033B2F48"/>
    <w:rsid w:val="03446385"/>
    <w:rsid w:val="034B7E0E"/>
    <w:rsid w:val="03561BFA"/>
    <w:rsid w:val="03576E5E"/>
    <w:rsid w:val="036E42B8"/>
    <w:rsid w:val="03746140"/>
    <w:rsid w:val="03783D1C"/>
    <w:rsid w:val="037E0EBC"/>
    <w:rsid w:val="038F1B8A"/>
    <w:rsid w:val="03A12977"/>
    <w:rsid w:val="03C0711D"/>
    <w:rsid w:val="03D27A19"/>
    <w:rsid w:val="03D34840"/>
    <w:rsid w:val="03DC6552"/>
    <w:rsid w:val="03DF7E7F"/>
    <w:rsid w:val="03E456B1"/>
    <w:rsid w:val="03E80866"/>
    <w:rsid w:val="03F940E4"/>
    <w:rsid w:val="03FB3407"/>
    <w:rsid w:val="03FC68A8"/>
    <w:rsid w:val="03FE4686"/>
    <w:rsid w:val="040000C7"/>
    <w:rsid w:val="0407623A"/>
    <w:rsid w:val="040A45ED"/>
    <w:rsid w:val="041F0240"/>
    <w:rsid w:val="044A0936"/>
    <w:rsid w:val="044C7F0A"/>
    <w:rsid w:val="045D3940"/>
    <w:rsid w:val="045E7F67"/>
    <w:rsid w:val="046643CE"/>
    <w:rsid w:val="04687059"/>
    <w:rsid w:val="047636B0"/>
    <w:rsid w:val="047776B3"/>
    <w:rsid w:val="04797C66"/>
    <w:rsid w:val="047B348E"/>
    <w:rsid w:val="04823210"/>
    <w:rsid w:val="04845847"/>
    <w:rsid w:val="049709EF"/>
    <w:rsid w:val="049A32E7"/>
    <w:rsid w:val="04A16039"/>
    <w:rsid w:val="04A32E9D"/>
    <w:rsid w:val="04A5459C"/>
    <w:rsid w:val="04A85A33"/>
    <w:rsid w:val="04AB0032"/>
    <w:rsid w:val="04AD7D44"/>
    <w:rsid w:val="04B505E1"/>
    <w:rsid w:val="04CA4B7D"/>
    <w:rsid w:val="04DC5E9A"/>
    <w:rsid w:val="04DE672A"/>
    <w:rsid w:val="04DF688A"/>
    <w:rsid w:val="04EB6681"/>
    <w:rsid w:val="04ED62D5"/>
    <w:rsid w:val="04EE3788"/>
    <w:rsid w:val="04EE7396"/>
    <w:rsid w:val="04EF33C9"/>
    <w:rsid w:val="04EF6E3D"/>
    <w:rsid w:val="04F158D1"/>
    <w:rsid w:val="04F6056D"/>
    <w:rsid w:val="04FC7AB8"/>
    <w:rsid w:val="04FD6405"/>
    <w:rsid w:val="04FE423E"/>
    <w:rsid w:val="050429A0"/>
    <w:rsid w:val="05065269"/>
    <w:rsid w:val="050F4522"/>
    <w:rsid w:val="051657B3"/>
    <w:rsid w:val="0518096F"/>
    <w:rsid w:val="05224C5A"/>
    <w:rsid w:val="05263B5D"/>
    <w:rsid w:val="052676B9"/>
    <w:rsid w:val="052A6C76"/>
    <w:rsid w:val="0536196B"/>
    <w:rsid w:val="05365FA5"/>
    <w:rsid w:val="05377777"/>
    <w:rsid w:val="054118EE"/>
    <w:rsid w:val="054144F3"/>
    <w:rsid w:val="05445D91"/>
    <w:rsid w:val="05473182"/>
    <w:rsid w:val="054B37A2"/>
    <w:rsid w:val="05551897"/>
    <w:rsid w:val="0559116C"/>
    <w:rsid w:val="05594C10"/>
    <w:rsid w:val="055C719A"/>
    <w:rsid w:val="055D228D"/>
    <w:rsid w:val="05621F7F"/>
    <w:rsid w:val="05642459"/>
    <w:rsid w:val="057B32AF"/>
    <w:rsid w:val="057D3D11"/>
    <w:rsid w:val="05950E17"/>
    <w:rsid w:val="0597302A"/>
    <w:rsid w:val="05A12F11"/>
    <w:rsid w:val="05A57D26"/>
    <w:rsid w:val="05A71D74"/>
    <w:rsid w:val="05A95E4F"/>
    <w:rsid w:val="05BC68A5"/>
    <w:rsid w:val="05C134FC"/>
    <w:rsid w:val="05C137F5"/>
    <w:rsid w:val="05C42ED6"/>
    <w:rsid w:val="05C8561B"/>
    <w:rsid w:val="05C96380"/>
    <w:rsid w:val="05CD3FDF"/>
    <w:rsid w:val="05D7022B"/>
    <w:rsid w:val="05DB041C"/>
    <w:rsid w:val="05DE5BF1"/>
    <w:rsid w:val="05E54A72"/>
    <w:rsid w:val="05F55A1C"/>
    <w:rsid w:val="05FB0B46"/>
    <w:rsid w:val="060875F4"/>
    <w:rsid w:val="060D0FFA"/>
    <w:rsid w:val="06142543"/>
    <w:rsid w:val="061A594B"/>
    <w:rsid w:val="061B18C4"/>
    <w:rsid w:val="061C6564"/>
    <w:rsid w:val="06227167"/>
    <w:rsid w:val="062B45ED"/>
    <w:rsid w:val="063212B4"/>
    <w:rsid w:val="06336531"/>
    <w:rsid w:val="063601AC"/>
    <w:rsid w:val="06481456"/>
    <w:rsid w:val="06482ACC"/>
    <w:rsid w:val="06543B66"/>
    <w:rsid w:val="065E0D30"/>
    <w:rsid w:val="06606421"/>
    <w:rsid w:val="0665282F"/>
    <w:rsid w:val="066A3C7B"/>
    <w:rsid w:val="066B5016"/>
    <w:rsid w:val="066C6F4E"/>
    <w:rsid w:val="066F04FF"/>
    <w:rsid w:val="06721A40"/>
    <w:rsid w:val="067B7E89"/>
    <w:rsid w:val="067F0D65"/>
    <w:rsid w:val="068E2F00"/>
    <w:rsid w:val="0693146B"/>
    <w:rsid w:val="069D4928"/>
    <w:rsid w:val="069F07B9"/>
    <w:rsid w:val="06A25401"/>
    <w:rsid w:val="06A2679D"/>
    <w:rsid w:val="06A62448"/>
    <w:rsid w:val="06A7368A"/>
    <w:rsid w:val="06A74D48"/>
    <w:rsid w:val="06B01F3B"/>
    <w:rsid w:val="06B12033"/>
    <w:rsid w:val="06BB0EAA"/>
    <w:rsid w:val="06BD34A4"/>
    <w:rsid w:val="06BF04CB"/>
    <w:rsid w:val="06C70013"/>
    <w:rsid w:val="06C93296"/>
    <w:rsid w:val="06CC4290"/>
    <w:rsid w:val="06D46BCA"/>
    <w:rsid w:val="06D90323"/>
    <w:rsid w:val="06D949E3"/>
    <w:rsid w:val="06DA69AD"/>
    <w:rsid w:val="06DD1AFD"/>
    <w:rsid w:val="06E445F8"/>
    <w:rsid w:val="06E87E13"/>
    <w:rsid w:val="06ED03B4"/>
    <w:rsid w:val="06ED18D7"/>
    <w:rsid w:val="06FF6413"/>
    <w:rsid w:val="0700344F"/>
    <w:rsid w:val="07010474"/>
    <w:rsid w:val="07034156"/>
    <w:rsid w:val="07075C9C"/>
    <w:rsid w:val="070B300A"/>
    <w:rsid w:val="073C1361"/>
    <w:rsid w:val="07400022"/>
    <w:rsid w:val="074C36E1"/>
    <w:rsid w:val="0756231F"/>
    <w:rsid w:val="07590CF0"/>
    <w:rsid w:val="07657622"/>
    <w:rsid w:val="07767E6A"/>
    <w:rsid w:val="07797230"/>
    <w:rsid w:val="07832BD0"/>
    <w:rsid w:val="078B100F"/>
    <w:rsid w:val="07953D06"/>
    <w:rsid w:val="079A3F2C"/>
    <w:rsid w:val="07A05125"/>
    <w:rsid w:val="07A2377D"/>
    <w:rsid w:val="07A92473"/>
    <w:rsid w:val="07B465CB"/>
    <w:rsid w:val="07BA4905"/>
    <w:rsid w:val="07BC4304"/>
    <w:rsid w:val="07CA6A21"/>
    <w:rsid w:val="07D40FD5"/>
    <w:rsid w:val="07D4316E"/>
    <w:rsid w:val="07DB0C2F"/>
    <w:rsid w:val="07E14ADB"/>
    <w:rsid w:val="07E34EA8"/>
    <w:rsid w:val="07E61381"/>
    <w:rsid w:val="07F10AB7"/>
    <w:rsid w:val="07F15947"/>
    <w:rsid w:val="07F93805"/>
    <w:rsid w:val="07FA2903"/>
    <w:rsid w:val="08040837"/>
    <w:rsid w:val="080E7A84"/>
    <w:rsid w:val="081169D5"/>
    <w:rsid w:val="081415B7"/>
    <w:rsid w:val="08152B18"/>
    <w:rsid w:val="081C547D"/>
    <w:rsid w:val="08252894"/>
    <w:rsid w:val="082962CE"/>
    <w:rsid w:val="082A162C"/>
    <w:rsid w:val="082C5831"/>
    <w:rsid w:val="08326375"/>
    <w:rsid w:val="08364DDB"/>
    <w:rsid w:val="083F75BF"/>
    <w:rsid w:val="084F3B52"/>
    <w:rsid w:val="08541B92"/>
    <w:rsid w:val="0854453D"/>
    <w:rsid w:val="085E409F"/>
    <w:rsid w:val="085F3A26"/>
    <w:rsid w:val="08625F36"/>
    <w:rsid w:val="0868273B"/>
    <w:rsid w:val="0869448C"/>
    <w:rsid w:val="086E05B8"/>
    <w:rsid w:val="0876656F"/>
    <w:rsid w:val="08782B49"/>
    <w:rsid w:val="087832DE"/>
    <w:rsid w:val="08834CD2"/>
    <w:rsid w:val="088B72CA"/>
    <w:rsid w:val="0893420B"/>
    <w:rsid w:val="089D5FCA"/>
    <w:rsid w:val="08A40E63"/>
    <w:rsid w:val="08A47847"/>
    <w:rsid w:val="08A64B69"/>
    <w:rsid w:val="08A96F6C"/>
    <w:rsid w:val="08AE04A4"/>
    <w:rsid w:val="08B870B9"/>
    <w:rsid w:val="08BB0B7D"/>
    <w:rsid w:val="08BD6814"/>
    <w:rsid w:val="08C24552"/>
    <w:rsid w:val="08C554A9"/>
    <w:rsid w:val="08C702C1"/>
    <w:rsid w:val="08CC5C4F"/>
    <w:rsid w:val="08D2725E"/>
    <w:rsid w:val="08D56BA9"/>
    <w:rsid w:val="08DE0896"/>
    <w:rsid w:val="08DE6430"/>
    <w:rsid w:val="08E91129"/>
    <w:rsid w:val="08EE28CE"/>
    <w:rsid w:val="08FA460C"/>
    <w:rsid w:val="08FD1DB0"/>
    <w:rsid w:val="090C39AE"/>
    <w:rsid w:val="09135118"/>
    <w:rsid w:val="09135DEC"/>
    <w:rsid w:val="09174C9C"/>
    <w:rsid w:val="09194265"/>
    <w:rsid w:val="09245DBA"/>
    <w:rsid w:val="09311E5E"/>
    <w:rsid w:val="09326AB5"/>
    <w:rsid w:val="09364BFB"/>
    <w:rsid w:val="093B3D65"/>
    <w:rsid w:val="09532A47"/>
    <w:rsid w:val="095A4D71"/>
    <w:rsid w:val="095A61F2"/>
    <w:rsid w:val="095E10D2"/>
    <w:rsid w:val="09677BCA"/>
    <w:rsid w:val="096B24B5"/>
    <w:rsid w:val="096B3FC3"/>
    <w:rsid w:val="097052A5"/>
    <w:rsid w:val="09733EF0"/>
    <w:rsid w:val="098229F5"/>
    <w:rsid w:val="098709BF"/>
    <w:rsid w:val="09895F21"/>
    <w:rsid w:val="0989722B"/>
    <w:rsid w:val="09924976"/>
    <w:rsid w:val="09965E1F"/>
    <w:rsid w:val="099B6A31"/>
    <w:rsid w:val="09A5375D"/>
    <w:rsid w:val="09AA4D5C"/>
    <w:rsid w:val="09AB27FB"/>
    <w:rsid w:val="09B01C47"/>
    <w:rsid w:val="09C36367"/>
    <w:rsid w:val="09DC3A8A"/>
    <w:rsid w:val="09DE61FC"/>
    <w:rsid w:val="09E37701"/>
    <w:rsid w:val="09E426AA"/>
    <w:rsid w:val="09E86999"/>
    <w:rsid w:val="09EE6F33"/>
    <w:rsid w:val="09EE6F5D"/>
    <w:rsid w:val="09EF4D90"/>
    <w:rsid w:val="09FC434C"/>
    <w:rsid w:val="0A0013DE"/>
    <w:rsid w:val="0A00497C"/>
    <w:rsid w:val="0A0D4FB5"/>
    <w:rsid w:val="0A105F7A"/>
    <w:rsid w:val="0A150CA6"/>
    <w:rsid w:val="0A163992"/>
    <w:rsid w:val="0A1D5CB7"/>
    <w:rsid w:val="0A1F5988"/>
    <w:rsid w:val="0A2B7FB7"/>
    <w:rsid w:val="0A2D1483"/>
    <w:rsid w:val="0A2F0DBE"/>
    <w:rsid w:val="0A2F167A"/>
    <w:rsid w:val="0A313A0C"/>
    <w:rsid w:val="0A3251DC"/>
    <w:rsid w:val="0A3A7E41"/>
    <w:rsid w:val="0A3E2510"/>
    <w:rsid w:val="0A4859BC"/>
    <w:rsid w:val="0A4B3096"/>
    <w:rsid w:val="0A5151D8"/>
    <w:rsid w:val="0A54268C"/>
    <w:rsid w:val="0A5C65DF"/>
    <w:rsid w:val="0A605F64"/>
    <w:rsid w:val="0A654C02"/>
    <w:rsid w:val="0A661703"/>
    <w:rsid w:val="0A667B75"/>
    <w:rsid w:val="0A7107EE"/>
    <w:rsid w:val="0A736854"/>
    <w:rsid w:val="0A7B4D7D"/>
    <w:rsid w:val="0A8650D8"/>
    <w:rsid w:val="0A8E1890"/>
    <w:rsid w:val="0A96040B"/>
    <w:rsid w:val="0A980FB2"/>
    <w:rsid w:val="0A9914EE"/>
    <w:rsid w:val="0A9D1864"/>
    <w:rsid w:val="0AAA2B3A"/>
    <w:rsid w:val="0AB20492"/>
    <w:rsid w:val="0ABF201D"/>
    <w:rsid w:val="0AC05D10"/>
    <w:rsid w:val="0AE02525"/>
    <w:rsid w:val="0AE2367F"/>
    <w:rsid w:val="0AE93662"/>
    <w:rsid w:val="0AF12603"/>
    <w:rsid w:val="0AF344E1"/>
    <w:rsid w:val="0AFA1FA1"/>
    <w:rsid w:val="0AFA57D8"/>
    <w:rsid w:val="0AFC15E8"/>
    <w:rsid w:val="0B043AD4"/>
    <w:rsid w:val="0B073641"/>
    <w:rsid w:val="0B1622E9"/>
    <w:rsid w:val="0B1E2A0E"/>
    <w:rsid w:val="0B225152"/>
    <w:rsid w:val="0B2621C1"/>
    <w:rsid w:val="0B303037"/>
    <w:rsid w:val="0B36269B"/>
    <w:rsid w:val="0B3643CE"/>
    <w:rsid w:val="0B3E0F30"/>
    <w:rsid w:val="0B4460B3"/>
    <w:rsid w:val="0B553B0A"/>
    <w:rsid w:val="0B6013AC"/>
    <w:rsid w:val="0B6743F7"/>
    <w:rsid w:val="0B6D2757"/>
    <w:rsid w:val="0B6F61BA"/>
    <w:rsid w:val="0B764DD0"/>
    <w:rsid w:val="0B7D5DC3"/>
    <w:rsid w:val="0B7D6096"/>
    <w:rsid w:val="0B801653"/>
    <w:rsid w:val="0B8E72E7"/>
    <w:rsid w:val="0B930E7B"/>
    <w:rsid w:val="0B9B15F8"/>
    <w:rsid w:val="0BAE10F3"/>
    <w:rsid w:val="0BAF1639"/>
    <w:rsid w:val="0BBB1DAE"/>
    <w:rsid w:val="0BC5281A"/>
    <w:rsid w:val="0BC63B0D"/>
    <w:rsid w:val="0BCC4159"/>
    <w:rsid w:val="0BCE168D"/>
    <w:rsid w:val="0BCF7BF4"/>
    <w:rsid w:val="0BD0264B"/>
    <w:rsid w:val="0BD50850"/>
    <w:rsid w:val="0BD55995"/>
    <w:rsid w:val="0BDC31C7"/>
    <w:rsid w:val="0BDF6813"/>
    <w:rsid w:val="0BE62FA6"/>
    <w:rsid w:val="0BEF5CA5"/>
    <w:rsid w:val="0BF0642E"/>
    <w:rsid w:val="0BF260E9"/>
    <w:rsid w:val="0BF525B1"/>
    <w:rsid w:val="0C0C591E"/>
    <w:rsid w:val="0C0F3E9B"/>
    <w:rsid w:val="0C0F576D"/>
    <w:rsid w:val="0C1140C3"/>
    <w:rsid w:val="0C1326F0"/>
    <w:rsid w:val="0C191D25"/>
    <w:rsid w:val="0C1955C0"/>
    <w:rsid w:val="0C256136"/>
    <w:rsid w:val="0C26399B"/>
    <w:rsid w:val="0C291ADC"/>
    <w:rsid w:val="0C3A510A"/>
    <w:rsid w:val="0C3D5F21"/>
    <w:rsid w:val="0C3E518D"/>
    <w:rsid w:val="0C452B1A"/>
    <w:rsid w:val="0C4D4F8A"/>
    <w:rsid w:val="0C50067B"/>
    <w:rsid w:val="0C507879"/>
    <w:rsid w:val="0C5478BF"/>
    <w:rsid w:val="0C5503BA"/>
    <w:rsid w:val="0C56615C"/>
    <w:rsid w:val="0C676015"/>
    <w:rsid w:val="0C6915F2"/>
    <w:rsid w:val="0C6E0DF7"/>
    <w:rsid w:val="0C7569FC"/>
    <w:rsid w:val="0C856E52"/>
    <w:rsid w:val="0C8672C2"/>
    <w:rsid w:val="0C875075"/>
    <w:rsid w:val="0C8835F1"/>
    <w:rsid w:val="0C973380"/>
    <w:rsid w:val="0C9849FA"/>
    <w:rsid w:val="0CA86D79"/>
    <w:rsid w:val="0CAA14BB"/>
    <w:rsid w:val="0CB33F28"/>
    <w:rsid w:val="0CB37A05"/>
    <w:rsid w:val="0CB41A9D"/>
    <w:rsid w:val="0CB90E13"/>
    <w:rsid w:val="0CC40501"/>
    <w:rsid w:val="0CC83DE7"/>
    <w:rsid w:val="0CD10852"/>
    <w:rsid w:val="0CD712A7"/>
    <w:rsid w:val="0CE55BE4"/>
    <w:rsid w:val="0CEA14FC"/>
    <w:rsid w:val="0CED74B3"/>
    <w:rsid w:val="0CEE0F81"/>
    <w:rsid w:val="0CEE25F3"/>
    <w:rsid w:val="0CF02931"/>
    <w:rsid w:val="0CF960E4"/>
    <w:rsid w:val="0CFC12EA"/>
    <w:rsid w:val="0D0D5FA4"/>
    <w:rsid w:val="0D0D73DD"/>
    <w:rsid w:val="0D0D7A7B"/>
    <w:rsid w:val="0D0E782D"/>
    <w:rsid w:val="0D2C5A88"/>
    <w:rsid w:val="0D2E173F"/>
    <w:rsid w:val="0D3B40CB"/>
    <w:rsid w:val="0D3B7E88"/>
    <w:rsid w:val="0D3F4624"/>
    <w:rsid w:val="0D442E57"/>
    <w:rsid w:val="0D521299"/>
    <w:rsid w:val="0D580DA6"/>
    <w:rsid w:val="0D617BC7"/>
    <w:rsid w:val="0D6304F1"/>
    <w:rsid w:val="0D6639C8"/>
    <w:rsid w:val="0D6B65B1"/>
    <w:rsid w:val="0D7E3B5C"/>
    <w:rsid w:val="0D7F3FB6"/>
    <w:rsid w:val="0D842B3F"/>
    <w:rsid w:val="0D8A6929"/>
    <w:rsid w:val="0DB62113"/>
    <w:rsid w:val="0DC64E1F"/>
    <w:rsid w:val="0DC84055"/>
    <w:rsid w:val="0DC935B6"/>
    <w:rsid w:val="0DD80086"/>
    <w:rsid w:val="0DD922BC"/>
    <w:rsid w:val="0DDC36F8"/>
    <w:rsid w:val="0DDE319E"/>
    <w:rsid w:val="0DE60B36"/>
    <w:rsid w:val="0DE80D49"/>
    <w:rsid w:val="0DEE5B60"/>
    <w:rsid w:val="0DF92342"/>
    <w:rsid w:val="0E0169CE"/>
    <w:rsid w:val="0E065527"/>
    <w:rsid w:val="0E172E1A"/>
    <w:rsid w:val="0E1A07CE"/>
    <w:rsid w:val="0E1B33D4"/>
    <w:rsid w:val="0E271D31"/>
    <w:rsid w:val="0E277044"/>
    <w:rsid w:val="0E29293A"/>
    <w:rsid w:val="0E2D1AB8"/>
    <w:rsid w:val="0E2D4088"/>
    <w:rsid w:val="0E317227"/>
    <w:rsid w:val="0E3B5080"/>
    <w:rsid w:val="0E3E1F17"/>
    <w:rsid w:val="0E416F09"/>
    <w:rsid w:val="0E582D17"/>
    <w:rsid w:val="0E5A2693"/>
    <w:rsid w:val="0E5E33BD"/>
    <w:rsid w:val="0E6072A7"/>
    <w:rsid w:val="0E620398"/>
    <w:rsid w:val="0E6C24F0"/>
    <w:rsid w:val="0E6E2A3D"/>
    <w:rsid w:val="0E725A3A"/>
    <w:rsid w:val="0E774B4E"/>
    <w:rsid w:val="0E90717B"/>
    <w:rsid w:val="0E913F3F"/>
    <w:rsid w:val="0E9204DA"/>
    <w:rsid w:val="0E941D8D"/>
    <w:rsid w:val="0E9568B0"/>
    <w:rsid w:val="0E97378D"/>
    <w:rsid w:val="0E9A01FB"/>
    <w:rsid w:val="0E9C77E0"/>
    <w:rsid w:val="0E9D7896"/>
    <w:rsid w:val="0EA5406C"/>
    <w:rsid w:val="0EA639FA"/>
    <w:rsid w:val="0EA83ED5"/>
    <w:rsid w:val="0EAB56CC"/>
    <w:rsid w:val="0EC67D03"/>
    <w:rsid w:val="0ECE6538"/>
    <w:rsid w:val="0ED15D87"/>
    <w:rsid w:val="0ED55C5C"/>
    <w:rsid w:val="0ED5743F"/>
    <w:rsid w:val="0ED605CC"/>
    <w:rsid w:val="0EDD26E0"/>
    <w:rsid w:val="0EEF3F2E"/>
    <w:rsid w:val="0EF05272"/>
    <w:rsid w:val="0F000A81"/>
    <w:rsid w:val="0F016FDB"/>
    <w:rsid w:val="0F086673"/>
    <w:rsid w:val="0F135F9C"/>
    <w:rsid w:val="0F1469CD"/>
    <w:rsid w:val="0F154C5A"/>
    <w:rsid w:val="0F1D6B1B"/>
    <w:rsid w:val="0F260122"/>
    <w:rsid w:val="0F2D42AA"/>
    <w:rsid w:val="0F417371"/>
    <w:rsid w:val="0F423C8F"/>
    <w:rsid w:val="0F486211"/>
    <w:rsid w:val="0F4F6BD2"/>
    <w:rsid w:val="0F52115E"/>
    <w:rsid w:val="0F5A0205"/>
    <w:rsid w:val="0F5E7D64"/>
    <w:rsid w:val="0F6059F1"/>
    <w:rsid w:val="0F6D6857"/>
    <w:rsid w:val="0F751969"/>
    <w:rsid w:val="0F883D87"/>
    <w:rsid w:val="0F8F782B"/>
    <w:rsid w:val="0F9842F5"/>
    <w:rsid w:val="0F993D12"/>
    <w:rsid w:val="0F9D0A62"/>
    <w:rsid w:val="0FAA03C6"/>
    <w:rsid w:val="0FB340FD"/>
    <w:rsid w:val="0FBB55A1"/>
    <w:rsid w:val="0FBD4DA5"/>
    <w:rsid w:val="0FD526A9"/>
    <w:rsid w:val="0FD97FF0"/>
    <w:rsid w:val="0FDA7A1E"/>
    <w:rsid w:val="0FE30B63"/>
    <w:rsid w:val="0FE91E79"/>
    <w:rsid w:val="0FED61A4"/>
    <w:rsid w:val="0FEF171B"/>
    <w:rsid w:val="0FEF2558"/>
    <w:rsid w:val="0FFB6D68"/>
    <w:rsid w:val="0FFD41FD"/>
    <w:rsid w:val="10031AD8"/>
    <w:rsid w:val="101A4A9B"/>
    <w:rsid w:val="102A2746"/>
    <w:rsid w:val="10376C1E"/>
    <w:rsid w:val="10404F73"/>
    <w:rsid w:val="10405DD6"/>
    <w:rsid w:val="104C2A3B"/>
    <w:rsid w:val="104C5928"/>
    <w:rsid w:val="10532DA0"/>
    <w:rsid w:val="10551D8C"/>
    <w:rsid w:val="105C6685"/>
    <w:rsid w:val="10616F40"/>
    <w:rsid w:val="106461EC"/>
    <w:rsid w:val="106916D0"/>
    <w:rsid w:val="106C7A4C"/>
    <w:rsid w:val="106D2C14"/>
    <w:rsid w:val="107B7905"/>
    <w:rsid w:val="1088161D"/>
    <w:rsid w:val="1092036D"/>
    <w:rsid w:val="109F52EF"/>
    <w:rsid w:val="10A613B8"/>
    <w:rsid w:val="10B45948"/>
    <w:rsid w:val="10B87C12"/>
    <w:rsid w:val="10D05754"/>
    <w:rsid w:val="10DB69B7"/>
    <w:rsid w:val="10E273FF"/>
    <w:rsid w:val="10E61AF2"/>
    <w:rsid w:val="10E65969"/>
    <w:rsid w:val="10E92C34"/>
    <w:rsid w:val="10ED16BE"/>
    <w:rsid w:val="10F02CD2"/>
    <w:rsid w:val="10F72374"/>
    <w:rsid w:val="10F94749"/>
    <w:rsid w:val="10FE773C"/>
    <w:rsid w:val="11050F3A"/>
    <w:rsid w:val="110B7C86"/>
    <w:rsid w:val="110D4D8F"/>
    <w:rsid w:val="1116295D"/>
    <w:rsid w:val="111B7796"/>
    <w:rsid w:val="111D4066"/>
    <w:rsid w:val="111D46B4"/>
    <w:rsid w:val="111E768F"/>
    <w:rsid w:val="11266968"/>
    <w:rsid w:val="112906F0"/>
    <w:rsid w:val="112A5FF0"/>
    <w:rsid w:val="11356FDB"/>
    <w:rsid w:val="1137717D"/>
    <w:rsid w:val="113A2D97"/>
    <w:rsid w:val="113A7E7D"/>
    <w:rsid w:val="113F7B1C"/>
    <w:rsid w:val="114C38FF"/>
    <w:rsid w:val="115A38FF"/>
    <w:rsid w:val="11777C4F"/>
    <w:rsid w:val="11792C37"/>
    <w:rsid w:val="117C494C"/>
    <w:rsid w:val="117F03A9"/>
    <w:rsid w:val="118625BB"/>
    <w:rsid w:val="118A2059"/>
    <w:rsid w:val="11954E5C"/>
    <w:rsid w:val="11995A14"/>
    <w:rsid w:val="119B6FB0"/>
    <w:rsid w:val="11A608E8"/>
    <w:rsid w:val="11A766E0"/>
    <w:rsid w:val="11AA4CE6"/>
    <w:rsid w:val="11AA77E9"/>
    <w:rsid w:val="11B1249F"/>
    <w:rsid w:val="11B93C21"/>
    <w:rsid w:val="11BB3F75"/>
    <w:rsid w:val="11C27133"/>
    <w:rsid w:val="11C97AFC"/>
    <w:rsid w:val="11D465C3"/>
    <w:rsid w:val="11D67D54"/>
    <w:rsid w:val="11D72467"/>
    <w:rsid w:val="11D76769"/>
    <w:rsid w:val="11D76AC9"/>
    <w:rsid w:val="11D76B45"/>
    <w:rsid w:val="11DA3D05"/>
    <w:rsid w:val="11E44B84"/>
    <w:rsid w:val="11E91A7A"/>
    <w:rsid w:val="11EC1C92"/>
    <w:rsid w:val="11F30BE8"/>
    <w:rsid w:val="11FA5074"/>
    <w:rsid w:val="120F4341"/>
    <w:rsid w:val="120F6A9E"/>
    <w:rsid w:val="121E178F"/>
    <w:rsid w:val="122136E2"/>
    <w:rsid w:val="122A3798"/>
    <w:rsid w:val="123E51A5"/>
    <w:rsid w:val="123E53DE"/>
    <w:rsid w:val="124A4CE1"/>
    <w:rsid w:val="124B09DE"/>
    <w:rsid w:val="12515293"/>
    <w:rsid w:val="125315ED"/>
    <w:rsid w:val="12565C90"/>
    <w:rsid w:val="125F485D"/>
    <w:rsid w:val="12686D4A"/>
    <w:rsid w:val="126C0B6D"/>
    <w:rsid w:val="12732ED1"/>
    <w:rsid w:val="127E28E2"/>
    <w:rsid w:val="127F4FF0"/>
    <w:rsid w:val="128A5526"/>
    <w:rsid w:val="128E6F76"/>
    <w:rsid w:val="129070A2"/>
    <w:rsid w:val="129245E0"/>
    <w:rsid w:val="129B12F4"/>
    <w:rsid w:val="129C4880"/>
    <w:rsid w:val="129E11D6"/>
    <w:rsid w:val="129E37D4"/>
    <w:rsid w:val="12A10245"/>
    <w:rsid w:val="12A61E8B"/>
    <w:rsid w:val="12A714C9"/>
    <w:rsid w:val="12B66520"/>
    <w:rsid w:val="12C01FED"/>
    <w:rsid w:val="12C51E41"/>
    <w:rsid w:val="12C771BC"/>
    <w:rsid w:val="12C77593"/>
    <w:rsid w:val="12CC5D44"/>
    <w:rsid w:val="12DB2936"/>
    <w:rsid w:val="12DE4E08"/>
    <w:rsid w:val="12DF66F3"/>
    <w:rsid w:val="12ED55F4"/>
    <w:rsid w:val="12F4621D"/>
    <w:rsid w:val="12F812AB"/>
    <w:rsid w:val="1301042B"/>
    <w:rsid w:val="13034232"/>
    <w:rsid w:val="130B477D"/>
    <w:rsid w:val="130C7364"/>
    <w:rsid w:val="131360CC"/>
    <w:rsid w:val="132023CD"/>
    <w:rsid w:val="13331F54"/>
    <w:rsid w:val="1342238B"/>
    <w:rsid w:val="13485252"/>
    <w:rsid w:val="13497000"/>
    <w:rsid w:val="134C6416"/>
    <w:rsid w:val="13535B48"/>
    <w:rsid w:val="1356292B"/>
    <w:rsid w:val="136374DB"/>
    <w:rsid w:val="13677964"/>
    <w:rsid w:val="13693156"/>
    <w:rsid w:val="136D7CFE"/>
    <w:rsid w:val="137035A3"/>
    <w:rsid w:val="13767ADB"/>
    <w:rsid w:val="137A118C"/>
    <w:rsid w:val="137D0DEC"/>
    <w:rsid w:val="137E7BD5"/>
    <w:rsid w:val="13891A0B"/>
    <w:rsid w:val="138A7669"/>
    <w:rsid w:val="13927E1B"/>
    <w:rsid w:val="1393350B"/>
    <w:rsid w:val="13964897"/>
    <w:rsid w:val="139A46AA"/>
    <w:rsid w:val="139D287A"/>
    <w:rsid w:val="139D323C"/>
    <w:rsid w:val="139F6FB4"/>
    <w:rsid w:val="13AC3D25"/>
    <w:rsid w:val="13AF2F6F"/>
    <w:rsid w:val="13B859C9"/>
    <w:rsid w:val="13C01FF4"/>
    <w:rsid w:val="13C62793"/>
    <w:rsid w:val="13D65416"/>
    <w:rsid w:val="13D8396B"/>
    <w:rsid w:val="13DE69E7"/>
    <w:rsid w:val="13E52FB8"/>
    <w:rsid w:val="13E91113"/>
    <w:rsid w:val="13E94074"/>
    <w:rsid w:val="13F62ACF"/>
    <w:rsid w:val="13F94934"/>
    <w:rsid w:val="14010F13"/>
    <w:rsid w:val="140629A0"/>
    <w:rsid w:val="140E1025"/>
    <w:rsid w:val="14124337"/>
    <w:rsid w:val="14227ECC"/>
    <w:rsid w:val="1426603E"/>
    <w:rsid w:val="143740D8"/>
    <w:rsid w:val="14404836"/>
    <w:rsid w:val="144D69FB"/>
    <w:rsid w:val="145950FC"/>
    <w:rsid w:val="145C2565"/>
    <w:rsid w:val="14627278"/>
    <w:rsid w:val="146B158C"/>
    <w:rsid w:val="1475351E"/>
    <w:rsid w:val="147D3462"/>
    <w:rsid w:val="147D7658"/>
    <w:rsid w:val="147E798C"/>
    <w:rsid w:val="14845910"/>
    <w:rsid w:val="14853F2D"/>
    <w:rsid w:val="148A7B64"/>
    <w:rsid w:val="14950FCB"/>
    <w:rsid w:val="149C26A6"/>
    <w:rsid w:val="14A32AD4"/>
    <w:rsid w:val="14A502E2"/>
    <w:rsid w:val="14A86665"/>
    <w:rsid w:val="14B6588E"/>
    <w:rsid w:val="14BA29D8"/>
    <w:rsid w:val="14BD12D2"/>
    <w:rsid w:val="14C64A14"/>
    <w:rsid w:val="14CE1614"/>
    <w:rsid w:val="14CE758B"/>
    <w:rsid w:val="14CF50F8"/>
    <w:rsid w:val="14D86E56"/>
    <w:rsid w:val="14E0464C"/>
    <w:rsid w:val="14E06C6E"/>
    <w:rsid w:val="14EC63F5"/>
    <w:rsid w:val="14EE7AA7"/>
    <w:rsid w:val="14EF0EBD"/>
    <w:rsid w:val="14F32C2F"/>
    <w:rsid w:val="14FA3215"/>
    <w:rsid w:val="15057A82"/>
    <w:rsid w:val="15084923"/>
    <w:rsid w:val="150E1686"/>
    <w:rsid w:val="15191204"/>
    <w:rsid w:val="151E19F2"/>
    <w:rsid w:val="1522406F"/>
    <w:rsid w:val="152C1024"/>
    <w:rsid w:val="15306E6E"/>
    <w:rsid w:val="15321BAC"/>
    <w:rsid w:val="153D09E0"/>
    <w:rsid w:val="153F6159"/>
    <w:rsid w:val="15402152"/>
    <w:rsid w:val="154B25EC"/>
    <w:rsid w:val="154D55B7"/>
    <w:rsid w:val="15545B7C"/>
    <w:rsid w:val="15573978"/>
    <w:rsid w:val="155A7AD3"/>
    <w:rsid w:val="155C56E0"/>
    <w:rsid w:val="1562240A"/>
    <w:rsid w:val="156766BE"/>
    <w:rsid w:val="15741E6C"/>
    <w:rsid w:val="158C1200"/>
    <w:rsid w:val="158F3DE0"/>
    <w:rsid w:val="1594158F"/>
    <w:rsid w:val="159E5AFA"/>
    <w:rsid w:val="15A44760"/>
    <w:rsid w:val="15A93EFE"/>
    <w:rsid w:val="15AA123A"/>
    <w:rsid w:val="15B945C7"/>
    <w:rsid w:val="15CE6085"/>
    <w:rsid w:val="15D05B4B"/>
    <w:rsid w:val="15DB2EEC"/>
    <w:rsid w:val="15E92769"/>
    <w:rsid w:val="15EA66EB"/>
    <w:rsid w:val="15F16F74"/>
    <w:rsid w:val="15F436C7"/>
    <w:rsid w:val="160142CD"/>
    <w:rsid w:val="160C041C"/>
    <w:rsid w:val="16175528"/>
    <w:rsid w:val="161B1F04"/>
    <w:rsid w:val="161D2412"/>
    <w:rsid w:val="162A58DA"/>
    <w:rsid w:val="16300BEB"/>
    <w:rsid w:val="16330F59"/>
    <w:rsid w:val="1634210F"/>
    <w:rsid w:val="16342542"/>
    <w:rsid w:val="163C2B13"/>
    <w:rsid w:val="164367DE"/>
    <w:rsid w:val="16555B6A"/>
    <w:rsid w:val="165F1FC3"/>
    <w:rsid w:val="1660277C"/>
    <w:rsid w:val="166139C2"/>
    <w:rsid w:val="166248A1"/>
    <w:rsid w:val="16756754"/>
    <w:rsid w:val="167E0786"/>
    <w:rsid w:val="168123F1"/>
    <w:rsid w:val="16845253"/>
    <w:rsid w:val="16855282"/>
    <w:rsid w:val="168B26F9"/>
    <w:rsid w:val="168C0184"/>
    <w:rsid w:val="16905BEC"/>
    <w:rsid w:val="16927F98"/>
    <w:rsid w:val="16976668"/>
    <w:rsid w:val="169A5A8F"/>
    <w:rsid w:val="16A333A7"/>
    <w:rsid w:val="16A50B6A"/>
    <w:rsid w:val="16A57A69"/>
    <w:rsid w:val="16AA28FA"/>
    <w:rsid w:val="16B34D7B"/>
    <w:rsid w:val="16C945AC"/>
    <w:rsid w:val="16D77CBF"/>
    <w:rsid w:val="16DB0BFD"/>
    <w:rsid w:val="16FD5FCF"/>
    <w:rsid w:val="17033859"/>
    <w:rsid w:val="17033CFE"/>
    <w:rsid w:val="17190FCF"/>
    <w:rsid w:val="171E3822"/>
    <w:rsid w:val="1726179A"/>
    <w:rsid w:val="173349C8"/>
    <w:rsid w:val="173B4B99"/>
    <w:rsid w:val="173D2EE9"/>
    <w:rsid w:val="1740460A"/>
    <w:rsid w:val="174821FC"/>
    <w:rsid w:val="174A3FC7"/>
    <w:rsid w:val="174A5489"/>
    <w:rsid w:val="174C4AA0"/>
    <w:rsid w:val="175661D1"/>
    <w:rsid w:val="1758223C"/>
    <w:rsid w:val="175F3247"/>
    <w:rsid w:val="176355F8"/>
    <w:rsid w:val="17643AAF"/>
    <w:rsid w:val="17663E02"/>
    <w:rsid w:val="17666413"/>
    <w:rsid w:val="1768254B"/>
    <w:rsid w:val="176C6D00"/>
    <w:rsid w:val="1772665E"/>
    <w:rsid w:val="17756481"/>
    <w:rsid w:val="177C149C"/>
    <w:rsid w:val="17800EC8"/>
    <w:rsid w:val="178C5AA1"/>
    <w:rsid w:val="179053C0"/>
    <w:rsid w:val="17915AC4"/>
    <w:rsid w:val="1791639B"/>
    <w:rsid w:val="179C70A9"/>
    <w:rsid w:val="17A72666"/>
    <w:rsid w:val="17AE180B"/>
    <w:rsid w:val="17AF6891"/>
    <w:rsid w:val="17AF79FE"/>
    <w:rsid w:val="17B52BE5"/>
    <w:rsid w:val="17B6028C"/>
    <w:rsid w:val="17BA5811"/>
    <w:rsid w:val="17BD10D3"/>
    <w:rsid w:val="17BF757C"/>
    <w:rsid w:val="17C3509D"/>
    <w:rsid w:val="17D925B6"/>
    <w:rsid w:val="17E00F6E"/>
    <w:rsid w:val="17E671D7"/>
    <w:rsid w:val="17E75BDA"/>
    <w:rsid w:val="17E769AB"/>
    <w:rsid w:val="17E86438"/>
    <w:rsid w:val="17EE22B8"/>
    <w:rsid w:val="17EF37F9"/>
    <w:rsid w:val="17F673B7"/>
    <w:rsid w:val="17F770BC"/>
    <w:rsid w:val="18020A10"/>
    <w:rsid w:val="180430D0"/>
    <w:rsid w:val="18047825"/>
    <w:rsid w:val="181A7AA6"/>
    <w:rsid w:val="182271D1"/>
    <w:rsid w:val="18293512"/>
    <w:rsid w:val="182C548F"/>
    <w:rsid w:val="18327661"/>
    <w:rsid w:val="183E11DD"/>
    <w:rsid w:val="184B01F2"/>
    <w:rsid w:val="1850387F"/>
    <w:rsid w:val="1856132B"/>
    <w:rsid w:val="185830D7"/>
    <w:rsid w:val="185C2EDF"/>
    <w:rsid w:val="186419B4"/>
    <w:rsid w:val="18650AF2"/>
    <w:rsid w:val="18675385"/>
    <w:rsid w:val="186902BF"/>
    <w:rsid w:val="18701884"/>
    <w:rsid w:val="18704BAD"/>
    <w:rsid w:val="1872043E"/>
    <w:rsid w:val="18753F7E"/>
    <w:rsid w:val="18760FDE"/>
    <w:rsid w:val="18902D39"/>
    <w:rsid w:val="18A242D7"/>
    <w:rsid w:val="18A63ABA"/>
    <w:rsid w:val="18AC19CF"/>
    <w:rsid w:val="18AC3BEE"/>
    <w:rsid w:val="18AD3F21"/>
    <w:rsid w:val="18AD6341"/>
    <w:rsid w:val="18B62A06"/>
    <w:rsid w:val="18C570D3"/>
    <w:rsid w:val="18CB0714"/>
    <w:rsid w:val="18E96735"/>
    <w:rsid w:val="18EC0606"/>
    <w:rsid w:val="18F062DE"/>
    <w:rsid w:val="18FA1113"/>
    <w:rsid w:val="18FC0890"/>
    <w:rsid w:val="18FD4F90"/>
    <w:rsid w:val="190034F5"/>
    <w:rsid w:val="19044582"/>
    <w:rsid w:val="19087026"/>
    <w:rsid w:val="190A5ABE"/>
    <w:rsid w:val="190C2389"/>
    <w:rsid w:val="191550AB"/>
    <w:rsid w:val="191778B0"/>
    <w:rsid w:val="191A1E29"/>
    <w:rsid w:val="191C4C03"/>
    <w:rsid w:val="192060E9"/>
    <w:rsid w:val="192C6212"/>
    <w:rsid w:val="192D6B20"/>
    <w:rsid w:val="19306E1A"/>
    <w:rsid w:val="1933692B"/>
    <w:rsid w:val="19387784"/>
    <w:rsid w:val="193F069B"/>
    <w:rsid w:val="19455F1C"/>
    <w:rsid w:val="19610DEF"/>
    <w:rsid w:val="1961286F"/>
    <w:rsid w:val="19614D0C"/>
    <w:rsid w:val="196407AD"/>
    <w:rsid w:val="19653D45"/>
    <w:rsid w:val="19665D28"/>
    <w:rsid w:val="19760232"/>
    <w:rsid w:val="19802721"/>
    <w:rsid w:val="19850AF9"/>
    <w:rsid w:val="1989144C"/>
    <w:rsid w:val="19902190"/>
    <w:rsid w:val="19A8303F"/>
    <w:rsid w:val="19AF5DD1"/>
    <w:rsid w:val="19BC46A1"/>
    <w:rsid w:val="19BC6AE8"/>
    <w:rsid w:val="19C42EF9"/>
    <w:rsid w:val="19C94053"/>
    <w:rsid w:val="19CC28F6"/>
    <w:rsid w:val="19D0149C"/>
    <w:rsid w:val="19D6173B"/>
    <w:rsid w:val="19E460A3"/>
    <w:rsid w:val="19F0523F"/>
    <w:rsid w:val="19FE6B05"/>
    <w:rsid w:val="1A02498D"/>
    <w:rsid w:val="1A09071C"/>
    <w:rsid w:val="1A126CE5"/>
    <w:rsid w:val="1A145B19"/>
    <w:rsid w:val="1A1510E5"/>
    <w:rsid w:val="1A165FE9"/>
    <w:rsid w:val="1A1952ED"/>
    <w:rsid w:val="1A1B1255"/>
    <w:rsid w:val="1A2024D1"/>
    <w:rsid w:val="1A2364FA"/>
    <w:rsid w:val="1A27385F"/>
    <w:rsid w:val="1A2D79BA"/>
    <w:rsid w:val="1A2F0966"/>
    <w:rsid w:val="1A333936"/>
    <w:rsid w:val="1A3A554B"/>
    <w:rsid w:val="1A4221B0"/>
    <w:rsid w:val="1A4325D3"/>
    <w:rsid w:val="1A456AB3"/>
    <w:rsid w:val="1A4C24FB"/>
    <w:rsid w:val="1A4D3369"/>
    <w:rsid w:val="1A4E6954"/>
    <w:rsid w:val="1A5D3CBD"/>
    <w:rsid w:val="1A5F0B69"/>
    <w:rsid w:val="1A6316CE"/>
    <w:rsid w:val="1A6A1A25"/>
    <w:rsid w:val="1A6C6398"/>
    <w:rsid w:val="1A6E5FB1"/>
    <w:rsid w:val="1A7B717D"/>
    <w:rsid w:val="1A7C1BE7"/>
    <w:rsid w:val="1A7C5A17"/>
    <w:rsid w:val="1A8974D4"/>
    <w:rsid w:val="1A8B64E4"/>
    <w:rsid w:val="1A920847"/>
    <w:rsid w:val="1A9739AF"/>
    <w:rsid w:val="1AA53D64"/>
    <w:rsid w:val="1AA85A85"/>
    <w:rsid w:val="1AA92FF4"/>
    <w:rsid w:val="1AB0573F"/>
    <w:rsid w:val="1AC53748"/>
    <w:rsid w:val="1AC64307"/>
    <w:rsid w:val="1AD21CCB"/>
    <w:rsid w:val="1AD37B8D"/>
    <w:rsid w:val="1AD47B96"/>
    <w:rsid w:val="1AD94DDF"/>
    <w:rsid w:val="1ADA6B24"/>
    <w:rsid w:val="1ADD0924"/>
    <w:rsid w:val="1ADD46D3"/>
    <w:rsid w:val="1ADF6D58"/>
    <w:rsid w:val="1AF745BC"/>
    <w:rsid w:val="1AFC2A03"/>
    <w:rsid w:val="1B103AF2"/>
    <w:rsid w:val="1B1258BD"/>
    <w:rsid w:val="1B180311"/>
    <w:rsid w:val="1B183088"/>
    <w:rsid w:val="1B2A1722"/>
    <w:rsid w:val="1B2D4CE2"/>
    <w:rsid w:val="1B2F599A"/>
    <w:rsid w:val="1B313650"/>
    <w:rsid w:val="1B3B754B"/>
    <w:rsid w:val="1B3E54BA"/>
    <w:rsid w:val="1B55264E"/>
    <w:rsid w:val="1B563F9E"/>
    <w:rsid w:val="1B656D35"/>
    <w:rsid w:val="1B6B39BC"/>
    <w:rsid w:val="1B6C7155"/>
    <w:rsid w:val="1B6F25ED"/>
    <w:rsid w:val="1B72173B"/>
    <w:rsid w:val="1B744224"/>
    <w:rsid w:val="1B7A5099"/>
    <w:rsid w:val="1B7A6C0C"/>
    <w:rsid w:val="1B7C43B8"/>
    <w:rsid w:val="1B7E7D96"/>
    <w:rsid w:val="1B7F55A6"/>
    <w:rsid w:val="1B803B6F"/>
    <w:rsid w:val="1B827CC8"/>
    <w:rsid w:val="1B851185"/>
    <w:rsid w:val="1B89508D"/>
    <w:rsid w:val="1B8B576C"/>
    <w:rsid w:val="1BA17DF6"/>
    <w:rsid w:val="1BAE18A7"/>
    <w:rsid w:val="1BB14302"/>
    <w:rsid w:val="1BBA2DE0"/>
    <w:rsid w:val="1BC65E87"/>
    <w:rsid w:val="1BCE0F9D"/>
    <w:rsid w:val="1BCE5D8E"/>
    <w:rsid w:val="1BDC68CC"/>
    <w:rsid w:val="1BE136C9"/>
    <w:rsid w:val="1BE83AC4"/>
    <w:rsid w:val="1BE846EC"/>
    <w:rsid w:val="1BEE66EE"/>
    <w:rsid w:val="1BF12978"/>
    <w:rsid w:val="1BF52829"/>
    <w:rsid w:val="1C182E62"/>
    <w:rsid w:val="1C281B11"/>
    <w:rsid w:val="1C294FF9"/>
    <w:rsid w:val="1C296169"/>
    <w:rsid w:val="1C3138A1"/>
    <w:rsid w:val="1C340F0E"/>
    <w:rsid w:val="1C356870"/>
    <w:rsid w:val="1C4A1A70"/>
    <w:rsid w:val="1C50373A"/>
    <w:rsid w:val="1C5A78FA"/>
    <w:rsid w:val="1C5E5533"/>
    <w:rsid w:val="1C602D58"/>
    <w:rsid w:val="1C6C3AD6"/>
    <w:rsid w:val="1C6E712E"/>
    <w:rsid w:val="1C6F548C"/>
    <w:rsid w:val="1C7B1C92"/>
    <w:rsid w:val="1C901B90"/>
    <w:rsid w:val="1C92580A"/>
    <w:rsid w:val="1C961AB5"/>
    <w:rsid w:val="1CA613B3"/>
    <w:rsid w:val="1CBA4001"/>
    <w:rsid w:val="1CC45CDD"/>
    <w:rsid w:val="1CE03C2B"/>
    <w:rsid w:val="1CE27F12"/>
    <w:rsid w:val="1CEB59C9"/>
    <w:rsid w:val="1CEE0835"/>
    <w:rsid w:val="1CF00880"/>
    <w:rsid w:val="1CF87735"/>
    <w:rsid w:val="1CFB27DB"/>
    <w:rsid w:val="1D002E71"/>
    <w:rsid w:val="1D0D31E0"/>
    <w:rsid w:val="1D0D71B0"/>
    <w:rsid w:val="1D11447C"/>
    <w:rsid w:val="1D182540"/>
    <w:rsid w:val="1D1F4F82"/>
    <w:rsid w:val="1D347393"/>
    <w:rsid w:val="1D3C2764"/>
    <w:rsid w:val="1D3C35D7"/>
    <w:rsid w:val="1D3C7E89"/>
    <w:rsid w:val="1D434E54"/>
    <w:rsid w:val="1D4E4EA9"/>
    <w:rsid w:val="1D532A73"/>
    <w:rsid w:val="1D581489"/>
    <w:rsid w:val="1D582060"/>
    <w:rsid w:val="1D593CAD"/>
    <w:rsid w:val="1D601063"/>
    <w:rsid w:val="1D61678A"/>
    <w:rsid w:val="1D6628F1"/>
    <w:rsid w:val="1D6864B5"/>
    <w:rsid w:val="1D716925"/>
    <w:rsid w:val="1D756532"/>
    <w:rsid w:val="1D7D1142"/>
    <w:rsid w:val="1D7D1CA1"/>
    <w:rsid w:val="1D8130A9"/>
    <w:rsid w:val="1D830B79"/>
    <w:rsid w:val="1D8E12AC"/>
    <w:rsid w:val="1D914288"/>
    <w:rsid w:val="1D9C7050"/>
    <w:rsid w:val="1D9E300B"/>
    <w:rsid w:val="1DA07F05"/>
    <w:rsid w:val="1DA75838"/>
    <w:rsid w:val="1DAD6772"/>
    <w:rsid w:val="1DB409A2"/>
    <w:rsid w:val="1DB65465"/>
    <w:rsid w:val="1DBC3A09"/>
    <w:rsid w:val="1DD05337"/>
    <w:rsid w:val="1DDD1FE1"/>
    <w:rsid w:val="1DE063E9"/>
    <w:rsid w:val="1DE32193"/>
    <w:rsid w:val="1DE71DF5"/>
    <w:rsid w:val="1DEC0EC6"/>
    <w:rsid w:val="1DF83E91"/>
    <w:rsid w:val="1E0701CD"/>
    <w:rsid w:val="1E1671C7"/>
    <w:rsid w:val="1E220281"/>
    <w:rsid w:val="1E360515"/>
    <w:rsid w:val="1E3627C1"/>
    <w:rsid w:val="1E3649B9"/>
    <w:rsid w:val="1E3B0826"/>
    <w:rsid w:val="1E3B6C85"/>
    <w:rsid w:val="1E3E2693"/>
    <w:rsid w:val="1E40548E"/>
    <w:rsid w:val="1E4A19AF"/>
    <w:rsid w:val="1E4B50C2"/>
    <w:rsid w:val="1E537319"/>
    <w:rsid w:val="1E5A579C"/>
    <w:rsid w:val="1E5D5868"/>
    <w:rsid w:val="1E6C6FCD"/>
    <w:rsid w:val="1E7223AB"/>
    <w:rsid w:val="1E7A3AEF"/>
    <w:rsid w:val="1E7F376F"/>
    <w:rsid w:val="1E874C28"/>
    <w:rsid w:val="1E876D3D"/>
    <w:rsid w:val="1E8F3078"/>
    <w:rsid w:val="1E8F542F"/>
    <w:rsid w:val="1E902930"/>
    <w:rsid w:val="1E97058F"/>
    <w:rsid w:val="1EA27958"/>
    <w:rsid w:val="1EA63909"/>
    <w:rsid w:val="1EA73E08"/>
    <w:rsid w:val="1EB14A2F"/>
    <w:rsid w:val="1EB3177A"/>
    <w:rsid w:val="1EB3600A"/>
    <w:rsid w:val="1EB56858"/>
    <w:rsid w:val="1EBD4792"/>
    <w:rsid w:val="1EC705C4"/>
    <w:rsid w:val="1EC83B25"/>
    <w:rsid w:val="1ECD4C36"/>
    <w:rsid w:val="1ED146E2"/>
    <w:rsid w:val="1ED97BDC"/>
    <w:rsid w:val="1EDC2723"/>
    <w:rsid w:val="1EDD7129"/>
    <w:rsid w:val="1EE01E30"/>
    <w:rsid w:val="1EE5351D"/>
    <w:rsid w:val="1EEB26FA"/>
    <w:rsid w:val="1EF8692C"/>
    <w:rsid w:val="1EFA561B"/>
    <w:rsid w:val="1EFB70AD"/>
    <w:rsid w:val="1F0115D1"/>
    <w:rsid w:val="1F02433E"/>
    <w:rsid w:val="1F17398F"/>
    <w:rsid w:val="1F2545A0"/>
    <w:rsid w:val="1F385EBE"/>
    <w:rsid w:val="1F473B37"/>
    <w:rsid w:val="1F5B41C5"/>
    <w:rsid w:val="1F5B522B"/>
    <w:rsid w:val="1F602B95"/>
    <w:rsid w:val="1F6034DA"/>
    <w:rsid w:val="1F610464"/>
    <w:rsid w:val="1F6608F6"/>
    <w:rsid w:val="1F6B072E"/>
    <w:rsid w:val="1F6B516B"/>
    <w:rsid w:val="1F737DA7"/>
    <w:rsid w:val="1F7E2174"/>
    <w:rsid w:val="1F8E6FF7"/>
    <w:rsid w:val="1F914072"/>
    <w:rsid w:val="1F93566D"/>
    <w:rsid w:val="1F974D47"/>
    <w:rsid w:val="1F9F7601"/>
    <w:rsid w:val="1FA57346"/>
    <w:rsid w:val="1FAA0518"/>
    <w:rsid w:val="1FAC6D64"/>
    <w:rsid w:val="1FAD7813"/>
    <w:rsid w:val="1FC51F1F"/>
    <w:rsid w:val="1FC63C85"/>
    <w:rsid w:val="1FC97374"/>
    <w:rsid w:val="1FC97E85"/>
    <w:rsid w:val="1FDF676A"/>
    <w:rsid w:val="1FED554B"/>
    <w:rsid w:val="1FF110DC"/>
    <w:rsid w:val="1FF853EE"/>
    <w:rsid w:val="1FF96282"/>
    <w:rsid w:val="1FFE6231"/>
    <w:rsid w:val="1FFF1113"/>
    <w:rsid w:val="200107D5"/>
    <w:rsid w:val="20052B5D"/>
    <w:rsid w:val="20086CC5"/>
    <w:rsid w:val="200C73D7"/>
    <w:rsid w:val="200F3C1D"/>
    <w:rsid w:val="201620B4"/>
    <w:rsid w:val="202141FF"/>
    <w:rsid w:val="202914FD"/>
    <w:rsid w:val="202B68AE"/>
    <w:rsid w:val="202F793E"/>
    <w:rsid w:val="203D3166"/>
    <w:rsid w:val="20404305"/>
    <w:rsid w:val="20431E47"/>
    <w:rsid w:val="20440BBB"/>
    <w:rsid w:val="20481907"/>
    <w:rsid w:val="20555B73"/>
    <w:rsid w:val="206036D4"/>
    <w:rsid w:val="2064115A"/>
    <w:rsid w:val="206870D0"/>
    <w:rsid w:val="206E043A"/>
    <w:rsid w:val="206E103C"/>
    <w:rsid w:val="206F1475"/>
    <w:rsid w:val="206F5F60"/>
    <w:rsid w:val="207634AF"/>
    <w:rsid w:val="20824104"/>
    <w:rsid w:val="208B6F33"/>
    <w:rsid w:val="20904241"/>
    <w:rsid w:val="20923102"/>
    <w:rsid w:val="209A12F6"/>
    <w:rsid w:val="20A5542D"/>
    <w:rsid w:val="20A724DA"/>
    <w:rsid w:val="20AA40A0"/>
    <w:rsid w:val="20AF6A38"/>
    <w:rsid w:val="20BD1C65"/>
    <w:rsid w:val="20C2676B"/>
    <w:rsid w:val="20CC5370"/>
    <w:rsid w:val="20CE7CBB"/>
    <w:rsid w:val="20D61ED3"/>
    <w:rsid w:val="20D85477"/>
    <w:rsid w:val="20EE5EE3"/>
    <w:rsid w:val="20F24255"/>
    <w:rsid w:val="210D463D"/>
    <w:rsid w:val="21167CEB"/>
    <w:rsid w:val="211A51B3"/>
    <w:rsid w:val="2122497B"/>
    <w:rsid w:val="212D024E"/>
    <w:rsid w:val="212F77D8"/>
    <w:rsid w:val="21382F57"/>
    <w:rsid w:val="21387D0E"/>
    <w:rsid w:val="21483DCB"/>
    <w:rsid w:val="21484995"/>
    <w:rsid w:val="214967B1"/>
    <w:rsid w:val="214F31D6"/>
    <w:rsid w:val="21520506"/>
    <w:rsid w:val="21584258"/>
    <w:rsid w:val="21584C46"/>
    <w:rsid w:val="215971DB"/>
    <w:rsid w:val="215A4757"/>
    <w:rsid w:val="216653B7"/>
    <w:rsid w:val="216840B7"/>
    <w:rsid w:val="216D6807"/>
    <w:rsid w:val="21707ABA"/>
    <w:rsid w:val="2171731C"/>
    <w:rsid w:val="217C7FFF"/>
    <w:rsid w:val="217D6F5B"/>
    <w:rsid w:val="217F21D3"/>
    <w:rsid w:val="217F32EA"/>
    <w:rsid w:val="217F7DE1"/>
    <w:rsid w:val="218C712D"/>
    <w:rsid w:val="2191002B"/>
    <w:rsid w:val="219433BE"/>
    <w:rsid w:val="219713BA"/>
    <w:rsid w:val="219B42AE"/>
    <w:rsid w:val="219F4DC2"/>
    <w:rsid w:val="21A2678D"/>
    <w:rsid w:val="21A6323A"/>
    <w:rsid w:val="21A8172A"/>
    <w:rsid w:val="21B8627A"/>
    <w:rsid w:val="21B9179B"/>
    <w:rsid w:val="21C91A13"/>
    <w:rsid w:val="21D74D1D"/>
    <w:rsid w:val="21DC1077"/>
    <w:rsid w:val="21E06B3C"/>
    <w:rsid w:val="21E500BF"/>
    <w:rsid w:val="21ED4028"/>
    <w:rsid w:val="21EF4EDD"/>
    <w:rsid w:val="21F46DD7"/>
    <w:rsid w:val="21FE34D3"/>
    <w:rsid w:val="22031056"/>
    <w:rsid w:val="22102FC3"/>
    <w:rsid w:val="22106435"/>
    <w:rsid w:val="2211058E"/>
    <w:rsid w:val="22123047"/>
    <w:rsid w:val="2212793C"/>
    <w:rsid w:val="221B21D9"/>
    <w:rsid w:val="22202DFF"/>
    <w:rsid w:val="222039B6"/>
    <w:rsid w:val="22217D30"/>
    <w:rsid w:val="222446A3"/>
    <w:rsid w:val="22263305"/>
    <w:rsid w:val="22267251"/>
    <w:rsid w:val="22272DD5"/>
    <w:rsid w:val="22285E37"/>
    <w:rsid w:val="223631D9"/>
    <w:rsid w:val="223D6AA4"/>
    <w:rsid w:val="224A3888"/>
    <w:rsid w:val="224A458F"/>
    <w:rsid w:val="22571F8F"/>
    <w:rsid w:val="2258018F"/>
    <w:rsid w:val="22581FE8"/>
    <w:rsid w:val="2269387C"/>
    <w:rsid w:val="226A1EB8"/>
    <w:rsid w:val="226C7BAC"/>
    <w:rsid w:val="22766D4D"/>
    <w:rsid w:val="22770F1D"/>
    <w:rsid w:val="227765C2"/>
    <w:rsid w:val="22834CF1"/>
    <w:rsid w:val="22840EDD"/>
    <w:rsid w:val="228F4F8F"/>
    <w:rsid w:val="229A773C"/>
    <w:rsid w:val="229C6E40"/>
    <w:rsid w:val="229F0037"/>
    <w:rsid w:val="22A77209"/>
    <w:rsid w:val="22B26378"/>
    <w:rsid w:val="22B60D16"/>
    <w:rsid w:val="22B649DD"/>
    <w:rsid w:val="22B83BBC"/>
    <w:rsid w:val="22C205C9"/>
    <w:rsid w:val="22C2087A"/>
    <w:rsid w:val="22C601F3"/>
    <w:rsid w:val="22DB1E07"/>
    <w:rsid w:val="22DD3655"/>
    <w:rsid w:val="22DF69C6"/>
    <w:rsid w:val="22EC00A9"/>
    <w:rsid w:val="22F51CCB"/>
    <w:rsid w:val="22F874E8"/>
    <w:rsid w:val="22FC4DA6"/>
    <w:rsid w:val="230612A7"/>
    <w:rsid w:val="230C5519"/>
    <w:rsid w:val="230F4FB3"/>
    <w:rsid w:val="23154516"/>
    <w:rsid w:val="23181576"/>
    <w:rsid w:val="231F07CE"/>
    <w:rsid w:val="232668D5"/>
    <w:rsid w:val="232738CC"/>
    <w:rsid w:val="23274BA5"/>
    <w:rsid w:val="23280D41"/>
    <w:rsid w:val="2329459D"/>
    <w:rsid w:val="232A266D"/>
    <w:rsid w:val="232C327F"/>
    <w:rsid w:val="23384757"/>
    <w:rsid w:val="23462716"/>
    <w:rsid w:val="23490CEA"/>
    <w:rsid w:val="234B7C6E"/>
    <w:rsid w:val="234C25AA"/>
    <w:rsid w:val="234E1D95"/>
    <w:rsid w:val="234E7067"/>
    <w:rsid w:val="23550AD0"/>
    <w:rsid w:val="23577E5C"/>
    <w:rsid w:val="235A168E"/>
    <w:rsid w:val="235B0632"/>
    <w:rsid w:val="235F6585"/>
    <w:rsid w:val="236672FA"/>
    <w:rsid w:val="2366735C"/>
    <w:rsid w:val="23887A65"/>
    <w:rsid w:val="2394513F"/>
    <w:rsid w:val="23AB38F0"/>
    <w:rsid w:val="23B271DC"/>
    <w:rsid w:val="23B742F4"/>
    <w:rsid w:val="23B9450B"/>
    <w:rsid w:val="23BC0507"/>
    <w:rsid w:val="23CB21DA"/>
    <w:rsid w:val="23DB5B4C"/>
    <w:rsid w:val="23DD1F6C"/>
    <w:rsid w:val="23E94EB8"/>
    <w:rsid w:val="23FC3A49"/>
    <w:rsid w:val="240437AA"/>
    <w:rsid w:val="2407581F"/>
    <w:rsid w:val="240C2B3A"/>
    <w:rsid w:val="240D2A9C"/>
    <w:rsid w:val="2418496F"/>
    <w:rsid w:val="241F37F9"/>
    <w:rsid w:val="24210E4E"/>
    <w:rsid w:val="242C18C4"/>
    <w:rsid w:val="242C213A"/>
    <w:rsid w:val="243E45C7"/>
    <w:rsid w:val="24407809"/>
    <w:rsid w:val="2443398C"/>
    <w:rsid w:val="244D3AD1"/>
    <w:rsid w:val="24536A9D"/>
    <w:rsid w:val="245D2963"/>
    <w:rsid w:val="245F17EC"/>
    <w:rsid w:val="245F1806"/>
    <w:rsid w:val="24624B37"/>
    <w:rsid w:val="24625EA0"/>
    <w:rsid w:val="246E68E8"/>
    <w:rsid w:val="246F1026"/>
    <w:rsid w:val="247022A7"/>
    <w:rsid w:val="2482762A"/>
    <w:rsid w:val="24895713"/>
    <w:rsid w:val="248A1A59"/>
    <w:rsid w:val="249A2BCB"/>
    <w:rsid w:val="249B50CC"/>
    <w:rsid w:val="249D1453"/>
    <w:rsid w:val="249F35E6"/>
    <w:rsid w:val="24A0399F"/>
    <w:rsid w:val="24AB339B"/>
    <w:rsid w:val="24AF1021"/>
    <w:rsid w:val="24B876B2"/>
    <w:rsid w:val="24C26D4F"/>
    <w:rsid w:val="24CD287B"/>
    <w:rsid w:val="24D659ED"/>
    <w:rsid w:val="24DE37E1"/>
    <w:rsid w:val="24E0567E"/>
    <w:rsid w:val="24E821FC"/>
    <w:rsid w:val="24EF31A8"/>
    <w:rsid w:val="24F554E6"/>
    <w:rsid w:val="24F75065"/>
    <w:rsid w:val="25090523"/>
    <w:rsid w:val="250A7D5C"/>
    <w:rsid w:val="251746F0"/>
    <w:rsid w:val="251842FE"/>
    <w:rsid w:val="25295107"/>
    <w:rsid w:val="253208B7"/>
    <w:rsid w:val="253F2264"/>
    <w:rsid w:val="2541397E"/>
    <w:rsid w:val="25482FD6"/>
    <w:rsid w:val="25496473"/>
    <w:rsid w:val="254B40B2"/>
    <w:rsid w:val="254B640F"/>
    <w:rsid w:val="254D335F"/>
    <w:rsid w:val="254D775B"/>
    <w:rsid w:val="255346CB"/>
    <w:rsid w:val="25577EE4"/>
    <w:rsid w:val="255B2F57"/>
    <w:rsid w:val="25712EAE"/>
    <w:rsid w:val="25772714"/>
    <w:rsid w:val="25846799"/>
    <w:rsid w:val="25847B33"/>
    <w:rsid w:val="259A122B"/>
    <w:rsid w:val="25A179C3"/>
    <w:rsid w:val="25A23B72"/>
    <w:rsid w:val="25B33FA7"/>
    <w:rsid w:val="25B83F05"/>
    <w:rsid w:val="25BD3CA6"/>
    <w:rsid w:val="25BF3326"/>
    <w:rsid w:val="25BF627F"/>
    <w:rsid w:val="25C01EB4"/>
    <w:rsid w:val="25C1058F"/>
    <w:rsid w:val="25C766C8"/>
    <w:rsid w:val="25D37304"/>
    <w:rsid w:val="25D773D4"/>
    <w:rsid w:val="25DC5E42"/>
    <w:rsid w:val="25EE750F"/>
    <w:rsid w:val="26084AA7"/>
    <w:rsid w:val="260A6611"/>
    <w:rsid w:val="260F58DC"/>
    <w:rsid w:val="2617264B"/>
    <w:rsid w:val="262234D1"/>
    <w:rsid w:val="262420A3"/>
    <w:rsid w:val="262B45F2"/>
    <w:rsid w:val="26407842"/>
    <w:rsid w:val="264D2600"/>
    <w:rsid w:val="26525AD7"/>
    <w:rsid w:val="26577ACC"/>
    <w:rsid w:val="265A062F"/>
    <w:rsid w:val="265A395E"/>
    <w:rsid w:val="265A5B25"/>
    <w:rsid w:val="26600825"/>
    <w:rsid w:val="26630756"/>
    <w:rsid w:val="26720048"/>
    <w:rsid w:val="26741BDF"/>
    <w:rsid w:val="267B0D13"/>
    <w:rsid w:val="268453A3"/>
    <w:rsid w:val="26916F1C"/>
    <w:rsid w:val="26A1465B"/>
    <w:rsid w:val="26A717FF"/>
    <w:rsid w:val="26A76454"/>
    <w:rsid w:val="26A772A7"/>
    <w:rsid w:val="26A821CC"/>
    <w:rsid w:val="26AA73F5"/>
    <w:rsid w:val="26AC79C8"/>
    <w:rsid w:val="26AE7FF0"/>
    <w:rsid w:val="26AF70B6"/>
    <w:rsid w:val="26B171B9"/>
    <w:rsid w:val="26B86B93"/>
    <w:rsid w:val="26BA2A88"/>
    <w:rsid w:val="26D72604"/>
    <w:rsid w:val="26D933C3"/>
    <w:rsid w:val="26DA0451"/>
    <w:rsid w:val="26ED0B28"/>
    <w:rsid w:val="26F92A28"/>
    <w:rsid w:val="270068E1"/>
    <w:rsid w:val="27036A48"/>
    <w:rsid w:val="270812F9"/>
    <w:rsid w:val="27120152"/>
    <w:rsid w:val="271F14F4"/>
    <w:rsid w:val="27206206"/>
    <w:rsid w:val="272A0CB2"/>
    <w:rsid w:val="27300FEA"/>
    <w:rsid w:val="273839BB"/>
    <w:rsid w:val="273E6635"/>
    <w:rsid w:val="27410905"/>
    <w:rsid w:val="274145D0"/>
    <w:rsid w:val="27447205"/>
    <w:rsid w:val="274668EF"/>
    <w:rsid w:val="27547C5E"/>
    <w:rsid w:val="2755044F"/>
    <w:rsid w:val="275F7EF3"/>
    <w:rsid w:val="27630F09"/>
    <w:rsid w:val="2764097C"/>
    <w:rsid w:val="276500BD"/>
    <w:rsid w:val="27767961"/>
    <w:rsid w:val="278542B4"/>
    <w:rsid w:val="279069C1"/>
    <w:rsid w:val="279B67F9"/>
    <w:rsid w:val="27A66474"/>
    <w:rsid w:val="27B631D8"/>
    <w:rsid w:val="27B8076F"/>
    <w:rsid w:val="27C407F8"/>
    <w:rsid w:val="27CC091C"/>
    <w:rsid w:val="27E67A43"/>
    <w:rsid w:val="27EB1AE2"/>
    <w:rsid w:val="27F03E2A"/>
    <w:rsid w:val="27F570EA"/>
    <w:rsid w:val="27FA15F4"/>
    <w:rsid w:val="27FC19AB"/>
    <w:rsid w:val="28022E77"/>
    <w:rsid w:val="28094907"/>
    <w:rsid w:val="280C64F9"/>
    <w:rsid w:val="280F1B09"/>
    <w:rsid w:val="281663F1"/>
    <w:rsid w:val="281837A9"/>
    <w:rsid w:val="28187989"/>
    <w:rsid w:val="281D08B3"/>
    <w:rsid w:val="28232F5B"/>
    <w:rsid w:val="282A4078"/>
    <w:rsid w:val="282B5E5B"/>
    <w:rsid w:val="282B7A29"/>
    <w:rsid w:val="28425D08"/>
    <w:rsid w:val="28441B85"/>
    <w:rsid w:val="28445BA3"/>
    <w:rsid w:val="284E5C31"/>
    <w:rsid w:val="28572FF4"/>
    <w:rsid w:val="2861534B"/>
    <w:rsid w:val="28665B97"/>
    <w:rsid w:val="286921AF"/>
    <w:rsid w:val="28736B9C"/>
    <w:rsid w:val="28776D26"/>
    <w:rsid w:val="28793F7B"/>
    <w:rsid w:val="289042BD"/>
    <w:rsid w:val="28940373"/>
    <w:rsid w:val="28A06628"/>
    <w:rsid w:val="28AA045C"/>
    <w:rsid w:val="28AE7268"/>
    <w:rsid w:val="28BD5251"/>
    <w:rsid w:val="28C17575"/>
    <w:rsid w:val="28D01274"/>
    <w:rsid w:val="28D92391"/>
    <w:rsid w:val="28E901C4"/>
    <w:rsid w:val="28F263D7"/>
    <w:rsid w:val="28F60BE9"/>
    <w:rsid w:val="28FC7B97"/>
    <w:rsid w:val="29040AEF"/>
    <w:rsid w:val="291717A7"/>
    <w:rsid w:val="2917705B"/>
    <w:rsid w:val="291974D7"/>
    <w:rsid w:val="291C3F2D"/>
    <w:rsid w:val="291E603C"/>
    <w:rsid w:val="292835F2"/>
    <w:rsid w:val="292C5631"/>
    <w:rsid w:val="29357C71"/>
    <w:rsid w:val="293E43CA"/>
    <w:rsid w:val="295B1778"/>
    <w:rsid w:val="295C4FE8"/>
    <w:rsid w:val="29723BE5"/>
    <w:rsid w:val="29753B56"/>
    <w:rsid w:val="2979190F"/>
    <w:rsid w:val="29791BFE"/>
    <w:rsid w:val="2980065D"/>
    <w:rsid w:val="2982372F"/>
    <w:rsid w:val="29A2287A"/>
    <w:rsid w:val="29A95FD6"/>
    <w:rsid w:val="29B26CBD"/>
    <w:rsid w:val="29B915F2"/>
    <w:rsid w:val="29BE4D9A"/>
    <w:rsid w:val="29BF65D9"/>
    <w:rsid w:val="29C60BDD"/>
    <w:rsid w:val="29C742FF"/>
    <w:rsid w:val="29DF5F05"/>
    <w:rsid w:val="29E65DE9"/>
    <w:rsid w:val="29ED4980"/>
    <w:rsid w:val="29F9436E"/>
    <w:rsid w:val="29FD49E7"/>
    <w:rsid w:val="29FD5C67"/>
    <w:rsid w:val="2A043BBD"/>
    <w:rsid w:val="2A205C5E"/>
    <w:rsid w:val="2A2B3809"/>
    <w:rsid w:val="2A2F3C53"/>
    <w:rsid w:val="2A322633"/>
    <w:rsid w:val="2A331DF3"/>
    <w:rsid w:val="2A333102"/>
    <w:rsid w:val="2A3335E3"/>
    <w:rsid w:val="2A334528"/>
    <w:rsid w:val="2A3415B0"/>
    <w:rsid w:val="2A366446"/>
    <w:rsid w:val="2A375D41"/>
    <w:rsid w:val="2A3A0D1C"/>
    <w:rsid w:val="2A491D46"/>
    <w:rsid w:val="2A492C82"/>
    <w:rsid w:val="2A497822"/>
    <w:rsid w:val="2A4B5B42"/>
    <w:rsid w:val="2A4D00D1"/>
    <w:rsid w:val="2A5749FC"/>
    <w:rsid w:val="2A5C4D90"/>
    <w:rsid w:val="2A5F0DF4"/>
    <w:rsid w:val="2A6D1035"/>
    <w:rsid w:val="2A6D366D"/>
    <w:rsid w:val="2A701253"/>
    <w:rsid w:val="2A715FD6"/>
    <w:rsid w:val="2A785209"/>
    <w:rsid w:val="2A7C0B09"/>
    <w:rsid w:val="2A8071E6"/>
    <w:rsid w:val="2A836E98"/>
    <w:rsid w:val="2A8B3817"/>
    <w:rsid w:val="2A8F385D"/>
    <w:rsid w:val="2A9034B4"/>
    <w:rsid w:val="2A964FAC"/>
    <w:rsid w:val="2A9B78A5"/>
    <w:rsid w:val="2AA53EF6"/>
    <w:rsid w:val="2AA605A4"/>
    <w:rsid w:val="2AA60DD9"/>
    <w:rsid w:val="2AB33F87"/>
    <w:rsid w:val="2ABE078D"/>
    <w:rsid w:val="2AC0509C"/>
    <w:rsid w:val="2ACC1D18"/>
    <w:rsid w:val="2ACC5A11"/>
    <w:rsid w:val="2ACD0B36"/>
    <w:rsid w:val="2AD111FD"/>
    <w:rsid w:val="2AE31254"/>
    <w:rsid w:val="2AE337D3"/>
    <w:rsid w:val="2AEA62DD"/>
    <w:rsid w:val="2AEC1D61"/>
    <w:rsid w:val="2B023CFB"/>
    <w:rsid w:val="2B034328"/>
    <w:rsid w:val="2B052E66"/>
    <w:rsid w:val="2B057B58"/>
    <w:rsid w:val="2B093A6E"/>
    <w:rsid w:val="2B0C6254"/>
    <w:rsid w:val="2B163BA8"/>
    <w:rsid w:val="2B286A59"/>
    <w:rsid w:val="2B2E3CA3"/>
    <w:rsid w:val="2B3A05CF"/>
    <w:rsid w:val="2B446F92"/>
    <w:rsid w:val="2B4F2943"/>
    <w:rsid w:val="2B507EB6"/>
    <w:rsid w:val="2B5A6D36"/>
    <w:rsid w:val="2B5D556F"/>
    <w:rsid w:val="2B5F6EA6"/>
    <w:rsid w:val="2B61049A"/>
    <w:rsid w:val="2B632642"/>
    <w:rsid w:val="2B6568DD"/>
    <w:rsid w:val="2B692A79"/>
    <w:rsid w:val="2B6C1A1A"/>
    <w:rsid w:val="2B7208B0"/>
    <w:rsid w:val="2B723083"/>
    <w:rsid w:val="2B761F1B"/>
    <w:rsid w:val="2B812058"/>
    <w:rsid w:val="2B9C1E3E"/>
    <w:rsid w:val="2BA1244C"/>
    <w:rsid w:val="2BA26914"/>
    <w:rsid w:val="2BB35D53"/>
    <w:rsid w:val="2BB37649"/>
    <w:rsid w:val="2BBB4E9B"/>
    <w:rsid w:val="2BBC7FB5"/>
    <w:rsid w:val="2BC02C71"/>
    <w:rsid w:val="2BD6261E"/>
    <w:rsid w:val="2BE0479E"/>
    <w:rsid w:val="2BE6540D"/>
    <w:rsid w:val="2BEB1605"/>
    <w:rsid w:val="2BF60E02"/>
    <w:rsid w:val="2C0C40B6"/>
    <w:rsid w:val="2C0D60C4"/>
    <w:rsid w:val="2C1659B8"/>
    <w:rsid w:val="2C221352"/>
    <w:rsid w:val="2C230F12"/>
    <w:rsid w:val="2C340552"/>
    <w:rsid w:val="2C363DD6"/>
    <w:rsid w:val="2C3A3A18"/>
    <w:rsid w:val="2C406671"/>
    <w:rsid w:val="2C437678"/>
    <w:rsid w:val="2C5F7ED0"/>
    <w:rsid w:val="2C701C82"/>
    <w:rsid w:val="2C770FA3"/>
    <w:rsid w:val="2C7929C9"/>
    <w:rsid w:val="2C7A0005"/>
    <w:rsid w:val="2C7A2CDC"/>
    <w:rsid w:val="2C80128F"/>
    <w:rsid w:val="2C871E96"/>
    <w:rsid w:val="2C8C4DA7"/>
    <w:rsid w:val="2C940967"/>
    <w:rsid w:val="2C9A4365"/>
    <w:rsid w:val="2CA3250F"/>
    <w:rsid w:val="2CA83BFD"/>
    <w:rsid w:val="2CAD411A"/>
    <w:rsid w:val="2CB172AB"/>
    <w:rsid w:val="2CB5245E"/>
    <w:rsid w:val="2CBA732C"/>
    <w:rsid w:val="2CBA73E2"/>
    <w:rsid w:val="2CC05B0C"/>
    <w:rsid w:val="2CCC61DC"/>
    <w:rsid w:val="2CD75E90"/>
    <w:rsid w:val="2CD80088"/>
    <w:rsid w:val="2CDA6E57"/>
    <w:rsid w:val="2CE30F22"/>
    <w:rsid w:val="2CE460FF"/>
    <w:rsid w:val="2CE77235"/>
    <w:rsid w:val="2CEB2E12"/>
    <w:rsid w:val="2CF12E37"/>
    <w:rsid w:val="2CFA5E70"/>
    <w:rsid w:val="2CFD1EAE"/>
    <w:rsid w:val="2CFF2CF1"/>
    <w:rsid w:val="2D0020FD"/>
    <w:rsid w:val="2D004449"/>
    <w:rsid w:val="2D040A3A"/>
    <w:rsid w:val="2D174297"/>
    <w:rsid w:val="2D1B6979"/>
    <w:rsid w:val="2D241E80"/>
    <w:rsid w:val="2D263425"/>
    <w:rsid w:val="2D2B320F"/>
    <w:rsid w:val="2D2D342B"/>
    <w:rsid w:val="2D2E7CD9"/>
    <w:rsid w:val="2D3065F6"/>
    <w:rsid w:val="2D3C4AB6"/>
    <w:rsid w:val="2D3E159C"/>
    <w:rsid w:val="2D406CBA"/>
    <w:rsid w:val="2D417D7D"/>
    <w:rsid w:val="2D454F76"/>
    <w:rsid w:val="2D572256"/>
    <w:rsid w:val="2D5E5ACD"/>
    <w:rsid w:val="2D664E53"/>
    <w:rsid w:val="2D764C10"/>
    <w:rsid w:val="2D770D59"/>
    <w:rsid w:val="2D78580C"/>
    <w:rsid w:val="2D7A291E"/>
    <w:rsid w:val="2D7A5B83"/>
    <w:rsid w:val="2D7A691B"/>
    <w:rsid w:val="2D7E6051"/>
    <w:rsid w:val="2D8662AB"/>
    <w:rsid w:val="2D8A5B70"/>
    <w:rsid w:val="2D9D3CD6"/>
    <w:rsid w:val="2DAB070C"/>
    <w:rsid w:val="2DB81BCA"/>
    <w:rsid w:val="2DB96A6D"/>
    <w:rsid w:val="2DBA421D"/>
    <w:rsid w:val="2DBC321C"/>
    <w:rsid w:val="2DC45F81"/>
    <w:rsid w:val="2DCA68D8"/>
    <w:rsid w:val="2DCB4211"/>
    <w:rsid w:val="2DD123D5"/>
    <w:rsid w:val="2DDD275B"/>
    <w:rsid w:val="2DE75388"/>
    <w:rsid w:val="2DEB0CDA"/>
    <w:rsid w:val="2DEB16D8"/>
    <w:rsid w:val="2DFF65A7"/>
    <w:rsid w:val="2E007074"/>
    <w:rsid w:val="2E082A3B"/>
    <w:rsid w:val="2E14172E"/>
    <w:rsid w:val="2E156C84"/>
    <w:rsid w:val="2E167E37"/>
    <w:rsid w:val="2E1B6050"/>
    <w:rsid w:val="2E1E7D94"/>
    <w:rsid w:val="2E1F0032"/>
    <w:rsid w:val="2E1F458A"/>
    <w:rsid w:val="2E1F48B4"/>
    <w:rsid w:val="2E325AC6"/>
    <w:rsid w:val="2E344DAF"/>
    <w:rsid w:val="2E3933DD"/>
    <w:rsid w:val="2E542892"/>
    <w:rsid w:val="2E576580"/>
    <w:rsid w:val="2E6D2CBD"/>
    <w:rsid w:val="2E7C5CD1"/>
    <w:rsid w:val="2E7F31FB"/>
    <w:rsid w:val="2E827222"/>
    <w:rsid w:val="2E881839"/>
    <w:rsid w:val="2E936895"/>
    <w:rsid w:val="2E951563"/>
    <w:rsid w:val="2E9C1619"/>
    <w:rsid w:val="2EA34E39"/>
    <w:rsid w:val="2EA90574"/>
    <w:rsid w:val="2EA96D06"/>
    <w:rsid w:val="2EB948EE"/>
    <w:rsid w:val="2EBA1580"/>
    <w:rsid w:val="2EC4290F"/>
    <w:rsid w:val="2EC520EB"/>
    <w:rsid w:val="2EC767B9"/>
    <w:rsid w:val="2ECE30AA"/>
    <w:rsid w:val="2ED429F6"/>
    <w:rsid w:val="2EDE7E92"/>
    <w:rsid w:val="2EDF2CF0"/>
    <w:rsid w:val="2EE32667"/>
    <w:rsid w:val="2EE70C2A"/>
    <w:rsid w:val="2EFE24FC"/>
    <w:rsid w:val="2F063C87"/>
    <w:rsid w:val="2F0B230D"/>
    <w:rsid w:val="2F112DCE"/>
    <w:rsid w:val="2F127E49"/>
    <w:rsid w:val="2F1831B2"/>
    <w:rsid w:val="2F190B01"/>
    <w:rsid w:val="2F1D1825"/>
    <w:rsid w:val="2F1F6148"/>
    <w:rsid w:val="2F2829EA"/>
    <w:rsid w:val="2F397ECA"/>
    <w:rsid w:val="2F4C7A7D"/>
    <w:rsid w:val="2F542571"/>
    <w:rsid w:val="2F5B2DBA"/>
    <w:rsid w:val="2F622F67"/>
    <w:rsid w:val="2F624BBD"/>
    <w:rsid w:val="2F66504C"/>
    <w:rsid w:val="2F71599D"/>
    <w:rsid w:val="2F77336C"/>
    <w:rsid w:val="2F826EF7"/>
    <w:rsid w:val="2F831B61"/>
    <w:rsid w:val="2F8C627E"/>
    <w:rsid w:val="2F9E6F42"/>
    <w:rsid w:val="2FA4415B"/>
    <w:rsid w:val="2FA86799"/>
    <w:rsid w:val="2FB44484"/>
    <w:rsid w:val="2FB65506"/>
    <w:rsid w:val="2FBB122D"/>
    <w:rsid w:val="2FBB3BF3"/>
    <w:rsid w:val="2FD8381E"/>
    <w:rsid w:val="2FD94D87"/>
    <w:rsid w:val="2FDB3DFA"/>
    <w:rsid w:val="2FDD1EC2"/>
    <w:rsid w:val="2FDF0645"/>
    <w:rsid w:val="2FE17991"/>
    <w:rsid w:val="2FE3455F"/>
    <w:rsid w:val="2FE779E3"/>
    <w:rsid w:val="2FED5A57"/>
    <w:rsid w:val="2FF7387C"/>
    <w:rsid w:val="2FF975F4"/>
    <w:rsid w:val="2FFC03DC"/>
    <w:rsid w:val="300A7C9C"/>
    <w:rsid w:val="300B61F3"/>
    <w:rsid w:val="301256DD"/>
    <w:rsid w:val="30166435"/>
    <w:rsid w:val="30186224"/>
    <w:rsid w:val="30192227"/>
    <w:rsid w:val="301F4F73"/>
    <w:rsid w:val="30241F58"/>
    <w:rsid w:val="3028126B"/>
    <w:rsid w:val="302B3C56"/>
    <w:rsid w:val="302F1D36"/>
    <w:rsid w:val="30325164"/>
    <w:rsid w:val="303B3444"/>
    <w:rsid w:val="304159E4"/>
    <w:rsid w:val="30461251"/>
    <w:rsid w:val="304A75D4"/>
    <w:rsid w:val="304B20EC"/>
    <w:rsid w:val="304F3F56"/>
    <w:rsid w:val="305E2667"/>
    <w:rsid w:val="305E6FBC"/>
    <w:rsid w:val="305F7057"/>
    <w:rsid w:val="30602CE0"/>
    <w:rsid w:val="30622D1F"/>
    <w:rsid w:val="306240DF"/>
    <w:rsid w:val="306B7CFC"/>
    <w:rsid w:val="3071398E"/>
    <w:rsid w:val="307459E6"/>
    <w:rsid w:val="30764BC5"/>
    <w:rsid w:val="307C417D"/>
    <w:rsid w:val="307D42E1"/>
    <w:rsid w:val="307D6BEE"/>
    <w:rsid w:val="30826F45"/>
    <w:rsid w:val="308512FF"/>
    <w:rsid w:val="3091617B"/>
    <w:rsid w:val="30962223"/>
    <w:rsid w:val="309A0381"/>
    <w:rsid w:val="309F66E8"/>
    <w:rsid w:val="30A208D6"/>
    <w:rsid w:val="30A820C2"/>
    <w:rsid w:val="30A97FAF"/>
    <w:rsid w:val="30AD40B6"/>
    <w:rsid w:val="30B02ECD"/>
    <w:rsid w:val="30C97C89"/>
    <w:rsid w:val="30CA2708"/>
    <w:rsid w:val="30D0747B"/>
    <w:rsid w:val="30D644EB"/>
    <w:rsid w:val="31000E5F"/>
    <w:rsid w:val="310E2D17"/>
    <w:rsid w:val="311901A8"/>
    <w:rsid w:val="311B411F"/>
    <w:rsid w:val="31231CE1"/>
    <w:rsid w:val="312C3581"/>
    <w:rsid w:val="313073AB"/>
    <w:rsid w:val="313C08DB"/>
    <w:rsid w:val="314D409C"/>
    <w:rsid w:val="31511FCB"/>
    <w:rsid w:val="31552F50"/>
    <w:rsid w:val="3164256F"/>
    <w:rsid w:val="316A4740"/>
    <w:rsid w:val="316C1AF9"/>
    <w:rsid w:val="316E5904"/>
    <w:rsid w:val="31744959"/>
    <w:rsid w:val="3181300C"/>
    <w:rsid w:val="31820ECF"/>
    <w:rsid w:val="31876059"/>
    <w:rsid w:val="31890D85"/>
    <w:rsid w:val="31940D88"/>
    <w:rsid w:val="31941E22"/>
    <w:rsid w:val="31947A4D"/>
    <w:rsid w:val="319A401A"/>
    <w:rsid w:val="319B355F"/>
    <w:rsid w:val="31AD3F6C"/>
    <w:rsid w:val="31AE6523"/>
    <w:rsid w:val="31B15EDD"/>
    <w:rsid w:val="31B8236B"/>
    <w:rsid w:val="31BC2C19"/>
    <w:rsid w:val="31CD4724"/>
    <w:rsid w:val="31D04565"/>
    <w:rsid w:val="31D308E5"/>
    <w:rsid w:val="31D60522"/>
    <w:rsid w:val="31DC5E9C"/>
    <w:rsid w:val="31DD1B4B"/>
    <w:rsid w:val="31E06BCA"/>
    <w:rsid w:val="31E340B8"/>
    <w:rsid w:val="31E37F93"/>
    <w:rsid w:val="31EA18EB"/>
    <w:rsid w:val="31EA4F27"/>
    <w:rsid w:val="31F816AF"/>
    <w:rsid w:val="32003AE3"/>
    <w:rsid w:val="32083CCE"/>
    <w:rsid w:val="320D1DB5"/>
    <w:rsid w:val="320E3234"/>
    <w:rsid w:val="3214409C"/>
    <w:rsid w:val="32157EE6"/>
    <w:rsid w:val="321829A2"/>
    <w:rsid w:val="32204093"/>
    <w:rsid w:val="322354C0"/>
    <w:rsid w:val="3227696F"/>
    <w:rsid w:val="322A3FD0"/>
    <w:rsid w:val="322B2CE8"/>
    <w:rsid w:val="323139FD"/>
    <w:rsid w:val="323904E7"/>
    <w:rsid w:val="323B5551"/>
    <w:rsid w:val="323D5EBE"/>
    <w:rsid w:val="32403CD5"/>
    <w:rsid w:val="32484430"/>
    <w:rsid w:val="324D6DEB"/>
    <w:rsid w:val="325A50D2"/>
    <w:rsid w:val="325E156A"/>
    <w:rsid w:val="326B0434"/>
    <w:rsid w:val="326E734D"/>
    <w:rsid w:val="327E1E9E"/>
    <w:rsid w:val="328B180D"/>
    <w:rsid w:val="32A14C53"/>
    <w:rsid w:val="32BA27AC"/>
    <w:rsid w:val="32CB2074"/>
    <w:rsid w:val="32D3172E"/>
    <w:rsid w:val="32E06B84"/>
    <w:rsid w:val="32EA7CA6"/>
    <w:rsid w:val="32F24B3E"/>
    <w:rsid w:val="32F378F7"/>
    <w:rsid w:val="32F4036A"/>
    <w:rsid w:val="33070EE0"/>
    <w:rsid w:val="33231967"/>
    <w:rsid w:val="33273C28"/>
    <w:rsid w:val="332C1869"/>
    <w:rsid w:val="33326A09"/>
    <w:rsid w:val="33357C0F"/>
    <w:rsid w:val="3341553A"/>
    <w:rsid w:val="33425991"/>
    <w:rsid w:val="334B2CD9"/>
    <w:rsid w:val="33503CCC"/>
    <w:rsid w:val="33511DB2"/>
    <w:rsid w:val="33550FE6"/>
    <w:rsid w:val="335C6117"/>
    <w:rsid w:val="336026F6"/>
    <w:rsid w:val="33667930"/>
    <w:rsid w:val="336C1328"/>
    <w:rsid w:val="336C29C5"/>
    <w:rsid w:val="33721AC2"/>
    <w:rsid w:val="33760000"/>
    <w:rsid w:val="3378619D"/>
    <w:rsid w:val="337D67F0"/>
    <w:rsid w:val="337E678E"/>
    <w:rsid w:val="33822604"/>
    <w:rsid w:val="338E2C59"/>
    <w:rsid w:val="339031A2"/>
    <w:rsid w:val="339901DA"/>
    <w:rsid w:val="339F1ED0"/>
    <w:rsid w:val="33A56078"/>
    <w:rsid w:val="33AD2BD0"/>
    <w:rsid w:val="33B12DFC"/>
    <w:rsid w:val="33B212E1"/>
    <w:rsid w:val="33B5385B"/>
    <w:rsid w:val="33B817BD"/>
    <w:rsid w:val="33C537D4"/>
    <w:rsid w:val="33C70135"/>
    <w:rsid w:val="33C95FB0"/>
    <w:rsid w:val="33CA19D4"/>
    <w:rsid w:val="33D30B5A"/>
    <w:rsid w:val="33DB585B"/>
    <w:rsid w:val="33DD6C96"/>
    <w:rsid w:val="33E02A5B"/>
    <w:rsid w:val="33E71C0E"/>
    <w:rsid w:val="33E949A8"/>
    <w:rsid w:val="33EA2485"/>
    <w:rsid w:val="33EC63F3"/>
    <w:rsid w:val="33F420AC"/>
    <w:rsid w:val="33F95E15"/>
    <w:rsid w:val="33FB3502"/>
    <w:rsid w:val="33FC0C35"/>
    <w:rsid w:val="3402381E"/>
    <w:rsid w:val="340443D8"/>
    <w:rsid w:val="340864A8"/>
    <w:rsid w:val="340A7BD4"/>
    <w:rsid w:val="34115587"/>
    <w:rsid w:val="341C751F"/>
    <w:rsid w:val="342122F5"/>
    <w:rsid w:val="342343BE"/>
    <w:rsid w:val="3427000D"/>
    <w:rsid w:val="342A1034"/>
    <w:rsid w:val="342A5DDA"/>
    <w:rsid w:val="3430563F"/>
    <w:rsid w:val="345536BE"/>
    <w:rsid w:val="346D289C"/>
    <w:rsid w:val="34735BC7"/>
    <w:rsid w:val="34746954"/>
    <w:rsid w:val="347C1259"/>
    <w:rsid w:val="34821B26"/>
    <w:rsid w:val="348262E8"/>
    <w:rsid w:val="34852DFB"/>
    <w:rsid w:val="34870FF3"/>
    <w:rsid w:val="34930017"/>
    <w:rsid w:val="34951FE2"/>
    <w:rsid w:val="34982DCA"/>
    <w:rsid w:val="34AA308A"/>
    <w:rsid w:val="34AB2EFA"/>
    <w:rsid w:val="34AE3021"/>
    <w:rsid w:val="34B5369D"/>
    <w:rsid w:val="34C23927"/>
    <w:rsid w:val="34D05BDF"/>
    <w:rsid w:val="34D74524"/>
    <w:rsid w:val="34EF21BA"/>
    <w:rsid w:val="34FB21EC"/>
    <w:rsid w:val="35015A23"/>
    <w:rsid w:val="351362DA"/>
    <w:rsid w:val="351509F4"/>
    <w:rsid w:val="35255498"/>
    <w:rsid w:val="352B6064"/>
    <w:rsid w:val="353006C9"/>
    <w:rsid w:val="353266FE"/>
    <w:rsid w:val="353627E6"/>
    <w:rsid w:val="353704C9"/>
    <w:rsid w:val="3550415A"/>
    <w:rsid w:val="355154B2"/>
    <w:rsid w:val="355B39D5"/>
    <w:rsid w:val="35682DCF"/>
    <w:rsid w:val="356A72E6"/>
    <w:rsid w:val="35736FC0"/>
    <w:rsid w:val="358636D8"/>
    <w:rsid w:val="358C2E02"/>
    <w:rsid w:val="35906BB6"/>
    <w:rsid w:val="359274C2"/>
    <w:rsid w:val="359A4474"/>
    <w:rsid w:val="359E49E9"/>
    <w:rsid w:val="35A25378"/>
    <w:rsid w:val="35AC7D9F"/>
    <w:rsid w:val="35B970F9"/>
    <w:rsid w:val="35BB4FD1"/>
    <w:rsid w:val="35BE48FF"/>
    <w:rsid w:val="35C41F10"/>
    <w:rsid w:val="35C66A0B"/>
    <w:rsid w:val="35C743CC"/>
    <w:rsid w:val="35CC2E55"/>
    <w:rsid w:val="35D25FBE"/>
    <w:rsid w:val="35DB50E2"/>
    <w:rsid w:val="35E20F81"/>
    <w:rsid w:val="35ED60F7"/>
    <w:rsid w:val="35F257DC"/>
    <w:rsid w:val="35F52853"/>
    <w:rsid w:val="36036E4C"/>
    <w:rsid w:val="360646D4"/>
    <w:rsid w:val="360B1F91"/>
    <w:rsid w:val="360F2A66"/>
    <w:rsid w:val="360F6222"/>
    <w:rsid w:val="36177358"/>
    <w:rsid w:val="36177C38"/>
    <w:rsid w:val="3629718C"/>
    <w:rsid w:val="36297E88"/>
    <w:rsid w:val="363A4100"/>
    <w:rsid w:val="36410A3A"/>
    <w:rsid w:val="364D2060"/>
    <w:rsid w:val="364E7F63"/>
    <w:rsid w:val="36564417"/>
    <w:rsid w:val="365D393C"/>
    <w:rsid w:val="365E6DB8"/>
    <w:rsid w:val="36611E9F"/>
    <w:rsid w:val="36614A45"/>
    <w:rsid w:val="36690B5B"/>
    <w:rsid w:val="366A3E8C"/>
    <w:rsid w:val="366A4252"/>
    <w:rsid w:val="367754DE"/>
    <w:rsid w:val="36784AF0"/>
    <w:rsid w:val="36835E6A"/>
    <w:rsid w:val="36900D69"/>
    <w:rsid w:val="369236D1"/>
    <w:rsid w:val="36963DEF"/>
    <w:rsid w:val="36A121B3"/>
    <w:rsid w:val="36A346E4"/>
    <w:rsid w:val="36AA0095"/>
    <w:rsid w:val="36B4266A"/>
    <w:rsid w:val="36C64BF6"/>
    <w:rsid w:val="36D72FA9"/>
    <w:rsid w:val="36DD1115"/>
    <w:rsid w:val="36E74838"/>
    <w:rsid w:val="36EC5F07"/>
    <w:rsid w:val="36FA4156"/>
    <w:rsid w:val="37013427"/>
    <w:rsid w:val="370653E7"/>
    <w:rsid w:val="370E3984"/>
    <w:rsid w:val="37187417"/>
    <w:rsid w:val="371F2036"/>
    <w:rsid w:val="372627C0"/>
    <w:rsid w:val="373B505A"/>
    <w:rsid w:val="373D64BF"/>
    <w:rsid w:val="374F2F07"/>
    <w:rsid w:val="3750792F"/>
    <w:rsid w:val="375463DB"/>
    <w:rsid w:val="375F7232"/>
    <w:rsid w:val="37625982"/>
    <w:rsid w:val="37671578"/>
    <w:rsid w:val="3768699A"/>
    <w:rsid w:val="377059D0"/>
    <w:rsid w:val="37734DC6"/>
    <w:rsid w:val="37736F6C"/>
    <w:rsid w:val="37810884"/>
    <w:rsid w:val="378123A9"/>
    <w:rsid w:val="378336FB"/>
    <w:rsid w:val="378674E1"/>
    <w:rsid w:val="378F6E97"/>
    <w:rsid w:val="37970CD8"/>
    <w:rsid w:val="37977E1F"/>
    <w:rsid w:val="379B76DA"/>
    <w:rsid w:val="37B7401D"/>
    <w:rsid w:val="37BE4787"/>
    <w:rsid w:val="37C60826"/>
    <w:rsid w:val="37C83999"/>
    <w:rsid w:val="37CF417F"/>
    <w:rsid w:val="37CF5A51"/>
    <w:rsid w:val="37D214BE"/>
    <w:rsid w:val="37D50947"/>
    <w:rsid w:val="37D61CCA"/>
    <w:rsid w:val="37D72D05"/>
    <w:rsid w:val="37DF41BC"/>
    <w:rsid w:val="37E21686"/>
    <w:rsid w:val="37EF6356"/>
    <w:rsid w:val="37F42AB8"/>
    <w:rsid w:val="37FB6790"/>
    <w:rsid w:val="37FD4445"/>
    <w:rsid w:val="38036D1E"/>
    <w:rsid w:val="380517DC"/>
    <w:rsid w:val="381A4EA7"/>
    <w:rsid w:val="382429A4"/>
    <w:rsid w:val="38252598"/>
    <w:rsid w:val="382F654A"/>
    <w:rsid w:val="38350332"/>
    <w:rsid w:val="383970A7"/>
    <w:rsid w:val="38420117"/>
    <w:rsid w:val="38457EE4"/>
    <w:rsid w:val="38495504"/>
    <w:rsid w:val="384D4981"/>
    <w:rsid w:val="384E3BBB"/>
    <w:rsid w:val="3862667F"/>
    <w:rsid w:val="38650C1B"/>
    <w:rsid w:val="38675D29"/>
    <w:rsid w:val="38681613"/>
    <w:rsid w:val="38710AB3"/>
    <w:rsid w:val="38725D75"/>
    <w:rsid w:val="388607F3"/>
    <w:rsid w:val="388916EC"/>
    <w:rsid w:val="38982766"/>
    <w:rsid w:val="38991B97"/>
    <w:rsid w:val="389B342A"/>
    <w:rsid w:val="38A07B54"/>
    <w:rsid w:val="38A314BA"/>
    <w:rsid w:val="38AC37B6"/>
    <w:rsid w:val="38AC5B4C"/>
    <w:rsid w:val="38B5657F"/>
    <w:rsid w:val="38CC4BED"/>
    <w:rsid w:val="38D441F2"/>
    <w:rsid w:val="38DC2F57"/>
    <w:rsid w:val="38DD3F57"/>
    <w:rsid w:val="38F95415"/>
    <w:rsid w:val="390412D8"/>
    <w:rsid w:val="390C505F"/>
    <w:rsid w:val="390F0F9B"/>
    <w:rsid w:val="392017C0"/>
    <w:rsid w:val="39227BBC"/>
    <w:rsid w:val="39252B76"/>
    <w:rsid w:val="392C4D9D"/>
    <w:rsid w:val="392E6561"/>
    <w:rsid w:val="392E6F43"/>
    <w:rsid w:val="39321E7C"/>
    <w:rsid w:val="393301D1"/>
    <w:rsid w:val="39364785"/>
    <w:rsid w:val="39391132"/>
    <w:rsid w:val="39401D4A"/>
    <w:rsid w:val="39456DCA"/>
    <w:rsid w:val="394D69CA"/>
    <w:rsid w:val="394E1852"/>
    <w:rsid w:val="394F0285"/>
    <w:rsid w:val="394F3CCB"/>
    <w:rsid w:val="3952140A"/>
    <w:rsid w:val="39554235"/>
    <w:rsid w:val="39763800"/>
    <w:rsid w:val="397A1C59"/>
    <w:rsid w:val="397F6E8D"/>
    <w:rsid w:val="398919E9"/>
    <w:rsid w:val="39917A79"/>
    <w:rsid w:val="39974106"/>
    <w:rsid w:val="399B732B"/>
    <w:rsid w:val="399B7825"/>
    <w:rsid w:val="39A209C1"/>
    <w:rsid w:val="39A34089"/>
    <w:rsid w:val="39AD6790"/>
    <w:rsid w:val="39C84866"/>
    <w:rsid w:val="39C86214"/>
    <w:rsid w:val="39C96254"/>
    <w:rsid w:val="39D252AE"/>
    <w:rsid w:val="39D26619"/>
    <w:rsid w:val="39DA3944"/>
    <w:rsid w:val="39DF3CFF"/>
    <w:rsid w:val="39E25290"/>
    <w:rsid w:val="39E276D4"/>
    <w:rsid w:val="39E7178F"/>
    <w:rsid w:val="39E93BC2"/>
    <w:rsid w:val="39F552D0"/>
    <w:rsid w:val="39F8422A"/>
    <w:rsid w:val="39F91CCB"/>
    <w:rsid w:val="3A010011"/>
    <w:rsid w:val="3A04236B"/>
    <w:rsid w:val="3A04454A"/>
    <w:rsid w:val="3A083592"/>
    <w:rsid w:val="3A09219E"/>
    <w:rsid w:val="3A092B2A"/>
    <w:rsid w:val="3A0E457E"/>
    <w:rsid w:val="3A0E7224"/>
    <w:rsid w:val="3A1352F1"/>
    <w:rsid w:val="3A1A4D37"/>
    <w:rsid w:val="3A2254FF"/>
    <w:rsid w:val="3A2A4074"/>
    <w:rsid w:val="3A333900"/>
    <w:rsid w:val="3A387E09"/>
    <w:rsid w:val="3A3D6D40"/>
    <w:rsid w:val="3A4112DA"/>
    <w:rsid w:val="3A462802"/>
    <w:rsid w:val="3A485C20"/>
    <w:rsid w:val="3A4A4CC7"/>
    <w:rsid w:val="3A4A5C8B"/>
    <w:rsid w:val="3A4E599C"/>
    <w:rsid w:val="3A59585F"/>
    <w:rsid w:val="3A60703D"/>
    <w:rsid w:val="3A6C2289"/>
    <w:rsid w:val="3A6F3FC5"/>
    <w:rsid w:val="3A6F6FB5"/>
    <w:rsid w:val="3A726E4E"/>
    <w:rsid w:val="3A7A5B1E"/>
    <w:rsid w:val="3A8E3939"/>
    <w:rsid w:val="3A912821"/>
    <w:rsid w:val="3A955CCA"/>
    <w:rsid w:val="3A9B2460"/>
    <w:rsid w:val="3A9E2E87"/>
    <w:rsid w:val="3A9F2162"/>
    <w:rsid w:val="3AA62464"/>
    <w:rsid w:val="3AB121D8"/>
    <w:rsid w:val="3AB61DD5"/>
    <w:rsid w:val="3AB642F2"/>
    <w:rsid w:val="3ABC194A"/>
    <w:rsid w:val="3AC21656"/>
    <w:rsid w:val="3AC60DC7"/>
    <w:rsid w:val="3AC76ACF"/>
    <w:rsid w:val="3AC97FAA"/>
    <w:rsid w:val="3ACB3F4C"/>
    <w:rsid w:val="3ACB4EA8"/>
    <w:rsid w:val="3ACF35EC"/>
    <w:rsid w:val="3ADE269E"/>
    <w:rsid w:val="3AE510DD"/>
    <w:rsid w:val="3AE80E8E"/>
    <w:rsid w:val="3AEA2742"/>
    <w:rsid w:val="3AFA0B5B"/>
    <w:rsid w:val="3AFD6137"/>
    <w:rsid w:val="3AFF52EB"/>
    <w:rsid w:val="3B0376FA"/>
    <w:rsid w:val="3B082388"/>
    <w:rsid w:val="3B0D52B2"/>
    <w:rsid w:val="3B0D5D4C"/>
    <w:rsid w:val="3B143A56"/>
    <w:rsid w:val="3B166C95"/>
    <w:rsid w:val="3B1B4B14"/>
    <w:rsid w:val="3B31058A"/>
    <w:rsid w:val="3B367657"/>
    <w:rsid w:val="3B410BE2"/>
    <w:rsid w:val="3B411A26"/>
    <w:rsid w:val="3B500811"/>
    <w:rsid w:val="3B5732FB"/>
    <w:rsid w:val="3B6041A0"/>
    <w:rsid w:val="3B691AD2"/>
    <w:rsid w:val="3B6A1E61"/>
    <w:rsid w:val="3B6C730F"/>
    <w:rsid w:val="3B717625"/>
    <w:rsid w:val="3B8904A2"/>
    <w:rsid w:val="3B9A7293"/>
    <w:rsid w:val="3BA00F45"/>
    <w:rsid w:val="3BA07798"/>
    <w:rsid w:val="3BA40D5C"/>
    <w:rsid w:val="3BAB6FA6"/>
    <w:rsid w:val="3BBF49F5"/>
    <w:rsid w:val="3BD24ADD"/>
    <w:rsid w:val="3BD50F16"/>
    <w:rsid w:val="3BD71030"/>
    <w:rsid w:val="3BDA30C9"/>
    <w:rsid w:val="3BDF38AF"/>
    <w:rsid w:val="3BF54581"/>
    <w:rsid w:val="3C044687"/>
    <w:rsid w:val="3C2575B9"/>
    <w:rsid w:val="3C285D82"/>
    <w:rsid w:val="3C2F1BF7"/>
    <w:rsid w:val="3C2F7C32"/>
    <w:rsid w:val="3C32053F"/>
    <w:rsid w:val="3C39204B"/>
    <w:rsid w:val="3C3E406C"/>
    <w:rsid w:val="3C4B1DF2"/>
    <w:rsid w:val="3C4C6A66"/>
    <w:rsid w:val="3C51067F"/>
    <w:rsid w:val="3C536B06"/>
    <w:rsid w:val="3C556C56"/>
    <w:rsid w:val="3C58436E"/>
    <w:rsid w:val="3C6236EB"/>
    <w:rsid w:val="3C672048"/>
    <w:rsid w:val="3C6B187A"/>
    <w:rsid w:val="3C740388"/>
    <w:rsid w:val="3C7A386B"/>
    <w:rsid w:val="3C7E15AD"/>
    <w:rsid w:val="3C831601"/>
    <w:rsid w:val="3C960B15"/>
    <w:rsid w:val="3C974817"/>
    <w:rsid w:val="3C9F3D3B"/>
    <w:rsid w:val="3C9F710B"/>
    <w:rsid w:val="3CA300F5"/>
    <w:rsid w:val="3CA9364C"/>
    <w:rsid w:val="3CAA3FAB"/>
    <w:rsid w:val="3CB74FF6"/>
    <w:rsid w:val="3CB816A4"/>
    <w:rsid w:val="3CC53E94"/>
    <w:rsid w:val="3CC857B6"/>
    <w:rsid w:val="3CCE7644"/>
    <w:rsid w:val="3CD72898"/>
    <w:rsid w:val="3CD73401"/>
    <w:rsid w:val="3CD741BF"/>
    <w:rsid w:val="3CE27D8E"/>
    <w:rsid w:val="3CE865B0"/>
    <w:rsid w:val="3CED427C"/>
    <w:rsid w:val="3CF038D6"/>
    <w:rsid w:val="3CF41594"/>
    <w:rsid w:val="3CFC24D2"/>
    <w:rsid w:val="3D083788"/>
    <w:rsid w:val="3D0D7049"/>
    <w:rsid w:val="3D144F76"/>
    <w:rsid w:val="3D2008A3"/>
    <w:rsid w:val="3D2E2411"/>
    <w:rsid w:val="3D337B31"/>
    <w:rsid w:val="3D353E84"/>
    <w:rsid w:val="3D5005EB"/>
    <w:rsid w:val="3D6611DA"/>
    <w:rsid w:val="3D6C7D3F"/>
    <w:rsid w:val="3D7C57D3"/>
    <w:rsid w:val="3D8F2918"/>
    <w:rsid w:val="3D9307B4"/>
    <w:rsid w:val="3D97720F"/>
    <w:rsid w:val="3D9E2234"/>
    <w:rsid w:val="3D9F4956"/>
    <w:rsid w:val="3DA2174E"/>
    <w:rsid w:val="3DAA5311"/>
    <w:rsid w:val="3DAB3216"/>
    <w:rsid w:val="3DBB1B4D"/>
    <w:rsid w:val="3DBD041E"/>
    <w:rsid w:val="3DBD7EB3"/>
    <w:rsid w:val="3DC70D32"/>
    <w:rsid w:val="3DCB278F"/>
    <w:rsid w:val="3DD35B24"/>
    <w:rsid w:val="3DDE3917"/>
    <w:rsid w:val="3DE66128"/>
    <w:rsid w:val="3DE9514C"/>
    <w:rsid w:val="3DEC3A44"/>
    <w:rsid w:val="3DFF16E9"/>
    <w:rsid w:val="3E145C1C"/>
    <w:rsid w:val="3E1607EF"/>
    <w:rsid w:val="3E1A50E1"/>
    <w:rsid w:val="3E1C7725"/>
    <w:rsid w:val="3E231D56"/>
    <w:rsid w:val="3E25747C"/>
    <w:rsid w:val="3E26098F"/>
    <w:rsid w:val="3E2F7877"/>
    <w:rsid w:val="3E3B04B0"/>
    <w:rsid w:val="3E3E7F7D"/>
    <w:rsid w:val="3E4D031B"/>
    <w:rsid w:val="3E4F3306"/>
    <w:rsid w:val="3E564C85"/>
    <w:rsid w:val="3E6B319E"/>
    <w:rsid w:val="3E6D7B2B"/>
    <w:rsid w:val="3E746D7E"/>
    <w:rsid w:val="3E75364C"/>
    <w:rsid w:val="3E796FBB"/>
    <w:rsid w:val="3E7D20AD"/>
    <w:rsid w:val="3E7E33D6"/>
    <w:rsid w:val="3E914C0D"/>
    <w:rsid w:val="3E98343F"/>
    <w:rsid w:val="3EA12164"/>
    <w:rsid w:val="3EA22193"/>
    <w:rsid w:val="3EA77B3A"/>
    <w:rsid w:val="3EAA61FD"/>
    <w:rsid w:val="3EB44782"/>
    <w:rsid w:val="3EB50271"/>
    <w:rsid w:val="3EBC00BF"/>
    <w:rsid w:val="3EBD0BC4"/>
    <w:rsid w:val="3EBF0B79"/>
    <w:rsid w:val="3EC35584"/>
    <w:rsid w:val="3EC97CCB"/>
    <w:rsid w:val="3ECA36DF"/>
    <w:rsid w:val="3ED2230C"/>
    <w:rsid w:val="3ED42A97"/>
    <w:rsid w:val="3ED55A5B"/>
    <w:rsid w:val="3EE13C67"/>
    <w:rsid w:val="3EE27E07"/>
    <w:rsid w:val="3EE300F7"/>
    <w:rsid w:val="3EEB27FE"/>
    <w:rsid w:val="3EF26282"/>
    <w:rsid w:val="3F0044FB"/>
    <w:rsid w:val="3F0A6D15"/>
    <w:rsid w:val="3F151403"/>
    <w:rsid w:val="3F1C0B53"/>
    <w:rsid w:val="3F2C674A"/>
    <w:rsid w:val="3F337FF6"/>
    <w:rsid w:val="3F340649"/>
    <w:rsid w:val="3F394A24"/>
    <w:rsid w:val="3F471A53"/>
    <w:rsid w:val="3F4802CD"/>
    <w:rsid w:val="3F543D4D"/>
    <w:rsid w:val="3F563233"/>
    <w:rsid w:val="3F697211"/>
    <w:rsid w:val="3F71466F"/>
    <w:rsid w:val="3F723947"/>
    <w:rsid w:val="3F734553"/>
    <w:rsid w:val="3F822788"/>
    <w:rsid w:val="3F855E0F"/>
    <w:rsid w:val="3F8A2017"/>
    <w:rsid w:val="3F8C5D8F"/>
    <w:rsid w:val="3F8F352C"/>
    <w:rsid w:val="3F954106"/>
    <w:rsid w:val="3F9723FF"/>
    <w:rsid w:val="3F9B075C"/>
    <w:rsid w:val="3FA104DD"/>
    <w:rsid w:val="3FA24D04"/>
    <w:rsid w:val="3FA45CFF"/>
    <w:rsid w:val="3FB269CB"/>
    <w:rsid w:val="3FB61F44"/>
    <w:rsid w:val="3FB74B6A"/>
    <w:rsid w:val="3FBF0BCE"/>
    <w:rsid w:val="3FBF4E9D"/>
    <w:rsid w:val="3FC441A3"/>
    <w:rsid w:val="3FC53F70"/>
    <w:rsid w:val="3FCA0C1E"/>
    <w:rsid w:val="3FDA4009"/>
    <w:rsid w:val="3FE574EF"/>
    <w:rsid w:val="3FE67A94"/>
    <w:rsid w:val="3FFA719D"/>
    <w:rsid w:val="4000398B"/>
    <w:rsid w:val="40171F63"/>
    <w:rsid w:val="401C76D3"/>
    <w:rsid w:val="402179A3"/>
    <w:rsid w:val="40330CA4"/>
    <w:rsid w:val="40350D5F"/>
    <w:rsid w:val="40384169"/>
    <w:rsid w:val="403E5BFA"/>
    <w:rsid w:val="4051781D"/>
    <w:rsid w:val="40601CDF"/>
    <w:rsid w:val="40624D42"/>
    <w:rsid w:val="406F3C61"/>
    <w:rsid w:val="40734F8E"/>
    <w:rsid w:val="40890A0A"/>
    <w:rsid w:val="408A0F96"/>
    <w:rsid w:val="408B2769"/>
    <w:rsid w:val="408C60B4"/>
    <w:rsid w:val="409372FB"/>
    <w:rsid w:val="40955117"/>
    <w:rsid w:val="40963AA1"/>
    <w:rsid w:val="40992904"/>
    <w:rsid w:val="40AE1FF7"/>
    <w:rsid w:val="40B733A7"/>
    <w:rsid w:val="40BA68B9"/>
    <w:rsid w:val="40C16266"/>
    <w:rsid w:val="40C235CF"/>
    <w:rsid w:val="40C27CA0"/>
    <w:rsid w:val="40C314BB"/>
    <w:rsid w:val="40C77E29"/>
    <w:rsid w:val="40CD0B1C"/>
    <w:rsid w:val="40CF00C1"/>
    <w:rsid w:val="40CF3853"/>
    <w:rsid w:val="40DC5386"/>
    <w:rsid w:val="40E40DFF"/>
    <w:rsid w:val="40E46B67"/>
    <w:rsid w:val="40E57E4D"/>
    <w:rsid w:val="40EE6D34"/>
    <w:rsid w:val="40FD678B"/>
    <w:rsid w:val="41076015"/>
    <w:rsid w:val="410A59EB"/>
    <w:rsid w:val="410B5436"/>
    <w:rsid w:val="410D4738"/>
    <w:rsid w:val="4110479E"/>
    <w:rsid w:val="4114428E"/>
    <w:rsid w:val="41176148"/>
    <w:rsid w:val="411E7E74"/>
    <w:rsid w:val="412344BF"/>
    <w:rsid w:val="412846DA"/>
    <w:rsid w:val="412C5510"/>
    <w:rsid w:val="41356D45"/>
    <w:rsid w:val="41390199"/>
    <w:rsid w:val="41395AA3"/>
    <w:rsid w:val="4148165E"/>
    <w:rsid w:val="414F7E63"/>
    <w:rsid w:val="415818BD"/>
    <w:rsid w:val="41647A32"/>
    <w:rsid w:val="4173037E"/>
    <w:rsid w:val="41763898"/>
    <w:rsid w:val="4178619D"/>
    <w:rsid w:val="417D62D7"/>
    <w:rsid w:val="41825C38"/>
    <w:rsid w:val="41827323"/>
    <w:rsid w:val="41997965"/>
    <w:rsid w:val="41997BF4"/>
    <w:rsid w:val="41A25E23"/>
    <w:rsid w:val="41B47713"/>
    <w:rsid w:val="41BA20AB"/>
    <w:rsid w:val="41C51A2C"/>
    <w:rsid w:val="41D129AC"/>
    <w:rsid w:val="41D33240"/>
    <w:rsid w:val="41DB32FB"/>
    <w:rsid w:val="41DB562E"/>
    <w:rsid w:val="41E00282"/>
    <w:rsid w:val="41E24A84"/>
    <w:rsid w:val="41E734A9"/>
    <w:rsid w:val="41EF5897"/>
    <w:rsid w:val="41F141C8"/>
    <w:rsid w:val="41F769F8"/>
    <w:rsid w:val="41FA44D3"/>
    <w:rsid w:val="41FF317F"/>
    <w:rsid w:val="41FF49C1"/>
    <w:rsid w:val="420267DC"/>
    <w:rsid w:val="42092855"/>
    <w:rsid w:val="420F3AD9"/>
    <w:rsid w:val="42110D34"/>
    <w:rsid w:val="42134B8E"/>
    <w:rsid w:val="4215684A"/>
    <w:rsid w:val="421603A4"/>
    <w:rsid w:val="42160750"/>
    <w:rsid w:val="42190804"/>
    <w:rsid w:val="42201A72"/>
    <w:rsid w:val="42274369"/>
    <w:rsid w:val="42303371"/>
    <w:rsid w:val="42352A98"/>
    <w:rsid w:val="423F358D"/>
    <w:rsid w:val="42402E61"/>
    <w:rsid w:val="42441DF7"/>
    <w:rsid w:val="424B433F"/>
    <w:rsid w:val="424D7689"/>
    <w:rsid w:val="42523A38"/>
    <w:rsid w:val="42567A0F"/>
    <w:rsid w:val="4267663F"/>
    <w:rsid w:val="426A1BC5"/>
    <w:rsid w:val="426A44DC"/>
    <w:rsid w:val="426C5237"/>
    <w:rsid w:val="426E763A"/>
    <w:rsid w:val="427603DC"/>
    <w:rsid w:val="42935686"/>
    <w:rsid w:val="42970839"/>
    <w:rsid w:val="42976E80"/>
    <w:rsid w:val="42980EEF"/>
    <w:rsid w:val="42997757"/>
    <w:rsid w:val="429C47B7"/>
    <w:rsid w:val="42A67168"/>
    <w:rsid w:val="42A74E9A"/>
    <w:rsid w:val="42AB449F"/>
    <w:rsid w:val="42AC1196"/>
    <w:rsid w:val="42AC2357"/>
    <w:rsid w:val="42AE439D"/>
    <w:rsid w:val="42B55856"/>
    <w:rsid w:val="42BB0C2D"/>
    <w:rsid w:val="42BF2999"/>
    <w:rsid w:val="42C051B3"/>
    <w:rsid w:val="42C21EAE"/>
    <w:rsid w:val="42C27417"/>
    <w:rsid w:val="42C53350"/>
    <w:rsid w:val="42C60F27"/>
    <w:rsid w:val="42CC0448"/>
    <w:rsid w:val="42D304CA"/>
    <w:rsid w:val="42D33507"/>
    <w:rsid w:val="42DC5ACD"/>
    <w:rsid w:val="42DD0636"/>
    <w:rsid w:val="42E646A2"/>
    <w:rsid w:val="42EA09E3"/>
    <w:rsid w:val="42EC3CA8"/>
    <w:rsid w:val="42F45061"/>
    <w:rsid w:val="430075B6"/>
    <w:rsid w:val="43016A94"/>
    <w:rsid w:val="430A2E6D"/>
    <w:rsid w:val="430D3041"/>
    <w:rsid w:val="4310273F"/>
    <w:rsid w:val="431247FD"/>
    <w:rsid w:val="431808C8"/>
    <w:rsid w:val="4320516C"/>
    <w:rsid w:val="43275C4F"/>
    <w:rsid w:val="43282273"/>
    <w:rsid w:val="43284892"/>
    <w:rsid w:val="43300406"/>
    <w:rsid w:val="43340C18"/>
    <w:rsid w:val="43370D46"/>
    <w:rsid w:val="433711B8"/>
    <w:rsid w:val="43451141"/>
    <w:rsid w:val="434A6923"/>
    <w:rsid w:val="434F746B"/>
    <w:rsid w:val="43515022"/>
    <w:rsid w:val="4358292F"/>
    <w:rsid w:val="435D3124"/>
    <w:rsid w:val="436332AB"/>
    <w:rsid w:val="43653F07"/>
    <w:rsid w:val="43695D61"/>
    <w:rsid w:val="43705559"/>
    <w:rsid w:val="437273A2"/>
    <w:rsid w:val="4373390F"/>
    <w:rsid w:val="43737750"/>
    <w:rsid w:val="43754326"/>
    <w:rsid w:val="437B2F7D"/>
    <w:rsid w:val="437F242F"/>
    <w:rsid w:val="43864EBB"/>
    <w:rsid w:val="438D1048"/>
    <w:rsid w:val="438D6F73"/>
    <w:rsid w:val="439671DC"/>
    <w:rsid w:val="439A257A"/>
    <w:rsid w:val="439B5FC3"/>
    <w:rsid w:val="43A0005B"/>
    <w:rsid w:val="43A17840"/>
    <w:rsid w:val="43A32635"/>
    <w:rsid w:val="43A519CD"/>
    <w:rsid w:val="43C309A2"/>
    <w:rsid w:val="43C62AA3"/>
    <w:rsid w:val="43C81E3A"/>
    <w:rsid w:val="43D00A20"/>
    <w:rsid w:val="43D6297F"/>
    <w:rsid w:val="43D77093"/>
    <w:rsid w:val="43D877F5"/>
    <w:rsid w:val="43D911A0"/>
    <w:rsid w:val="43D97147"/>
    <w:rsid w:val="43DE3D30"/>
    <w:rsid w:val="43E166FE"/>
    <w:rsid w:val="43E5401A"/>
    <w:rsid w:val="43E73CDC"/>
    <w:rsid w:val="43F0524D"/>
    <w:rsid w:val="43F325FE"/>
    <w:rsid w:val="43F959BD"/>
    <w:rsid w:val="43FA758D"/>
    <w:rsid w:val="43FC5E92"/>
    <w:rsid w:val="44017F76"/>
    <w:rsid w:val="440F49AF"/>
    <w:rsid w:val="441000C1"/>
    <w:rsid w:val="441926A9"/>
    <w:rsid w:val="4424251F"/>
    <w:rsid w:val="442828F8"/>
    <w:rsid w:val="442F6F2B"/>
    <w:rsid w:val="442F79B9"/>
    <w:rsid w:val="443058AA"/>
    <w:rsid w:val="44325FD0"/>
    <w:rsid w:val="44362BD5"/>
    <w:rsid w:val="444136BD"/>
    <w:rsid w:val="44460162"/>
    <w:rsid w:val="444A7FC7"/>
    <w:rsid w:val="444C352B"/>
    <w:rsid w:val="44572C8D"/>
    <w:rsid w:val="44606619"/>
    <w:rsid w:val="44623CB2"/>
    <w:rsid w:val="44674566"/>
    <w:rsid w:val="446C1472"/>
    <w:rsid w:val="446E0DE7"/>
    <w:rsid w:val="44735770"/>
    <w:rsid w:val="447B285E"/>
    <w:rsid w:val="447F3982"/>
    <w:rsid w:val="44835782"/>
    <w:rsid w:val="44855B8D"/>
    <w:rsid w:val="44867CF7"/>
    <w:rsid w:val="448C1D82"/>
    <w:rsid w:val="448C6831"/>
    <w:rsid w:val="44992DCB"/>
    <w:rsid w:val="44A01FB0"/>
    <w:rsid w:val="44A87936"/>
    <w:rsid w:val="44B63749"/>
    <w:rsid w:val="44BF07EF"/>
    <w:rsid w:val="44C03003"/>
    <w:rsid w:val="44D34460"/>
    <w:rsid w:val="44DA5393"/>
    <w:rsid w:val="44E173B8"/>
    <w:rsid w:val="44E33D42"/>
    <w:rsid w:val="44E94B58"/>
    <w:rsid w:val="44ED72D0"/>
    <w:rsid w:val="44F10580"/>
    <w:rsid w:val="44FA6C25"/>
    <w:rsid w:val="44FC05C0"/>
    <w:rsid w:val="44FD08B9"/>
    <w:rsid w:val="44FD4C59"/>
    <w:rsid w:val="45010901"/>
    <w:rsid w:val="450C6BE5"/>
    <w:rsid w:val="45196317"/>
    <w:rsid w:val="451B761B"/>
    <w:rsid w:val="4523483B"/>
    <w:rsid w:val="453D07C4"/>
    <w:rsid w:val="45405051"/>
    <w:rsid w:val="45446392"/>
    <w:rsid w:val="45503B6C"/>
    <w:rsid w:val="45615A31"/>
    <w:rsid w:val="45631F71"/>
    <w:rsid w:val="45645083"/>
    <w:rsid w:val="45645939"/>
    <w:rsid w:val="45712FBF"/>
    <w:rsid w:val="45744428"/>
    <w:rsid w:val="457A431F"/>
    <w:rsid w:val="45865AC5"/>
    <w:rsid w:val="45873F2E"/>
    <w:rsid w:val="45894183"/>
    <w:rsid w:val="45903A89"/>
    <w:rsid w:val="45957E50"/>
    <w:rsid w:val="459A2B4B"/>
    <w:rsid w:val="459B7F89"/>
    <w:rsid w:val="45A45A2B"/>
    <w:rsid w:val="45AA03B6"/>
    <w:rsid w:val="45AA28B2"/>
    <w:rsid w:val="45AE3A36"/>
    <w:rsid w:val="45AE56E5"/>
    <w:rsid w:val="45B03BFE"/>
    <w:rsid w:val="45B47BFC"/>
    <w:rsid w:val="45B50B81"/>
    <w:rsid w:val="45B60586"/>
    <w:rsid w:val="45CE0436"/>
    <w:rsid w:val="45D547C7"/>
    <w:rsid w:val="45E74894"/>
    <w:rsid w:val="45F11718"/>
    <w:rsid w:val="460959FE"/>
    <w:rsid w:val="460B6CBD"/>
    <w:rsid w:val="46105816"/>
    <w:rsid w:val="46130A3E"/>
    <w:rsid w:val="461E34FB"/>
    <w:rsid w:val="461E795D"/>
    <w:rsid w:val="462112DE"/>
    <w:rsid w:val="463B677F"/>
    <w:rsid w:val="464B1F02"/>
    <w:rsid w:val="465165D0"/>
    <w:rsid w:val="46584AC3"/>
    <w:rsid w:val="46586BBB"/>
    <w:rsid w:val="465B2564"/>
    <w:rsid w:val="465E538F"/>
    <w:rsid w:val="465F7EDE"/>
    <w:rsid w:val="466361E0"/>
    <w:rsid w:val="46691411"/>
    <w:rsid w:val="466E7AF5"/>
    <w:rsid w:val="46745329"/>
    <w:rsid w:val="46756101"/>
    <w:rsid w:val="467B665C"/>
    <w:rsid w:val="467F1B7C"/>
    <w:rsid w:val="46836921"/>
    <w:rsid w:val="46837434"/>
    <w:rsid w:val="4687355C"/>
    <w:rsid w:val="46874FB5"/>
    <w:rsid w:val="468819C5"/>
    <w:rsid w:val="468C7F80"/>
    <w:rsid w:val="469043B7"/>
    <w:rsid w:val="46944A9E"/>
    <w:rsid w:val="46A67E87"/>
    <w:rsid w:val="46B52D8F"/>
    <w:rsid w:val="46C451FF"/>
    <w:rsid w:val="46CF73C2"/>
    <w:rsid w:val="46D13F56"/>
    <w:rsid w:val="46D73768"/>
    <w:rsid w:val="46DB748E"/>
    <w:rsid w:val="46E00800"/>
    <w:rsid w:val="46E42907"/>
    <w:rsid w:val="46E43899"/>
    <w:rsid w:val="46EB5CF6"/>
    <w:rsid w:val="46EF4536"/>
    <w:rsid w:val="46F04704"/>
    <w:rsid w:val="46F32B98"/>
    <w:rsid w:val="46F904F8"/>
    <w:rsid w:val="46F96948"/>
    <w:rsid w:val="470214E1"/>
    <w:rsid w:val="47036384"/>
    <w:rsid w:val="4706333B"/>
    <w:rsid w:val="47195940"/>
    <w:rsid w:val="472366AA"/>
    <w:rsid w:val="4735189F"/>
    <w:rsid w:val="47391260"/>
    <w:rsid w:val="473C62ED"/>
    <w:rsid w:val="473E02B7"/>
    <w:rsid w:val="4740402F"/>
    <w:rsid w:val="474273EB"/>
    <w:rsid w:val="47462CC4"/>
    <w:rsid w:val="47497311"/>
    <w:rsid w:val="474F3538"/>
    <w:rsid w:val="474F4272"/>
    <w:rsid w:val="47534AE8"/>
    <w:rsid w:val="47577986"/>
    <w:rsid w:val="47612048"/>
    <w:rsid w:val="476153EE"/>
    <w:rsid w:val="4763634B"/>
    <w:rsid w:val="476A671E"/>
    <w:rsid w:val="476F620D"/>
    <w:rsid w:val="477C0DDF"/>
    <w:rsid w:val="47863931"/>
    <w:rsid w:val="47881DD7"/>
    <w:rsid w:val="47AD369A"/>
    <w:rsid w:val="47B02837"/>
    <w:rsid w:val="47B71D4B"/>
    <w:rsid w:val="47BA67D0"/>
    <w:rsid w:val="47BB0D42"/>
    <w:rsid w:val="47BD3358"/>
    <w:rsid w:val="47C044BD"/>
    <w:rsid w:val="47D60594"/>
    <w:rsid w:val="47D7281A"/>
    <w:rsid w:val="47D9039A"/>
    <w:rsid w:val="47DA5134"/>
    <w:rsid w:val="47DA6633"/>
    <w:rsid w:val="47DD7218"/>
    <w:rsid w:val="47E45D49"/>
    <w:rsid w:val="47E5751E"/>
    <w:rsid w:val="47EC0C91"/>
    <w:rsid w:val="47F56FB5"/>
    <w:rsid w:val="47F6293F"/>
    <w:rsid w:val="48082B32"/>
    <w:rsid w:val="4815529C"/>
    <w:rsid w:val="481F4EFE"/>
    <w:rsid w:val="482F46FB"/>
    <w:rsid w:val="4832333D"/>
    <w:rsid w:val="4834319F"/>
    <w:rsid w:val="48387293"/>
    <w:rsid w:val="483C118A"/>
    <w:rsid w:val="483C1399"/>
    <w:rsid w:val="483C692C"/>
    <w:rsid w:val="483D40CA"/>
    <w:rsid w:val="48455675"/>
    <w:rsid w:val="484A137A"/>
    <w:rsid w:val="484E004A"/>
    <w:rsid w:val="4856426D"/>
    <w:rsid w:val="485A7935"/>
    <w:rsid w:val="486346EF"/>
    <w:rsid w:val="48680B85"/>
    <w:rsid w:val="486D3B4B"/>
    <w:rsid w:val="486F26F2"/>
    <w:rsid w:val="487F0AE0"/>
    <w:rsid w:val="48837AC6"/>
    <w:rsid w:val="4886787D"/>
    <w:rsid w:val="48881583"/>
    <w:rsid w:val="48893416"/>
    <w:rsid w:val="488A12D8"/>
    <w:rsid w:val="48925F17"/>
    <w:rsid w:val="48974472"/>
    <w:rsid w:val="4898557D"/>
    <w:rsid w:val="489D0D0E"/>
    <w:rsid w:val="48A14CC7"/>
    <w:rsid w:val="48A16470"/>
    <w:rsid w:val="48A27D40"/>
    <w:rsid w:val="48A95C04"/>
    <w:rsid w:val="48AA37A2"/>
    <w:rsid w:val="48AF3B53"/>
    <w:rsid w:val="48B044FA"/>
    <w:rsid w:val="48B21CB8"/>
    <w:rsid w:val="48B40105"/>
    <w:rsid w:val="48B66C4E"/>
    <w:rsid w:val="48BB5D35"/>
    <w:rsid w:val="48BC6611"/>
    <w:rsid w:val="48C470AA"/>
    <w:rsid w:val="48CB26CB"/>
    <w:rsid w:val="48CB7DC3"/>
    <w:rsid w:val="48DB204A"/>
    <w:rsid w:val="48DC52A4"/>
    <w:rsid w:val="48E95DF6"/>
    <w:rsid w:val="48F505DB"/>
    <w:rsid w:val="48FD524C"/>
    <w:rsid w:val="4903331F"/>
    <w:rsid w:val="490C7F41"/>
    <w:rsid w:val="491938E5"/>
    <w:rsid w:val="49207DA7"/>
    <w:rsid w:val="49215429"/>
    <w:rsid w:val="49217DF9"/>
    <w:rsid w:val="492B0536"/>
    <w:rsid w:val="4938356F"/>
    <w:rsid w:val="493F3F4B"/>
    <w:rsid w:val="4943482E"/>
    <w:rsid w:val="49450124"/>
    <w:rsid w:val="4946107B"/>
    <w:rsid w:val="494C574E"/>
    <w:rsid w:val="49590FFD"/>
    <w:rsid w:val="49675177"/>
    <w:rsid w:val="49694ABD"/>
    <w:rsid w:val="496C767B"/>
    <w:rsid w:val="497D17F6"/>
    <w:rsid w:val="497D527C"/>
    <w:rsid w:val="49874126"/>
    <w:rsid w:val="49891591"/>
    <w:rsid w:val="498E6BA8"/>
    <w:rsid w:val="49921706"/>
    <w:rsid w:val="49951847"/>
    <w:rsid w:val="49994F38"/>
    <w:rsid w:val="499B3410"/>
    <w:rsid w:val="499B446C"/>
    <w:rsid w:val="49AC159A"/>
    <w:rsid w:val="49AC3B0D"/>
    <w:rsid w:val="49AD35FC"/>
    <w:rsid w:val="49B5767C"/>
    <w:rsid w:val="49B76E22"/>
    <w:rsid w:val="49B80255"/>
    <w:rsid w:val="49BB5692"/>
    <w:rsid w:val="49BF5FA2"/>
    <w:rsid w:val="49C248DD"/>
    <w:rsid w:val="49CB71EA"/>
    <w:rsid w:val="49D217F6"/>
    <w:rsid w:val="49D41534"/>
    <w:rsid w:val="49D42828"/>
    <w:rsid w:val="49E1749A"/>
    <w:rsid w:val="49EF61F4"/>
    <w:rsid w:val="49F90D4B"/>
    <w:rsid w:val="4A0619B9"/>
    <w:rsid w:val="4A08265D"/>
    <w:rsid w:val="4A0E4837"/>
    <w:rsid w:val="4A1D15AB"/>
    <w:rsid w:val="4A1F63C6"/>
    <w:rsid w:val="4A2117CA"/>
    <w:rsid w:val="4A214F8B"/>
    <w:rsid w:val="4A2919ED"/>
    <w:rsid w:val="4A2E2A72"/>
    <w:rsid w:val="4A375375"/>
    <w:rsid w:val="4A3C03A7"/>
    <w:rsid w:val="4A4337D1"/>
    <w:rsid w:val="4A47120B"/>
    <w:rsid w:val="4A4A7897"/>
    <w:rsid w:val="4A554FA8"/>
    <w:rsid w:val="4A5A684F"/>
    <w:rsid w:val="4A623B85"/>
    <w:rsid w:val="4A692685"/>
    <w:rsid w:val="4A6A64C2"/>
    <w:rsid w:val="4A6F336A"/>
    <w:rsid w:val="4A700CF9"/>
    <w:rsid w:val="4A712133"/>
    <w:rsid w:val="4A782BCF"/>
    <w:rsid w:val="4A7850FA"/>
    <w:rsid w:val="4A845FB5"/>
    <w:rsid w:val="4A85354F"/>
    <w:rsid w:val="4A890BD8"/>
    <w:rsid w:val="4A8B6290"/>
    <w:rsid w:val="4A8F30DA"/>
    <w:rsid w:val="4A96273A"/>
    <w:rsid w:val="4A9A0742"/>
    <w:rsid w:val="4AA1127A"/>
    <w:rsid w:val="4AA21DC3"/>
    <w:rsid w:val="4AA81784"/>
    <w:rsid w:val="4AA87225"/>
    <w:rsid w:val="4AB000CC"/>
    <w:rsid w:val="4AB463CE"/>
    <w:rsid w:val="4AB96C56"/>
    <w:rsid w:val="4ABB00CA"/>
    <w:rsid w:val="4ABC3474"/>
    <w:rsid w:val="4ABC72DF"/>
    <w:rsid w:val="4ABE0CD6"/>
    <w:rsid w:val="4AC13211"/>
    <w:rsid w:val="4AD03BEE"/>
    <w:rsid w:val="4AD31CEC"/>
    <w:rsid w:val="4AD428DB"/>
    <w:rsid w:val="4AD745A3"/>
    <w:rsid w:val="4ADA101D"/>
    <w:rsid w:val="4AE87FC6"/>
    <w:rsid w:val="4AF26FD5"/>
    <w:rsid w:val="4AF75E99"/>
    <w:rsid w:val="4AF81F9F"/>
    <w:rsid w:val="4AFC64BF"/>
    <w:rsid w:val="4AFF1526"/>
    <w:rsid w:val="4B036BAB"/>
    <w:rsid w:val="4B045962"/>
    <w:rsid w:val="4B046667"/>
    <w:rsid w:val="4B0D625E"/>
    <w:rsid w:val="4B160BC3"/>
    <w:rsid w:val="4B1D6435"/>
    <w:rsid w:val="4B203B01"/>
    <w:rsid w:val="4B2257F9"/>
    <w:rsid w:val="4B263DDD"/>
    <w:rsid w:val="4B297D57"/>
    <w:rsid w:val="4B2B17CB"/>
    <w:rsid w:val="4B3A0462"/>
    <w:rsid w:val="4B5A1582"/>
    <w:rsid w:val="4B5A5E4A"/>
    <w:rsid w:val="4B641B1E"/>
    <w:rsid w:val="4B6D792B"/>
    <w:rsid w:val="4B721642"/>
    <w:rsid w:val="4B741E70"/>
    <w:rsid w:val="4B774777"/>
    <w:rsid w:val="4B7934AE"/>
    <w:rsid w:val="4B844162"/>
    <w:rsid w:val="4B854101"/>
    <w:rsid w:val="4B860E3E"/>
    <w:rsid w:val="4B863FDA"/>
    <w:rsid w:val="4B8D1E94"/>
    <w:rsid w:val="4B9761E7"/>
    <w:rsid w:val="4BAB57EF"/>
    <w:rsid w:val="4BAE52DF"/>
    <w:rsid w:val="4BB073DB"/>
    <w:rsid w:val="4BB25E6F"/>
    <w:rsid w:val="4BB62985"/>
    <w:rsid w:val="4BB72DF0"/>
    <w:rsid w:val="4BBD6A16"/>
    <w:rsid w:val="4BBF3B05"/>
    <w:rsid w:val="4BC34780"/>
    <w:rsid w:val="4BC46E98"/>
    <w:rsid w:val="4BC86CDF"/>
    <w:rsid w:val="4BD136E1"/>
    <w:rsid w:val="4BD95B32"/>
    <w:rsid w:val="4BEA615A"/>
    <w:rsid w:val="4BF02E10"/>
    <w:rsid w:val="4BF21670"/>
    <w:rsid w:val="4BF85DA6"/>
    <w:rsid w:val="4C1045AA"/>
    <w:rsid w:val="4C1665C6"/>
    <w:rsid w:val="4C2A0254"/>
    <w:rsid w:val="4C2A62E8"/>
    <w:rsid w:val="4C2C4B82"/>
    <w:rsid w:val="4C387FEA"/>
    <w:rsid w:val="4C41408F"/>
    <w:rsid w:val="4C5018EC"/>
    <w:rsid w:val="4C5D1363"/>
    <w:rsid w:val="4C617EA0"/>
    <w:rsid w:val="4C621F4A"/>
    <w:rsid w:val="4C6723FC"/>
    <w:rsid w:val="4C685A08"/>
    <w:rsid w:val="4C6C058F"/>
    <w:rsid w:val="4C72591D"/>
    <w:rsid w:val="4C742C79"/>
    <w:rsid w:val="4C81376E"/>
    <w:rsid w:val="4C822C8D"/>
    <w:rsid w:val="4C854292"/>
    <w:rsid w:val="4C8D63BF"/>
    <w:rsid w:val="4CA04ECE"/>
    <w:rsid w:val="4CA24D1D"/>
    <w:rsid w:val="4CA37CC7"/>
    <w:rsid w:val="4CA64ED7"/>
    <w:rsid w:val="4CB93537"/>
    <w:rsid w:val="4CC00A34"/>
    <w:rsid w:val="4CC422E0"/>
    <w:rsid w:val="4CCE340B"/>
    <w:rsid w:val="4CD170E8"/>
    <w:rsid w:val="4CD64AED"/>
    <w:rsid w:val="4CDB2ED1"/>
    <w:rsid w:val="4CE40296"/>
    <w:rsid w:val="4CE41992"/>
    <w:rsid w:val="4CE83472"/>
    <w:rsid w:val="4CEC3FA6"/>
    <w:rsid w:val="4CED0A5E"/>
    <w:rsid w:val="4CF21DB0"/>
    <w:rsid w:val="4CFD2DA9"/>
    <w:rsid w:val="4D010936"/>
    <w:rsid w:val="4D0D2715"/>
    <w:rsid w:val="4D0D702D"/>
    <w:rsid w:val="4D123F9E"/>
    <w:rsid w:val="4D146429"/>
    <w:rsid w:val="4D2B37A9"/>
    <w:rsid w:val="4D355CB8"/>
    <w:rsid w:val="4D3B22CD"/>
    <w:rsid w:val="4D3F2287"/>
    <w:rsid w:val="4D496228"/>
    <w:rsid w:val="4D521DFA"/>
    <w:rsid w:val="4D534390"/>
    <w:rsid w:val="4D5B5D8C"/>
    <w:rsid w:val="4D617E6D"/>
    <w:rsid w:val="4D640936"/>
    <w:rsid w:val="4D661B93"/>
    <w:rsid w:val="4D707EE6"/>
    <w:rsid w:val="4D7658A6"/>
    <w:rsid w:val="4D78531A"/>
    <w:rsid w:val="4D7F6329"/>
    <w:rsid w:val="4D897CEC"/>
    <w:rsid w:val="4D8D71BC"/>
    <w:rsid w:val="4DA8587B"/>
    <w:rsid w:val="4DAF7F7D"/>
    <w:rsid w:val="4DB2319C"/>
    <w:rsid w:val="4DB972EA"/>
    <w:rsid w:val="4DC84BC3"/>
    <w:rsid w:val="4DD64B14"/>
    <w:rsid w:val="4DDF2793"/>
    <w:rsid w:val="4DDF7306"/>
    <w:rsid w:val="4DE87C74"/>
    <w:rsid w:val="4DEB6BA2"/>
    <w:rsid w:val="4DEF636B"/>
    <w:rsid w:val="4DF1750B"/>
    <w:rsid w:val="4DF2189D"/>
    <w:rsid w:val="4DF23DB8"/>
    <w:rsid w:val="4DF56B12"/>
    <w:rsid w:val="4DF94F37"/>
    <w:rsid w:val="4DFE6DA4"/>
    <w:rsid w:val="4E0110E3"/>
    <w:rsid w:val="4E0447E4"/>
    <w:rsid w:val="4E054EF1"/>
    <w:rsid w:val="4E0B28BA"/>
    <w:rsid w:val="4E0D21CB"/>
    <w:rsid w:val="4E273DF2"/>
    <w:rsid w:val="4E275E1F"/>
    <w:rsid w:val="4E2D718E"/>
    <w:rsid w:val="4E324791"/>
    <w:rsid w:val="4E3441C2"/>
    <w:rsid w:val="4E3715BC"/>
    <w:rsid w:val="4E3A332D"/>
    <w:rsid w:val="4E3B0B12"/>
    <w:rsid w:val="4E3C4E24"/>
    <w:rsid w:val="4E3E2FE7"/>
    <w:rsid w:val="4E414FC5"/>
    <w:rsid w:val="4E42646C"/>
    <w:rsid w:val="4E457CFC"/>
    <w:rsid w:val="4E494054"/>
    <w:rsid w:val="4E5035B9"/>
    <w:rsid w:val="4E571C5E"/>
    <w:rsid w:val="4E5A43E4"/>
    <w:rsid w:val="4E5D6EB6"/>
    <w:rsid w:val="4E6254AC"/>
    <w:rsid w:val="4E6366ED"/>
    <w:rsid w:val="4E6A08AC"/>
    <w:rsid w:val="4E6C395B"/>
    <w:rsid w:val="4E764269"/>
    <w:rsid w:val="4E796130"/>
    <w:rsid w:val="4E8619E7"/>
    <w:rsid w:val="4E894E7D"/>
    <w:rsid w:val="4E8B210F"/>
    <w:rsid w:val="4E9C08FF"/>
    <w:rsid w:val="4EB25F3F"/>
    <w:rsid w:val="4EB31DBF"/>
    <w:rsid w:val="4ECC43FA"/>
    <w:rsid w:val="4ED07F80"/>
    <w:rsid w:val="4ED22AD6"/>
    <w:rsid w:val="4ED25FDC"/>
    <w:rsid w:val="4EDB7BE2"/>
    <w:rsid w:val="4EDD6820"/>
    <w:rsid w:val="4EE143E2"/>
    <w:rsid w:val="4EE30C74"/>
    <w:rsid w:val="4EE96BF5"/>
    <w:rsid w:val="4EEA52CF"/>
    <w:rsid w:val="4EEC5DC2"/>
    <w:rsid w:val="4EEE4370"/>
    <w:rsid w:val="4EF917AA"/>
    <w:rsid w:val="4EF96C36"/>
    <w:rsid w:val="4EFA1A63"/>
    <w:rsid w:val="4F000852"/>
    <w:rsid w:val="4F053BD8"/>
    <w:rsid w:val="4F073CFD"/>
    <w:rsid w:val="4F0B2BC3"/>
    <w:rsid w:val="4F1064A1"/>
    <w:rsid w:val="4F163222"/>
    <w:rsid w:val="4F175FFB"/>
    <w:rsid w:val="4F195165"/>
    <w:rsid w:val="4F1E5158"/>
    <w:rsid w:val="4F351F9F"/>
    <w:rsid w:val="4F3F4EF8"/>
    <w:rsid w:val="4F457D08"/>
    <w:rsid w:val="4F471CD3"/>
    <w:rsid w:val="4F4E749E"/>
    <w:rsid w:val="4F4F5035"/>
    <w:rsid w:val="4F524FE5"/>
    <w:rsid w:val="4F561F16"/>
    <w:rsid w:val="4F564B0B"/>
    <w:rsid w:val="4F5A6B06"/>
    <w:rsid w:val="4F5C69D0"/>
    <w:rsid w:val="4F6471E1"/>
    <w:rsid w:val="4F6C544F"/>
    <w:rsid w:val="4F7126EF"/>
    <w:rsid w:val="4F730BAE"/>
    <w:rsid w:val="4F774221"/>
    <w:rsid w:val="4F7A017A"/>
    <w:rsid w:val="4F7A20A8"/>
    <w:rsid w:val="4F827B7E"/>
    <w:rsid w:val="4F8417E0"/>
    <w:rsid w:val="4F861030"/>
    <w:rsid w:val="4F8A01ED"/>
    <w:rsid w:val="4F921F77"/>
    <w:rsid w:val="4F9B26CD"/>
    <w:rsid w:val="4FA249BB"/>
    <w:rsid w:val="4FA56D18"/>
    <w:rsid w:val="4FA8128E"/>
    <w:rsid w:val="4FA96F84"/>
    <w:rsid w:val="4FBF4191"/>
    <w:rsid w:val="4FC357FD"/>
    <w:rsid w:val="4FC41A8A"/>
    <w:rsid w:val="4FCB09D8"/>
    <w:rsid w:val="4FCB2AB8"/>
    <w:rsid w:val="4FDD33DB"/>
    <w:rsid w:val="4FDF0872"/>
    <w:rsid w:val="4FE00341"/>
    <w:rsid w:val="4FE54559"/>
    <w:rsid w:val="4FFE322B"/>
    <w:rsid w:val="4FFF1333"/>
    <w:rsid w:val="4FFF4971"/>
    <w:rsid w:val="4FFF545A"/>
    <w:rsid w:val="500510D1"/>
    <w:rsid w:val="50067498"/>
    <w:rsid w:val="500B0F52"/>
    <w:rsid w:val="500B69CE"/>
    <w:rsid w:val="500E0FC3"/>
    <w:rsid w:val="50214127"/>
    <w:rsid w:val="502F7C07"/>
    <w:rsid w:val="503C73BA"/>
    <w:rsid w:val="503F7E98"/>
    <w:rsid w:val="50461F8A"/>
    <w:rsid w:val="504F15D1"/>
    <w:rsid w:val="50642F4F"/>
    <w:rsid w:val="507B7075"/>
    <w:rsid w:val="50801A86"/>
    <w:rsid w:val="508171FA"/>
    <w:rsid w:val="50843B54"/>
    <w:rsid w:val="5084607C"/>
    <w:rsid w:val="5087019C"/>
    <w:rsid w:val="508B7511"/>
    <w:rsid w:val="509324F6"/>
    <w:rsid w:val="50AA4569"/>
    <w:rsid w:val="50AC191A"/>
    <w:rsid w:val="50AD363E"/>
    <w:rsid w:val="50C1453A"/>
    <w:rsid w:val="50C335DB"/>
    <w:rsid w:val="50C432C4"/>
    <w:rsid w:val="50CA4969"/>
    <w:rsid w:val="50CC06E1"/>
    <w:rsid w:val="50CC7055"/>
    <w:rsid w:val="50CD3AA8"/>
    <w:rsid w:val="50CD6207"/>
    <w:rsid w:val="50D06BF1"/>
    <w:rsid w:val="50D331DF"/>
    <w:rsid w:val="50D35C50"/>
    <w:rsid w:val="50D70404"/>
    <w:rsid w:val="50D834A3"/>
    <w:rsid w:val="50DD02DC"/>
    <w:rsid w:val="50E0284F"/>
    <w:rsid w:val="50E047FE"/>
    <w:rsid w:val="50E06B31"/>
    <w:rsid w:val="50E536AE"/>
    <w:rsid w:val="50E97F21"/>
    <w:rsid w:val="50EA3832"/>
    <w:rsid w:val="50ED7405"/>
    <w:rsid w:val="50F0306A"/>
    <w:rsid w:val="50F52B7F"/>
    <w:rsid w:val="50FC79A0"/>
    <w:rsid w:val="51011B51"/>
    <w:rsid w:val="510630D2"/>
    <w:rsid w:val="5108514E"/>
    <w:rsid w:val="5124706D"/>
    <w:rsid w:val="51273B6A"/>
    <w:rsid w:val="512750E6"/>
    <w:rsid w:val="51350E3F"/>
    <w:rsid w:val="513C1384"/>
    <w:rsid w:val="51400C93"/>
    <w:rsid w:val="514D180D"/>
    <w:rsid w:val="51567810"/>
    <w:rsid w:val="51625282"/>
    <w:rsid w:val="5181117B"/>
    <w:rsid w:val="518D3C0A"/>
    <w:rsid w:val="51945E1D"/>
    <w:rsid w:val="51950E91"/>
    <w:rsid w:val="519A482E"/>
    <w:rsid w:val="51A907D1"/>
    <w:rsid w:val="51AD4CF8"/>
    <w:rsid w:val="51B41846"/>
    <w:rsid w:val="51C05BF2"/>
    <w:rsid w:val="51C70A8D"/>
    <w:rsid w:val="51CA7310"/>
    <w:rsid w:val="51CB2777"/>
    <w:rsid w:val="51CB522C"/>
    <w:rsid w:val="51D657E7"/>
    <w:rsid w:val="51DA5080"/>
    <w:rsid w:val="51DC5C72"/>
    <w:rsid w:val="51E55C99"/>
    <w:rsid w:val="51F75FDC"/>
    <w:rsid w:val="52084C12"/>
    <w:rsid w:val="52131673"/>
    <w:rsid w:val="521A5044"/>
    <w:rsid w:val="522354C4"/>
    <w:rsid w:val="522644B7"/>
    <w:rsid w:val="522704EE"/>
    <w:rsid w:val="52285BEE"/>
    <w:rsid w:val="522956BF"/>
    <w:rsid w:val="522B4647"/>
    <w:rsid w:val="522E7BB1"/>
    <w:rsid w:val="52304CA0"/>
    <w:rsid w:val="52365551"/>
    <w:rsid w:val="523A412B"/>
    <w:rsid w:val="52460CA3"/>
    <w:rsid w:val="52462715"/>
    <w:rsid w:val="52526264"/>
    <w:rsid w:val="525F6954"/>
    <w:rsid w:val="5271423C"/>
    <w:rsid w:val="52762A2B"/>
    <w:rsid w:val="527E3B64"/>
    <w:rsid w:val="528270C2"/>
    <w:rsid w:val="5285384C"/>
    <w:rsid w:val="529A6C72"/>
    <w:rsid w:val="529E1C09"/>
    <w:rsid w:val="529E60AD"/>
    <w:rsid w:val="52A048B7"/>
    <w:rsid w:val="52A31916"/>
    <w:rsid w:val="52AB3F4D"/>
    <w:rsid w:val="52B33BDC"/>
    <w:rsid w:val="52B434C6"/>
    <w:rsid w:val="52C64CB6"/>
    <w:rsid w:val="52CA127C"/>
    <w:rsid w:val="52CA29FF"/>
    <w:rsid w:val="52CD49AA"/>
    <w:rsid w:val="52CD4DEE"/>
    <w:rsid w:val="52D007C3"/>
    <w:rsid w:val="52D34D35"/>
    <w:rsid w:val="52D950A6"/>
    <w:rsid w:val="52E70A36"/>
    <w:rsid w:val="52E9496A"/>
    <w:rsid w:val="52EF05B8"/>
    <w:rsid w:val="52F343EA"/>
    <w:rsid w:val="52FB230E"/>
    <w:rsid w:val="52FC6F5F"/>
    <w:rsid w:val="52FE7C33"/>
    <w:rsid w:val="52FE7E6C"/>
    <w:rsid w:val="530C3972"/>
    <w:rsid w:val="530F6FAB"/>
    <w:rsid w:val="53213333"/>
    <w:rsid w:val="5333696C"/>
    <w:rsid w:val="53385012"/>
    <w:rsid w:val="534529CD"/>
    <w:rsid w:val="535F7C7C"/>
    <w:rsid w:val="536A11D9"/>
    <w:rsid w:val="536C28D1"/>
    <w:rsid w:val="536D174D"/>
    <w:rsid w:val="536E2857"/>
    <w:rsid w:val="536E59DF"/>
    <w:rsid w:val="537137C2"/>
    <w:rsid w:val="53746E0E"/>
    <w:rsid w:val="5378163A"/>
    <w:rsid w:val="537A6F62"/>
    <w:rsid w:val="537E2CA8"/>
    <w:rsid w:val="538357A7"/>
    <w:rsid w:val="538E492F"/>
    <w:rsid w:val="538F7811"/>
    <w:rsid w:val="53907BCB"/>
    <w:rsid w:val="539521FE"/>
    <w:rsid w:val="539C47DB"/>
    <w:rsid w:val="53A346E6"/>
    <w:rsid w:val="53A6198E"/>
    <w:rsid w:val="53AD224A"/>
    <w:rsid w:val="53B00D6A"/>
    <w:rsid w:val="53B23914"/>
    <w:rsid w:val="53B603DC"/>
    <w:rsid w:val="53B67B60"/>
    <w:rsid w:val="53BE1C17"/>
    <w:rsid w:val="53D73191"/>
    <w:rsid w:val="53DA67D0"/>
    <w:rsid w:val="53DB0C3B"/>
    <w:rsid w:val="53DE6473"/>
    <w:rsid w:val="53DF48D5"/>
    <w:rsid w:val="53DF5D32"/>
    <w:rsid w:val="53ED6E6F"/>
    <w:rsid w:val="53F66038"/>
    <w:rsid w:val="53F76AA2"/>
    <w:rsid w:val="53F82091"/>
    <w:rsid w:val="53FD194C"/>
    <w:rsid w:val="540253B3"/>
    <w:rsid w:val="54193EB2"/>
    <w:rsid w:val="541E1948"/>
    <w:rsid w:val="54275A2A"/>
    <w:rsid w:val="54365916"/>
    <w:rsid w:val="54384218"/>
    <w:rsid w:val="54403A38"/>
    <w:rsid w:val="544C2D66"/>
    <w:rsid w:val="545B565F"/>
    <w:rsid w:val="54600756"/>
    <w:rsid w:val="54637044"/>
    <w:rsid w:val="546432CE"/>
    <w:rsid w:val="54652FB8"/>
    <w:rsid w:val="546557E5"/>
    <w:rsid w:val="54701901"/>
    <w:rsid w:val="54715445"/>
    <w:rsid w:val="547565C0"/>
    <w:rsid w:val="54780A20"/>
    <w:rsid w:val="547C5DBD"/>
    <w:rsid w:val="548E3DB8"/>
    <w:rsid w:val="54A01CD4"/>
    <w:rsid w:val="54BE4DF7"/>
    <w:rsid w:val="54C3175A"/>
    <w:rsid w:val="54CB3328"/>
    <w:rsid w:val="54DA01F7"/>
    <w:rsid w:val="54DE0561"/>
    <w:rsid w:val="54DF12F1"/>
    <w:rsid w:val="54E35FFA"/>
    <w:rsid w:val="54E64EE7"/>
    <w:rsid w:val="54EF6214"/>
    <w:rsid w:val="550009AF"/>
    <w:rsid w:val="55044D0F"/>
    <w:rsid w:val="5507618C"/>
    <w:rsid w:val="550B15A7"/>
    <w:rsid w:val="550C6188"/>
    <w:rsid w:val="55144508"/>
    <w:rsid w:val="551848D1"/>
    <w:rsid w:val="551A5E3B"/>
    <w:rsid w:val="55263606"/>
    <w:rsid w:val="55334D19"/>
    <w:rsid w:val="55344AB0"/>
    <w:rsid w:val="55347967"/>
    <w:rsid w:val="5536730A"/>
    <w:rsid w:val="55377AD1"/>
    <w:rsid w:val="55392B8D"/>
    <w:rsid w:val="553E113E"/>
    <w:rsid w:val="5540237D"/>
    <w:rsid w:val="55462DF4"/>
    <w:rsid w:val="554A1BE1"/>
    <w:rsid w:val="555518AD"/>
    <w:rsid w:val="555576A3"/>
    <w:rsid w:val="55652996"/>
    <w:rsid w:val="55667A85"/>
    <w:rsid w:val="556D7786"/>
    <w:rsid w:val="55716CD3"/>
    <w:rsid w:val="5574537B"/>
    <w:rsid w:val="5575608A"/>
    <w:rsid w:val="55761DEC"/>
    <w:rsid w:val="55776979"/>
    <w:rsid w:val="55790BCE"/>
    <w:rsid w:val="558E6A65"/>
    <w:rsid w:val="55913F7C"/>
    <w:rsid w:val="559A1FC3"/>
    <w:rsid w:val="559D7A1C"/>
    <w:rsid w:val="559E0172"/>
    <w:rsid w:val="55A20B46"/>
    <w:rsid w:val="55AB6ACF"/>
    <w:rsid w:val="55C01BA4"/>
    <w:rsid w:val="55C36371"/>
    <w:rsid w:val="55C41BF7"/>
    <w:rsid w:val="55C54578"/>
    <w:rsid w:val="55CA0DC0"/>
    <w:rsid w:val="55D52C2C"/>
    <w:rsid w:val="55D750EA"/>
    <w:rsid w:val="55EF3637"/>
    <w:rsid w:val="55F3226C"/>
    <w:rsid w:val="55F91631"/>
    <w:rsid w:val="55FC66A6"/>
    <w:rsid w:val="56033468"/>
    <w:rsid w:val="56063E2D"/>
    <w:rsid w:val="56127BAF"/>
    <w:rsid w:val="56176400"/>
    <w:rsid w:val="561C280F"/>
    <w:rsid w:val="56232872"/>
    <w:rsid w:val="562C5CA2"/>
    <w:rsid w:val="56365852"/>
    <w:rsid w:val="563A24A6"/>
    <w:rsid w:val="563D1425"/>
    <w:rsid w:val="563F174E"/>
    <w:rsid w:val="564238B5"/>
    <w:rsid w:val="56486A5C"/>
    <w:rsid w:val="56495CB7"/>
    <w:rsid w:val="564A0DC5"/>
    <w:rsid w:val="564A1FCE"/>
    <w:rsid w:val="564E3E87"/>
    <w:rsid w:val="56556A6A"/>
    <w:rsid w:val="56567E26"/>
    <w:rsid w:val="565A4801"/>
    <w:rsid w:val="56605189"/>
    <w:rsid w:val="5665180E"/>
    <w:rsid w:val="566669A2"/>
    <w:rsid w:val="56694C24"/>
    <w:rsid w:val="566C32B4"/>
    <w:rsid w:val="567337C7"/>
    <w:rsid w:val="5679446F"/>
    <w:rsid w:val="567A22B1"/>
    <w:rsid w:val="567B79EB"/>
    <w:rsid w:val="5689158B"/>
    <w:rsid w:val="56903F5F"/>
    <w:rsid w:val="56907AAE"/>
    <w:rsid w:val="569E221B"/>
    <w:rsid w:val="56B27F3E"/>
    <w:rsid w:val="56B337E0"/>
    <w:rsid w:val="56B5592A"/>
    <w:rsid w:val="56B605A5"/>
    <w:rsid w:val="56BC2FA6"/>
    <w:rsid w:val="56BF54D0"/>
    <w:rsid w:val="56C17799"/>
    <w:rsid w:val="56CF0992"/>
    <w:rsid w:val="56D3618E"/>
    <w:rsid w:val="56D86F50"/>
    <w:rsid w:val="56E84067"/>
    <w:rsid w:val="56F56061"/>
    <w:rsid w:val="57004BD2"/>
    <w:rsid w:val="570E2542"/>
    <w:rsid w:val="571005A4"/>
    <w:rsid w:val="57105F22"/>
    <w:rsid w:val="571628AF"/>
    <w:rsid w:val="57190023"/>
    <w:rsid w:val="57220BEA"/>
    <w:rsid w:val="572478E2"/>
    <w:rsid w:val="57286DAB"/>
    <w:rsid w:val="572977C1"/>
    <w:rsid w:val="572A0645"/>
    <w:rsid w:val="57323268"/>
    <w:rsid w:val="573568B4"/>
    <w:rsid w:val="573F2FA4"/>
    <w:rsid w:val="5743077D"/>
    <w:rsid w:val="574861C5"/>
    <w:rsid w:val="574B00F6"/>
    <w:rsid w:val="574F31E1"/>
    <w:rsid w:val="575B11B0"/>
    <w:rsid w:val="575B6D0B"/>
    <w:rsid w:val="5763331E"/>
    <w:rsid w:val="576A0E17"/>
    <w:rsid w:val="576D542E"/>
    <w:rsid w:val="57776E17"/>
    <w:rsid w:val="578F531D"/>
    <w:rsid w:val="579B29DB"/>
    <w:rsid w:val="579B705F"/>
    <w:rsid w:val="57A32775"/>
    <w:rsid w:val="57A6675D"/>
    <w:rsid w:val="57A81360"/>
    <w:rsid w:val="57AE49BE"/>
    <w:rsid w:val="57B71C06"/>
    <w:rsid w:val="57C23AD0"/>
    <w:rsid w:val="57C61FCE"/>
    <w:rsid w:val="57CD6EFE"/>
    <w:rsid w:val="57D207B6"/>
    <w:rsid w:val="57D67A47"/>
    <w:rsid w:val="57EB0989"/>
    <w:rsid w:val="57EB1098"/>
    <w:rsid w:val="57ED7304"/>
    <w:rsid w:val="57F80D77"/>
    <w:rsid w:val="57FC04B2"/>
    <w:rsid w:val="58067C44"/>
    <w:rsid w:val="580E5DA3"/>
    <w:rsid w:val="58167A35"/>
    <w:rsid w:val="581C39F0"/>
    <w:rsid w:val="5822508B"/>
    <w:rsid w:val="58245DB2"/>
    <w:rsid w:val="58260813"/>
    <w:rsid w:val="5837577C"/>
    <w:rsid w:val="5841364D"/>
    <w:rsid w:val="5865213E"/>
    <w:rsid w:val="58660163"/>
    <w:rsid w:val="58670CF0"/>
    <w:rsid w:val="586A6CEF"/>
    <w:rsid w:val="58826132"/>
    <w:rsid w:val="5882652D"/>
    <w:rsid w:val="5883673E"/>
    <w:rsid w:val="58866DB9"/>
    <w:rsid w:val="588C3FB5"/>
    <w:rsid w:val="588D1F1F"/>
    <w:rsid w:val="589C20F4"/>
    <w:rsid w:val="58A0117C"/>
    <w:rsid w:val="58A02642"/>
    <w:rsid w:val="58A805EB"/>
    <w:rsid w:val="58AC4087"/>
    <w:rsid w:val="58AD712A"/>
    <w:rsid w:val="58AD7C1E"/>
    <w:rsid w:val="58AE77FC"/>
    <w:rsid w:val="58B32187"/>
    <w:rsid w:val="58B53257"/>
    <w:rsid w:val="58B62D6B"/>
    <w:rsid w:val="58BA1E05"/>
    <w:rsid w:val="58C23DE8"/>
    <w:rsid w:val="58CD5DCD"/>
    <w:rsid w:val="58CF2DFD"/>
    <w:rsid w:val="58D4199A"/>
    <w:rsid w:val="58D742EF"/>
    <w:rsid w:val="58E76EAA"/>
    <w:rsid w:val="58E876F8"/>
    <w:rsid w:val="58EF2929"/>
    <w:rsid w:val="58F4772C"/>
    <w:rsid w:val="58F55475"/>
    <w:rsid w:val="5909230E"/>
    <w:rsid w:val="590A238B"/>
    <w:rsid w:val="5917121F"/>
    <w:rsid w:val="591D1ECE"/>
    <w:rsid w:val="59225322"/>
    <w:rsid w:val="592B2A9F"/>
    <w:rsid w:val="59303B88"/>
    <w:rsid w:val="593B570D"/>
    <w:rsid w:val="593E5E65"/>
    <w:rsid w:val="594352B9"/>
    <w:rsid w:val="594D4198"/>
    <w:rsid w:val="59623F77"/>
    <w:rsid w:val="596E1E52"/>
    <w:rsid w:val="5974413B"/>
    <w:rsid w:val="597B41FB"/>
    <w:rsid w:val="59811429"/>
    <w:rsid w:val="59835FFD"/>
    <w:rsid w:val="59844609"/>
    <w:rsid w:val="59853B23"/>
    <w:rsid w:val="59963629"/>
    <w:rsid w:val="599D70BF"/>
    <w:rsid w:val="599D789B"/>
    <w:rsid w:val="59B21054"/>
    <w:rsid w:val="59BB72AA"/>
    <w:rsid w:val="59C42947"/>
    <w:rsid w:val="59C52B8D"/>
    <w:rsid w:val="59D01A6D"/>
    <w:rsid w:val="59D0629F"/>
    <w:rsid w:val="59D25EEA"/>
    <w:rsid w:val="59E369EA"/>
    <w:rsid w:val="59E60AE1"/>
    <w:rsid w:val="59E65B63"/>
    <w:rsid w:val="59E870EC"/>
    <w:rsid w:val="59E919D3"/>
    <w:rsid w:val="59E97AE9"/>
    <w:rsid w:val="59FC225C"/>
    <w:rsid w:val="59FC7713"/>
    <w:rsid w:val="59FE4ABB"/>
    <w:rsid w:val="5A007265"/>
    <w:rsid w:val="5A0E23DB"/>
    <w:rsid w:val="5A1F49E2"/>
    <w:rsid w:val="5A227FD0"/>
    <w:rsid w:val="5A231AC2"/>
    <w:rsid w:val="5A2813B3"/>
    <w:rsid w:val="5A290952"/>
    <w:rsid w:val="5A310067"/>
    <w:rsid w:val="5A3B234C"/>
    <w:rsid w:val="5A3B4856"/>
    <w:rsid w:val="5A405D6D"/>
    <w:rsid w:val="5A534768"/>
    <w:rsid w:val="5A5930CA"/>
    <w:rsid w:val="5A5A4FB0"/>
    <w:rsid w:val="5A5C0A1F"/>
    <w:rsid w:val="5A67147B"/>
    <w:rsid w:val="5A6D6D31"/>
    <w:rsid w:val="5A6E45B7"/>
    <w:rsid w:val="5A83123E"/>
    <w:rsid w:val="5A843DDB"/>
    <w:rsid w:val="5A8955AF"/>
    <w:rsid w:val="5A8F5E31"/>
    <w:rsid w:val="5A985AD8"/>
    <w:rsid w:val="5AA224B3"/>
    <w:rsid w:val="5AA237CB"/>
    <w:rsid w:val="5AA251E6"/>
    <w:rsid w:val="5AA63D51"/>
    <w:rsid w:val="5AAD3CEF"/>
    <w:rsid w:val="5AB02E22"/>
    <w:rsid w:val="5AB16450"/>
    <w:rsid w:val="5ACB4EEC"/>
    <w:rsid w:val="5ACD2AC8"/>
    <w:rsid w:val="5ACF0F8A"/>
    <w:rsid w:val="5AD32754"/>
    <w:rsid w:val="5ADE17A9"/>
    <w:rsid w:val="5AEA58A1"/>
    <w:rsid w:val="5AF06D6E"/>
    <w:rsid w:val="5AF552C4"/>
    <w:rsid w:val="5B015388"/>
    <w:rsid w:val="5B032807"/>
    <w:rsid w:val="5B0567F2"/>
    <w:rsid w:val="5B07173B"/>
    <w:rsid w:val="5B0B59F4"/>
    <w:rsid w:val="5B110B78"/>
    <w:rsid w:val="5B1374B1"/>
    <w:rsid w:val="5B1661ED"/>
    <w:rsid w:val="5B200B71"/>
    <w:rsid w:val="5B2125D8"/>
    <w:rsid w:val="5B234576"/>
    <w:rsid w:val="5B25054C"/>
    <w:rsid w:val="5B2551D7"/>
    <w:rsid w:val="5B2703BF"/>
    <w:rsid w:val="5B3B6835"/>
    <w:rsid w:val="5B437DFF"/>
    <w:rsid w:val="5B47501F"/>
    <w:rsid w:val="5B506F99"/>
    <w:rsid w:val="5B586B25"/>
    <w:rsid w:val="5B611383"/>
    <w:rsid w:val="5B612066"/>
    <w:rsid w:val="5B7230ED"/>
    <w:rsid w:val="5B771706"/>
    <w:rsid w:val="5B7C6E13"/>
    <w:rsid w:val="5B807034"/>
    <w:rsid w:val="5BA73EE2"/>
    <w:rsid w:val="5BA9593B"/>
    <w:rsid w:val="5BAD72C6"/>
    <w:rsid w:val="5BB13B89"/>
    <w:rsid w:val="5BB7666F"/>
    <w:rsid w:val="5BBB0088"/>
    <w:rsid w:val="5BC00E43"/>
    <w:rsid w:val="5BC333BC"/>
    <w:rsid w:val="5BC616E3"/>
    <w:rsid w:val="5BCB77E7"/>
    <w:rsid w:val="5BCD17B1"/>
    <w:rsid w:val="5BD73A7F"/>
    <w:rsid w:val="5BDE576D"/>
    <w:rsid w:val="5BE24808"/>
    <w:rsid w:val="5BED6F4A"/>
    <w:rsid w:val="5BF6424D"/>
    <w:rsid w:val="5C045C36"/>
    <w:rsid w:val="5C084598"/>
    <w:rsid w:val="5C0C12C4"/>
    <w:rsid w:val="5C1449A9"/>
    <w:rsid w:val="5C1D0043"/>
    <w:rsid w:val="5C290713"/>
    <w:rsid w:val="5C362E9D"/>
    <w:rsid w:val="5C373AFC"/>
    <w:rsid w:val="5C457203"/>
    <w:rsid w:val="5C4952DC"/>
    <w:rsid w:val="5C49705F"/>
    <w:rsid w:val="5C4A1567"/>
    <w:rsid w:val="5C505487"/>
    <w:rsid w:val="5C533B03"/>
    <w:rsid w:val="5C5A1297"/>
    <w:rsid w:val="5C78087D"/>
    <w:rsid w:val="5C7A1980"/>
    <w:rsid w:val="5C852BAA"/>
    <w:rsid w:val="5C981D32"/>
    <w:rsid w:val="5CAA3C31"/>
    <w:rsid w:val="5CAF25EF"/>
    <w:rsid w:val="5CB35BC5"/>
    <w:rsid w:val="5CC114E1"/>
    <w:rsid w:val="5CC14995"/>
    <w:rsid w:val="5CC43A65"/>
    <w:rsid w:val="5CCA507C"/>
    <w:rsid w:val="5CD3738E"/>
    <w:rsid w:val="5CDF4A83"/>
    <w:rsid w:val="5CE13344"/>
    <w:rsid w:val="5CE478C8"/>
    <w:rsid w:val="5CFE7965"/>
    <w:rsid w:val="5D1D29A8"/>
    <w:rsid w:val="5D2C3E5A"/>
    <w:rsid w:val="5D344316"/>
    <w:rsid w:val="5D530BAE"/>
    <w:rsid w:val="5D5915D8"/>
    <w:rsid w:val="5D5A4CE6"/>
    <w:rsid w:val="5D6A375C"/>
    <w:rsid w:val="5D6B17CE"/>
    <w:rsid w:val="5D6D0B56"/>
    <w:rsid w:val="5D6E0462"/>
    <w:rsid w:val="5D7869AF"/>
    <w:rsid w:val="5D7C348F"/>
    <w:rsid w:val="5D896002"/>
    <w:rsid w:val="5D8D464B"/>
    <w:rsid w:val="5D9E6F62"/>
    <w:rsid w:val="5DC47B64"/>
    <w:rsid w:val="5DD90DC6"/>
    <w:rsid w:val="5DDA536B"/>
    <w:rsid w:val="5DDE50FB"/>
    <w:rsid w:val="5DE01BB3"/>
    <w:rsid w:val="5DE128B7"/>
    <w:rsid w:val="5DE73600"/>
    <w:rsid w:val="5DEA527B"/>
    <w:rsid w:val="5DEE45F1"/>
    <w:rsid w:val="5DF54A43"/>
    <w:rsid w:val="5E052968"/>
    <w:rsid w:val="5E0D5F92"/>
    <w:rsid w:val="5E1611EE"/>
    <w:rsid w:val="5E1F3D84"/>
    <w:rsid w:val="5E217268"/>
    <w:rsid w:val="5E346A0D"/>
    <w:rsid w:val="5E3D5F7C"/>
    <w:rsid w:val="5E4D2A71"/>
    <w:rsid w:val="5E5A1110"/>
    <w:rsid w:val="5E5F0DE7"/>
    <w:rsid w:val="5E616F2D"/>
    <w:rsid w:val="5E6E7A01"/>
    <w:rsid w:val="5E701AF7"/>
    <w:rsid w:val="5E710639"/>
    <w:rsid w:val="5E800CA4"/>
    <w:rsid w:val="5E87148A"/>
    <w:rsid w:val="5E8E174C"/>
    <w:rsid w:val="5EA03A56"/>
    <w:rsid w:val="5EA17018"/>
    <w:rsid w:val="5EA4517F"/>
    <w:rsid w:val="5EA54320"/>
    <w:rsid w:val="5EAB2037"/>
    <w:rsid w:val="5EAF179F"/>
    <w:rsid w:val="5EB55AD9"/>
    <w:rsid w:val="5EB71C9C"/>
    <w:rsid w:val="5EB93BD8"/>
    <w:rsid w:val="5EBD5A8C"/>
    <w:rsid w:val="5EC6439A"/>
    <w:rsid w:val="5EC944B2"/>
    <w:rsid w:val="5EC969BB"/>
    <w:rsid w:val="5ECB1232"/>
    <w:rsid w:val="5ED01518"/>
    <w:rsid w:val="5ED1786E"/>
    <w:rsid w:val="5ED82EFF"/>
    <w:rsid w:val="5EDF277D"/>
    <w:rsid w:val="5EE04748"/>
    <w:rsid w:val="5F026B3E"/>
    <w:rsid w:val="5F026C79"/>
    <w:rsid w:val="5F086F8E"/>
    <w:rsid w:val="5F10472F"/>
    <w:rsid w:val="5F130DA2"/>
    <w:rsid w:val="5F132FD3"/>
    <w:rsid w:val="5F1753EF"/>
    <w:rsid w:val="5F222989"/>
    <w:rsid w:val="5F287DC1"/>
    <w:rsid w:val="5F2C5CBB"/>
    <w:rsid w:val="5F2E2C7D"/>
    <w:rsid w:val="5F3A7040"/>
    <w:rsid w:val="5F441A67"/>
    <w:rsid w:val="5F453EEF"/>
    <w:rsid w:val="5F490292"/>
    <w:rsid w:val="5F4F0E5B"/>
    <w:rsid w:val="5F50072F"/>
    <w:rsid w:val="5F545456"/>
    <w:rsid w:val="5F563661"/>
    <w:rsid w:val="5F5E5908"/>
    <w:rsid w:val="5F617A48"/>
    <w:rsid w:val="5F665FEE"/>
    <w:rsid w:val="5F7A5459"/>
    <w:rsid w:val="5F855458"/>
    <w:rsid w:val="5F8733FB"/>
    <w:rsid w:val="5F8930B2"/>
    <w:rsid w:val="5F9A2AD1"/>
    <w:rsid w:val="5F9F5B1D"/>
    <w:rsid w:val="5FA9475C"/>
    <w:rsid w:val="5FAF18FA"/>
    <w:rsid w:val="5FAF68C7"/>
    <w:rsid w:val="5FB764CF"/>
    <w:rsid w:val="5FBC3CFE"/>
    <w:rsid w:val="5FC55060"/>
    <w:rsid w:val="5FC81B85"/>
    <w:rsid w:val="5FCD6D01"/>
    <w:rsid w:val="5FE64BF0"/>
    <w:rsid w:val="5FE72417"/>
    <w:rsid w:val="5FE737C0"/>
    <w:rsid w:val="60010859"/>
    <w:rsid w:val="6005776C"/>
    <w:rsid w:val="600B4CC9"/>
    <w:rsid w:val="60171328"/>
    <w:rsid w:val="60273FDE"/>
    <w:rsid w:val="6033296E"/>
    <w:rsid w:val="60376CFC"/>
    <w:rsid w:val="603D34AF"/>
    <w:rsid w:val="6042276E"/>
    <w:rsid w:val="6043240E"/>
    <w:rsid w:val="60472C3A"/>
    <w:rsid w:val="604D0881"/>
    <w:rsid w:val="605441E7"/>
    <w:rsid w:val="6063668F"/>
    <w:rsid w:val="607140D0"/>
    <w:rsid w:val="607A200D"/>
    <w:rsid w:val="607D34DA"/>
    <w:rsid w:val="60852CCE"/>
    <w:rsid w:val="60866FC5"/>
    <w:rsid w:val="60880163"/>
    <w:rsid w:val="6088786F"/>
    <w:rsid w:val="608973B8"/>
    <w:rsid w:val="60A3490B"/>
    <w:rsid w:val="60A65036"/>
    <w:rsid w:val="60B35CFD"/>
    <w:rsid w:val="60B426C6"/>
    <w:rsid w:val="60B552E2"/>
    <w:rsid w:val="60B72624"/>
    <w:rsid w:val="60BB42CE"/>
    <w:rsid w:val="60BC0687"/>
    <w:rsid w:val="60C27701"/>
    <w:rsid w:val="60C71E46"/>
    <w:rsid w:val="60C969EB"/>
    <w:rsid w:val="60CB338C"/>
    <w:rsid w:val="60CE4002"/>
    <w:rsid w:val="60D3357A"/>
    <w:rsid w:val="60D3786A"/>
    <w:rsid w:val="60D86A61"/>
    <w:rsid w:val="60DE1EDA"/>
    <w:rsid w:val="60DE464C"/>
    <w:rsid w:val="60E03EFA"/>
    <w:rsid w:val="60EB00B4"/>
    <w:rsid w:val="610142AB"/>
    <w:rsid w:val="610A00CE"/>
    <w:rsid w:val="610F249F"/>
    <w:rsid w:val="61155851"/>
    <w:rsid w:val="61205B8C"/>
    <w:rsid w:val="612527AE"/>
    <w:rsid w:val="61277E71"/>
    <w:rsid w:val="61290F4B"/>
    <w:rsid w:val="61487EFE"/>
    <w:rsid w:val="614F2F8A"/>
    <w:rsid w:val="61550CC1"/>
    <w:rsid w:val="615922E4"/>
    <w:rsid w:val="615C3CFB"/>
    <w:rsid w:val="615F10FE"/>
    <w:rsid w:val="61621BCD"/>
    <w:rsid w:val="61625902"/>
    <w:rsid w:val="61643FCD"/>
    <w:rsid w:val="616F58B4"/>
    <w:rsid w:val="617048F7"/>
    <w:rsid w:val="61707ED7"/>
    <w:rsid w:val="61724738"/>
    <w:rsid w:val="6176751B"/>
    <w:rsid w:val="61795819"/>
    <w:rsid w:val="61814313"/>
    <w:rsid w:val="61821264"/>
    <w:rsid w:val="619B6C10"/>
    <w:rsid w:val="619B6F58"/>
    <w:rsid w:val="619F069B"/>
    <w:rsid w:val="61A15272"/>
    <w:rsid w:val="61A87651"/>
    <w:rsid w:val="61AC3F39"/>
    <w:rsid w:val="61B41449"/>
    <w:rsid w:val="61B86A60"/>
    <w:rsid w:val="61BD5AE8"/>
    <w:rsid w:val="61E84CBE"/>
    <w:rsid w:val="61EB219C"/>
    <w:rsid w:val="61F21F33"/>
    <w:rsid w:val="61F21F72"/>
    <w:rsid w:val="61F41D9B"/>
    <w:rsid w:val="61F44BDE"/>
    <w:rsid w:val="61FD6A8A"/>
    <w:rsid w:val="620571D5"/>
    <w:rsid w:val="620E6240"/>
    <w:rsid w:val="6237573F"/>
    <w:rsid w:val="62405210"/>
    <w:rsid w:val="624621F5"/>
    <w:rsid w:val="624A487B"/>
    <w:rsid w:val="624B1D01"/>
    <w:rsid w:val="624D1200"/>
    <w:rsid w:val="624F517C"/>
    <w:rsid w:val="62532BE3"/>
    <w:rsid w:val="62843B1F"/>
    <w:rsid w:val="629532C2"/>
    <w:rsid w:val="629D33F3"/>
    <w:rsid w:val="62A849E9"/>
    <w:rsid w:val="62AD2C7A"/>
    <w:rsid w:val="62BA1BCA"/>
    <w:rsid w:val="62BE6F70"/>
    <w:rsid w:val="62C70AFE"/>
    <w:rsid w:val="62CE4615"/>
    <w:rsid w:val="62E316D0"/>
    <w:rsid w:val="62E760D5"/>
    <w:rsid w:val="62F43F02"/>
    <w:rsid w:val="62F66F1A"/>
    <w:rsid w:val="63000919"/>
    <w:rsid w:val="631708CE"/>
    <w:rsid w:val="631A2E0E"/>
    <w:rsid w:val="631E09AF"/>
    <w:rsid w:val="63210676"/>
    <w:rsid w:val="632424C1"/>
    <w:rsid w:val="632E56D6"/>
    <w:rsid w:val="634265CE"/>
    <w:rsid w:val="63495BC1"/>
    <w:rsid w:val="634C3F40"/>
    <w:rsid w:val="634D1D19"/>
    <w:rsid w:val="634F395F"/>
    <w:rsid w:val="635B19CF"/>
    <w:rsid w:val="635C1D50"/>
    <w:rsid w:val="63613007"/>
    <w:rsid w:val="6362619B"/>
    <w:rsid w:val="6366288C"/>
    <w:rsid w:val="63676048"/>
    <w:rsid w:val="63703AED"/>
    <w:rsid w:val="637846F9"/>
    <w:rsid w:val="63862258"/>
    <w:rsid w:val="638C46A7"/>
    <w:rsid w:val="639075E2"/>
    <w:rsid w:val="63926055"/>
    <w:rsid w:val="63957971"/>
    <w:rsid w:val="63A01CA0"/>
    <w:rsid w:val="63A252D2"/>
    <w:rsid w:val="63A669C9"/>
    <w:rsid w:val="63C76A6E"/>
    <w:rsid w:val="63CB179D"/>
    <w:rsid w:val="63CF256B"/>
    <w:rsid w:val="63CF6C3E"/>
    <w:rsid w:val="63D157DD"/>
    <w:rsid w:val="63D77671"/>
    <w:rsid w:val="63DC6A36"/>
    <w:rsid w:val="63DD683C"/>
    <w:rsid w:val="63E93CBF"/>
    <w:rsid w:val="63F30D89"/>
    <w:rsid w:val="63F61AD4"/>
    <w:rsid w:val="63FC5210"/>
    <w:rsid w:val="63FF6C76"/>
    <w:rsid w:val="64004618"/>
    <w:rsid w:val="64073EDA"/>
    <w:rsid w:val="640D111D"/>
    <w:rsid w:val="640E5A56"/>
    <w:rsid w:val="64156BCB"/>
    <w:rsid w:val="641854A2"/>
    <w:rsid w:val="64284D06"/>
    <w:rsid w:val="64351209"/>
    <w:rsid w:val="6436678A"/>
    <w:rsid w:val="644A0085"/>
    <w:rsid w:val="64532BB0"/>
    <w:rsid w:val="645B3DFE"/>
    <w:rsid w:val="645C365A"/>
    <w:rsid w:val="64626FBD"/>
    <w:rsid w:val="646802C9"/>
    <w:rsid w:val="64680545"/>
    <w:rsid w:val="646A467D"/>
    <w:rsid w:val="646D2223"/>
    <w:rsid w:val="647D193B"/>
    <w:rsid w:val="647E387E"/>
    <w:rsid w:val="647F5CA1"/>
    <w:rsid w:val="6481138B"/>
    <w:rsid w:val="6486038C"/>
    <w:rsid w:val="64887113"/>
    <w:rsid w:val="649B3E07"/>
    <w:rsid w:val="649D06BA"/>
    <w:rsid w:val="649F0473"/>
    <w:rsid w:val="64A45CB2"/>
    <w:rsid w:val="64A65BB3"/>
    <w:rsid w:val="64A65D9F"/>
    <w:rsid w:val="64B81776"/>
    <w:rsid w:val="64BE1B56"/>
    <w:rsid w:val="64C12598"/>
    <w:rsid w:val="64C43225"/>
    <w:rsid w:val="64C62351"/>
    <w:rsid w:val="64CE5600"/>
    <w:rsid w:val="64D64573"/>
    <w:rsid w:val="64D947CF"/>
    <w:rsid w:val="64DE2339"/>
    <w:rsid w:val="64E4204E"/>
    <w:rsid w:val="64E743FA"/>
    <w:rsid w:val="64EC2CE3"/>
    <w:rsid w:val="64FF2F19"/>
    <w:rsid w:val="650414B6"/>
    <w:rsid w:val="650E5824"/>
    <w:rsid w:val="65100CC2"/>
    <w:rsid w:val="65130F31"/>
    <w:rsid w:val="651418A5"/>
    <w:rsid w:val="651B17E0"/>
    <w:rsid w:val="651E2EA8"/>
    <w:rsid w:val="651E4E2C"/>
    <w:rsid w:val="651E774D"/>
    <w:rsid w:val="65214347"/>
    <w:rsid w:val="6524227B"/>
    <w:rsid w:val="652B7D1E"/>
    <w:rsid w:val="653A1704"/>
    <w:rsid w:val="653A6691"/>
    <w:rsid w:val="653F637B"/>
    <w:rsid w:val="65466574"/>
    <w:rsid w:val="65497582"/>
    <w:rsid w:val="65562818"/>
    <w:rsid w:val="655B494B"/>
    <w:rsid w:val="65792C9B"/>
    <w:rsid w:val="657B402C"/>
    <w:rsid w:val="65820850"/>
    <w:rsid w:val="658A0863"/>
    <w:rsid w:val="658B0713"/>
    <w:rsid w:val="658E643A"/>
    <w:rsid w:val="6590782D"/>
    <w:rsid w:val="659E2325"/>
    <w:rsid w:val="65A03D06"/>
    <w:rsid w:val="65A229CA"/>
    <w:rsid w:val="65AF20B3"/>
    <w:rsid w:val="65B148B5"/>
    <w:rsid w:val="65B323F3"/>
    <w:rsid w:val="65B40A60"/>
    <w:rsid w:val="65B953D5"/>
    <w:rsid w:val="65C537A6"/>
    <w:rsid w:val="65CF78AC"/>
    <w:rsid w:val="65E01DC6"/>
    <w:rsid w:val="65E31996"/>
    <w:rsid w:val="65E6308E"/>
    <w:rsid w:val="65EE2CF5"/>
    <w:rsid w:val="660D6812"/>
    <w:rsid w:val="660E5DAD"/>
    <w:rsid w:val="660F2269"/>
    <w:rsid w:val="661701F9"/>
    <w:rsid w:val="66180273"/>
    <w:rsid w:val="66196C36"/>
    <w:rsid w:val="66257CEF"/>
    <w:rsid w:val="662722FB"/>
    <w:rsid w:val="662F2C15"/>
    <w:rsid w:val="663F19AE"/>
    <w:rsid w:val="66633582"/>
    <w:rsid w:val="666418E6"/>
    <w:rsid w:val="66651BDC"/>
    <w:rsid w:val="666D0DF2"/>
    <w:rsid w:val="6671303C"/>
    <w:rsid w:val="66744D9F"/>
    <w:rsid w:val="66762FDD"/>
    <w:rsid w:val="667D0668"/>
    <w:rsid w:val="66817815"/>
    <w:rsid w:val="66832E6F"/>
    <w:rsid w:val="669A088D"/>
    <w:rsid w:val="669C5E53"/>
    <w:rsid w:val="669E4A4E"/>
    <w:rsid w:val="66A77D8C"/>
    <w:rsid w:val="66B05B18"/>
    <w:rsid w:val="66C43DC9"/>
    <w:rsid w:val="66CA526B"/>
    <w:rsid w:val="66D400FB"/>
    <w:rsid w:val="66D570E2"/>
    <w:rsid w:val="66E02C5B"/>
    <w:rsid w:val="66E62BFD"/>
    <w:rsid w:val="66ED2D08"/>
    <w:rsid w:val="66ED468E"/>
    <w:rsid w:val="66F425CE"/>
    <w:rsid w:val="66FA7FAF"/>
    <w:rsid w:val="67021D9F"/>
    <w:rsid w:val="67092797"/>
    <w:rsid w:val="670A28A8"/>
    <w:rsid w:val="670A76B6"/>
    <w:rsid w:val="671110C2"/>
    <w:rsid w:val="671A3B7C"/>
    <w:rsid w:val="671A5EC6"/>
    <w:rsid w:val="672B7CC7"/>
    <w:rsid w:val="67414388"/>
    <w:rsid w:val="675024EE"/>
    <w:rsid w:val="6758406F"/>
    <w:rsid w:val="67591A5A"/>
    <w:rsid w:val="676A667F"/>
    <w:rsid w:val="678E6B43"/>
    <w:rsid w:val="6796168C"/>
    <w:rsid w:val="67977CD1"/>
    <w:rsid w:val="67AB1258"/>
    <w:rsid w:val="67B56E0D"/>
    <w:rsid w:val="67B57CC9"/>
    <w:rsid w:val="67B93427"/>
    <w:rsid w:val="67BC2E40"/>
    <w:rsid w:val="67BE761C"/>
    <w:rsid w:val="67C1041C"/>
    <w:rsid w:val="67D54B4A"/>
    <w:rsid w:val="67D72D82"/>
    <w:rsid w:val="67D806ED"/>
    <w:rsid w:val="67DA1E3B"/>
    <w:rsid w:val="67DD1918"/>
    <w:rsid w:val="67E130B8"/>
    <w:rsid w:val="67E45EB9"/>
    <w:rsid w:val="67E91C4C"/>
    <w:rsid w:val="67F6367D"/>
    <w:rsid w:val="67FB4706"/>
    <w:rsid w:val="67FD341E"/>
    <w:rsid w:val="68002700"/>
    <w:rsid w:val="681A4ECD"/>
    <w:rsid w:val="681C1AF7"/>
    <w:rsid w:val="681C6284"/>
    <w:rsid w:val="68232E85"/>
    <w:rsid w:val="683350EC"/>
    <w:rsid w:val="683A3D2B"/>
    <w:rsid w:val="68402D82"/>
    <w:rsid w:val="68481AA4"/>
    <w:rsid w:val="684B5F38"/>
    <w:rsid w:val="686E1C26"/>
    <w:rsid w:val="687605DE"/>
    <w:rsid w:val="687703E8"/>
    <w:rsid w:val="687F53DD"/>
    <w:rsid w:val="68855B72"/>
    <w:rsid w:val="688641A7"/>
    <w:rsid w:val="68897CC9"/>
    <w:rsid w:val="688C27B2"/>
    <w:rsid w:val="688C3563"/>
    <w:rsid w:val="688C3F21"/>
    <w:rsid w:val="6891732E"/>
    <w:rsid w:val="689748C0"/>
    <w:rsid w:val="68975E67"/>
    <w:rsid w:val="689B3943"/>
    <w:rsid w:val="689F76A3"/>
    <w:rsid w:val="68A4441D"/>
    <w:rsid w:val="68A92BBB"/>
    <w:rsid w:val="68AA3189"/>
    <w:rsid w:val="68AC5A04"/>
    <w:rsid w:val="68B004A2"/>
    <w:rsid w:val="68B06589"/>
    <w:rsid w:val="68B87AA8"/>
    <w:rsid w:val="68BC4A27"/>
    <w:rsid w:val="68C4047A"/>
    <w:rsid w:val="68C53175"/>
    <w:rsid w:val="68C55CEA"/>
    <w:rsid w:val="68C87588"/>
    <w:rsid w:val="68CE79E9"/>
    <w:rsid w:val="68CF5FBA"/>
    <w:rsid w:val="68D4417F"/>
    <w:rsid w:val="68DE0B52"/>
    <w:rsid w:val="68DE0B84"/>
    <w:rsid w:val="68E032BE"/>
    <w:rsid w:val="68E84832"/>
    <w:rsid w:val="68EF4322"/>
    <w:rsid w:val="68F6059A"/>
    <w:rsid w:val="68F6064D"/>
    <w:rsid w:val="68FA155B"/>
    <w:rsid w:val="69037841"/>
    <w:rsid w:val="690B782E"/>
    <w:rsid w:val="690F454E"/>
    <w:rsid w:val="69205616"/>
    <w:rsid w:val="693B5849"/>
    <w:rsid w:val="693D1D24"/>
    <w:rsid w:val="69476849"/>
    <w:rsid w:val="694A6159"/>
    <w:rsid w:val="694C06A9"/>
    <w:rsid w:val="69520790"/>
    <w:rsid w:val="695E7EED"/>
    <w:rsid w:val="69611532"/>
    <w:rsid w:val="696C77D3"/>
    <w:rsid w:val="697119CE"/>
    <w:rsid w:val="697414BE"/>
    <w:rsid w:val="697D5A91"/>
    <w:rsid w:val="698B31EE"/>
    <w:rsid w:val="6999071C"/>
    <w:rsid w:val="69AE1E1C"/>
    <w:rsid w:val="69B84E4A"/>
    <w:rsid w:val="69BF39B8"/>
    <w:rsid w:val="69C063B7"/>
    <w:rsid w:val="69C319B1"/>
    <w:rsid w:val="69C33F35"/>
    <w:rsid w:val="69C52D46"/>
    <w:rsid w:val="69C93673"/>
    <w:rsid w:val="69CD7DC8"/>
    <w:rsid w:val="69CE6FC5"/>
    <w:rsid w:val="69CF1EB1"/>
    <w:rsid w:val="69D10C4F"/>
    <w:rsid w:val="69E03114"/>
    <w:rsid w:val="69E74C3D"/>
    <w:rsid w:val="69EF3AA6"/>
    <w:rsid w:val="69F179E0"/>
    <w:rsid w:val="69FD3BAD"/>
    <w:rsid w:val="6A022A34"/>
    <w:rsid w:val="6A246883"/>
    <w:rsid w:val="6A252E23"/>
    <w:rsid w:val="6A283947"/>
    <w:rsid w:val="6A2B2950"/>
    <w:rsid w:val="6A2B7A6E"/>
    <w:rsid w:val="6A436E38"/>
    <w:rsid w:val="6A4609B2"/>
    <w:rsid w:val="6A48021C"/>
    <w:rsid w:val="6A50787E"/>
    <w:rsid w:val="6A516637"/>
    <w:rsid w:val="6A534F45"/>
    <w:rsid w:val="6A6125E1"/>
    <w:rsid w:val="6A645A26"/>
    <w:rsid w:val="6A655D02"/>
    <w:rsid w:val="6A6A179F"/>
    <w:rsid w:val="6A6B28C1"/>
    <w:rsid w:val="6A6F2A4D"/>
    <w:rsid w:val="6A6F4AB2"/>
    <w:rsid w:val="6A910026"/>
    <w:rsid w:val="6A9A4C08"/>
    <w:rsid w:val="6AA1438C"/>
    <w:rsid w:val="6AA277E9"/>
    <w:rsid w:val="6AA33636"/>
    <w:rsid w:val="6ABB3E22"/>
    <w:rsid w:val="6AC00E5F"/>
    <w:rsid w:val="6AC97D50"/>
    <w:rsid w:val="6ADA058D"/>
    <w:rsid w:val="6ADB53D5"/>
    <w:rsid w:val="6AE6250E"/>
    <w:rsid w:val="6AEA7C8A"/>
    <w:rsid w:val="6AF55F2D"/>
    <w:rsid w:val="6AF620F3"/>
    <w:rsid w:val="6B163461"/>
    <w:rsid w:val="6B1C1E0E"/>
    <w:rsid w:val="6B1F749E"/>
    <w:rsid w:val="6B210699"/>
    <w:rsid w:val="6B376C47"/>
    <w:rsid w:val="6B585A28"/>
    <w:rsid w:val="6B5B3E77"/>
    <w:rsid w:val="6B607F4C"/>
    <w:rsid w:val="6B6327E1"/>
    <w:rsid w:val="6B63682C"/>
    <w:rsid w:val="6B6F13CB"/>
    <w:rsid w:val="6B7278F9"/>
    <w:rsid w:val="6B76781E"/>
    <w:rsid w:val="6B7E390C"/>
    <w:rsid w:val="6B7E6624"/>
    <w:rsid w:val="6B7F128B"/>
    <w:rsid w:val="6B806B86"/>
    <w:rsid w:val="6B912284"/>
    <w:rsid w:val="6B9504F2"/>
    <w:rsid w:val="6B9E04A2"/>
    <w:rsid w:val="6BA023E9"/>
    <w:rsid w:val="6BA25F77"/>
    <w:rsid w:val="6BA45F22"/>
    <w:rsid w:val="6BA642F5"/>
    <w:rsid w:val="6BAF11DE"/>
    <w:rsid w:val="6BAF4A30"/>
    <w:rsid w:val="6BB248AE"/>
    <w:rsid w:val="6BC03BE4"/>
    <w:rsid w:val="6BE15D20"/>
    <w:rsid w:val="6BEE4B43"/>
    <w:rsid w:val="6BFA3A27"/>
    <w:rsid w:val="6C015588"/>
    <w:rsid w:val="6C021187"/>
    <w:rsid w:val="6C0266F5"/>
    <w:rsid w:val="6C0333AB"/>
    <w:rsid w:val="6C0F32DC"/>
    <w:rsid w:val="6C122F2C"/>
    <w:rsid w:val="6C1848DF"/>
    <w:rsid w:val="6C1C0317"/>
    <w:rsid w:val="6C1D2580"/>
    <w:rsid w:val="6C1D2F9F"/>
    <w:rsid w:val="6C1D351D"/>
    <w:rsid w:val="6C206F72"/>
    <w:rsid w:val="6C2C6A38"/>
    <w:rsid w:val="6C2C7C79"/>
    <w:rsid w:val="6C3810A1"/>
    <w:rsid w:val="6C382C77"/>
    <w:rsid w:val="6C3A5834"/>
    <w:rsid w:val="6C3B008F"/>
    <w:rsid w:val="6C402357"/>
    <w:rsid w:val="6C42552C"/>
    <w:rsid w:val="6C4E22D9"/>
    <w:rsid w:val="6C530186"/>
    <w:rsid w:val="6C54361E"/>
    <w:rsid w:val="6C545E29"/>
    <w:rsid w:val="6C570C04"/>
    <w:rsid w:val="6C5A228B"/>
    <w:rsid w:val="6C5D23B9"/>
    <w:rsid w:val="6C673EB1"/>
    <w:rsid w:val="6C6D0B73"/>
    <w:rsid w:val="6C6E065C"/>
    <w:rsid w:val="6C834937"/>
    <w:rsid w:val="6C8576CF"/>
    <w:rsid w:val="6C906DBE"/>
    <w:rsid w:val="6C940191"/>
    <w:rsid w:val="6C945EC1"/>
    <w:rsid w:val="6C9500C9"/>
    <w:rsid w:val="6C9A5D34"/>
    <w:rsid w:val="6C9B5343"/>
    <w:rsid w:val="6C9C771D"/>
    <w:rsid w:val="6CA80F7D"/>
    <w:rsid w:val="6CB12C7C"/>
    <w:rsid w:val="6CB8006D"/>
    <w:rsid w:val="6CC97D25"/>
    <w:rsid w:val="6CD02EB0"/>
    <w:rsid w:val="6CD10307"/>
    <w:rsid w:val="6CDB120E"/>
    <w:rsid w:val="6CDD2166"/>
    <w:rsid w:val="6CE056C8"/>
    <w:rsid w:val="6CF10905"/>
    <w:rsid w:val="6CF57915"/>
    <w:rsid w:val="6D0112BB"/>
    <w:rsid w:val="6D0301FC"/>
    <w:rsid w:val="6D0E445B"/>
    <w:rsid w:val="6D1135A7"/>
    <w:rsid w:val="6D154B26"/>
    <w:rsid w:val="6D196605"/>
    <w:rsid w:val="6D2C6D7E"/>
    <w:rsid w:val="6D320AEC"/>
    <w:rsid w:val="6D4315B7"/>
    <w:rsid w:val="6D441015"/>
    <w:rsid w:val="6D476697"/>
    <w:rsid w:val="6D4F17DC"/>
    <w:rsid w:val="6D6171C7"/>
    <w:rsid w:val="6D64106F"/>
    <w:rsid w:val="6D663BF9"/>
    <w:rsid w:val="6D6C22C0"/>
    <w:rsid w:val="6D6C256F"/>
    <w:rsid w:val="6D7E41EB"/>
    <w:rsid w:val="6D83692E"/>
    <w:rsid w:val="6D874831"/>
    <w:rsid w:val="6D925E53"/>
    <w:rsid w:val="6DA41184"/>
    <w:rsid w:val="6DAC4AC0"/>
    <w:rsid w:val="6DAE002C"/>
    <w:rsid w:val="6DBE2D94"/>
    <w:rsid w:val="6DC36570"/>
    <w:rsid w:val="6DC92E68"/>
    <w:rsid w:val="6DCC42B3"/>
    <w:rsid w:val="6DD32C57"/>
    <w:rsid w:val="6DEB30B5"/>
    <w:rsid w:val="6DEB5121"/>
    <w:rsid w:val="6DF1680F"/>
    <w:rsid w:val="6DF96AE0"/>
    <w:rsid w:val="6DFB2674"/>
    <w:rsid w:val="6E075CEA"/>
    <w:rsid w:val="6E094A2E"/>
    <w:rsid w:val="6E167995"/>
    <w:rsid w:val="6E1B1D04"/>
    <w:rsid w:val="6E36749D"/>
    <w:rsid w:val="6E3F3284"/>
    <w:rsid w:val="6E496FBE"/>
    <w:rsid w:val="6E4F65C4"/>
    <w:rsid w:val="6E580C9C"/>
    <w:rsid w:val="6E686B66"/>
    <w:rsid w:val="6E6D5F7B"/>
    <w:rsid w:val="6E706E05"/>
    <w:rsid w:val="6E753AFC"/>
    <w:rsid w:val="6E780D25"/>
    <w:rsid w:val="6E7C7184"/>
    <w:rsid w:val="6E82467D"/>
    <w:rsid w:val="6E8A004E"/>
    <w:rsid w:val="6E8D5AE2"/>
    <w:rsid w:val="6E8D6F92"/>
    <w:rsid w:val="6E906D9A"/>
    <w:rsid w:val="6E9A6EF1"/>
    <w:rsid w:val="6EA111A1"/>
    <w:rsid w:val="6EA72998"/>
    <w:rsid w:val="6EB41064"/>
    <w:rsid w:val="6EB4252C"/>
    <w:rsid w:val="6EB85FF9"/>
    <w:rsid w:val="6EB868A3"/>
    <w:rsid w:val="6EC06455"/>
    <w:rsid w:val="6EC2164F"/>
    <w:rsid w:val="6EC7506B"/>
    <w:rsid w:val="6ECC79E0"/>
    <w:rsid w:val="6ECD3F4B"/>
    <w:rsid w:val="6ED355D4"/>
    <w:rsid w:val="6EDF40A1"/>
    <w:rsid w:val="6EE11FA9"/>
    <w:rsid w:val="6EFC3D84"/>
    <w:rsid w:val="6EFC62C8"/>
    <w:rsid w:val="6F0701E5"/>
    <w:rsid w:val="6F0F6AD0"/>
    <w:rsid w:val="6F125D5A"/>
    <w:rsid w:val="6F1935FF"/>
    <w:rsid w:val="6F2171A4"/>
    <w:rsid w:val="6F235B82"/>
    <w:rsid w:val="6F2A3256"/>
    <w:rsid w:val="6F2C3333"/>
    <w:rsid w:val="6F2F6B79"/>
    <w:rsid w:val="6F3F73A6"/>
    <w:rsid w:val="6F471553"/>
    <w:rsid w:val="6F5372B3"/>
    <w:rsid w:val="6F541627"/>
    <w:rsid w:val="6F547652"/>
    <w:rsid w:val="6F610BEC"/>
    <w:rsid w:val="6F6A6988"/>
    <w:rsid w:val="6F79580D"/>
    <w:rsid w:val="6F7D12F4"/>
    <w:rsid w:val="6F7E3097"/>
    <w:rsid w:val="6F8D32DA"/>
    <w:rsid w:val="6F8D5088"/>
    <w:rsid w:val="6F9375EA"/>
    <w:rsid w:val="6F9F5811"/>
    <w:rsid w:val="6FA84DD9"/>
    <w:rsid w:val="6FAE0351"/>
    <w:rsid w:val="6FB369C1"/>
    <w:rsid w:val="6FB412F4"/>
    <w:rsid w:val="6FC01109"/>
    <w:rsid w:val="6FC54716"/>
    <w:rsid w:val="6FC55C8A"/>
    <w:rsid w:val="6FC707AD"/>
    <w:rsid w:val="6FC70F1C"/>
    <w:rsid w:val="6FCA41E1"/>
    <w:rsid w:val="6FCF6A53"/>
    <w:rsid w:val="6FD21BB1"/>
    <w:rsid w:val="6FD33F3E"/>
    <w:rsid w:val="6FD44871"/>
    <w:rsid w:val="6FD96315"/>
    <w:rsid w:val="6FDE0649"/>
    <w:rsid w:val="6FE517B6"/>
    <w:rsid w:val="6FEA0BD4"/>
    <w:rsid w:val="6FFA1C6B"/>
    <w:rsid w:val="700341F3"/>
    <w:rsid w:val="700A5BCA"/>
    <w:rsid w:val="70115CB9"/>
    <w:rsid w:val="7019039F"/>
    <w:rsid w:val="70191A39"/>
    <w:rsid w:val="701D7680"/>
    <w:rsid w:val="70201662"/>
    <w:rsid w:val="7024187D"/>
    <w:rsid w:val="70257AF8"/>
    <w:rsid w:val="70321145"/>
    <w:rsid w:val="7039507E"/>
    <w:rsid w:val="703A5107"/>
    <w:rsid w:val="7043389A"/>
    <w:rsid w:val="70497D07"/>
    <w:rsid w:val="70503F25"/>
    <w:rsid w:val="70513947"/>
    <w:rsid w:val="70526725"/>
    <w:rsid w:val="705A4DB3"/>
    <w:rsid w:val="705E7338"/>
    <w:rsid w:val="707A5B91"/>
    <w:rsid w:val="707E3635"/>
    <w:rsid w:val="70870E3F"/>
    <w:rsid w:val="709366CE"/>
    <w:rsid w:val="709B29A8"/>
    <w:rsid w:val="709B77EE"/>
    <w:rsid w:val="709F22BD"/>
    <w:rsid w:val="70A53C36"/>
    <w:rsid w:val="70B36D70"/>
    <w:rsid w:val="70B54D0D"/>
    <w:rsid w:val="70C81BA2"/>
    <w:rsid w:val="70CE1D3A"/>
    <w:rsid w:val="70CE5BD5"/>
    <w:rsid w:val="70D728AB"/>
    <w:rsid w:val="70DD2B6E"/>
    <w:rsid w:val="70E04AB7"/>
    <w:rsid w:val="70E752F8"/>
    <w:rsid w:val="70E77728"/>
    <w:rsid w:val="70E909E4"/>
    <w:rsid w:val="70EE5669"/>
    <w:rsid w:val="70F00542"/>
    <w:rsid w:val="71054859"/>
    <w:rsid w:val="71084A5A"/>
    <w:rsid w:val="710B3E50"/>
    <w:rsid w:val="71234CD4"/>
    <w:rsid w:val="712D5E72"/>
    <w:rsid w:val="7135050C"/>
    <w:rsid w:val="71383FA3"/>
    <w:rsid w:val="71421C03"/>
    <w:rsid w:val="71434BED"/>
    <w:rsid w:val="71481C1D"/>
    <w:rsid w:val="714D13E5"/>
    <w:rsid w:val="714D544E"/>
    <w:rsid w:val="714E7099"/>
    <w:rsid w:val="7152013A"/>
    <w:rsid w:val="71560B60"/>
    <w:rsid w:val="7162081F"/>
    <w:rsid w:val="71641E43"/>
    <w:rsid w:val="716D68FB"/>
    <w:rsid w:val="716E5C58"/>
    <w:rsid w:val="71772CC9"/>
    <w:rsid w:val="71815210"/>
    <w:rsid w:val="71881FAB"/>
    <w:rsid w:val="718C53C8"/>
    <w:rsid w:val="71923A1E"/>
    <w:rsid w:val="71A15F51"/>
    <w:rsid w:val="71A70273"/>
    <w:rsid w:val="71AA33BD"/>
    <w:rsid w:val="71C01745"/>
    <w:rsid w:val="71C30463"/>
    <w:rsid w:val="71C84B93"/>
    <w:rsid w:val="71CE363D"/>
    <w:rsid w:val="71E43ADE"/>
    <w:rsid w:val="71F42EB8"/>
    <w:rsid w:val="72037493"/>
    <w:rsid w:val="7207560E"/>
    <w:rsid w:val="720F11CF"/>
    <w:rsid w:val="72143096"/>
    <w:rsid w:val="721650F1"/>
    <w:rsid w:val="721A4A6E"/>
    <w:rsid w:val="721C5050"/>
    <w:rsid w:val="72214459"/>
    <w:rsid w:val="7225217C"/>
    <w:rsid w:val="722F0E5C"/>
    <w:rsid w:val="72394D2A"/>
    <w:rsid w:val="723B780F"/>
    <w:rsid w:val="724405BD"/>
    <w:rsid w:val="72474748"/>
    <w:rsid w:val="72606560"/>
    <w:rsid w:val="7269652D"/>
    <w:rsid w:val="72746531"/>
    <w:rsid w:val="7279326C"/>
    <w:rsid w:val="727B0E73"/>
    <w:rsid w:val="728D1D43"/>
    <w:rsid w:val="729B6A8F"/>
    <w:rsid w:val="729D67D7"/>
    <w:rsid w:val="72B01D5B"/>
    <w:rsid w:val="72B45EED"/>
    <w:rsid w:val="72B7269E"/>
    <w:rsid w:val="72BB3CBA"/>
    <w:rsid w:val="72BF3070"/>
    <w:rsid w:val="72C55FB5"/>
    <w:rsid w:val="72C82FDE"/>
    <w:rsid w:val="72C85CEC"/>
    <w:rsid w:val="72CE136A"/>
    <w:rsid w:val="72DD1671"/>
    <w:rsid w:val="72DE0068"/>
    <w:rsid w:val="72E56B49"/>
    <w:rsid w:val="72E607FF"/>
    <w:rsid w:val="72EB6154"/>
    <w:rsid w:val="72EC74C4"/>
    <w:rsid w:val="72F558F2"/>
    <w:rsid w:val="73061747"/>
    <w:rsid w:val="7312119F"/>
    <w:rsid w:val="73147DEA"/>
    <w:rsid w:val="731877F4"/>
    <w:rsid w:val="732106F8"/>
    <w:rsid w:val="732347B8"/>
    <w:rsid w:val="73266077"/>
    <w:rsid w:val="732B21AE"/>
    <w:rsid w:val="73310AF2"/>
    <w:rsid w:val="733459A5"/>
    <w:rsid w:val="733A2A9A"/>
    <w:rsid w:val="73441B91"/>
    <w:rsid w:val="73524BC5"/>
    <w:rsid w:val="7355410F"/>
    <w:rsid w:val="735C766E"/>
    <w:rsid w:val="7365769A"/>
    <w:rsid w:val="736C7782"/>
    <w:rsid w:val="73744DDF"/>
    <w:rsid w:val="737A3058"/>
    <w:rsid w:val="737B498F"/>
    <w:rsid w:val="737B72C2"/>
    <w:rsid w:val="73846D0E"/>
    <w:rsid w:val="7385387C"/>
    <w:rsid w:val="738770B5"/>
    <w:rsid w:val="738844E4"/>
    <w:rsid w:val="739E4751"/>
    <w:rsid w:val="73B115E6"/>
    <w:rsid w:val="73B41ED9"/>
    <w:rsid w:val="73B45B4B"/>
    <w:rsid w:val="73BE05B6"/>
    <w:rsid w:val="73C3703A"/>
    <w:rsid w:val="73C62D23"/>
    <w:rsid w:val="73CB3EFE"/>
    <w:rsid w:val="73D420DC"/>
    <w:rsid w:val="73DB329B"/>
    <w:rsid w:val="73DF1BA8"/>
    <w:rsid w:val="73F41B31"/>
    <w:rsid w:val="73F6533E"/>
    <w:rsid w:val="73FD2552"/>
    <w:rsid w:val="74003491"/>
    <w:rsid w:val="740560C0"/>
    <w:rsid w:val="7409726A"/>
    <w:rsid w:val="74101B27"/>
    <w:rsid w:val="74130252"/>
    <w:rsid w:val="74151F10"/>
    <w:rsid w:val="74157DA1"/>
    <w:rsid w:val="741833DC"/>
    <w:rsid w:val="742841E7"/>
    <w:rsid w:val="742E52CB"/>
    <w:rsid w:val="743678DE"/>
    <w:rsid w:val="743E2DF5"/>
    <w:rsid w:val="743F3C36"/>
    <w:rsid w:val="745E364C"/>
    <w:rsid w:val="746E4153"/>
    <w:rsid w:val="747A3624"/>
    <w:rsid w:val="747F1D9E"/>
    <w:rsid w:val="7480721E"/>
    <w:rsid w:val="748679D8"/>
    <w:rsid w:val="748C3986"/>
    <w:rsid w:val="74903F97"/>
    <w:rsid w:val="749273E2"/>
    <w:rsid w:val="74956505"/>
    <w:rsid w:val="749869A9"/>
    <w:rsid w:val="74A1543A"/>
    <w:rsid w:val="74A6451F"/>
    <w:rsid w:val="74B03CA6"/>
    <w:rsid w:val="74B17A6A"/>
    <w:rsid w:val="74BB0245"/>
    <w:rsid w:val="74BB39F0"/>
    <w:rsid w:val="74BB4974"/>
    <w:rsid w:val="74BD5F94"/>
    <w:rsid w:val="74CE33F7"/>
    <w:rsid w:val="74D43CE4"/>
    <w:rsid w:val="74D74DC6"/>
    <w:rsid w:val="74DB03AA"/>
    <w:rsid w:val="74E00F35"/>
    <w:rsid w:val="74E31889"/>
    <w:rsid w:val="74E32B01"/>
    <w:rsid w:val="74E606A7"/>
    <w:rsid w:val="74EA4CA9"/>
    <w:rsid w:val="74EC2BF2"/>
    <w:rsid w:val="74EC73CD"/>
    <w:rsid w:val="74ED61EA"/>
    <w:rsid w:val="74F206D6"/>
    <w:rsid w:val="74FA443D"/>
    <w:rsid w:val="74FB1E15"/>
    <w:rsid w:val="74FD30C9"/>
    <w:rsid w:val="7505127B"/>
    <w:rsid w:val="750C5109"/>
    <w:rsid w:val="75122A96"/>
    <w:rsid w:val="75153D95"/>
    <w:rsid w:val="75202BBB"/>
    <w:rsid w:val="75232716"/>
    <w:rsid w:val="752A673B"/>
    <w:rsid w:val="752C3E7A"/>
    <w:rsid w:val="753B7316"/>
    <w:rsid w:val="75475154"/>
    <w:rsid w:val="754A35A4"/>
    <w:rsid w:val="754B62A6"/>
    <w:rsid w:val="755D6103"/>
    <w:rsid w:val="75612770"/>
    <w:rsid w:val="75647E61"/>
    <w:rsid w:val="756514ED"/>
    <w:rsid w:val="75652B8B"/>
    <w:rsid w:val="75704B8F"/>
    <w:rsid w:val="75705734"/>
    <w:rsid w:val="75712394"/>
    <w:rsid w:val="75723327"/>
    <w:rsid w:val="757D6872"/>
    <w:rsid w:val="7586289B"/>
    <w:rsid w:val="75862DDB"/>
    <w:rsid w:val="758B3BCD"/>
    <w:rsid w:val="758C661B"/>
    <w:rsid w:val="758F1B5A"/>
    <w:rsid w:val="75994786"/>
    <w:rsid w:val="75A36394"/>
    <w:rsid w:val="75A54A07"/>
    <w:rsid w:val="75B2513F"/>
    <w:rsid w:val="75C62C6C"/>
    <w:rsid w:val="75C8628B"/>
    <w:rsid w:val="75D4791B"/>
    <w:rsid w:val="75DA3AF6"/>
    <w:rsid w:val="75E955E5"/>
    <w:rsid w:val="75EE4A87"/>
    <w:rsid w:val="75F41B89"/>
    <w:rsid w:val="75FC3CC8"/>
    <w:rsid w:val="76003899"/>
    <w:rsid w:val="760100FA"/>
    <w:rsid w:val="76044B04"/>
    <w:rsid w:val="761145C4"/>
    <w:rsid w:val="76121576"/>
    <w:rsid w:val="7612421D"/>
    <w:rsid w:val="762229CE"/>
    <w:rsid w:val="762519CA"/>
    <w:rsid w:val="76252589"/>
    <w:rsid w:val="762C0623"/>
    <w:rsid w:val="762E4E2F"/>
    <w:rsid w:val="763276C8"/>
    <w:rsid w:val="76366201"/>
    <w:rsid w:val="763B707E"/>
    <w:rsid w:val="76483C5A"/>
    <w:rsid w:val="764A4C8D"/>
    <w:rsid w:val="765374A5"/>
    <w:rsid w:val="76541C3B"/>
    <w:rsid w:val="76573696"/>
    <w:rsid w:val="765B48C3"/>
    <w:rsid w:val="765C57B4"/>
    <w:rsid w:val="765F5436"/>
    <w:rsid w:val="7668421A"/>
    <w:rsid w:val="766E250E"/>
    <w:rsid w:val="76745944"/>
    <w:rsid w:val="76750E1C"/>
    <w:rsid w:val="76795E95"/>
    <w:rsid w:val="767B2F9F"/>
    <w:rsid w:val="76837CA5"/>
    <w:rsid w:val="76873731"/>
    <w:rsid w:val="7692155B"/>
    <w:rsid w:val="7698649F"/>
    <w:rsid w:val="76A1191A"/>
    <w:rsid w:val="76B471E7"/>
    <w:rsid w:val="76BB7F0D"/>
    <w:rsid w:val="76BC1B77"/>
    <w:rsid w:val="76BE141B"/>
    <w:rsid w:val="76C6301F"/>
    <w:rsid w:val="76CA7A43"/>
    <w:rsid w:val="76D90E58"/>
    <w:rsid w:val="76DD6660"/>
    <w:rsid w:val="76E617D5"/>
    <w:rsid w:val="76EB79C6"/>
    <w:rsid w:val="76EC0BAF"/>
    <w:rsid w:val="77004BC5"/>
    <w:rsid w:val="77055A5F"/>
    <w:rsid w:val="77061CB0"/>
    <w:rsid w:val="77164E54"/>
    <w:rsid w:val="77175110"/>
    <w:rsid w:val="771918E8"/>
    <w:rsid w:val="77255BC6"/>
    <w:rsid w:val="7730549D"/>
    <w:rsid w:val="7730581C"/>
    <w:rsid w:val="77332EB5"/>
    <w:rsid w:val="77335F5E"/>
    <w:rsid w:val="77364014"/>
    <w:rsid w:val="773859A6"/>
    <w:rsid w:val="773C557A"/>
    <w:rsid w:val="773F29D4"/>
    <w:rsid w:val="77411FEB"/>
    <w:rsid w:val="77422DE8"/>
    <w:rsid w:val="774232CD"/>
    <w:rsid w:val="77483056"/>
    <w:rsid w:val="77496A23"/>
    <w:rsid w:val="77560553"/>
    <w:rsid w:val="77647724"/>
    <w:rsid w:val="77671BCC"/>
    <w:rsid w:val="77672662"/>
    <w:rsid w:val="776B5B5C"/>
    <w:rsid w:val="7775505E"/>
    <w:rsid w:val="7784630C"/>
    <w:rsid w:val="7788144F"/>
    <w:rsid w:val="778F1F06"/>
    <w:rsid w:val="77905715"/>
    <w:rsid w:val="779370CE"/>
    <w:rsid w:val="779A60FD"/>
    <w:rsid w:val="779C40BA"/>
    <w:rsid w:val="77A53815"/>
    <w:rsid w:val="77AE39FC"/>
    <w:rsid w:val="77B5380B"/>
    <w:rsid w:val="77B67B44"/>
    <w:rsid w:val="77B73DB6"/>
    <w:rsid w:val="77BD62BD"/>
    <w:rsid w:val="77C47854"/>
    <w:rsid w:val="77C955DF"/>
    <w:rsid w:val="77CD7EAA"/>
    <w:rsid w:val="77F5079C"/>
    <w:rsid w:val="77FB3BF1"/>
    <w:rsid w:val="77FC724F"/>
    <w:rsid w:val="780B658B"/>
    <w:rsid w:val="780F0E00"/>
    <w:rsid w:val="781225CE"/>
    <w:rsid w:val="782379C5"/>
    <w:rsid w:val="782E0CD5"/>
    <w:rsid w:val="78315774"/>
    <w:rsid w:val="783B3B20"/>
    <w:rsid w:val="783B5979"/>
    <w:rsid w:val="783E73D2"/>
    <w:rsid w:val="784529A4"/>
    <w:rsid w:val="78484950"/>
    <w:rsid w:val="784A450B"/>
    <w:rsid w:val="784A595B"/>
    <w:rsid w:val="78571C44"/>
    <w:rsid w:val="785C6F90"/>
    <w:rsid w:val="78662952"/>
    <w:rsid w:val="786646C8"/>
    <w:rsid w:val="787D0BB5"/>
    <w:rsid w:val="787D7C16"/>
    <w:rsid w:val="787F0E75"/>
    <w:rsid w:val="788077FA"/>
    <w:rsid w:val="7884061F"/>
    <w:rsid w:val="788C162B"/>
    <w:rsid w:val="788E21A9"/>
    <w:rsid w:val="789B310D"/>
    <w:rsid w:val="789F630B"/>
    <w:rsid w:val="78A237B3"/>
    <w:rsid w:val="78A3591C"/>
    <w:rsid w:val="78A556E9"/>
    <w:rsid w:val="78C347BB"/>
    <w:rsid w:val="78C47752"/>
    <w:rsid w:val="78CC0103"/>
    <w:rsid w:val="78D005D7"/>
    <w:rsid w:val="78F07AFC"/>
    <w:rsid w:val="7904602B"/>
    <w:rsid w:val="79115FF0"/>
    <w:rsid w:val="791647D5"/>
    <w:rsid w:val="79195B61"/>
    <w:rsid w:val="791C2D46"/>
    <w:rsid w:val="791D3B3C"/>
    <w:rsid w:val="791E3513"/>
    <w:rsid w:val="7922141F"/>
    <w:rsid w:val="792410AB"/>
    <w:rsid w:val="79243247"/>
    <w:rsid w:val="79263F32"/>
    <w:rsid w:val="79314BD9"/>
    <w:rsid w:val="793769E2"/>
    <w:rsid w:val="79393B8B"/>
    <w:rsid w:val="79470734"/>
    <w:rsid w:val="79534205"/>
    <w:rsid w:val="795C2A02"/>
    <w:rsid w:val="79601FFF"/>
    <w:rsid w:val="79617ADA"/>
    <w:rsid w:val="79671272"/>
    <w:rsid w:val="796773B2"/>
    <w:rsid w:val="79697C10"/>
    <w:rsid w:val="797377DF"/>
    <w:rsid w:val="79890C5D"/>
    <w:rsid w:val="79923CB3"/>
    <w:rsid w:val="79994FDB"/>
    <w:rsid w:val="799B49B2"/>
    <w:rsid w:val="79A023C6"/>
    <w:rsid w:val="79A558C0"/>
    <w:rsid w:val="79A75FD7"/>
    <w:rsid w:val="79AE3E82"/>
    <w:rsid w:val="79AF6CF7"/>
    <w:rsid w:val="79B509BF"/>
    <w:rsid w:val="79B83C71"/>
    <w:rsid w:val="79C1370A"/>
    <w:rsid w:val="79C32558"/>
    <w:rsid w:val="79C71E03"/>
    <w:rsid w:val="79CA2953"/>
    <w:rsid w:val="79D05EA5"/>
    <w:rsid w:val="79D0613E"/>
    <w:rsid w:val="79D51EBD"/>
    <w:rsid w:val="79D53D35"/>
    <w:rsid w:val="79DB3E6D"/>
    <w:rsid w:val="79DB7DBB"/>
    <w:rsid w:val="79E34A61"/>
    <w:rsid w:val="79E90504"/>
    <w:rsid w:val="7A042C0A"/>
    <w:rsid w:val="7A0D78EC"/>
    <w:rsid w:val="7A0E4F5E"/>
    <w:rsid w:val="7A171326"/>
    <w:rsid w:val="7A1E34AC"/>
    <w:rsid w:val="7A237789"/>
    <w:rsid w:val="7A26386C"/>
    <w:rsid w:val="7A2B30E2"/>
    <w:rsid w:val="7A304A14"/>
    <w:rsid w:val="7A320D06"/>
    <w:rsid w:val="7A36742C"/>
    <w:rsid w:val="7A376FAD"/>
    <w:rsid w:val="7A392E67"/>
    <w:rsid w:val="7A3A4DA4"/>
    <w:rsid w:val="7A457FB3"/>
    <w:rsid w:val="7A4A21AF"/>
    <w:rsid w:val="7A4D1FE3"/>
    <w:rsid w:val="7A5105D2"/>
    <w:rsid w:val="7A5257B9"/>
    <w:rsid w:val="7A573061"/>
    <w:rsid w:val="7A5871CB"/>
    <w:rsid w:val="7A5D5880"/>
    <w:rsid w:val="7A613B5B"/>
    <w:rsid w:val="7A686C49"/>
    <w:rsid w:val="7A6903C9"/>
    <w:rsid w:val="7A764A1F"/>
    <w:rsid w:val="7A7E2E80"/>
    <w:rsid w:val="7A822249"/>
    <w:rsid w:val="7A82562B"/>
    <w:rsid w:val="7A8B7131"/>
    <w:rsid w:val="7A8B7345"/>
    <w:rsid w:val="7A900056"/>
    <w:rsid w:val="7A914852"/>
    <w:rsid w:val="7A9C4F9B"/>
    <w:rsid w:val="7A9F0501"/>
    <w:rsid w:val="7AA92BAE"/>
    <w:rsid w:val="7AA95841"/>
    <w:rsid w:val="7AAD7780"/>
    <w:rsid w:val="7AAF053C"/>
    <w:rsid w:val="7ABA6226"/>
    <w:rsid w:val="7AC41352"/>
    <w:rsid w:val="7AC56B00"/>
    <w:rsid w:val="7AC70AE9"/>
    <w:rsid w:val="7AC87B9A"/>
    <w:rsid w:val="7ACE6C6A"/>
    <w:rsid w:val="7AD92855"/>
    <w:rsid w:val="7AE20394"/>
    <w:rsid w:val="7AE53FCA"/>
    <w:rsid w:val="7AE74A0C"/>
    <w:rsid w:val="7AE9630D"/>
    <w:rsid w:val="7AEA69B5"/>
    <w:rsid w:val="7AEC352E"/>
    <w:rsid w:val="7AEF309B"/>
    <w:rsid w:val="7AFB533E"/>
    <w:rsid w:val="7AFB7608"/>
    <w:rsid w:val="7B167CD8"/>
    <w:rsid w:val="7B17134C"/>
    <w:rsid w:val="7B204C6C"/>
    <w:rsid w:val="7B234D99"/>
    <w:rsid w:val="7B2F13E3"/>
    <w:rsid w:val="7B317FC0"/>
    <w:rsid w:val="7B323B12"/>
    <w:rsid w:val="7B3C0607"/>
    <w:rsid w:val="7B3D406D"/>
    <w:rsid w:val="7B430220"/>
    <w:rsid w:val="7B4E6013"/>
    <w:rsid w:val="7B595071"/>
    <w:rsid w:val="7B5B2270"/>
    <w:rsid w:val="7B5D659C"/>
    <w:rsid w:val="7B5F2971"/>
    <w:rsid w:val="7B607AF4"/>
    <w:rsid w:val="7B64725E"/>
    <w:rsid w:val="7B6B0056"/>
    <w:rsid w:val="7B713AB0"/>
    <w:rsid w:val="7B744FDD"/>
    <w:rsid w:val="7B8830DA"/>
    <w:rsid w:val="7B8F5F44"/>
    <w:rsid w:val="7B965D35"/>
    <w:rsid w:val="7B96610F"/>
    <w:rsid w:val="7B9A5BCF"/>
    <w:rsid w:val="7BAA1965"/>
    <w:rsid w:val="7BAC06D2"/>
    <w:rsid w:val="7BB816DF"/>
    <w:rsid w:val="7BC0698C"/>
    <w:rsid w:val="7BD06A28"/>
    <w:rsid w:val="7BEB25BE"/>
    <w:rsid w:val="7BF34248"/>
    <w:rsid w:val="7BF818F9"/>
    <w:rsid w:val="7BFA3A3D"/>
    <w:rsid w:val="7BFD0654"/>
    <w:rsid w:val="7C14022C"/>
    <w:rsid w:val="7C16489D"/>
    <w:rsid w:val="7C18217D"/>
    <w:rsid w:val="7C1F175E"/>
    <w:rsid w:val="7C222BB8"/>
    <w:rsid w:val="7C2358FF"/>
    <w:rsid w:val="7C263DBF"/>
    <w:rsid w:val="7C2C7719"/>
    <w:rsid w:val="7C372792"/>
    <w:rsid w:val="7C4A3E4B"/>
    <w:rsid w:val="7C5A4544"/>
    <w:rsid w:val="7C5C6FB3"/>
    <w:rsid w:val="7C636752"/>
    <w:rsid w:val="7C650AA8"/>
    <w:rsid w:val="7C657B35"/>
    <w:rsid w:val="7C665E20"/>
    <w:rsid w:val="7C7750F6"/>
    <w:rsid w:val="7C89017F"/>
    <w:rsid w:val="7C8A6BA8"/>
    <w:rsid w:val="7C904C46"/>
    <w:rsid w:val="7C9D08C9"/>
    <w:rsid w:val="7CA1573F"/>
    <w:rsid w:val="7CA455DE"/>
    <w:rsid w:val="7CAF47B7"/>
    <w:rsid w:val="7CB86D53"/>
    <w:rsid w:val="7CBA32E5"/>
    <w:rsid w:val="7CBD5939"/>
    <w:rsid w:val="7CC70CCE"/>
    <w:rsid w:val="7CCA0ED7"/>
    <w:rsid w:val="7CCE69FE"/>
    <w:rsid w:val="7CD072E2"/>
    <w:rsid w:val="7CD97B5E"/>
    <w:rsid w:val="7CE1380D"/>
    <w:rsid w:val="7CE60EAF"/>
    <w:rsid w:val="7CED5A0D"/>
    <w:rsid w:val="7CFC2618"/>
    <w:rsid w:val="7D0E77C0"/>
    <w:rsid w:val="7D123CCA"/>
    <w:rsid w:val="7D1B713E"/>
    <w:rsid w:val="7D1D48E5"/>
    <w:rsid w:val="7D2012E9"/>
    <w:rsid w:val="7D2427B4"/>
    <w:rsid w:val="7D31337B"/>
    <w:rsid w:val="7D356E56"/>
    <w:rsid w:val="7D4F0510"/>
    <w:rsid w:val="7D521EC6"/>
    <w:rsid w:val="7D612020"/>
    <w:rsid w:val="7D66485B"/>
    <w:rsid w:val="7D667774"/>
    <w:rsid w:val="7D742FBA"/>
    <w:rsid w:val="7D803E8C"/>
    <w:rsid w:val="7D8555F0"/>
    <w:rsid w:val="7D8A2D15"/>
    <w:rsid w:val="7D9E6798"/>
    <w:rsid w:val="7DA01179"/>
    <w:rsid w:val="7DA85098"/>
    <w:rsid w:val="7DB50378"/>
    <w:rsid w:val="7DB514C6"/>
    <w:rsid w:val="7DB70A93"/>
    <w:rsid w:val="7DBB1012"/>
    <w:rsid w:val="7DCD6B58"/>
    <w:rsid w:val="7DDB5C86"/>
    <w:rsid w:val="7DE20D2D"/>
    <w:rsid w:val="7DE340C8"/>
    <w:rsid w:val="7DE4477C"/>
    <w:rsid w:val="7DE77096"/>
    <w:rsid w:val="7DE844FD"/>
    <w:rsid w:val="7DEE0627"/>
    <w:rsid w:val="7DEE545D"/>
    <w:rsid w:val="7DF721F6"/>
    <w:rsid w:val="7DF86826"/>
    <w:rsid w:val="7DFA631C"/>
    <w:rsid w:val="7DFA7D8C"/>
    <w:rsid w:val="7DFC6DF0"/>
    <w:rsid w:val="7E066731"/>
    <w:rsid w:val="7E0771BC"/>
    <w:rsid w:val="7E0A74AA"/>
    <w:rsid w:val="7E0C4E4E"/>
    <w:rsid w:val="7E192A44"/>
    <w:rsid w:val="7E20335F"/>
    <w:rsid w:val="7E3037AE"/>
    <w:rsid w:val="7E321B56"/>
    <w:rsid w:val="7E380FED"/>
    <w:rsid w:val="7E3C0AE6"/>
    <w:rsid w:val="7E3E5E3B"/>
    <w:rsid w:val="7E3E7829"/>
    <w:rsid w:val="7E493FBC"/>
    <w:rsid w:val="7E4F79AF"/>
    <w:rsid w:val="7E624217"/>
    <w:rsid w:val="7E675045"/>
    <w:rsid w:val="7E684851"/>
    <w:rsid w:val="7E74183B"/>
    <w:rsid w:val="7E7944F6"/>
    <w:rsid w:val="7E7B41D7"/>
    <w:rsid w:val="7E8C2EDF"/>
    <w:rsid w:val="7E922982"/>
    <w:rsid w:val="7EB11157"/>
    <w:rsid w:val="7EB53FFA"/>
    <w:rsid w:val="7EB81A99"/>
    <w:rsid w:val="7EBE6507"/>
    <w:rsid w:val="7EC04AD4"/>
    <w:rsid w:val="7ECB2E11"/>
    <w:rsid w:val="7ECD1A2A"/>
    <w:rsid w:val="7ED916E7"/>
    <w:rsid w:val="7ED97EFB"/>
    <w:rsid w:val="7EDE1F8D"/>
    <w:rsid w:val="7EDF2745"/>
    <w:rsid w:val="7EE011E6"/>
    <w:rsid w:val="7EE15BB1"/>
    <w:rsid w:val="7EE443D5"/>
    <w:rsid w:val="7EE57191"/>
    <w:rsid w:val="7EEF64A8"/>
    <w:rsid w:val="7EF33C03"/>
    <w:rsid w:val="7EF65A47"/>
    <w:rsid w:val="7EF9195B"/>
    <w:rsid w:val="7F061E54"/>
    <w:rsid w:val="7F086F62"/>
    <w:rsid w:val="7F0B0626"/>
    <w:rsid w:val="7F0F36DB"/>
    <w:rsid w:val="7F137B09"/>
    <w:rsid w:val="7F142CC8"/>
    <w:rsid w:val="7F146FB9"/>
    <w:rsid w:val="7F201338"/>
    <w:rsid w:val="7F2809A6"/>
    <w:rsid w:val="7F2E3E36"/>
    <w:rsid w:val="7F547E4E"/>
    <w:rsid w:val="7F610FB3"/>
    <w:rsid w:val="7F6C49EF"/>
    <w:rsid w:val="7F7B0F72"/>
    <w:rsid w:val="7F9935D5"/>
    <w:rsid w:val="7F9E000F"/>
    <w:rsid w:val="7FA26599"/>
    <w:rsid w:val="7FAE7F5E"/>
    <w:rsid w:val="7FB70AB2"/>
    <w:rsid w:val="7FB7525C"/>
    <w:rsid w:val="7FC05006"/>
    <w:rsid w:val="7FC7186A"/>
    <w:rsid w:val="7FD12299"/>
    <w:rsid w:val="7FD94DD9"/>
    <w:rsid w:val="7FDA6CF1"/>
    <w:rsid w:val="7FF40B62"/>
    <w:rsid w:val="7FF85CE8"/>
    <w:rsid w:val="CF71BC33"/>
    <w:rsid w:val="F3DB04B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8" w:lineRule="auto"/>
      <w:outlineLvl w:val="0"/>
    </w:pPr>
    <w:rPr>
      <w:rFonts w:ascii="Tahoma" w:hAnsi="Tahoma"/>
      <w:b/>
      <w:bCs/>
      <w:kern w:val="44"/>
      <w:sz w:val="44"/>
      <w:szCs w:val="44"/>
    </w:rPr>
  </w:style>
  <w:style w:type="paragraph" w:styleId="4">
    <w:name w:val="heading 2"/>
    <w:basedOn w:val="1"/>
    <w:next w:val="1"/>
    <w:link w:val="5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6"/>
    <w:basedOn w:val="1"/>
    <w:next w:val="1"/>
    <w:link w:val="52"/>
    <w:qFormat/>
    <w:uiPriority w:val="0"/>
    <w:pPr>
      <w:keepNext/>
      <w:keepLines/>
      <w:spacing w:before="240" w:after="64" w:line="320" w:lineRule="auto"/>
      <w:outlineLvl w:val="5"/>
    </w:pPr>
    <w:rPr>
      <w:rFonts w:ascii="Arial" w:hAnsi="Arial" w:eastAsia="黑体"/>
      <w:b/>
      <w:bCs/>
      <w:sz w:val="24"/>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0"/>
    <w:pPr>
      <w:spacing w:line="380" w:lineRule="exact"/>
    </w:pPr>
    <w:rPr>
      <w:kern w:val="0"/>
      <w:sz w:val="24"/>
      <w:szCs w:val="20"/>
    </w:rPr>
  </w:style>
  <w:style w:type="paragraph" w:styleId="8">
    <w:name w:val="index 8"/>
    <w:basedOn w:val="1"/>
    <w:next w:val="1"/>
    <w:qFormat/>
    <w:uiPriority w:val="0"/>
    <w:pPr>
      <w:ind w:left="2940"/>
    </w:pPr>
  </w:style>
  <w:style w:type="paragraph" w:styleId="9">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0">
    <w:name w:val="Normal Indent"/>
    <w:basedOn w:val="1"/>
    <w:link w:val="53"/>
    <w:qFormat/>
    <w:uiPriority w:val="0"/>
    <w:pPr>
      <w:ind w:firstLine="420"/>
    </w:pPr>
    <w:rPr>
      <w:szCs w:val="20"/>
    </w:rPr>
  </w:style>
  <w:style w:type="paragraph" w:styleId="11">
    <w:name w:val="Document Map"/>
    <w:basedOn w:val="1"/>
    <w:link w:val="54"/>
    <w:qFormat/>
    <w:uiPriority w:val="0"/>
    <w:rPr>
      <w:rFonts w:ascii="宋体" w:hAnsi="Tahoma"/>
      <w:sz w:val="18"/>
      <w:szCs w:val="18"/>
    </w:rPr>
  </w:style>
  <w:style w:type="paragraph" w:styleId="12">
    <w:name w:val="annotation text"/>
    <w:basedOn w:val="1"/>
    <w:link w:val="55"/>
    <w:semiHidden/>
    <w:qFormat/>
    <w:uiPriority w:val="0"/>
    <w:pPr>
      <w:jc w:val="left"/>
    </w:pPr>
  </w:style>
  <w:style w:type="paragraph" w:styleId="13">
    <w:name w:val="Body Text 3"/>
    <w:basedOn w:val="1"/>
    <w:qFormat/>
    <w:uiPriority w:val="0"/>
    <w:pPr>
      <w:spacing w:line="240" w:lineRule="exact"/>
    </w:pPr>
    <w:rPr>
      <w:rFonts w:ascii="宋体" w:hAnsi="宋体"/>
      <w:color w:val="000000"/>
      <w:szCs w:val="21"/>
    </w:rPr>
  </w:style>
  <w:style w:type="paragraph" w:styleId="14">
    <w:name w:val="Body Text Indent"/>
    <w:basedOn w:val="1"/>
    <w:link w:val="56"/>
    <w:qFormat/>
    <w:uiPriority w:val="0"/>
    <w:pPr>
      <w:spacing w:after="120"/>
      <w:ind w:left="420" w:leftChars="200"/>
    </w:pPr>
    <w:rPr>
      <w:rFonts w:ascii="Tahoma" w:hAnsi="Tahoma"/>
    </w:rPr>
  </w:style>
  <w:style w:type="paragraph" w:styleId="15">
    <w:name w:val="toc 3"/>
    <w:basedOn w:val="1"/>
    <w:next w:val="1"/>
    <w:qFormat/>
    <w:uiPriority w:val="39"/>
    <w:pPr>
      <w:ind w:left="840" w:leftChars="400"/>
    </w:pPr>
  </w:style>
  <w:style w:type="paragraph" w:styleId="16">
    <w:name w:val="Plain Text"/>
    <w:basedOn w:val="1"/>
    <w:next w:val="8"/>
    <w:link w:val="57"/>
    <w:qFormat/>
    <w:uiPriority w:val="0"/>
    <w:rPr>
      <w:rFonts w:ascii="宋体" w:hAnsi="Courier New"/>
      <w:szCs w:val="20"/>
    </w:rPr>
  </w:style>
  <w:style w:type="paragraph" w:styleId="17">
    <w:name w:val="Date"/>
    <w:basedOn w:val="1"/>
    <w:next w:val="1"/>
    <w:qFormat/>
    <w:uiPriority w:val="0"/>
    <w:pPr>
      <w:ind w:left="100" w:leftChars="2500"/>
    </w:pPr>
  </w:style>
  <w:style w:type="paragraph" w:styleId="18">
    <w:name w:val="Body Text Indent 2"/>
    <w:basedOn w:val="1"/>
    <w:qFormat/>
    <w:uiPriority w:val="0"/>
    <w:pPr>
      <w:ind w:firstLine="630"/>
    </w:pPr>
    <w:rPr>
      <w:sz w:val="32"/>
      <w:szCs w:val="20"/>
    </w:rPr>
  </w:style>
  <w:style w:type="paragraph" w:styleId="19">
    <w:name w:val="Balloon Text"/>
    <w:basedOn w:val="1"/>
    <w:semiHidden/>
    <w:qFormat/>
    <w:uiPriority w:val="0"/>
    <w:rPr>
      <w:sz w:val="18"/>
      <w:szCs w:val="18"/>
    </w:rPr>
  </w:style>
  <w:style w:type="paragraph" w:styleId="20">
    <w:name w:val="footer"/>
    <w:basedOn w:val="1"/>
    <w:link w:val="58"/>
    <w:qFormat/>
    <w:uiPriority w:val="99"/>
    <w:pPr>
      <w:tabs>
        <w:tab w:val="center" w:pos="4153"/>
        <w:tab w:val="right" w:pos="8306"/>
      </w:tabs>
      <w:snapToGrid w:val="0"/>
      <w:jc w:val="left"/>
    </w:pPr>
    <w:rPr>
      <w:rFonts w:ascii="Tahoma" w:hAnsi="Tahoma"/>
      <w:sz w:val="18"/>
      <w:szCs w:val="18"/>
    </w:rPr>
  </w:style>
  <w:style w:type="paragraph" w:styleId="21">
    <w:name w:val="header"/>
    <w:basedOn w:val="1"/>
    <w:link w:val="59"/>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2">
    <w:name w:val="toc 1"/>
    <w:basedOn w:val="1"/>
    <w:next w:val="1"/>
    <w:qFormat/>
    <w:uiPriority w:val="39"/>
  </w:style>
  <w:style w:type="paragraph" w:styleId="23">
    <w:name w:val="footnote text"/>
    <w:basedOn w:val="1"/>
    <w:qFormat/>
    <w:uiPriority w:val="0"/>
    <w:pPr>
      <w:snapToGrid w:val="0"/>
      <w:jc w:val="left"/>
    </w:pPr>
    <w:rPr>
      <w:sz w:val="18"/>
    </w:rPr>
  </w:style>
  <w:style w:type="paragraph" w:styleId="24">
    <w:name w:val="toc 2"/>
    <w:basedOn w:val="1"/>
    <w:next w:val="1"/>
    <w:qFormat/>
    <w:uiPriority w:val="39"/>
    <w:pPr>
      <w:ind w:left="420" w:leftChars="200"/>
    </w:pPr>
  </w:style>
  <w:style w:type="paragraph" w:styleId="25">
    <w:name w:val="toc 9"/>
    <w:basedOn w:val="1"/>
    <w:next w:val="1"/>
    <w:qFormat/>
    <w:uiPriority w:val="39"/>
    <w:pPr>
      <w:ind w:left="1680"/>
      <w:jc w:val="left"/>
    </w:pPr>
    <w:rPr>
      <w:sz w:val="18"/>
      <w:szCs w:val="18"/>
    </w:rPr>
  </w:style>
  <w:style w:type="paragraph" w:styleId="26">
    <w:name w:val="List 4"/>
    <w:basedOn w:val="1"/>
    <w:unhideWhenUsed/>
    <w:qFormat/>
    <w:uiPriority w:val="99"/>
    <w:pPr>
      <w:ind w:left="100" w:leftChars="600" w:hanging="200" w:hangingChars="200"/>
      <w:contextualSpacing/>
    </w:p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qFormat/>
    <w:uiPriority w:val="10"/>
    <w:pPr>
      <w:spacing w:before="240" w:after="60"/>
      <w:jc w:val="center"/>
      <w:outlineLvl w:val="0"/>
    </w:pPr>
    <w:rPr>
      <w:rFonts w:ascii="等线 Light" w:hAnsi="等线 Light"/>
      <w:b/>
      <w:bCs/>
      <w:sz w:val="32"/>
      <w:szCs w:val="32"/>
    </w:rPr>
  </w:style>
  <w:style w:type="paragraph" w:styleId="29">
    <w:name w:val="annotation subject"/>
    <w:basedOn w:val="12"/>
    <w:next w:val="12"/>
    <w:semiHidden/>
    <w:qFormat/>
    <w:uiPriority w:val="0"/>
    <w:rPr>
      <w:b/>
      <w:bCs/>
    </w:rPr>
  </w:style>
  <w:style w:type="paragraph" w:styleId="30">
    <w:name w:val="Body Text First Indent 2"/>
    <w:basedOn w:val="14"/>
    <w:next w:val="1"/>
    <w:qFormat/>
    <w:uiPriority w:val="0"/>
    <w:pPr>
      <w:ind w:firstLine="420" w:firstLineChars="200"/>
    </w:pPr>
    <w:rPr>
      <w:rFonts w:ascii="Times New Roman"/>
      <w:kern w:val="0"/>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rFonts w:ascii="Tahoma" w:hAnsi="Tahoma"/>
      <w:b/>
      <w:bCs/>
      <w:sz w:val="24"/>
      <w:szCs w:val="20"/>
    </w:rPr>
  </w:style>
  <w:style w:type="character" w:styleId="35">
    <w:name w:val="page number"/>
    <w:qFormat/>
    <w:uiPriority w:val="0"/>
  </w:style>
  <w:style w:type="character" w:styleId="36">
    <w:name w:val="FollowedHyperlink"/>
    <w:unhideWhenUsed/>
    <w:qFormat/>
    <w:uiPriority w:val="99"/>
    <w:rPr>
      <w:color w:val="954F72"/>
      <w:u w:val="single"/>
    </w:rPr>
  </w:style>
  <w:style w:type="character" w:styleId="37">
    <w:name w:val="Emphasis"/>
    <w:qFormat/>
    <w:uiPriority w:val="0"/>
  </w:style>
  <w:style w:type="character" w:styleId="38">
    <w:name w:val="HTML Definition"/>
    <w:qFormat/>
    <w:uiPriority w:val="0"/>
  </w:style>
  <w:style w:type="character" w:styleId="39">
    <w:name w:val="HTML Typewriter"/>
    <w:qFormat/>
    <w:uiPriority w:val="0"/>
    <w:rPr>
      <w:rFonts w:hint="default" w:ascii="monospace" w:hAnsi="monospace" w:eastAsia="monospace" w:cs="monospace"/>
      <w:sz w:val="20"/>
    </w:rPr>
  </w:style>
  <w:style w:type="character" w:styleId="40">
    <w:name w:val="HTML Acronym"/>
    <w:qFormat/>
    <w:uiPriority w:val="0"/>
  </w:style>
  <w:style w:type="character" w:styleId="41">
    <w:name w:val="HTML Variable"/>
    <w:qFormat/>
    <w:uiPriority w:val="0"/>
    <w:rPr>
      <w:rFonts w:ascii="Tahoma" w:hAnsi="Tahoma"/>
      <w:sz w:val="24"/>
      <w:szCs w:val="20"/>
    </w:rPr>
  </w:style>
  <w:style w:type="character" w:styleId="42">
    <w:name w:val="Hyperlink"/>
    <w:qFormat/>
    <w:uiPriority w:val="99"/>
    <w:rPr>
      <w:rFonts w:ascii="Tahoma" w:hAnsi="Tahoma"/>
      <w:color w:val="0000FF"/>
      <w:sz w:val="24"/>
      <w:szCs w:val="20"/>
      <w:u w:val="single"/>
    </w:rPr>
  </w:style>
  <w:style w:type="character" w:styleId="43">
    <w:name w:val="HTML Code"/>
    <w:qFormat/>
    <w:uiPriority w:val="0"/>
    <w:rPr>
      <w:rFonts w:ascii="monospace" w:hAnsi="monospace" w:eastAsia="monospace" w:cs="monospace"/>
      <w:sz w:val="20"/>
    </w:rPr>
  </w:style>
  <w:style w:type="character" w:styleId="44">
    <w:name w:val="annotation reference"/>
    <w:semiHidden/>
    <w:qFormat/>
    <w:uiPriority w:val="0"/>
    <w:rPr>
      <w:rFonts w:ascii="Tahoma" w:hAnsi="Tahoma"/>
      <w:sz w:val="21"/>
      <w:szCs w:val="21"/>
    </w:rPr>
  </w:style>
  <w:style w:type="character" w:styleId="45">
    <w:name w:val="HTML Cite"/>
    <w:qFormat/>
    <w:uiPriority w:val="0"/>
  </w:style>
  <w:style w:type="character" w:styleId="46">
    <w:name w:val="footnote reference"/>
    <w:qFormat/>
    <w:uiPriority w:val="0"/>
    <w:rPr>
      <w:vertAlign w:val="superscript"/>
    </w:rPr>
  </w:style>
  <w:style w:type="character" w:styleId="47">
    <w:name w:val="HTML Keyboard"/>
    <w:qFormat/>
    <w:uiPriority w:val="0"/>
    <w:rPr>
      <w:rFonts w:hint="default" w:ascii="monospace" w:hAnsi="monospace" w:eastAsia="monospace" w:cs="monospace"/>
      <w:sz w:val="20"/>
    </w:rPr>
  </w:style>
  <w:style w:type="character" w:styleId="48">
    <w:name w:val="HTML Sample"/>
    <w:qFormat/>
    <w:uiPriority w:val="0"/>
    <w:rPr>
      <w:rFonts w:hint="default" w:ascii="monospace" w:hAnsi="monospace" w:eastAsia="monospace" w:cs="monospace"/>
    </w:rPr>
  </w:style>
  <w:style w:type="character" w:customStyle="1" w:styleId="49">
    <w:name w:val="正文文本 Char"/>
    <w:link w:val="2"/>
    <w:qFormat/>
    <w:uiPriority w:val="0"/>
    <w:rPr>
      <w:sz w:val="24"/>
    </w:rPr>
  </w:style>
  <w:style w:type="character" w:customStyle="1" w:styleId="50">
    <w:name w:val="标题 1 Char"/>
    <w:link w:val="3"/>
    <w:qFormat/>
    <w:uiPriority w:val="0"/>
    <w:rPr>
      <w:rFonts w:ascii="Tahoma" w:hAnsi="Tahoma"/>
      <w:b/>
      <w:bCs/>
      <w:kern w:val="44"/>
      <w:sz w:val="44"/>
      <w:szCs w:val="44"/>
    </w:rPr>
  </w:style>
  <w:style w:type="character" w:customStyle="1" w:styleId="51">
    <w:name w:val="标题 2 Char"/>
    <w:link w:val="4"/>
    <w:semiHidden/>
    <w:qFormat/>
    <w:uiPriority w:val="0"/>
    <w:rPr>
      <w:rFonts w:ascii="Cambria" w:hAnsi="Cambria" w:eastAsia="宋体" w:cs="Times New Roman"/>
      <w:b/>
      <w:bCs/>
      <w:kern w:val="2"/>
      <w:sz w:val="32"/>
      <w:szCs w:val="32"/>
    </w:rPr>
  </w:style>
  <w:style w:type="character" w:customStyle="1" w:styleId="52">
    <w:name w:val="标题 6 Char"/>
    <w:link w:val="7"/>
    <w:qFormat/>
    <w:uiPriority w:val="0"/>
    <w:rPr>
      <w:rFonts w:ascii="Arial" w:hAnsi="Arial" w:eastAsia="黑体"/>
      <w:b/>
      <w:bCs/>
      <w:kern w:val="2"/>
      <w:sz w:val="24"/>
      <w:szCs w:val="24"/>
      <w:lang w:val="en-US" w:eastAsia="zh-CN" w:bidi="ar-SA"/>
    </w:rPr>
  </w:style>
  <w:style w:type="character" w:customStyle="1" w:styleId="53">
    <w:name w:val="正文缩进 Char"/>
    <w:link w:val="10"/>
    <w:qFormat/>
    <w:locked/>
    <w:uiPriority w:val="0"/>
    <w:rPr>
      <w:rFonts w:eastAsia="宋体"/>
      <w:kern w:val="2"/>
      <w:sz w:val="21"/>
      <w:lang w:val="en-US" w:eastAsia="zh-CN" w:bidi="ar-SA"/>
    </w:rPr>
  </w:style>
  <w:style w:type="character" w:customStyle="1" w:styleId="54">
    <w:name w:val="文档结构图 Char"/>
    <w:link w:val="11"/>
    <w:qFormat/>
    <w:uiPriority w:val="0"/>
    <w:rPr>
      <w:rFonts w:ascii="宋体" w:hAnsi="Tahoma"/>
      <w:kern w:val="2"/>
      <w:sz w:val="18"/>
      <w:szCs w:val="18"/>
    </w:rPr>
  </w:style>
  <w:style w:type="character" w:customStyle="1" w:styleId="55">
    <w:name w:val="批注文字 Char"/>
    <w:link w:val="12"/>
    <w:qFormat/>
    <w:uiPriority w:val="0"/>
    <w:rPr>
      <w:rFonts w:eastAsia="宋体"/>
      <w:kern w:val="2"/>
      <w:sz w:val="21"/>
      <w:szCs w:val="24"/>
      <w:lang w:val="en-US" w:eastAsia="zh-CN" w:bidi="ar-SA"/>
    </w:rPr>
  </w:style>
  <w:style w:type="character" w:customStyle="1" w:styleId="56">
    <w:name w:val="正文文本缩进 Char1"/>
    <w:link w:val="14"/>
    <w:qFormat/>
    <w:uiPriority w:val="0"/>
    <w:rPr>
      <w:rFonts w:ascii="Tahoma" w:hAnsi="Tahoma"/>
      <w:kern w:val="2"/>
      <w:sz w:val="21"/>
      <w:szCs w:val="24"/>
    </w:rPr>
  </w:style>
  <w:style w:type="character" w:customStyle="1" w:styleId="57">
    <w:name w:val="纯文本 Char1"/>
    <w:link w:val="16"/>
    <w:qFormat/>
    <w:uiPriority w:val="0"/>
    <w:rPr>
      <w:rFonts w:ascii="宋体" w:hAnsi="Courier New" w:eastAsia="宋体"/>
      <w:kern w:val="2"/>
      <w:sz w:val="21"/>
      <w:szCs w:val="20"/>
      <w:lang w:val="en-US" w:eastAsia="zh-CN" w:bidi="ar-SA"/>
    </w:rPr>
  </w:style>
  <w:style w:type="character" w:customStyle="1" w:styleId="58">
    <w:name w:val="页脚 Char"/>
    <w:link w:val="20"/>
    <w:qFormat/>
    <w:uiPriority w:val="99"/>
    <w:rPr>
      <w:rFonts w:ascii="Tahoma" w:hAnsi="Tahoma"/>
      <w:kern w:val="2"/>
      <w:sz w:val="18"/>
      <w:szCs w:val="18"/>
    </w:rPr>
  </w:style>
  <w:style w:type="character" w:customStyle="1" w:styleId="59">
    <w:name w:val="页眉 Char"/>
    <w:link w:val="21"/>
    <w:qFormat/>
    <w:uiPriority w:val="99"/>
    <w:rPr>
      <w:rFonts w:ascii="Tahoma" w:hAnsi="Tahoma"/>
      <w:kern w:val="2"/>
      <w:sz w:val="18"/>
      <w:szCs w:val="18"/>
    </w:rPr>
  </w:style>
  <w:style w:type="paragraph" w:customStyle="1" w:styleId="60">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表格文字"/>
    <w:basedOn w:val="14"/>
    <w:qFormat/>
    <w:uiPriority w:val="0"/>
    <w:rPr>
      <w:rFonts w:ascii="Century Gothic" w:hAnsi="Century Gothic"/>
      <w:sz w:val="20"/>
    </w:rPr>
  </w:style>
  <w:style w:type="character" w:customStyle="1" w:styleId="62">
    <w:name w:val="redfilenumber"/>
    <w:qFormat/>
    <w:uiPriority w:val="0"/>
    <w:rPr>
      <w:color w:val="BA2636"/>
      <w:sz w:val="18"/>
      <w:szCs w:val="18"/>
    </w:rPr>
  </w:style>
  <w:style w:type="character" w:customStyle="1" w:styleId="63">
    <w:name w:val="列出段落 Char"/>
    <w:qFormat/>
    <w:locked/>
    <w:uiPriority w:val="34"/>
    <w:rPr>
      <w:rFonts w:ascii="Times New Roman" w:hAnsi="Times New Roman" w:eastAsia="宋体" w:cs="Times New Roman"/>
      <w:kern w:val="0"/>
      <w:sz w:val="24"/>
      <w:szCs w:val="20"/>
    </w:rPr>
  </w:style>
  <w:style w:type="character" w:customStyle="1" w:styleId="64">
    <w:name w:val="font21"/>
    <w:basedOn w:val="33"/>
    <w:qFormat/>
    <w:uiPriority w:val="0"/>
    <w:rPr>
      <w:rFonts w:hint="eastAsia" w:ascii="宋体" w:hAnsi="宋体" w:eastAsia="宋体" w:cs="宋体"/>
      <w:color w:val="000000"/>
      <w:sz w:val="22"/>
      <w:szCs w:val="22"/>
      <w:u w:val="none"/>
    </w:rPr>
  </w:style>
  <w:style w:type="character" w:customStyle="1" w:styleId="65">
    <w:name w:val="Char Char1"/>
    <w:qFormat/>
    <w:uiPriority w:val="0"/>
    <w:rPr>
      <w:rFonts w:eastAsia="宋体"/>
      <w:kern w:val="2"/>
      <w:sz w:val="21"/>
      <w:szCs w:val="24"/>
      <w:lang w:val="en-US" w:eastAsia="zh-CN" w:bidi="ar-SA"/>
    </w:rPr>
  </w:style>
  <w:style w:type="character" w:customStyle="1" w:styleId="66">
    <w:name w:val="redfilefwwh"/>
    <w:qFormat/>
    <w:uiPriority w:val="0"/>
    <w:rPr>
      <w:color w:val="BA2636"/>
      <w:sz w:val="18"/>
      <w:szCs w:val="18"/>
    </w:rPr>
  </w:style>
  <w:style w:type="character" w:customStyle="1" w:styleId="67">
    <w:name w:val="列出段落 Char1"/>
    <w:link w:val="68"/>
    <w:qFormat/>
    <w:locked/>
    <w:uiPriority w:val="0"/>
    <w:rPr>
      <w:kern w:val="2"/>
      <w:sz w:val="21"/>
      <w:szCs w:val="24"/>
    </w:rPr>
  </w:style>
  <w:style w:type="paragraph" w:customStyle="1" w:styleId="68">
    <w:name w:val="List Paragraph"/>
    <w:basedOn w:val="1"/>
    <w:link w:val="67"/>
    <w:qFormat/>
    <w:uiPriority w:val="0"/>
    <w:pPr>
      <w:ind w:firstLine="420" w:firstLineChars="200"/>
    </w:pPr>
  </w:style>
  <w:style w:type="character" w:customStyle="1" w:styleId="69">
    <w:name w:val="纯文本 字符1"/>
    <w:qFormat/>
    <w:uiPriority w:val="0"/>
    <w:rPr>
      <w:rFonts w:ascii="Ђˎ̥" w:hAnsi="Verdana" w:eastAsia="Ђˎ̥" w:cs="Verdana"/>
      <w:szCs w:val="21"/>
    </w:rPr>
  </w:style>
  <w:style w:type="character" w:customStyle="1" w:styleId="70">
    <w:name w:val="font61"/>
    <w:qFormat/>
    <w:uiPriority w:val="0"/>
    <w:rPr>
      <w:rFonts w:hint="eastAsia" w:ascii="宋体" w:hAnsi="宋体" w:eastAsia="宋体" w:cs="宋体"/>
      <w:color w:val="000000"/>
      <w:sz w:val="21"/>
      <w:szCs w:val="21"/>
      <w:u w:val="none"/>
    </w:rPr>
  </w:style>
  <w:style w:type="character" w:customStyle="1" w:styleId="71">
    <w:name w:val="qxdate"/>
    <w:qFormat/>
    <w:uiPriority w:val="0"/>
    <w:rPr>
      <w:color w:val="333333"/>
      <w:sz w:val="18"/>
      <w:szCs w:val="18"/>
    </w:rPr>
  </w:style>
  <w:style w:type="character" w:customStyle="1" w:styleId="72">
    <w:name w:val="font01"/>
    <w:qFormat/>
    <w:uiPriority w:val="0"/>
    <w:rPr>
      <w:rFonts w:hint="eastAsia" w:ascii="宋体" w:hAnsi="宋体" w:eastAsia="宋体" w:cs="宋体"/>
      <w:color w:val="000000"/>
      <w:sz w:val="22"/>
      <w:szCs w:val="22"/>
      <w:u w:val="none"/>
    </w:rPr>
  </w:style>
  <w:style w:type="character" w:customStyle="1" w:styleId="73">
    <w:name w:val="纯文本 Char"/>
    <w:qFormat/>
    <w:uiPriority w:val="0"/>
    <w:rPr>
      <w:rFonts w:ascii="宋体" w:hAnsi="Courier New" w:eastAsia="宋体"/>
    </w:rPr>
  </w:style>
  <w:style w:type="character" w:customStyle="1" w:styleId="74">
    <w:name w:val="标题 Char"/>
    <w:qFormat/>
    <w:uiPriority w:val="10"/>
    <w:rPr>
      <w:rFonts w:ascii="Calibri Light" w:hAnsi="Calibri Light" w:cs="Times New Roman"/>
      <w:b/>
      <w:bCs/>
      <w:kern w:val="2"/>
      <w:sz w:val="32"/>
      <w:szCs w:val="32"/>
    </w:rPr>
  </w:style>
  <w:style w:type="character" w:customStyle="1" w:styleId="75">
    <w:name w:val="未处理的提及1"/>
    <w:unhideWhenUsed/>
    <w:qFormat/>
    <w:uiPriority w:val="99"/>
    <w:rPr>
      <w:rFonts w:ascii="Tahoma" w:hAnsi="Tahoma"/>
      <w:color w:val="808080"/>
      <w:sz w:val="24"/>
      <w:szCs w:val="20"/>
      <w:shd w:val="clear" w:color="auto" w:fill="E6E6E6"/>
    </w:rPr>
  </w:style>
  <w:style w:type="character" w:customStyle="1" w:styleId="76">
    <w:name w:val="font131"/>
    <w:qFormat/>
    <w:uiPriority w:val="0"/>
    <w:rPr>
      <w:rFonts w:hint="eastAsia" w:ascii="宋体" w:hAnsi="宋体" w:eastAsia="宋体" w:cs="宋体"/>
      <w:b/>
      <w:bCs/>
      <w:color w:val="FF0000"/>
      <w:sz w:val="18"/>
      <w:szCs w:val="18"/>
      <w:u w:val="none"/>
    </w:rPr>
  </w:style>
  <w:style w:type="character" w:customStyle="1" w:styleId="77">
    <w:name w:val="gjfg"/>
    <w:qFormat/>
    <w:uiPriority w:val="0"/>
  </w:style>
  <w:style w:type="character" w:customStyle="1" w:styleId="78">
    <w:name w:val="font121"/>
    <w:qFormat/>
    <w:uiPriority w:val="0"/>
    <w:rPr>
      <w:rFonts w:hint="eastAsia" w:ascii="宋体" w:hAnsi="宋体" w:eastAsia="宋体" w:cs="宋体"/>
      <w:b/>
      <w:color w:val="000000"/>
      <w:sz w:val="22"/>
      <w:szCs w:val="22"/>
      <w:u w:val="none"/>
    </w:rPr>
  </w:style>
  <w:style w:type="character" w:customStyle="1" w:styleId="79">
    <w:name w:val="纯文本 字符"/>
    <w:qFormat/>
    <w:uiPriority w:val="0"/>
    <w:rPr>
      <w:rFonts w:ascii="宋体" w:hAnsi="Courier New" w:eastAsia="宋体" w:cs="Courier New"/>
      <w:szCs w:val="21"/>
    </w:rPr>
  </w:style>
  <w:style w:type="character" w:customStyle="1" w:styleId="80">
    <w:name w:val="正文缩进 Char1"/>
    <w:qFormat/>
    <w:locked/>
    <w:uiPriority w:val="0"/>
    <w:rPr>
      <w:rFonts w:eastAsia="宋体"/>
      <w:kern w:val="2"/>
      <w:sz w:val="21"/>
      <w:lang w:val="en-US" w:eastAsia="zh-CN" w:bidi="ar-SA"/>
    </w:rPr>
  </w:style>
  <w:style w:type="character" w:customStyle="1" w:styleId="81">
    <w:name w:val="main12"/>
    <w:qFormat/>
    <w:uiPriority w:val="0"/>
    <w:rPr>
      <w:rFonts w:ascii="Arial" w:hAnsi="Arial" w:cs="Arial"/>
      <w:color w:val="000000"/>
      <w:sz w:val="18"/>
      <w:szCs w:val="18"/>
    </w:rPr>
  </w:style>
  <w:style w:type="character" w:customStyle="1" w:styleId="82">
    <w:name w:val="font31"/>
    <w:basedOn w:val="33"/>
    <w:qFormat/>
    <w:uiPriority w:val="0"/>
    <w:rPr>
      <w:rFonts w:hint="eastAsia" w:ascii="宋体" w:hAnsi="宋体" w:eastAsia="宋体" w:cs="宋体"/>
      <w:color w:val="000000"/>
      <w:sz w:val="24"/>
      <w:szCs w:val="24"/>
      <w:u w:val="none"/>
    </w:rPr>
  </w:style>
  <w:style w:type="character" w:customStyle="1" w:styleId="83">
    <w:name w:val="font122"/>
    <w:qFormat/>
    <w:uiPriority w:val="0"/>
    <w:rPr>
      <w:rFonts w:hint="eastAsia" w:ascii="宋体" w:hAnsi="宋体" w:eastAsia="宋体" w:cs="宋体"/>
      <w:color w:val="FF0000"/>
      <w:sz w:val="20"/>
      <w:szCs w:val="20"/>
      <w:u w:val="none"/>
    </w:rPr>
  </w:style>
  <w:style w:type="character" w:customStyle="1" w:styleId="84">
    <w:name w:val="无"/>
    <w:qFormat/>
    <w:uiPriority w:val="0"/>
  </w:style>
  <w:style w:type="character" w:customStyle="1" w:styleId="85">
    <w:name w:val="apple-converted-space"/>
    <w:qFormat/>
    <w:uiPriority w:val="0"/>
  </w:style>
  <w:style w:type="character" w:customStyle="1" w:styleId="86">
    <w:name w:val="font41"/>
    <w:qFormat/>
    <w:uiPriority w:val="0"/>
    <w:rPr>
      <w:rFonts w:hint="eastAsia" w:ascii="宋体" w:hAnsi="宋体" w:eastAsia="宋体" w:cs="宋体"/>
      <w:color w:val="000000"/>
      <w:sz w:val="22"/>
      <w:szCs w:val="22"/>
      <w:u w:val="none"/>
    </w:rPr>
  </w:style>
  <w:style w:type="character" w:customStyle="1" w:styleId="87">
    <w:name w:val="普通文字 Char Char5"/>
    <w:qFormat/>
    <w:uiPriority w:val="0"/>
    <w:rPr>
      <w:rFonts w:ascii="宋体" w:hAnsi="Courier New" w:eastAsia="宋体"/>
      <w:szCs w:val="21"/>
      <w:lang w:bidi="ar-SA"/>
    </w:rPr>
  </w:style>
  <w:style w:type="character" w:customStyle="1" w:styleId="88">
    <w:name w:val="displayarti"/>
    <w:qFormat/>
    <w:uiPriority w:val="0"/>
    <w:rPr>
      <w:color w:val="FFFFFF"/>
      <w:shd w:val="clear" w:color="auto" w:fill="A00000"/>
    </w:rPr>
  </w:style>
  <w:style w:type="character" w:customStyle="1" w:styleId="89">
    <w:name w:val="页脚 字符"/>
    <w:qFormat/>
    <w:uiPriority w:val="99"/>
  </w:style>
  <w:style w:type="character" w:customStyle="1" w:styleId="90">
    <w:name w:val="Char Char10"/>
    <w:qFormat/>
    <w:locked/>
    <w:uiPriority w:val="0"/>
    <w:rPr>
      <w:rFonts w:ascii="宋体" w:hAnsi="宋体" w:eastAsia="宋体"/>
      <w:kern w:val="2"/>
      <w:sz w:val="21"/>
      <w:szCs w:val="24"/>
      <w:lang w:val="en-US" w:eastAsia="zh-CN" w:bidi="ar-SA"/>
    </w:rPr>
  </w:style>
  <w:style w:type="character" w:customStyle="1" w:styleId="91">
    <w:name w:val="纯文本 字符2"/>
    <w:qFormat/>
    <w:uiPriority w:val="0"/>
    <w:rPr>
      <w:rFonts w:ascii="宋体" w:hAnsi="Courier New" w:eastAsia="宋体"/>
      <w:kern w:val="2"/>
      <w:sz w:val="21"/>
      <w:lang w:val="en-US" w:eastAsia="zh-CN" w:bidi="ar-SA"/>
    </w:rPr>
  </w:style>
  <w:style w:type="character" w:customStyle="1" w:styleId="92">
    <w:name w:val="正文文本缩进 Char"/>
    <w:qFormat/>
    <w:uiPriority w:val="0"/>
    <w:rPr>
      <w:rFonts w:ascii="Times New Roman" w:hAnsi="Times New Roman" w:eastAsia="宋体" w:cs="Times New Roman"/>
      <w:kern w:val="2"/>
      <w:sz w:val="21"/>
      <w:szCs w:val="24"/>
    </w:rPr>
  </w:style>
  <w:style w:type="character" w:customStyle="1" w:styleId="93">
    <w:name w:val="fontstyle01"/>
    <w:qFormat/>
    <w:uiPriority w:val="0"/>
    <w:rPr>
      <w:rFonts w:hint="eastAsia" w:ascii="宋体" w:hAnsi="宋体" w:eastAsia="宋体"/>
      <w:color w:val="000000"/>
      <w:sz w:val="22"/>
      <w:szCs w:val="22"/>
    </w:rPr>
  </w:style>
  <w:style w:type="character" w:customStyle="1" w:styleId="94">
    <w:name w:val="font71"/>
    <w:qFormat/>
    <w:uiPriority w:val="0"/>
    <w:rPr>
      <w:rFonts w:hint="default" w:ascii="Times New Roman" w:hAnsi="Times New Roman" w:cs="Times New Roman"/>
      <w:color w:val="000000"/>
      <w:sz w:val="24"/>
      <w:szCs w:val="24"/>
      <w:u w:val="none"/>
    </w:rPr>
  </w:style>
  <w:style w:type="character" w:customStyle="1" w:styleId="95">
    <w:name w:val="cfdate"/>
    <w:qFormat/>
    <w:uiPriority w:val="0"/>
    <w:rPr>
      <w:color w:val="333333"/>
      <w:sz w:val="18"/>
      <w:szCs w:val="18"/>
    </w:rPr>
  </w:style>
  <w:style w:type="paragraph" w:customStyle="1" w:styleId="96">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7">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9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0">
    <w:name w:val="_Style 99"/>
    <w:unhideWhenUsed/>
    <w:qFormat/>
    <w:uiPriority w:val="99"/>
    <w:rPr>
      <w:rFonts w:ascii="Times New Roman" w:hAnsi="Times New Roman" w:eastAsia="宋体" w:cs="Times New Roman"/>
      <w:kern w:val="2"/>
      <w:sz w:val="21"/>
      <w:szCs w:val="24"/>
      <w:lang w:val="en-US" w:eastAsia="zh-CN" w:bidi="ar-SA"/>
    </w:rPr>
  </w:style>
  <w:style w:type="paragraph" w:customStyle="1" w:styleId="101">
    <w:name w:val="样式1"/>
    <w:basedOn w:val="1"/>
    <w:qFormat/>
    <w:uiPriority w:val="0"/>
    <w:pPr>
      <w:widowControl/>
      <w:jc w:val="left"/>
    </w:pPr>
    <w:rPr>
      <w:rFonts w:ascii="宋体" w:hAnsi="宋体"/>
      <w:kern w:val="0"/>
      <w:szCs w:val="21"/>
    </w:rPr>
  </w:style>
  <w:style w:type="paragraph" w:customStyle="1" w:styleId="102">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0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4">
    <w:name w:val="1"/>
    <w:basedOn w:val="1"/>
    <w:next w:val="16"/>
    <w:qFormat/>
    <w:uiPriority w:val="0"/>
    <w:rPr>
      <w:rFonts w:ascii="宋体" w:hAnsi="Courier New"/>
      <w:szCs w:val="20"/>
    </w:rPr>
  </w:style>
  <w:style w:type="paragraph" w:customStyle="1" w:styleId="10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06">
    <w:name w:val="p17"/>
    <w:basedOn w:val="1"/>
    <w:qFormat/>
    <w:uiPriority w:val="0"/>
    <w:pPr>
      <w:widowControl/>
    </w:pPr>
    <w:rPr>
      <w:rFonts w:ascii="宋体" w:hAnsi="宋体" w:cs="宋体"/>
      <w:kern w:val="0"/>
      <w:szCs w:val="21"/>
    </w:rPr>
  </w:style>
  <w:style w:type="paragraph" w:customStyle="1" w:styleId="107">
    <w:name w:val="CM14"/>
    <w:basedOn w:val="108"/>
    <w:next w:val="108"/>
    <w:qFormat/>
    <w:uiPriority w:val="0"/>
    <w:pPr>
      <w:spacing w:line="468" w:lineRule="atLeast"/>
    </w:pPr>
    <w:rPr>
      <w:rFonts w:ascii="Sim Sun" w:eastAsia="Sim Sun" w:cs="Times New Roman"/>
      <w:color w:val="auto"/>
    </w:rPr>
  </w:style>
  <w:style w:type="paragraph" w:customStyle="1" w:styleId="10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09">
    <w:name w:val="Body text|3"/>
    <w:basedOn w:val="1"/>
    <w:qFormat/>
    <w:uiPriority w:val="0"/>
    <w:pPr>
      <w:spacing w:after="460"/>
      <w:jc w:val="center"/>
    </w:pPr>
    <w:rPr>
      <w:rFonts w:ascii="宋体" w:hAnsi="宋体" w:cs="宋体"/>
      <w:kern w:val="0"/>
      <w:sz w:val="34"/>
      <w:szCs w:val="34"/>
    </w:rPr>
  </w:style>
  <w:style w:type="paragraph" w:customStyle="1" w:styleId="11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1">
    <w:name w:val="Char Char2 Char Char"/>
    <w:basedOn w:val="1"/>
    <w:qFormat/>
    <w:uiPriority w:val="0"/>
    <w:rPr>
      <w:rFonts w:ascii="Tahoma" w:hAnsi="Tahoma"/>
      <w:sz w:val="24"/>
      <w:szCs w:val="20"/>
    </w:rPr>
  </w:style>
  <w:style w:type="paragraph" w:customStyle="1" w:styleId="11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3">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14">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15">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16">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117">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8">
    <w:name w:val="p0"/>
    <w:basedOn w:val="1"/>
    <w:qFormat/>
    <w:uiPriority w:val="0"/>
    <w:pPr>
      <w:widowControl/>
    </w:pPr>
    <w:rPr>
      <w:kern w:val="0"/>
      <w:szCs w:val="20"/>
    </w:rPr>
  </w:style>
  <w:style w:type="paragraph" w:customStyle="1" w:styleId="119">
    <w:name w:val="列表段落1"/>
    <w:basedOn w:val="1"/>
    <w:qFormat/>
    <w:uiPriority w:val="0"/>
    <w:pPr>
      <w:ind w:firstLine="420" w:firstLineChars="200"/>
    </w:pPr>
  </w:style>
  <w:style w:type="paragraph" w:customStyle="1" w:styleId="12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Table Paragraph"/>
    <w:basedOn w:val="1"/>
    <w:qFormat/>
    <w:uiPriority w:val="1"/>
  </w:style>
  <w:style w:type="paragraph" w:customStyle="1" w:styleId="122">
    <w:name w:val="Body text|1"/>
    <w:basedOn w:val="1"/>
    <w:qFormat/>
    <w:uiPriority w:val="0"/>
    <w:pPr>
      <w:spacing w:line="350" w:lineRule="auto"/>
      <w:ind w:firstLine="400"/>
      <w:jc w:val="left"/>
    </w:pPr>
    <w:rPr>
      <w:rFonts w:ascii="宋体" w:hAnsi="宋体" w:cs="宋体"/>
      <w:kern w:val="0"/>
      <w:sz w:val="30"/>
      <w:szCs w:val="30"/>
    </w:rPr>
  </w:style>
  <w:style w:type="paragraph" w:customStyle="1" w:styleId="123">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普通(网站)1"/>
    <w:basedOn w:val="1"/>
    <w:qFormat/>
    <w:uiPriority w:val="0"/>
    <w:pPr>
      <w:jc w:val="left"/>
    </w:pPr>
    <w:rPr>
      <w:kern w:val="0"/>
      <w:sz w:val="24"/>
    </w:rPr>
  </w:style>
  <w:style w:type="paragraph" w:customStyle="1" w:styleId="125">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2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3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customStyle="1" w:styleId="134">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135">
    <w:name w:val="CM15"/>
    <w:basedOn w:val="108"/>
    <w:next w:val="108"/>
    <w:qFormat/>
    <w:uiPriority w:val="0"/>
    <w:pPr>
      <w:spacing w:line="468" w:lineRule="atLeast"/>
    </w:pPr>
    <w:rPr>
      <w:rFonts w:ascii="Sim Sun" w:eastAsia="Sim Sun" w:cs="Times New Roman"/>
      <w:color w:val="auto"/>
    </w:rPr>
  </w:style>
  <w:style w:type="paragraph" w:customStyle="1" w:styleId="136">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37">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13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39">
    <w:name w:val="列出段落1"/>
    <w:basedOn w:val="1"/>
    <w:qFormat/>
    <w:uiPriority w:val="0"/>
    <w:pPr>
      <w:ind w:firstLine="420" w:firstLineChars="200"/>
    </w:pPr>
    <w:rPr>
      <w:rFonts w:ascii="仿宋_GB2312" w:eastAsia="仿宋_GB2312"/>
      <w:sz w:val="32"/>
    </w:rPr>
  </w:style>
  <w:style w:type="paragraph" w:customStyle="1" w:styleId="14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1">
    <w:name w:val="_Style 36"/>
    <w:basedOn w:val="1"/>
    <w:qFormat/>
    <w:uiPriority w:val="0"/>
    <w:rPr>
      <w:rFonts w:ascii="Tahoma" w:hAnsi="Tahoma"/>
      <w:sz w:val="24"/>
      <w:szCs w:val="20"/>
    </w:rPr>
  </w:style>
  <w:style w:type="paragraph" w:customStyle="1" w:styleId="14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43">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4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6">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47">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48">
    <w:name w:val="首行缩进"/>
    <w:basedOn w:val="1"/>
    <w:qFormat/>
    <w:uiPriority w:val="0"/>
    <w:pPr>
      <w:ind w:firstLine="480" w:firstLineChars="200"/>
    </w:pPr>
  </w:style>
  <w:style w:type="paragraph" w:customStyle="1" w:styleId="149">
    <w:name w:val="List Paragraph1"/>
    <w:basedOn w:val="1"/>
    <w:qFormat/>
    <w:uiPriority w:val="99"/>
    <w:pPr>
      <w:ind w:firstLine="420" w:firstLineChars="200"/>
    </w:pPr>
  </w:style>
  <w:style w:type="paragraph" w:customStyle="1" w:styleId="150">
    <w:name w:val="Char Char8"/>
    <w:basedOn w:val="1"/>
    <w:qFormat/>
    <w:uiPriority w:val="0"/>
    <w:rPr>
      <w:rFonts w:ascii="Tahoma" w:hAnsi="Tahoma" w:eastAsia="Times New Roman"/>
      <w:kern w:val="0"/>
      <w:sz w:val="24"/>
      <w:szCs w:val="20"/>
    </w:rPr>
  </w:style>
  <w:style w:type="paragraph" w:customStyle="1" w:styleId="151">
    <w:name w:val="正文文本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QBPC</Company>
  <Pages>86</Pages>
  <Words>16767</Words>
  <Characters>18077</Characters>
  <Lines>599</Lines>
  <Paragraphs>168</Paragraphs>
  <TotalTime>67</TotalTime>
  <ScaleCrop>false</ScaleCrop>
  <LinksUpToDate>false</LinksUpToDate>
  <CharactersWithSpaces>18494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2020-10-09T23:10:00Z</dcterms:created>
  <dc:creator>微软用户</dc:creator>
  <cp:lastModifiedBy>LLcat</cp:lastModifiedBy>
  <cp:lastPrinted>2022-11-01T01:19:00Z</cp:lastPrinted>
  <dcterms:modified xsi:type="dcterms:W3CDTF">2025-07-18T02:18:36Z</dcterms:modified>
  <dc:title>医疗设备采购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6CD79CEA16653417ACB478684E59FA0C_43</vt:lpwstr>
  </property>
  <property fmtid="{D5CDD505-2E9C-101B-9397-08002B2CF9AE}" pid="4" name="KSOTemplateDocerSaveRecord">
    <vt:lpwstr>eyJoZGlkIjoiODQxMzM4OTFkMTRiMTgyYzM5ODcxM2FjYWFhOTQ2MmMiLCJ1c2VySWQiOiIxMjgzODQzODQwIn0=</vt:lpwstr>
  </property>
</Properties>
</file>